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cs="宋体"/>
          <w:b/>
          <w:bCs/>
          <w:color w:val="000000"/>
          <w:sz w:val="44"/>
          <w:szCs w:val="44"/>
        </w:rPr>
      </w:pPr>
    </w:p>
    <w:p>
      <w:pPr>
        <w:jc w:val="center"/>
        <w:rPr>
          <w:rFonts w:ascii="宋体" w:cs="宋体"/>
          <w:b/>
          <w:bCs/>
          <w:color w:val="000000"/>
          <w:sz w:val="44"/>
          <w:szCs w:val="44"/>
        </w:rPr>
      </w:pPr>
      <w:r>
        <w:rPr>
          <w:rFonts w:hint="eastAsia" w:ascii="宋体" w:hAnsi="宋体" w:cs="宋体"/>
          <w:b/>
          <w:bCs/>
          <w:color w:val="000000"/>
          <w:sz w:val="44"/>
          <w:szCs w:val="44"/>
          <w:lang w:eastAsia="zh-CN"/>
        </w:rPr>
        <w:t>许昌经高科技发展有限公司</w:t>
      </w:r>
      <w:r>
        <w:rPr>
          <w:rFonts w:hint="eastAsia" w:ascii="宋体" w:hAnsi="宋体" w:cs="宋体"/>
          <w:b/>
          <w:bCs/>
          <w:color w:val="000000"/>
          <w:sz w:val="44"/>
          <w:szCs w:val="44"/>
        </w:rPr>
        <w:t>“</w:t>
      </w:r>
      <w:r>
        <w:rPr>
          <w:rFonts w:hint="eastAsia" w:ascii="宋体" w:hAnsi="宋体" w:cs="宋体"/>
          <w:b/>
          <w:bCs/>
          <w:color w:val="000000"/>
          <w:sz w:val="44"/>
          <w:szCs w:val="44"/>
          <w:lang w:eastAsia="zh-CN"/>
        </w:rPr>
        <w:t>许昌经济技术开发区管委会智慧中心项目</w:t>
      </w:r>
      <w:r>
        <w:rPr>
          <w:rFonts w:hint="eastAsia" w:asciiTheme="majorEastAsia" w:hAnsiTheme="majorEastAsia" w:eastAsiaTheme="majorEastAsia" w:cstheme="majorEastAsia"/>
          <w:b/>
          <w:bCs/>
          <w:color w:val="000000"/>
          <w:sz w:val="44"/>
          <w:szCs w:val="44"/>
        </w:rPr>
        <w:t>（不见面开标）</w:t>
      </w:r>
      <w:r>
        <w:rPr>
          <w:rFonts w:hint="eastAsia" w:ascii="宋体" w:hAnsi="宋体" w:cs="宋体"/>
          <w:b/>
          <w:bCs/>
          <w:color w:val="000000"/>
          <w:sz w:val="44"/>
          <w:szCs w:val="44"/>
        </w:rPr>
        <w:t>”</w:t>
      </w:r>
    </w:p>
    <w:p>
      <w:pPr>
        <w:rPr>
          <w:rFonts w:ascii="微软简隶书" w:eastAsia="微软简隶书"/>
          <w:color w:val="000000"/>
          <w:u w:val="single"/>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jc w:val="center"/>
        <w:rPr>
          <w:rFonts w:ascii="宋体" w:cs="宋体"/>
          <w:bCs/>
          <w:color w:val="000000"/>
          <w:w w:val="90"/>
          <w:sz w:val="120"/>
          <w:szCs w:val="120"/>
        </w:rPr>
      </w:pPr>
      <w:r>
        <w:rPr>
          <w:rFonts w:hint="eastAsia" w:ascii="宋体" w:hAnsi="宋体" w:cs="宋体"/>
          <w:bCs/>
          <w:color w:val="000000"/>
          <w:w w:val="90"/>
          <w:sz w:val="120"/>
          <w:szCs w:val="120"/>
        </w:rPr>
        <w:t>招　标　文　件</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宋体" w:cs="宋体"/>
          <w:b/>
          <w:bCs/>
          <w:color w:val="000000"/>
          <w:sz w:val="36"/>
          <w:szCs w:val="36"/>
        </w:rPr>
      </w:pPr>
      <w:r>
        <w:rPr>
          <w:rFonts w:ascii="宋体" w:hAnsi="宋体" w:cs="宋体"/>
          <w:b/>
          <w:bCs/>
          <w:color w:val="000000"/>
          <w:sz w:val="36"/>
          <w:szCs w:val="36"/>
        </w:rPr>
        <w:t xml:space="preserve">      </w:t>
      </w:r>
      <w:r>
        <w:rPr>
          <w:rFonts w:hint="eastAsia" w:ascii="宋体" w:hAnsi="宋体" w:cs="宋体"/>
          <w:b/>
          <w:bCs/>
          <w:color w:val="000000"/>
          <w:sz w:val="36"/>
          <w:szCs w:val="36"/>
        </w:rPr>
        <w:t>项目编号：</w:t>
      </w:r>
      <w:r>
        <w:rPr>
          <w:rFonts w:hint="eastAsia" w:ascii="宋体" w:hAnsi="宋体" w:cs="宋体"/>
          <w:b/>
          <w:bCs/>
          <w:color w:val="000000"/>
          <w:sz w:val="36"/>
          <w:szCs w:val="36"/>
          <w:lang w:eastAsia="zh-CN"/>
        </w:rPr>
        <w:t>GZCG-G2019030号</w:t>
      </w:r>
      <w:r>
        <w:rPr>
          <w:rFonts w:hint="eastAsia" w:ascii="宋体" w:hAnsi="宋体" w:cs="宋体"/>
          <w:b/>
          <w:bCs/>
          <w:color w:val="000000"/>
          <w:sz w:val="36"/>
          <w:szCs w:val="36"/>
        </w:rPr>
        <w:t xml:space="preserve"> </w:t>
      </w:r>
    </w:p>
    <w:p>
      <w:pPr>
        <w:ind w:firstLine="1084" w:firstLineChars="300"/>
        <w:rPr>
          <w:rFonts w:hint="eastAsia" w:ascii="宋体" w:eastAsia="宋体" w:cs="宋体"/>
          <w:b/>
          <w:bCs/>
          <w:color w:val="000000"/>
          <w:sz w:val="36"/>
          <w:szCs w:val="36"/>
          <w:lang w:eastAsia="zh-CN"/>
        </w:rPr>
      </w:pPr>
      <w:r>
        <w:rPr>
          <w:rFonts w:hint="eastAsia" w:ascii="宋体" w:hAnsi="宋体" w:cs="宋体"/>
          <w:b/>
          <w:bCs/>
          <w:color w:val="000000"/>
          <w:sz w:val="36"/>
          <w:szCs w:val="36"/>
        </w:rPr>
        <w:t>采购单位：</w:t>
      </w:r>
      <w:r>
        <w:rPr>
          <w:rFonts w:hint="eastAsia" w:ascii="宋体" w:hAnsi="宋体" w:cs="宋体"/>
          <w:b/>
          <w:bCs/>
          <w:color w:val="000000"/>
          <w:sz w:val="36"/>
          <w:szCs w:val="36"/>
          <w:lang w:eastAsia="zh-CN"/>
        </w:rPr>
        <w:t>许昌经高科技发展有限公司</w:t>
      </w:r>
    </w:p>
    <w:p>
      <w:pPr>
        <w:ind w:firstLine="1084" w:firstLineChars="300"/>
        <w:rPr>
          <w:rFonts w:hint="eastAsia" w:ascii="宋体" w:eastAsia="宋体" w:cs="宋体"/>
          <w:b/>
          <w:bCs/>
          <w:color w:val="000000"/>
          <w:sz w:val="36"/>
          <w:szCs w:val="36"/>
          <w:lang w:eastAsia="zh-CN"/>
        </w:rPr>
      </w:pPr>
      <w:r>
        <w:rPr>
          <w:rFonts w:hint="eastAsia" w:ascii="宋体" w:hAnsi="宋体" w:cs="宋体"/>
          <w:b/>
          <w:bCs/>
          <w:color w:val="000000"/>
          <w:sz w:val="36"/>
          <w:szCs w:val="36"/>
        </w:rPr>
        <w:t>代理机构：</w:t>
      </w:r>
      <w:r>
        <w:rPr>
          <w:rFonts w:hint="eastAsia" w:ascii="宋体" w:hAnsi="宋体" w:cs="宋体"/>
          <w:b/>
          <w:bCs/>
          <w:color w:val="000000"/>
          <w:sz w:val="36"/>
          <w:szCs w:val="36"/>
          <w:lang w:eastAsia="zh-CN"/>
        </w:rPr>
        <w:t>河南永安工程管理有限公司</w:t>
      </w:r>
    </w:p>
    <w:p>
      <w:pPr>
        <w:rPr>
          <w:rFonts w:ascii="宋体" w:cs="宋体"/>
          <w:b/>
          <w:bCs/>
          <w:color w:val="000000"/>
          <w:sz w:val="36"/>
          <w:szCs w:val="36"/>
        </w:rPr>
      </w:pPr>
    </w:p>
    <w:p>
      <w:pPr>
        <w:jc w:val="center"/>
        <w:rPr>
          <w:rFonts w:ascii="宋体" w:cs="宋体"/>
          <w:b/>
          <w:bCs/>
          <w:color w:val="000000"/>
          <w:sz w:val="36"/>
          <w:szCs w:val="36"/>
        </w:rPr>
      </w:pPr>
      <w:r>
        <w:rPr>
          <w:rFonts w:hint="eastAsia" w:ascii="宋体" w:hAnsi="宋体" w:cs="宋体"/>
          <w:b/>
          <w:bCs/>
          <w:color w:val="000000"/>
          <w:sz w:val="36"/>
          <w:szCs w:val="36"/>
        </w:rPr>
        <w:t>二〇二〇年三月</w:t>
      </w:r>
    </w:p>
    <w:p>
      <w:pPr>
        <w:rPr>
          <w:rFonts w:ascii="宋体" w:cs="宋体"/>
          <w:b/>
          <w:bCs/>
          <w:color w:val="000000"/>
          <w:sz w:val="36"/>
          <w:szCs w:val="36"/>
        </w:rPr>
      </w:pPr>
    </w:p>
    <w:p>
      <w:pPr>
        <w:autoSpaceDE w:val="0"/>
        <w:autoSpaceDN w:val="0"/>
        <w:adjustRightInd w:val="0"/>
        <w:spacing w:line="700" w:lineRule="exact"/>
        <w:ind w:firstLine="551"/>
        <w:jc w:val="center"/>
        <w:rPr>
          <w:rFonts w:ascii="宋体" w:cs="宋体"/>
          <w:b/>
          <w:kern w:val="0"/>
          <w:sz w:val="44"/>
          <w:szCs w:val="44"/>
        </w:rPr>
      </w:pPr>
      <w:r>
        <w:rPr>
          <w:rFonts w:hint="eastAsia" w:ascii="宋体" w:hAnsi="宋体" w:cs="宋体"/>
          <w:b/>
          <w:kern w:val="0"/>
          <w:sz w:val="44"/>
          <w:szCs w:val="44"/>
        </w:rPr>
        <w:br w:type="page"/>
      </w:r>
      <w:r>
        <w:rPr>
          <w:rFonts w:hint="eastAsia" w:ascii="宋体" w:hAnsi="宋体" w:cs="宋体"/>
          <w:b/>
          <w:kern w:val="0"/>
          <w:sz w:val="44"/>
          <w:szCs w:val="44"/>
        </w:rPr>
        <w:t>招标文件目录</w:t>
      </w:r>
    </w:p>
    <w:p>
      <w:pPr>
        <w:autoSpaceDE w:val="0"/>
        <w:autoSpaceDN w:val="0"/>
        <w:adjustRightInd w:val="0"/>
        <w:spacing w:line="700" w:lineRule="exact"/>
        <w:ind w:firstLine="551"/>
        <w:rPr>
          <w:rFonts w:ascii="宋体" w:cs="宋体"/>
          <w:b/>
          <w:bCs/>
          <w:sz w:val="32"/>
          <w:szCs w:val="32"/>
          <w:lang w:val="zh-CN"/>
        </w:rPr>
      </w:pPr>
    </w:p>
    <w:p>
      <w:pPr>
        <w:autoSpaceDE w:val="0"/>
        <w:autoSpaceDN w:val="0"/>
        <w:adjustRightInd w:val="0"/>
        <w:spacing w:line="700" w:lineRule="exact"/>
        <w:ind w:firstLine="551"/>
        <w:rPr>
          <w:rFonts w:ascii="宋体" w:cs="宋体"/>
          <w:b/>
          <w:bCs/>
          <w:sz w:val="30"/>
          <w:szCs w:val="30"/>
          <w:lang w:val="zh-CN"/>
        </w:rPr>
      </w:pPr>
      <w:r>
        <w:rPr>
          <w:rFonts w:hint="eastAsia" w:ascii="宋体" w:hAnsi="宋体" w:cs="宋体"/>
          <w:b/>
          <w:bCs/>
          <w:sz w:val="30"/>
          <w:szCs w:val="30"/>
          <w:lang w:val="zh-CN"/>
        </w:rPr>
        <w:t>第一章</w:t>
      </w:r>
      <w:r>
        <w:rPr>
          <w:rFonts w:ascii="宋体" w:hAnsi="宋体" w:cs="宋体"/>
          <w:b/>
          <w:bCs/>
          <w:sz w:val="30"/>
          <w:szCs w:val="30"/>
          <w:lang w:val="zh-CN"/>
        </w:rPr>
        <w:t xml:space="preserve"> </w:t>
      </w:r>
      <w:r>
        <w:rPr>
          <w:rFonts w:hint="eastAsia" w:ascii="宋体" w:hAnsi="宋体" w:cs="宋体"/>
          <w:b/>
          <w:bCs/>
          <w:sz w:val="30"/>
          <w:szCs w:val="30"/>
          <w:lang w:val="zh-CN"/>
        </w:rPr>
        <w:t>投标邀请</w:t>
      </w:r>
    </w:p>
    <w:p>
      <w:pPr>
        <w:autoSpaceDE w:val="0"/>
        <w:autoSpaceDN w:val="0"/>
        <w:adjustRightInd w:val="0"/>
        <w:spacing w:line="700" w:lineRule="exact"/>
        <w:ind w:firstLine="551"/>
        <w:rPr>
          <w:rFonts w:ascii="宋体" w:cs="宋体"/>
          <w:b/>
          <w:bCs/>
          <w:sz w:val="30"/>
          <w:szCs w:val="30"/>
          <w:lang w:val="zh-CN"/>
        </w:rPr>
      </w:pPr>
      <w:r>
        <w:rPr>
          <w:rFonts w:hint="eastAsia" w:ascii="宋体" w:hAnsi="宋体" w:cs="宋体"/>
          <w:b/>
          <w:bCs/>
          <w:sz w:val="30"/>
          <w:szCs w:val="30"/>
          <w:lang w:val="zh-CN"/>
        </w:rPr>
        <w:t>第二章</w:t>
      </w:r>
      <w:r>
        <w:rPr>
          <w:rFonts w:ascii="宋体" w:hAnsi="宋体" w:cs="宋体"/>
          <w:b/>
          <w:bCs/>
          <w:sz w:val="30"/>
          <w:szCs w:val="30"/>
          <w:lang w:val="zh-CN"/>
        </w:rPr>
        <w:t xml:space="preserve"> </w:t>
      </w:r>
      <w:r>
        <w:rPr>
          <w:rFonts w:hint="eastAsia" w:ascii="宋体" w:hAnsi="宋体" w:cs="宋体"/>
          <w:b/>
          <w:bCs/>
          <w:sz w:val="30"/>
          <w:szCs w:val="30"/>
          <w:lang w:val="zh-CN"/>
        </w:rPr>
        <w:t>项目需求</w:t>
      </w:r>
    </w:p>
    <w:p>
      <w:pPr>
        <w:autoSpaceDE w:val="0"/>
        <w:autoSpaceDN w:val="0"/>
        <w:adjustRightInd w:val="0"/>
        <w:spacing w:line="700" w:lineRule="exact"/>
        <w:ind w:firstLine="560"/>
        <w:rPr>
          <w:rFonts w:ascii="宋体" w:cs="宋体"/>
          <w:b/>
          <w:kern w:val="0"/>
          <w:sz w:val="30"/>
          <w:szCs w:val="30"/>
        </w:rPr>
      </w:pPr>
      <w:r>
        <w:rPr>
          <w:rFonts w:hint="eastAsia" w:ascii="宋体" w:hAnsi="宋体" w:cs="宋体"/>
          <w:b/>
          <w:bCs/>
          <w:sz w:val="30"/>
          <w:szCs w:val="30"/>
          <w:lang w:val="zh-CN"/>
        </w:rPr>
        <w:t>第三章</w:t>
      </w:r>
      <w:r>
        <w:rPr>
          <w:rFonts w:ascii="宋体" w:hAnsi="宋体" w:cs="宋体"/>
          <w:b/>
          <w:bCs/>
          <w:sz w:val="30"/>
          <w:szCs w:val="30"/>
          <w:lang w:val="zh-CN"/>
        </w:rPr>
        <w:t xml:space="preserve"> </w:t>
      </w:r>
      <w:r>
        <w:rPr>
          <w:rFonts w:hint="eastAsia" w:ascii="宋体" w:hAnsi="宋体" w:cs="宋体"/>
          <w:b/>
          <w:kern w:val="0"/>
          <w:sz w:val="30"/>
          <w:szCs w:val="30"/>
        </w:rPr>
        <w:t>投标人须知前附表</w:t>
      </w:r>
    </w:p>
    <w:p>
      <w:pPr>
        <w:autoSpaceDE w:val="0"/>
        <w:autoSpaceDN w:val="0"/>
        <w:adjustRightInd w:val="0"/>
        <w:spacing w:line="700" w:lineRule="exact"/>
        <w:ind w:firstLine="560"/>
        <w:rPr>
          <w:rFonts w:ascii="宋体" w:cs="宋体"/>
          <w:b/>
          <w:kern w:val="0"/>
          <w:sz w:val="30"/>
          <w:szCs w:val="30"/>
        </w:rPr>
      </w:pPr>
      <w:r>
        <w:rPr>
          <w:rFonts w:hint="eastAsia" w:ascii="宋体" w:hAnsi="宋体" w:cs="宋体"/>
          <w:b/>
          <w:bCs/>
          <w:sz w:val="30"/>
          <w:szCs w:val="30"/>
          <w:lang w:val="zh-CN"/>
        </w:rPr>
        <w:t>第四章</w:t>
      </w:r>
      <w:r>
        <w:rPr>
          <w:rFonts w:ascii="宋体" w:hAnsi="宋体" w:cs="宋体"/>
          <w:b/>
          <w:bCs/>
          <w:sz w:val="30"/>
          <w:szCs w:val="30"/>
          <w:lang w:val="zh-CN"/>
        </w:rPr>
        <w:t xml:space="preserve"> </w:t>
      </w:r>
      <w:r>
        <w:rPr>
          <w:rFonts w:hint="eastAsia" w:ascii="宋体" w:hAnsi="宋体" w:cs="宋体"/>
          <w:b/>
          <w:kern w:val="0"/>
          <w:sz w:val="30"/>
          <w:szCs w:val="30"/>
        </w:rPr>
        <w:t>投标人须知</w:t>
      </w:r>
    </w:p>
    <w:p>
      <w:pPr>
        <w:autoSpaceDE w:val="0"/>
        <w:autoSpaceDN w:val="0"/>
        <w:adjustRightInd w:val="0"/>
        <w:spacing w:line="700" w:lineRule="exact"/>
        <w:ind w:firstLine="560"/>
        <w:rPr>
          <w:rFonts w:ascii="宋体" w:cs="宋体"/>
          <w:sz w:val="30"/>
          <w:szCs w:val="30"/>
          <w:lang w:val="zh-CN"/>
        </w:rPr>
      </w:pPr>
      <w:r>
        <w:rPr>
          <w:rFonts w:hint="eastAsia" w:ascii="宋体" w:hAnsi="宋体" w:cs="宋体"/>
          <w:sz w:val="30"/>
          <w:szCs w:val="30"/>
          <w:lang w:val="zh-CN"/>
        </w:rPr>
        <w:t>一、概念释义</w:t>
      </w:r>
    </w:p>
    <w:p>
      <w:pPr>
        <w:autoSpaceDE w:val="0"/>
        <w:autoSpaceDN w:val="0"/>
        <w:adjustRightInd w:val="0"/>
        <w:spacing w:line="700" w:lineRule="exact"/>
        <w:ind w:firstLine="560"/>
        <w:rPr>
          <w:rFonts w:ascii="宋体" w:cs="宋体"/>
          <w:sz w:val="30"/>
          <w:szCs w:val="30"/>
          <w:lang w:val="zh-CN"/>
        </w:rPr>
      </w:pPr>
      <w:r>
        <w:rPr>
          <w:rFonts w:hint="eastAsia" w:ascii="宋体" w:hAnsi="宋体" w:cs="宋体"/>
          <w:sz w:val="30"/>
          <w:szCs w:val="30"/>
          <w:lang w:val="zh-CN"/>
        </w:rPr>
        <w:t>二、招标文件说明</w:t>
      </w:r>
    </w:p>
    <w:p>
      <w:pPr>
        <w:autoSpaceDE w:val="0"/>
        <w:autoSpaceDN w:val="0"/>
        <w:adjustRightInd w:val="0"/>
        <w:spacing w:line="700" w:lineRule="exact"/>
        <w:ind w:firstLine="560"/>
        <w:rPr>
          <w:rFonts w:ascii="宋体" w:cs="宋体"/>
          <w:sz w:val="30"/>
          <w:szCs w:val="30"/>
          <w:lang w:val="zh-CN"/>
        </w:rPr>
      </w:pPr>
      <w:r>
        <w:rPr>
          <w:rFonts w:hint="eastAsia" w:ascii="宋体" w:hAnsi="宋体" w:cs="宋体"/>
          <w:sz w:val="30"/>
          <w:szCs w:val="30"/>
          <w:lang w:val="zh-CN"/>
        </w:rPr>
        <w:t>三、投标文件的编制</w:t>
      </w:r>
    </w:p>
    <w:p>
      <w:pPr>
        <w:autoSpaceDE w:val="0"/>
        <w:autoSpaceDN w:val="0"/>
        <w:adjustRightInd w:val="0"/>
        <w:spacing w:line="700" w:lineRule="exact"/>
        <w:ind w:firstLine="560"/>
        <w:rPr>
          <w:rFonts w:ascii="宋体" w:cs="宋体"/>
          <w:sz w:val="30"/>
          <w:szCs w:val="30"/>
          <w:lang w:val="zh-CN"/>
        </w:rPr>
      </w:pPr>
      <w:r>
        <w:rPr>
          <w:rFonts w:hint="eastAsia" w:ascii="宋体" w:hAnsi="宋体" w:cs="宋体"/>
          <w:sz w:val="30"/>
          <w:szCs w:val="30"/>
          <w:lang w:val="zh-CN"/>
        </w:rPr>
        <w:t>四、投标文件的递交</w:t>
      </w:r>
    </w:p>
    <w:p>
      <w:pPr>
        <w:autoSpaceDE w:val="0"/>
        <w:autoSpaceDN w:val="0"/>
        <w:adjustRightInd w:val="0"/>
        <w:spacing w:line="700" w:lineRule="exact"/>
        <w:ind w:firstLine="560"/>
        <w:rPr>
          <w:rFonts w:ascii="宋体" w:cs="宋体"/>
          <w:sz w:val="30"/>
          <w:szCs w:val="30"/>
          <w:lang w:val="zh-CN"/>
        </w:rPr>
      </w:pPr>
      <w:r>
        <w:rPr>
          <w:rFonts w:hint="eastAsia" w:ascii="宋体" w:hAnsi="宋体" w:cs="宋体"/>
          <w:sz w:val="30"/>
          <w:szCs w:val="30"/>
          <w:lang w:val="zh-CN"/>
        </w:rPr>
        <w:t>五、开标和评标</w:t>
      </w:r>
    </w:p>
    <w:p>
      <w:pPr>
        <w:autoSpaceDE w:val="0"/>
        <w:autoSpaceDN w:val="0"/>
        <w:adjustRightInd w:val="0"/>
        <w:spacing w:line="700" w:lineRule="exact"/>
        <w:ind w:firstLine="551"/>
        <w:rPr>
          <w:rFonts w:ascii="宋体" w:cs="宋体"/>
          <w:b/>
          <w:bCs/>
          <w:sz w:val="30"/>
          <w:szCs w:val="30"/>
          <w:lang w:val="zh-CN"/>
        </w:rPr>
      </w:pPr>
      <w:r>
        <w:rPr>
          <w:rFonts w:hint="eastAsia" w:ascii="宋体" w:hAnsi="宋体" w:cs="宋体"/>
          <w:sz w:val="30"/>
          <w:szCs w:val="30"/>
          <w:lang w:val="zh-CN"/>
        </w:rPr>
        <w:t>六、定标和授予合同</w:t>
      </w:r>
    </w:p>
    <w:p>
      <w:pPr>
        <w:autoSpaceDE w:val="0"/>
        <w:autoSpaceDN w:val="0"/>
        <w:adjustRightInd w:val="0"/>
        <w:spacing w:line="700" w:lineRule="exact"/>
        <w:ind w:firstLine="551"/>
        <w:rPr>
          <w:rFonts w:ascii="宋体" w:cs="宋体"/>
          <w:b/>
          <w:bCs/>
          <w:sz w:val="30"/>
          <w:szCs w:val="30"/>
          <w:lang w:val="zh-CN"/>
        </w:rPr>
      </w:pPr>
      <w:r>
        <w:rPr>
          <w:rFonts w:hint="eastAsia" w:ascii="宋体" w:hAnsi="宋体" w:cs="宋体"/>
          <w:b/>
          <w:bCs/>
          <w:sz w:val="30"/>
          <w:szCs w:val="30"/>
          <w:lang w:val="zh-CN"/>
        </w:rPr>
        <w:t>第五章</w:t>
      </w:r>
      <w:r>
        <w:rPr>
          <w:rFonts w:ascii="宋体" w:hAnsi="宋体" w:cs="宋体"/>
          <w:b/>
          <w:bCs/>
          <w:sz w:val="30"/>
          <w:szCs w:val="30"/>
          <w:lang w:val="zh-CN"/>
        </w:rPr>
        <w:t xml:space="preserve"> </w:t>
      </w:r>
      <w:r>
        <w:rPr>
          <w:rFonts w:hint="eastAsia" w:ascii="宋体" w:hAnsi="宋体" w:cs="宋体"/>
          <w:b/>
          <w:kern w:val="0"/>
          <w:sz w:val="30"/>
          <w:szCs w:val="30"/>
        </w:rPr>
        <w:t>政府采购政策功能</w:t>
      </w:r>
    </w:p>
    <w:p>
      <w:pPr>
        <w:autoSpaceDE w:val="0"/>
        <w:autoSpaceDN w:val="0"/>
        <w:adjustRightInd w:val="0"/>
        <w:spacing w:line="700" w:lineRule="exact"/>
        <w:ind w:firstLine="551"/>
        <w:rPr>
          <w:rFonts w:ascii="宋体" w:cs="宋体"/>
          <w:b/>
          <w:bCs/>
          <w:sz w:val="30"/>
          <w:szCs w:val="30"/>
          <w:lang w:val="zh-CN"/>
        </w:rPr>
      </w:pPr>
      <w:r>
        <w:rPr>
          <w:rFonts w:hint="eastAsia" w:ascii="宋体" w:hAnsi="宋体" w:cs="宋体"/>
          <w:b/>
          <w:bCs/>
          <w:sz w:val="30"/>
          <w:szCs w:val="30"/>
          <w:lang w:val="zh-CN"/>
        </w:rPr>
        <w:t>第六章</w:t>
      </w:r>
      <w:r>
        <w:rPr>
          <w:rFonts w:ascii="宋体" w:hAnsi="宋体" w:cs="宋体"/>
          <w:b/>
          <w:bCs/>
          <w:sz w:val="30"/>
          <w:szCs w:val="30"/>
          <w:lang w:val="zh-CN"/>
        </w:rPr>
        <w:t xml:space="preserve"> </w:t>
      </w:r>
      <w:r>
        <w:rPr>
          <w:rFonts w:hint="eastAsia" w:ascii="宋体" w:hAnsi="宋体" w:cs="宋体"/>
          <w:b/>
          <w:kern w:val="0"/>
          <w:sz w:val="30"/>
          <w:szCs w:val="30"/>
        </w:rPr>
        <w:t>资格审查与评标</w:t>
      </w:r>
    </w:p>
    <w:p>
      <w:pPr>
        <w:autoSpaceDE w:val="0"/>
        <w:autoSpaceDN w:val="0"/>
        <w:adjustRightInd w:val="0"/>
        <w:spacing w:line="700" w:lineRule="exact"/>
        <w:ind w:firstLine="551"/>
        <w:outlineLvl w:val="0"/>
        <w:rPr>
          <w:rFonts w:ascii="宋体" w:cs="宋体"/>
          <w:b/>
          <w:bCs/>
          <w:sz w:val="30"/>
          <w:szCs w:val="30"/>
          <w:lang w:val="zh-CN"/>
        </w:rPr>
      </w:pPr>
      <w:r>
        <w:rPr>
          <w:rFonts w:hint="eastAsia" w:ascii="宋体" w:hAnsi="宋体" w:cs="宋体"/>
          <w:b/>
          <w:bCs/>
          <w:sz w:val="30"/>
          <w:szCs w:val="30"/>
          <w:lang w:val="zh-CN"/>
        </w:rPr>
        <w:t>第七章</w:t>
      </w:r>
      <w:r>
        <w:rPr>
          <w:rFonts w:ascii="宋体" w:hAnsi="宋体" w:cs="宋体"/>
          <w:b/>
          <w:bCs/>
          <w:sz w:val="30"/>
          <w:szCs w:val="30"/>
          <w:lang w:val="zh-CN"/>
        </w:rPr>
        <w:t xml:space="preserve"> </w:t>
      </w:r>
      <w:r>
        <w:rPr>
          <w:rFonts w:hint="eastAsia" w:ascii="宋体" w:hAnsi="宋体" w:cs="宋体"/>
          <w:b/>
          <w:kern w:val="0"/>
          <w:sz w:val="30"/>
          <w:szCs w:val="30"/>
        </w:rPr>
        <w:t>合同条款及格式</w:t>
      </w:r>
    </w:p>
    <w:p>
      <w:pPr>
        <w:autoSpaceDE w:val="0"/>
        <w:autoSpaceDN w:val="0"/>
        <w:adjustRightInd w:val="0"/>
        <w:spacing w:line="700" w:lineRule="exact"/>
        <w:ind w:firstLine="551"/>
        <w:rPr>
          <w:rFonts w:hint="eastAsia" w:ascii="宋体" w:hAnsi="宋体" w:cs="宋体"/>
          <w:b/>
          <w:kern w:val="0"/>
          <w:sz w:val="30"/>
          <w:szCs w:val="30"/>
        </w:rPr>
      </w:pPr>
      <w:r>
        <w:rPr>
          <w:rFonts w:hint="eastAsia" w:ascii="宋体" w:hAnsi="宋体" w:cs="宋体"/>
          <w:b/>
          <w:bCs/>
          <w:sz w:val="30"/>
          <w:szCs w:val="30"/>
          <w:lang w:val="zh-CN"/>
        </w:rPr>
        <w:t>第八章</w:t>
      </w:r>
      <w:r>
        <w:rPr>
          <w:rFonts w:ascii="宋体" w:hAnsi="宋体" w:cs="宋体"/>
          <w:b/>
          <w:bCs/>
          <w:sz w:val="30"/>
          <w:szCs w:val="30"/>
          <w:lang w:val="zh-CN"/>
        </w:rPr>
        <w:t xml:space="preserve"> </w:t>
      </w:r>
      <w:r>
        <w:rPr>
          <w:rFonts w:hint="eastAsia" w:ascii="宋体" w:hAnsi="宋体" w:cs="宋体"/>
          <w:b/>
          <w:kern w:val="0"/>
          <w:sz w:val="30"/>
          <w:szCs w:val="30"/>
        </w:rPr>
        <w:t>投标文件有关格式</w:t>
      </w:r>
    </w:p>
    <w:p>
      <w:pPr>
        <w:pStyle w:val="2"/>
      </w:pPr>
    </w:p>
    <w:p>
      <w:pPr>
        <w:rPr>
          <w:rFonts w:ascii="宋体" w:cs="宋体"/>
          <w:b/>
          <w:kern w:val="0"/>
          <w:sz w:val="32"/>
          <w:szCs w:val="32"/>
        </w:rPr>
      </w:pPr>
      <w:r>
        <w:rPr>
          <w:rFonts w:ascii="宋体" w:cs="宋体"/>
          <w:b/>
          <w:kern w:val="0"/>
          <w:sz w:val="32"/>
          <w:szCs w:val="32"/>
        </w:rPr>
        <w:br w:type="page"/>
      </w:r>
      <w:r>
        <w:rPr>
          <w:rFonts w:ascii="宋体" w:cs="宋体"/>
          <w:b/>
          <w:kern w:val="0"/>
          <w:sz w:val="32"/>
          <w:szCs w:val="32"/>
        </w:rPr>
        <w:br w:type="page"/>
      </w:r>
      <w:bookmarkStart w:id="20" w:name="_GoBack"/>
      <w:bookmarkEnd w:id="20"/>
    </w:p>
    <w:p>
      <w:pPr>
        <w:numPr>
          <w:ilvl w:val="0"/>
          <w:numId w:val="4"/>
        </w:numPr>
        <w:jc w:val="center"/>
        <w:rPr>
          <w:rFonts w:hint="eastAsia" w:ascii="宋体" w:hAnsi="宋体" w:cs="宋体"/>
          <w:b/>
          <w:kern w:val="0"/>
          <w:sz w:val="32"/>
          <w:szCs w:val="32"/>
        </w:rPr>
      </w:pPr>
      <w:r>
        <w:rPr>
          <w:rFonts w:hint="eastAsia" w:ascii="宋体" w:hAnsi="宋体" w:cs="宋体"/>
          <w:b/>
          <w:kern w:val="0"/>
          <w:sz w:val="32"/>
          <w:szCs w:val="32"/>
        </w:rPr>
        <w:t>投标邀请</w:t>
      </w:r>
    </w:p>
    <w:p>
      <w:pPr>
        <w:spacing w:line="440" w:lineRule="exact"/>
        <w:jc w:val="center"/>
        <w:outlineLvl w:val="0"/>
        <w:rPr>
          <w:rFonts w:ascii="宋体" w:hAnsi="宋体" w:cs="宋体"/>
          <w:b/>
          <w:sz w:val="30"/>
          <w:szCs w:val="30"/>
        </w:rPr>
      </w:pPr>
      <w:r>
        <w:rPr>
          <w:rFonts w:hint="eastAsia" w:ascii="宋体" w:hAnsi="宋体" w:cs="宋体"/>
          <w:b/>
          <w:sz w:val="30"/>
          <w:szCs w:val="30"/>
        </w:rPr>
        <w:t>GZCG-G2019030号</w:t>
      </w:r>
      <w:r>
        <w:rPr>
          <w:rFonts w:hint="eastAsia" w:ascii="宋体" w:hAnsi="宋体" w:cs="宋体"/>
          <w:b/>
          <w:sz w:val="30"/>
          <w:szCs w:val="30"/>
          <w:lang w:val="en-US" w:eastAsia="zh-CN"/>
        </w:rPr>
        <w:t xml:space="preserve"> </w:t>
      </w:r>
      <w:r>
        <w:rPr>
          <w:rFonts w:hint="eastAsia" w:ascii="宋体" w:hAnsi="宋体" w:cs="宋体"/>
          <w:b/>
          <w:sz w:val="30"/>
          <w:szCs w:val="30"/>
        </w:rPr>
        <w:t>许昌经高科技发展有限公司</w:t>
      </w:r>
    </w:p>
    <w:p>
      <w:pPr>
        <w:spacing w:line="440" w:lineRule="exact"/>
        <w:jc w:val="center"/>
        <w:outlineLvl w:val="0"/>
        <w:rPr>
          <w:rFonts w:hint="eastAsia" w:ascii="宋体" w:hAnsi="宋体" w:cs="宋体"/>
          <w:b/>
          <w:kern w:val="0"/>
          <w:sz w:val="32"/>
          <w:szCs w:val="32"/>
        </w:rPr>
      </w:pPr>
      <w:r>
        <w:rPr>
          <w:rFonts w:hint="eastAsia" w:ascii="宋体" w:hAnsi="宋体" w:cs="宋体"/>
          <w:b/>
          <w:sz w:val="30"/>
          <w:szCs w:val="30"/>
        </w:rPr>
        <w:t>“许昌经济技术开发区管委会智慧中心项目（不见面开标）”</w:t>
      </w:r>
    </w:p>
    <w:p>
      <w:pPr>
        <w:pStyle w:val="23"/>
        <w:widowControl/>
        <w:shd w:val="clear" w:color="auto" w:fill="FFFFFF"/>
        <w:spacing w:line="360" w:lineRule="auto"/>
        <w:ind w:firstLine="420" w:firstLineChars="200"/>
        <w:contextualSpacing/>
        <w:jc w:val="left"/>
        <w:rPr>
          <w:color w:val="000000"/>
          <w:sz w:val="21"/>
          <w:szCs w:val="21"/>
          <w:shd w:val="clear" w:color="auto" w:fill="FFFFFF"/>
        </w:rPr>
      </w:pPr>
      <w:r>
        <w:rPr>
          <w:rFonts w:hint="eastAsia"/>
          <w:color w:val="000000"/>
          <w:sz w:val="21"/>
          <w:szCs w:val="21"/>
          <w:shd w:val="clear" w:color="auto" w:fill="FFFFFF"/>
          <w:lang w:eastAsia="zh-CN"/>
        </w:rPr>
        <w:t>河南永安工程管理有限公司</w:t>
      </w:r>
      <w:r>
        <w:rPr>
          <w:rFonts w:hint="eastAsia"/>
          <w:color w:val="000000"/>
          <w:sz w:val="21"/>
          <w:szCs w:val="21"/>
          <w:shd w:val="clear" w:color="auto" w:fill="FFFFFF"/>
        </w:rPr>
        <w:t>受</w:t>
      </w:r>
      <w:r>
        <w:rPr>
          <w:rFonts w:hint="eastAsia"/>
          <w:color w:val="000000"/>
          <w:sz w:val="21"/>
          <w:szCs w:val="21"/>
          <w:shd w:val="clear" w:color="auto" w:fill="FFFFFF"/>
          <w:lang w:eastAsia="zh-CN"/>
        </w:rPr>
        <w:t>许昌经高科技发展有限公司</w:t>
      </w:r>
      <w:r>
        <w:rPr>
          <w:rFonts w:hint="eastAsia"/>
          <w:color w:val="000000"/>
          <w:sz w:val="21"/>
          <w:szCs w:val="21"/>
          <w:shd w:val="clear" w:color="auto" w:fill="FFFFFF"/>
        </w:rPr>
        <w:t>的委托，对“</w:t>
      </w:r>
      <w:r>
        <w:rPr>
          <w:rFonts w:hint="eastAsia"/>
          <w:color w:val="000000"/>
          <w:sz w:val="21"/>
          <w:szCs w:val="21"/>
          <w:shd w:val="clear" w:color="auto" w:fill="FFFFFF"/>
          <w:lang w:eastAsia="zh-CN"/>
        </w:rPr>
        <w:t>许昌经济技术开发区管委会智慧中心项目</w:t>
      </w:r>
      <w:r>
        <w:rPr>
          <w:rFonts w:hint="eastAsia"/>
          <w:color w:val="000000"/>
          <w:sz w:val="21"/>
          <w:szCs w:val="21"/>
          <w:shd w:val="clear" w:color="auto" w:fill="FFFFFF"/>
        </w:rPr>
        <w:t>”项目进行公开招标。现邀请符合本招标文件规定条件的供应商前来投标。</w:t>
      </w:r>
    </w:p>
    <w:p>
      <w:pPr>
        <w:pStyle w:val="23"/>
        <w:widowControl/>
        <w:shd w:val="clear" w:color="auto" w:fill="FFFFFF"/>
        <w:spacing w:line="360" w:lineRule="auto"/>
        <w:ind w:firstLine="422" w:firstLineChars="200"/>
        <w:contextualSpacing/>
        <w:jc w:val="left"/>
        <w:rPr>
          <w:rFonts w:ascii="宋体" w:cs="黑体"/>
          <w:b/>
          <w:bCs/>
          <w:color w:val="000000"/>
          <w:sz w:val="21"/>
          <w:szCs w:val="21"/>
        </w:rPr>
      </w:pPr>
      <w:r>
        <w:rPr>
          <w:rFonts w:hint="eastAsia" w:ascii="宋体" w:hAnsi="宋体" w:cs="黑体"/>
          <w:b/>
          <w:bCs/>
          <w:color w:val="000000"/>
          <w:sz w:val="21"/>
          <w:szCs w:val="21"/>
          <w:shd w:val="clear" w:color="auto" w:fill="FFFFFF"/>
        </w:rPr>
        <w:t>一、项目基本情况</w:t>
      </w:r>
    </w:p>
    <w:p>
      <w:pPr>
        <w:pStyle w:val="23"/>
        <w:widowControl/>
        <w:shd w:val="clear" w:color="auto" w:fill="FFFFFF"/>
        <w:spacing w:line="360" w:lineRule="auto"/>
        <w:ind w:firstLine="420"/>
        <w:contextualSpacing/>
        <w:jc w:val="left"/>
        <w:rPr>
          <w:rFonts w:ascii="宋体" w:cs="仿宋_GB2312"/>
          <w:color w:val="000000"/>
          <w:sz w:val="21"/>
          <w:szCs w:val="21"/>
          <w:shd w:val="clear" w:color="auto" w:fill="FFFFFF"/>
        </w:rPr>
      </w:pPr>
      <w:r>
        <w:rPr>
          <w:rFonts w:hint="eastAsia" w:ascii="宋体" w:hAnsi="宋体" w:cs="仿宋_GB2312"/>
          <w:color w:val="000000"/>
          <w:sz w:val="21"/>
          <w:szCs w:val="21"/>
          <w:shd w:val="clear" w:color="auto" w:fill="FFFFFF"/>
        </w:rPr>
        <w:t>（一）项目名称：</w:t>
      </w:r>
      <w:r>
        <w:rPr>
          <w:rFonts w:hint="eastAsia"/>
          <w:color w:val="000000"/>
          <w:sz w:val="21"/>
          <w:szCs w:val="21"/>
          <w:shd w:val="clear" w:color="auto" w:fill="FFFFFF"/>
          <w:lang w:eastAsia="zh-CN"/>
        </w:rPr>
        <w:t>许昌经济技术开发区管委会智慧中心项目</w:t>
      </w:r>
    </w:p>
    <w:p>
      <w:pPr>
        <w:pStyle w:val="23"/>
        <w:widowControl/>
        <w:shd w:val="clear" w:color="auto" w:fill="FFFFFF"/>
        <w:spacing w:line="360" w:lineRule="auto"/>
        <w:ind w:firstLine="420"/>
        <w:contextualSpacing/>
        <w:jc w:val="left"/>
        <w:rPr>
          <w:rFonts w:ascii="宋体" w:hAnsi="宋体" w:cs="仿宋_GB2312"/>
          <w:color w:val="000000"/>
          <w:sz w:val="21"/>
          <w:szCs w:val="21"/>
          <w:shd w:val="clear" w:color="auto" w:fill="FFFFFF"/>
        </w:rPr>
      </w:pPr>
      <w:r>
        <w:rPr>
          <w:rFonts w:hint="eastAsia" w:ascii="宋体" w:hAnsi="宋体" w:cs="仿宋_GB2312"/>
          <w:color w:val="000000"/>
          <w:sz w:val="21"/>
          <w:szCs w:val="21"/>
          <w:shd w:val="clear" w:color="auto" w:fill="FFFFFF"/>
        </w:rPr>
        <w:t>（二）项目编号：</w:t>
      </w:r>
      <w:r>
        <w:rPr>
          <w:rFonts w:hint="eastAsia" w:ascii="宋体" w:hAnsi="宋体" w:cs="仿宋_GB2312"/>
          <w:color w:val="000000"/>
          <w:sz w:val="21"/>
          <w:szCs w:val="21"/>
          <w:shd w:val="clear" w:color="auto" w:fill="FFFFFF"/>
          <w:lang w:eastAsia="zh-CN"/>
        </w:rPr>
        <w:t>GZCG-G2019030号</w:t>
      </w:r>
      <w:r>
        <w:rPr>
          <w:rFonts w:ascii="宋体" w:hAnsi="宋体" w:cs="仿宋_GB2312"/>
          <w:color w:val="000000"/>
          <w:sz w:val="21"/>
          <w:szCs w:val="21"/>
          <w:shd w:val="clear" w:color="auto" w:fill="FFFFFF"/>
        </w:rPr>
        <w:t xml:space="preserve">    </w:t>
      </w:r>
      <w:r>
        <w:rPr>
          <w:rFonts w:hint="eastAsia" w:ascii="宋体" w:hAnsi="宋体" w:cs="仿宋_GB2312"/>
          <w:color w:val="000000"/>
          <w:sz w:val="21"/>
          <w:szCs w:val="21"/>
          <w:shd w:val="clear" w:color="auto" w:fill="FFFFFF"/>
        </w:rPr>
        <w:t xml:space="preserve"> </w:t>
      </w:r>
    </w:p>
    <w:p>
      <w:pPr>
        <w:pStyle w:val="23"/>
        <w:widowControl/>
        <w:shd w:val="clear" w:color="auto" w:fill="FFFFFF"/>
        <w:spacing w:line="360" w:lineRule="auto"/>
        <w:ind w:firstLine="420"/>
        <w:contextualSpacing/>
        <w:jc w:val="left"/>
        <w:rPr>
          <w:rFonts w:ascii="宋体" w:cs="仿宋_GB2312"/>
          <w:color w:val="000000"/>
          <w:sz w:val="21"/>
          <w:szCs w:val="21"/>
          <w:shd w:val="clear" w:color="auto" w:fill="FFFFFF"/>
        </w:rPr>
      </w:pPr>
      <w:r>
        <w:rPr>
          <w:rFonts w:hint="eastAsia" w:ascii="宋体" w:hAnsi="宋体" w:cs="仿宋_GB2312"/>
          <w:color w:val="000000"/>
          <w:sz w:val="21"/>
          <w:szCs w:val="21"/>
          <w:shd w:val="clear" w:color="auto" w:fill="FFFFFF"/>
        </w:rPr>
        <w:t>（三）采购方式：公开招标</w:t>
      </w:r>
    </w:p>
    <w:p>
      <w:pPr>
        <w:pStyle w:val="23"/>
        <w:widowControl/>
        <w:shd w:val="clear" w:color="auto" w:fill="FFFFFF"/>
        <w:spacing w:line="360" w:lineRule="auto"/>
        <w:ind w:firstLine="420"/>
        <w:contextualSpacing/>
        <w:jc w:val="left"/>
        <w:rPr>
          <w:rFonts w:hint="eastAsia" w:ascii="宋体" w:hAnsi="宋体" w:cs="仿宋_GB2312"/>
          <w:color w:val="000000"/>
          <w:sz w:val="21"/>
          <w:szCs w:val="21"/>
          <w:shd w:val="clear" w:color="auto" w:fill="FFFFFF"/>
        </w:rPr>
      </w:pPr>
      <w:r>
        <w:rPr>
          <w:rFonts w:hint="eastAsia" w:ascii="宋体" w:hAnsi="宋体" w:cs="仿宋_GB2312"/>
          <w:color w:val="000000"/>
          <w:sz w:val="21"/>
          <w:szCs w:val="21"/>
          <w:shd w:val="clear" w:color="auto" w:fill="FFFFFF"/>
        </w:rPr>
        <w:t>（四）采购需求：许昌经济技术开发区管委会智慧中心项目。详见招标文件“项目需求”部分。</w:t>
      </w:r>
    </w:p>
    <w:p>
      <w:pPr>
        <w:pStyle w:val="23"/>
        <w:widowControl/>
        <w:shd w:val="clear" w:color="auto" w:fill="FFFFFF"/>
        <w:spacing w:line="360" w:lineRule="auto"/>
        <w:ind w:firstLine="420"/>
        <w:contextualSpacing/>
        <w:jc w:val="left"/>
        <w:rPr>
          <w:rFonts w:hint="eastAsia" w:ascii="宋体" w:hAnsi="宋体" w:cs="仿宋_GB2312"/>
          <w:color w:val="000000"/>
          <w:sz w:val="21"/>
          <w:szCs w:val="21"/>
          <w:shd w:val="clear" w:color="auto" w:fill="FFFFFF"/>
        </w:rPr>
      </w:pPr>
      <w:r>
        <w:rPr>
          <w:rFonts w:hint="eastAsia" w:ascii="宋体" w:hAnsi="宋体" w:cs="仿宋_GB2312"/>
          <w:color w:val="000000"/>
          <w:sz w:val="21"/>
          <w:szCs w:val="21"/>
          <w:shd w:val="clear" w:color="auto" w:fill="FFFFFF"/>
        </w:rPr>
        <w:t>（五）预算金额(最高限价)：15134842.41元</w:t>
      </w:r>
    </w:p>
    <w:p>
      <w:pPr>
        <w:pStyle w:val="23"/>
        <w:widowControl/>
        <w:shd w:val="clear" w:color="auto" w:fill="FFFFFF"/>
        <w:spacing w:line="360" w:lineRule="auto"/>
        <w:ind w:firstLine="420"/>
        <w:contextualSpacing/>
        <w:jc w:val="left"/>
        <w:rPr>
          <w:rFonts w:hint="eastAsia" w:ascii="宋体" w:hAnsi="宋体" w:cs="仿宋_GB2312"/>
          <w:color w:val="000000"/>
          <w:sz w:val="21"/>
          <w:szCs w:val="21"/>
          <w:shd w:val="clear" w:color="auto" w:fill="FFFFFF"/>
        </w:rPr>
      </w:pPr>
      <w:r>
        <w:rPr>
          <w:rFonts w:hint="eastAsia" w:ascii="宋体" w:hAnsi="宋体" w:cs="仿宋_GB2312"/>
          <w:color w:val="000000"/>
          <w:sz w:val="21"/>
          <w:szCs w:val="21"/>
          <w:shd w:val="clear" w:color="auto" w:fill="FFFFFF"/>
        </w:rPr>
        <w:t>（六）交付（服务、完工）时间：合同签订后210日历天。</w:t>
      </w:r>
    </w:p>
    <w:p>
      <w:pPr>
        <w:pStyle w:val="23"/>
        <w:widowControl/>
        <w:shd w:val="clear" w:color="auto" w:fill="FFFFFF"/>
        <w:spacing w:line="360" w:lineRule="auto"/>
        <w:ind w:firstLine="420"/>
        <w:contextualSpacing/>
        <w:jc w:val="left"/>
        <w:rPr>
          <w:rFonts w:hint="eastAsia" w:ascii="宋体" w:hAnsi="宋体" w:cs="仿宋_GB2312"/>
          <w:color w:val="000000"/>
          <w:sz w:val="21"/>
          <w:szCs w:val="21"/>
          <w:shd w:val="clear" w:color="auto" w:fill="FFFFFF"/>
        </w:rPr>
      </w:pPr>
      <w:r>
        <w:rPr>
          <w:rFonts w:hint="eastAsia" w:ascii="宋体" w:hAnsi="宋体" w:cs="仿宋_GB2312"/>
          <w:color w:val="000000"/>
          <w:sz w:val="21"/>
          <w:szCs w:val="21"/>
          <w:shd w:val="clear" w:color="auto" w:fill="FFFFFF"/>
        </w:rPr>
        <w:t>（七）交付（服务、施工）地点：许昌经济技术开发区管委会智慧中心。</w:t>
      </w:r>
    </w:p>
    <w:p>
      <w:pPr>
        <w:pStyle w:val="23"/>
        <w:widowControl/>
        <w:shd w:val="clear" w:color="auto" w:fill="FFFFFF"/>
        <w:spacing w:line="360" w:lineRule="auto"/>
        <w:ind w:firstLine="420"/>
        <w:contextualSpacing/>
        <w:jc w:val="left"/>
        <w:rPr>
          <w:rFonts w:hint="eastAsia" w:ascii="宋体" w:hAnsi="宋体" w:cs="仿宋_GB2312"/>
          <w:color w:val="000000"/>
          <w:sz w:val="21"/>
          <w:szCs w:val="21"/>
          <w:shd w:val="clear" w:color="auto" w:fill="FFFFFF"/>
        </w:rPr>
      </w:pPr>
      <w:r>
        <w:rPr>
          <w:rFonts w:hint="eastAsia" w:ascii="宋体" w:hAnsi="宋体" w:cs="仿宋_GB2312"/>
          <w:color w:val="000000"/>
          <w:sz w:val="21"/>
          <w:szCs w:val="21"/>
          <w:shd w:val="clear" w:color="auto" w:fill="FFFFFF"/>
        </w:rPr>
        <w:t>（八）进口产品：不允许。</w:t>
      </w:r>
    </w:p>
    <w:p>
      <w:pPr>
        <w:pStyle w:val="23"/>
        <w:widowControl/>
        <w:shd w:val="clear" w:color="auto" w:fill="FFFFFF"/>
        <w:spacing w:line="360" w:lineRule="auto"/>
        <w:ind w:firstLine="420"/>
        <w:contextualSpacing/>
        <w:jc w:val="left"/>
        <w:rPr>
          <w:rFonts w:hint="eastAsia" w:ascii="宋体" w:hAnsi="宋体" w:cs="仿宋_GB2312"/>
          <w:color w:val="000000"/>
          <w:sz w:val="21"/>
          <w:szCs w:val="21"/>
          <w:shd w:val="clear" w:color="auto" w:fill="FFFFFF"/>
        </w:rPr>
      </w:pPr>
      <w:r>
        <w:rPr>
          <w:rFonts w:hint="eastAsia" w:ascii="宋体" w:hAnsi="宋体" w:cs="仿宋_GB2312"/>
          <w:color w:val="000000"/>
          <w:sz w:val="21"/>
          <w:szCs w:val="21"/>
          <w:shd w:val="clear" w:color="auto" w:fill="FFFFFF"/>
        </w:rPr>
        <w:t>（九）分包：不允许。</w:t>
      </w:r>
    </w:p>
    <w:p>
      <w:pPr>
        <w:pStyle w:val="23"/>
        <w:widowControl/>
        <w:shd w:val="clear" w:color="auto" w:fill="FFFFFF"/>
        <w:spacing w:line="360" w:lineRule="auto"/>
        <w:ind w:firstLine="420"/>
        <w:contextualSpacing/>
        <w:jc w:val="left"/>
        <w:rPr>
          <w:rFonts w:ascii="宋体" w:cs="黑体"/>
          <w:b/>
          <w:bCs/>
          <w:color w:val="000000"/>
          <w:sz w:val="21"/>
          <w:szCs w:val="21"/>
          <w:shd w:val="clear" w:color="auto" w:fill="FFFFFF"/>
        </w:rPr>
      </w:pPr>
      <w:r>
        <w:rPr>
          <w:rFonts w:hint="eastAsia" w:ascii="宋体" w:hAnsi="宋体" w:cs="黑体"/>
          <w:b/>
          <w:bCs/>
          <w:color w:val="000000"/>
          <w:sz w:val="21"/>
          <w:szCs w:val="21"/>
          <w:shd w:val="clear" w:color="auto" w:fill="FFFFFF"/>
        </w:rPr>
        <w:t>二、需要落实的政府采购政策</w:t>
      </w:r>
    </w:p>
    <w:p>
      <w:pPr>
        <w:pStyle w:val="23"/>
        <w:widowControl/>
        <w:shd w:val="clear" w:color="auto" w:fill="FFFFFF"/>
        <w:spacing w:line="360" w:lineRule="auto"/>
        <w:ind w:firstLine="420"/>
        <w:contextualSpacing/>
        <w:jc w:val="left"/>
        <w:rPr>
          <w:rFonts w:ascii="宋体" w:cs="仿宋_GB2312"/>
          <w:color w:val="000000"/>
          <w:sz w:val="21"/>
          <w:szCs w:val="21"/>
          <w:shd w:val="clear" w:color="auto" w:fill="FFFFFF"/>
        </w:rPr>
      </w:pPr>
      <w:r>
        <w:rPr>
          <w:rFonts w:hint="eastAsia" w:ascii="宋体" w:hAnsi="宋体" w:cs="仿宋_GB2312"/>
          <w:color w:val="000000"/>
          <w:sz w:val="21"/>
          <w:szCs w:val="21"/>
          <w:shd w:val="clear" w:color="auto" w:fill="FFFFFF"/>
        </w:rPr>
        <w:t>本项目落实节能环保、中小微型企业、监狱企业、残疾人福利性单位扶持等相关政府采购政策。</w:t>
      </w:r>
    </w:p>
    <w:p>
      <w:pPr>
        <w:pStyle w:val="23"/>
        <w:widowControl/>
        <w:shd w:val="clear" w:color="auto" w:fill="FFFFFF"/>
        <w:spacing w:line="360" w:lineRule="auto"/>
        <w:ind w:firstLine="420"/>
        <w:contextualSpacing/>
        <w:jc w:val="left"/>
        <w:rPr>
          <w:rFonts w:ascii="宋体" w:cs="黑体"/>
          <w:b/>
          <w:bCs/>
          <w:color w:val="000000"/>
          <w:sz w:val="21"/>
          <w:szCs w:val="21"/>
          <w:shd w:val="clear" w:color="auto" w:fill="FFFFFF"/>
        </w:rPr>
      </w:pPr>
      <w:r>
        <w:rPr>
          <w:rFonts w:hint="eastAsia" w:ascii="宋体" w:hAnsi="宋体" w:cs="黑体"/>
          <w:b/>
          <w:bCs/>
          <w:color w:val="000000"/>
          <w:sz w:val="21"/>
          <w:szCs w:val="21"/>
          <w:shd w:val="clear" w:color="auto" w:fill="FFFFFF"/>
        </w:rPr>
        <w:t>三、投标人资格要求</w:t>
      </w:r>
    </w:p>
    <w:p>
      <w:pPr>
        <w:pStyle w:val="23"/>
        <w:widowControl/>
        <w:shd w:val="clear" w:color="auto" w:fill="FFFFFF"/>
        <w:spacing w:line="360" w:lineRule="auto"/>
        <w:ind w:firstLine="420"/>
        <w:contextualSpacing/>
        <w:jc w:val="left"/>
        <w:rPr>
          <w:rFonts w:hint="eastAsia" w:ascii="宋体" w:hAnsi="宋体" w:cs="仿宋_GB2312"/>
          <w:color w:val="000000"/>
          <w:sz w:val="21"/>
          <w:szCs w:val="21"/>
          <w:shd w:val="clear" w:color="auto" w:fill="FFFFFF"/>
        </w:rPr>
      </w:pPr>
      <w:r>
        <w:rPr>
          <w:rFonts w:hint="eastAsia" w:ascii="宋体" w:hAnsi="宋体" w:cs="仿宋_GB2312"/>
          <w:color w:val="000000"/>
          <w:sz w:val="21"/>
          <w:szCs w:val="21"/>
          <w:shd w:val="clear" w:color="auto" w:fill="FFFFFF"/>
        </w:rPr>
        <w:t>(一)具备《中华人民共和国政府采购法》第二十二条规定；</w:t>
      </w:r>
    </w:p>
    <w:p>
      <w:pPr>
        <w:pStyle w:val="23"/>
        <w:widowControl/>
        <w:shd w:val="clear" w:color="auto" w:fill="FFFFFF"/>
        <w:spacing w:line="360" w:lineRule="auto"/>
        <w:ind w:firstLine="420"/>
        <w:contextualSpacing/>
        <w:jc w:val="left"/>
        <w:rPr>
          <w:rFonts w:hint="eastAsia" w:ascii="宋体" w:hAnsi="宋体" w:cs="仿宋_GB2312"/>
          <w:color w:val="000000"/>
          <w:sz w:val="21"/>
          <w:szCs w:val="21"/>
          <w:shd w:val="clear" w:color="auto" w:fill="FFFFFF"/>
        </w:rPr>
      </w:pPr>
      <w:r>
        <w:rPr>
          <w:rFonts w:hint="eastAsia" w:ascii="宋体" w:hAnsi="宋体" w:cs="仿宋_GB2312"/>
          <w:color w:val="000000"/>
          <w:sz w:val="21"/>
          <w:szCs w:val="21"/>
          <w:shd w:val="clear" w:color="auto" w:fill="FFFFFF"/>
        </w:rPr>
        <w:t>(二)未被列入“信用中国”网站(www.creditchina.gov.cn)失信被执行人、重大税收违法案件当事人名单的供应商；“中国政府采购网” (www.ccgp.gov.cn)政府采购严重违法失信行为记录名单的供应商；“中国社会组织公共服务平台”网站（www.chinanpo.gov.cn）严重违法失信名单的社会组织；</w:t>
      </w:r>
    </w:p>
    <w:p>
      <w:pPr>
        <w:pStyle w:val="23"/>
        <w:widowControl/>
        <w:shd w:val="clear" w:color="auto" w:fill="FFFFFF"/>
        <w:spacing w:line="360" w:lineRule="auto"/>
        <w:ind w:firstLine="420"/>
        <w:contextualSpacing/>
        <w:jc w:val="left"/>
        <w:rPr>
          <w:rFonts w:hint="eastAsia" w:ascii="宋体" w:hAnsi="宋体" w:cs="仿宋_GB2312"/>
          <w:color w:val="000000"/>
          <w:sz w:val="21"/>
          <w:szCs w:val="21"/>
          <w:shd w:val="clear" w:color="auto" w:fill="FFFFFF"/>
        </w:rPr>
      </w:pPr>
      <w:r>
        <w:rPr>
          <w:rFonts w:hint="eastAsia" w:ascii="宋体" w:hAnsi="宋体" w:cs="仿宋_GB2312"/>
          <w:color w:val="000000"/>
          <w:sz w:val="21"/>
          <w:szCs w:val="21"/>
          <w:shd w:val="clear" w:color="auto" w:fill="FFFFFF"/>
        </w:rPr>
        <w:t>(三)本次招标不接受联合体投标。</w:t>
      </w:r>
    </w:p>
    <w:p>
      <w:pPr>
        <w:pStyle w:val="23"/>
        <w:widowControl/>
        <w:shd w:val="clear" w:color="auto" w:fill="FFFFFF"/>
        <w:spacing w:line="360" w:lineRule="auto"/>
        <w:ind w:firstLine="420"/>
        <w:contextualSpacing/>
        <w:jc w:val="left"/>
        <w:rPr>
          <w:rFonts w:ascii="宋体" w:cs="黑体"/>
          <w:b/>
          <w:bCs/>
          <w:color w:val="000000"/>
          <w:sz w:val="21"/>
          <w:szCs w:val="21"/>
          <w:shd w:val="clear" w:color="auto" w:fill="FFFFFF"/>
        </w:rPr>
      </w:pPr>
      <w:r>
        <w:rPr>
          <w:rFonts w:hint="eastAsia" w:ascii="宋体" w:hAnsi="宋体" w:cs="黑体"/>
          <w:b/>
          <w:bCs/>
          <w:color w:val="000000"/>
          <w:sz w:val="21"/>
          <w:szCs w:val="21"/>
          <w:shd w:val="clear" w:color="auto" w:fill="FFFFFF"/>
        </w:rPr>
        <w:t>四、招标文件的获取</w:t>
      </w:r>
    </w:p>
    <w:p>
      <w:pPr>
        <w:pStyle w:val="23"/>
        <w:widowControl/>
        <w:shd w:val="clear" w:color="auto" w:fill="FFFFFF"/>
        <w:spacing w:line="360" w:lineRule="auto"/>
        <w:ind w:firstLine="420"/>
        <w:contextualSpacing/>
        <w:jc w:val="left"/>
        <w:rPr>
          <w:rFonts w:ascii="宋体" w:cs="仿宋_GB2312"/>
          <w:color w:val="000000"/>
          <w:sz w:val="21"/>
          <w:szCs w:val="21"/>
          <w:shd w:val="clear" w:color="auto" w:fill="FFFFFF"/>
        </w:rPr>
      </w:pPr>
      <w:r>
        <w:rPr>
          <w:rFonts w:hint="eastAsia" w:ascii="宋体" w:hAnsi="宋体" w:cs="仿宋_GB2312"/>
          <w:color w:val="000000"/>
          <w:sz w:val="21"/>
          <w:szCs w:val="21"/>
          <w:shd w:val="clear" w:color="auto" w:fill="FFFFFF"/>
        </w:rPr>
        <w:t>（一）持</w:t>
      </w:r>
      <w:r>
        <w:rPr>
          <w:rFonts w:ascii="宋体" w:hAnsi="宋体" w:cs="仿宋_GB2312"/>
          <w:color w:val="000000"/>
          <w:sz w:val="21"/>
          <w:szCs w:val="21"/>
          <w:shd w:val="clear" w:color="auto" w:fill="FFFFFF"/>
        </w:rPr>
        <w:t>CA</w:t>
      </w:r>
      <w:r>
        <w:rPr>
          <w:rFonts w:hint="eastAsia" w:ascii="宋体" w:hAnsi="宋体" w:cs="仿宋_GB2312"/>
          <w:color w:val="000000"/>
          <w:sz w:val="21"/>
          <w:szCs w:val="21"/>
          <w:shd w:val="clear" w:color="auto" w:fill="FFFFFF"/>
        </w:rPr>
        <w:t>数字认证证书，登录《全国公共资源交易平台（河南省·许昌市）》“系统用户注册”入口</w:t>
      </w:r>
      <w:r>
        <w:rPr>
          <w:rFonts w:ascii="宋体" w:hAnsi="宋体" w:cs="仿宋_GB2312"/>
          <w:color w:val="000000"/>
          <w:sz w:val="21"/>
          <w:szCs w:val="21"/>
          <w:shd w:val="clear" w:color="auto" w:fill="FFFFFF"/>
        </w:rPr>
        <w:t>http://221.14.6.70:8088/ggzy/eps/public/RegistAllJcxx.html</w:t>
      </w:r>
      <w:r>
        <w:rPr>
          <w:rFonts w:hint="eastAsia" w:ascii="宋体" w:hAnsi="宋体" w:cs="仿宋_GB2312"/>
          <w:color w:val="000000"/>
          <w:sz w:val="21"/>
          <w:szCs w:val="21"/>
          <w:shd w:val="clear" w:color="auto" w:fill="FFFFFF"/>
        </w:rPr>
        <w:t>）进行免费注册登记（详见“常见问题解答</w:t>
      </w:r>
      <w:r>
        <w:rPr>
          <w:rFonts w:ascii="宋体" w:hAnsi="宋体" w:cs="仿宋_GB2312"/>
          <w:color w:val="000000"/>
          <w:sz w:val="21"/>
          <w:szCs w:val="21"/>
          <w:shd w:val="clear" w:color="auto" w:fill="FFFFFF"/>
        </w:rPr>
        <w:t>-</w:t>
      </w:r>
      <w:r>
        <w:rPr>
          <w:rFonts w:hint="eastAsia" w:ascii="宋体" w:hAnsi="宋体" w:cs="仿宋_GB2312"/>
          <w:color w:val="000000"/>
          <w:sz w:val="21"/>
          <w:szCs w:val="21"/>
          <w:shd w:val="clear" w:color="auto" w:fill="FFFFFF"/>
        </w:rPr>
        <w:t>诚信库网上注册相关资料下载”）；</w:t>
      </w:r>
    </w:p>
    <w:p>
      <w:pPr>
        <w:pStyle w:val="23"/>
        <w:widowControl/>
        <w:shd w:val="clear" w:color="auto" w:fill="FFFFFF"/>
        <w:spacing w:line="360" w:lineRule="auto"/>
        <w:ind w:firstLine="420"/>
        <w:contextualSpacing/>
        <w:jc w:val="left"/>
        <w:rPr>
          <w:rFonts w:ascii="宋体" w:hAnsi="宋体" w:cs="仿宋_GB2312"/>
          <w:color w:val="000000"/>
          <w:sz w:val="21"/>
          <w:szCs w:val="21"/>
          <w:shd w:val="clear" w:color="auto" w:fill="FFFFFF"/>
        </w:rPr>
      </w:pPr>
      <w:r>
        <w:rPr>
          <w:rFonts w:hint="eastAsia" w:ascii="宋体" w:hAnsi="宋体" w:cs="仿宋_GB2312"/>
          <w:color w:val="000000"/>
          <w:sz w:val="21"/>
          <w:szCs w:val="21"/>
          <w:shd w:val="clear" w:color="auto" w:fill="FFFFFF"/>
        </w:rPr>
        <w:t>（二）在投标截止时间前均可登录《全国公共资源交易平台（河南省·许昌市）》“投标人</w:t>
      </w:r>
      <w:r>
        <w:rPr>
          <w:rFonts w:ascii="宋体" w:hAnsi="宋体" w:cs="仿宋_GB2312"/>
          <w:color w:val="000000"/>
          <w:sz w:val="21"/>
          <w:szCs w:val="21"/>
          <w:shd w:val="clear" w:color="auto" w:fill="FFFFFF"/>
        </w:rPr>
        <w:t>/</w:t>
      </w:r>
      <w:r>
        <w:rPr>
          <w:rFonts w:hint="eastAsia" w:ascii="宋体" w:hAnsi="宋体" w:cs="仿宋_GB2312"/>
          <w:color w:val="000000"/>
          <w:sz w:val="21"/>
          <w:szCs w:val="21"/>
          <w:shd w:val="clear" w:color="auto" w:fill="FFFFFF"/>
        </w:rPr>
        <w:t>供应商登录”入口（</w:t>
      </w:r>
      <w:r>
        <w:rPr>
          <w:rFonts w:ascii="宋体" w:hAnsi="宋体" w:cs="仿宋_GB2312"/>
          <w:color w:val="000000"/>
          <w:sz w:val="21"/>
          <w:szCs w:val="21"/>
          <w:shd w:val="clear" w:color="auto" w:fill="FFFFFF"/>
        </w:rPr>
        <w:t>http://221.14.6.70:8088/ggzy/</w:t>
      </w:r>
      <w:r>
        <w:rPr>
          <w:rFonts w:hint="eastAsia" w:ascii="宋体" w:hAnsi="宋体" w:cs="仿宋_GB2312"/>
          <w:color w:val="000000"/>
          <w:sz w:val="21"/>
          <w:szCs w:val="21"/>
          <w:shd w:val="clear" w:color="auto" w:fill="FFFFFF"/>
        </w:rPr>
        <w:t>）自行免费下载招标文件（详见“常见问题解答</w:t>
      </w:r>
      <w:r>
        <w:rPr>
          <w:rFonts w:ascii="宋体" w:hAnsi="宋体" w:cs="仿宋_GB2312"/>
          <w:color w:val="000000"/>
          <w:sz w:val="21"/>
          <w:szCs w:val="21"/>
          <w:shd w:val="clear" w:color="auto" w:fill="FFFFFF"/>
        </w:rPr>
        <w:t>-</w:t>
      </w:r>
      <w:r>
        <w:rPr>
          <w:rFonts w:hint="eastAsia" w:ascii="宋体" w:hAnsi="宋体" w:cs="仿宋_GB2312"/>
          <w:color w:val="000000"/>
          <w:sz w:val="21"/>
          <w:szCs w:val="21"/>
          <w:shd w:val="clear" w:color="auto" w:fill="FFFFFF"/>
        </w:rPr>
        <w:t>交易系统操作手册”）。</w:t>
      </w:r>
    </w:p>
    <w:p>
      <w:pPr>
        <w:pStyle w:val="23"/>
        <w:widowControl/>
        <w:shd w:val="clear" w:color="auto" w:fill="FFFFFF"/>
        <w:spacing w:line="360" w:lineRule="auto"/>
        <w:ind w:firstLine="420"/>
        <w:contextualSpacing/>
        <w:jc w:val="left"/>
        <w:rPr>
          <w:rFonts w:ascii="宋体" w:cs="黑体"/>
          <w:b/>
          <w:bCs/>
          <w:color w:val="000000"/>
          <w:sz w:val="21"/>
          <w:szCs w:val="21"/>
          <w:shd w:val="clear" w:color="auto" w:fill="FFFFFF"/>
        </w:rPr>
      </w:pPr>
      <w:r>
        <w:rPr>
          <w:rFonts w:hint="eastAsia" w:ascii="宋体" w:hAnsi="宋体" w:cs="黑体"/>
          <w:b/>
          <w:bCs/>
          <w:color w:val="000000"/>
          <w:sz w:val="21"/>
          <w:szCs w:val="21"/>
          <w:shd w:val="clear" w:color="auto" w:fill="FFFFFF"/>
        </w:rPr>
        <w:t>五、投标截止时间、开标时间及地点</w:t>
      </w:r>
    </w:p>
    <w:p>
      <w:pPr>
        <w:pStyle w:val="23"/>
        <w:widowControl/>
        <w:shd w:val="clear" w:color="auto" w:fill="FFFFFF"/>
        <w:spacing w:line="360" w:lineRule="auto"/>
        <w:ind w:firstLine="420"/>
        <w:contextualSpacing/>
        <w:jc w:val="left"/>
        <w:rPr>
          <w:rFonts w:ascii="宋体" w:hAnsi="宋体" w:cs="仿宋_GB2312"/>
          <w:color w:val="000000"/>
          <w:sz w:val="21"/>
          <w:szCs w:val="21"/>
        </w:rPr>
      </w:pPr>
      <w:r>
        <w:rPr>
          <w:rFonts w:hint="eastAsia" w:ascii="宋体" w:hAnsi="宋体" w:cs="仿宋_GB2312"/>
          <w:color w:val="000000"/>
          <w:sz w:val="21"/>
          <w:szCs w:val="21"/>
        </w:rPr>
        <w:t>（一）投标截止及开标时间：2020年</w:t>
      </w:r>
      <w:r>
        <w:rPr>
          <w:rFonts w:hint="eastAsia" w:ascii="宋体" w:hAnsi="宋体" w:cs="仿宋_GB2312"/>
          <w:color w:val="000000"/>
          <w:sz w:val="21"/>
          <w:szCs w:val="21"/>
          <w:lang w:val="en-US" w:eastAsia="zh-CN"/>
        </w:rPr>
        <w:t>03</w:t>
      </w:r>
      <w:r>
        <w:rPr>
          <w:rFonts w:hint="eastAsia" w:ascii="宋体" w:hAnsi="宋体" w:cs="仿宋_GB2312"/>
          <w:color w:val="000000"/>
          <w:sz w:val="21"/>
          <w:szCs w:val="21"/>
        </w:rPr>
        <w:t>月</w:t>
      </w:r>
      <w:r>
        <w:rPr>
          <w:rFonts w:hint="eastAsia" w:ascii="宋体" w:hAnsi="宋体" w:cs="仿宋_GB2312"/>
          <w:color w:val="000000"/>
          <w:sz w:val="21"/>
          <w:szCs w:val="21"/>
          <w:lang w:val="en-US" w:eastAsia="zh-CN"/>
        </w:rPr>
        <w:t>23</w:t>
      </w:r>
      <w:r>
        <w:rPr>
          <w:rFonts w:hint="eastAsia" w:ascii="宋体" w:hAnsi="宋体" w:cs="仿宋_GB2312"/>
          <w:color w:val="000000"/>
          <w:sz w:val="21"/>
          <w:szCs w:val="21"/>
        </w:rPr>
        <w:t>日</w:t>
      </w:r>
      <w:r>
        <w:rPr>
          <w:rFonts w:hint="eastAsia" w:ascii="宋体" w:hAnsi="宋体" w:cs="仿宋_GB2312"/>
          <w:color w:val="000000"/>
          <w:sz w:val="21"/>
          <w:szCs w:val="21"/>
          <w:lang w:val="en-US" w:eastAsia="zh-CN"/>
        </w:rPr>
        <w:t>08</w:t>
      </w:r>
      <w:r>
        <w:rPr>
          <w:rFonts w:hint="eastAsia" w:ascii="宋体" w:hAnsi="宋体" w:cs="仿宋_GB2312"/>
          <w:color w:val="000000"/>
          <w:sz w:val="21"/>
          <w:szCs w:val="21"/>
        </w:rPr>
        <w:t>时</w:t>
      </w:r>
      <w:r>
        <w:rPr>
          <w:rFonts w:hint="eastAsia" w:ascii="宋体" w:hAnsi="宋体" w:cs="仿宋_GB2312"/>
          <w:color w:val="000000"/>
          <w:sz w:val="21"/>
          <w:szCs w:val="21"/>
          <w:lang w:val="en-US" w:eastAsia="zh-CN"/>
        </w:rPr>
        <w:t>30</w:t>
      </w:r>
      <w:r>
        <w:rPr>
          <w:rFonts w:hint="eastAsia" w:ascii="宋体" w:hAnsi="宋体" w:cs="仿宋_GB2312"/>
          <w:color w:val="000000"/>
          <w:sz w:val="21"/>
          <w:szCs w:val="21"/>
        </w:rPr>
        <w:t>分（北京时间），逾期提交或不符合规定的投标文件不予接受。</w:t>
      </w:r>
    </w:p>
    <w:p>
      <w:pPr>
        <w:pStyle w:val="23"/>
        <w:widowControl/>
        <w:shd w:val="clear" w:color="auto" w:fill="FFFFFF"/>
        <w:spacing w:line="360" w:lineRule="auto"/>
        <w:ind w:firstLine="420"/>
        <w:contextualSpacing/>
        <w:jc w:val="left"/>
        <w:rPr>
          <w:rFonts w:ascii="宋体" w:hAnsi="宋体" w:cs="仿宋_GB2312"/>
          <w:color w:val="FF0000"/>
          <w:sz w:val="21"/>
          <w:szCs w:val="21"/>
        </w:rPr>
      </w:pPr>
      <w:r>
        <w:rPr>
          <w:rFonts w:hint="eastAsia" w:ascii="宋体" w:hAnsi="宋体" w:cs="仿宋_GB2312"/>
          <w:color w:val="000000"/>
          <w:sz w:val="21"/>
          <w:szCs w:val="21"/>
        </w:rPr>
        <w:t>（二）开标地点：许昌市公共资源交易中心（龙兴路与竹林路交汇处创业服务中心C 座）三楼开标（</w:t>
      </w:r>
      <w:r>
        <w:rPr>
          <w:rFonts w:hint="eastAsia" w:ascii="宋体" w:hAnsi="宋体" w:cs="仿宋_GB2312"/>
          <w:color w:val="000000"/>
          <w:sz w:val="21"/>
          <w:szCs w:val="21"/>
          <w:lang w:eastAsia="zh-CN"/>
        </w:rPr>
        <w:t>四</w:t>
      </w:r>
      <w:r>
        <w:rPr>
          <w:rFonts w:hint="eastAsia" w:ascii="宋体" w:hAnsi="宋体" w:cs="仿宋_GB2312"/>
          <w:color w:val="000000"/>
          <w:sz w:val="21"/>
          <w:szCs w:val="21"/>
        </w:rPr>
        <w:t>）室。</w:t>
      </w:r>
      <w:r>
        <w:rPr>
          <w:rFonts w:hint="eastAsia" w:ascii="宋体" w:hAnsi="宋体" w:cs="仿宋_GB2312"/>
          <w:color w:val="FF0000"/>
          <w:sz w:val="21"/>
          <w:szCs w:val="21"/>
        </w:rPr>
        <w:t>（本项目采用远程不见面开标，投标人无须到现场）。</w:t>
      </w:r>
    </w:p>
    <w:p>
      <w:pPr>
        <w:pStyle w:val="23"/>
        <w:widowControl/>
        <w:shd w:val="clear" w:color="auto" w:fill="FFFFFF"/>
        <w:spacing w:line="360" w:lineRule="auto"/>
        <w:ind w:firstLine="420"/>
        <w:contextualSpacing/>
        <w:jc w:val="left"/>
        <w:rPr>
          <w:rFonts w:ascii="宋体" w:hAnsi="宋体" w:cs="仿宋_GB2312"/>
          <w:color w:val="000000"/>
          <w:sz w:val="21"/>
          <w:szCs w:val="21"/>
        </w:rPr>
      </w:pPr>
      <w:r>
        <w:rPr>
          <w:rFonts w:hint="eastAsia" w:ascii="宋体" w:hAnsi="宋体" w:cs="仿宋_GB2312"/>
          <w:color w:val="000000"/>
          <w:sz w:val="21"/>
          <w:szCs w:val="21"/>
        </w:rPr>
        <w:t>（三） 本项目为全流程电子化交易项目，</w:t>
      </w:r>
      <w:r>
        <w:rPr>
          <w:rFonts w:hint="eastAsia" w:ascii="宋体" w:hAnsi="宋体" w:cs="仿宋_GB2312"/>
          <w:color w:val="FF0000"/>
          <w:sz w:val="21"/>
          <w:szCs w:val="21"/>
        </w:rPr>
        <w:t>投标人须提交电子投标文件。</w:t>
      </w:r>
    </w:p>
    <w:p>
      <w:pPr>
        <w:pStyle w:val="23"/>
        <w:widowControl/>
        <w:shd w:val="clear" w:color="auto" w:fill="FFFFFF"/>
        <w:spacing w:line="360" w:lineRule="auto"/>
        <w:ind w:firstLine="420"/>
        <w:contextualSpacing/>
        <w:jc w:val="left"/>
        <w:rPr>
          <w:rFonts w:ascii="宋体" w:hAnsi="宋体" w:cs="仿宋_GB2312"/>
          <w:color w:val="000000"/>
          <w:sz w:val="21"/>
          <w:szCs w:val="21"/>
        </w:rPr>
      </w:pPr>
      <w:r>
        <w:rPr>
          <w:rFonts w:ascii="宋体" w:hAnsi="宋体" w:cs="仿宋_GB2312"/>
          <w:color w:val="000000"/>
          <w:sz w:val="21"/>
          <w:szCs w:val="21"/>
        </w:rPr>
        <w:t>1</w:t>
      </w:r>
      <w:r>
        <w:rPr>
          <w:rFonts w:hint="eastAsia" w:ascii="宋体" w:hAnsi="宋体" w:cs="仿宋_GB2312"/>
          <w:color w:val="000000"/>
          <w:sz w:val="21"/>
          <w:szCs w:val="21"/>
        </w:rPr>
        <w:t>、加密电子投标文件（</w:t>
      </w:r>
      <w:r>
        <w:rPr>
          <w:rFonts w:ascii="宋体" w:hAnsi="宋体" w:cs="仿宋_GB2312"/>
          <w:color w:val="000000"/>
          <w:sz w:val="21"/>
          <w:szCs w:val="21"/>
        </w:rPr>
        <w:t>.file</w:t>
      </w:r>
      <w:r>
        <w:rPr>
          <w:rFonts w:hint="eastAsia" w:ascii="宋体" w:hAnsi="宋体" w:cs="仿宋_GB2312"/>
          <w:color w:val="000000"/>
          <w:sz w:val="21"/>
          <w:szCs w:val="21"/>
        </w:rPr>
        <w:t>格式）须在投标截止时间（开标时间）前通过《全国公共资源交易平台</w:t>
      </w:r>
      <w:r>
        <w:rPr>
          <w:rFonts w:ascii="宋体" w:hAnsi="宋体" w:cs="仿宋_GB2312"/>
          <w:color w:val="000000"/>
          <w:sz w:val="21"/>
          <w:szCs w:val="21"/>
        </w:rPr>
        <w:t>(</w:t>
      </w:r>
      <w:r>
        <w:rPr>
          <w:rFonts w:hint="eastAsia" w:ascii="宋体" w:hAnsi="宋体" w:cs="仿宋_GB2312"/>
          <w:color w:val="000000"/>
          <w:sz w:val="21"/>
          <w:szCs w:val="21"/>
        </w:rPr>
        <w:t>河南省</w:t>
      </w:r>
      <w:r>
        <w:rPr>
          <w:rFonts w:hint="eastAsia" w:ascii="MS Mincho" w:hAnsi="MS Mincho" w:eastAsia="MS Mincho" w:cs="MS Mincho"/>
          <w:color w:val="000000"/>
          <w:sz w:val="21"/>
          <w:szCs w:val="21"/>
        </w:rPr>
        <w:t>▪</w:t>
      </w:r>
      <w:r>
        <w:rPr>
          <w:rFonts w:hint="eastAsia" w:ascii="宋体" w:hAnsi="宋体" w:cs="仿宋_GB2312"/>
          <w:color w:val="000000"/>
          <w:sz w:val="21"/>
          <w:szCs w:val="21"/>
        </w:rPr>
        <w:t>许昌市</w:t>
      </w:r>
      <w:r>
        <w:rPr>
          <w:rFonts w:ascii="宋体" w:hAnsi="宋体" w:cs="仿宋_GB2312"/>
          <w:color w:val="000000"/>
          <w:sz w:val="21"/>
          <w:szCs w:val="21"/>
        </w:rPr>
        <w:t>)</w:t>
      </w:r>
      <w:r>
        <w:rPr>
          <w:rFonts w:hint="eastAsia" w:ascii="宋体" w:hAnsi="宋体" w:cs="仿宋_GB2312"/>
          <w:color w:val="000000"/>
          <w:sz w:val="21"/>
          <w:szCs w:val="21"/>
        </w:rPr>
        <w:t>》公共资源交易系统成功上传。</w:t>
      </w:r>
    </w:p>
    <w:p>
      <w:pPr>
        <w:pStyle w:val="23"/>
        <w:widowControl/>
        <w:shd w:val="clear" w:color="auto" w:fill="FFFFFF"/>
        <w:spacing w:line="360" w:lineRule="auto"/>
        <w:ind w:firstLine="420"/>
        <w:contextualSpacing/>
        <w:jc w:val="left"/>
        <w:rPr>
          <w:rFonts w:ascii="宋体" w:hAnsi="宋体" w:cs="仿宋_GB2312"/>
          <w:color w:val="FF0000"/>
          <w:sz w:val="21"/>
          <w:szCs w:val="21"/>
        </w:rPr>
      </w:pPr>
      <w:r>
        <w:rPr>
          <w:rFonts w:hint="eastAsia" w:ascii="宋体" w:hAnsi="宋体" w:cs="仿宋_GB2312"/>
          <w:color w:val="FF0000"/>
          <w:sz w:val="21"/>
          <w:szCs w:val="21"/>
        </w:rPr>
        <w:t>2、开标时间前，投标人使用CA数字证书登录全国公共资源交易平台（河南省.许昌市）——进入公共资源交易系统（http://ggzy.xuchang.gov.cn:8088/ggzy/）——点击“项目信息——项目名称”——在系统操作导航栏点击“开标——不见面开标大厅”，按照开标时间准时参加线上开标，进行远程解密、在线询问、电子签章等。</w:t>
      </w:r>
    </w:p>
    <w:p>
      <w:pPr>
        <w:pStyle w:val="23"/>
        <w:widowControl/>
        <w:shd w:val="clear" w:color="auto" w:fill="FFFFFF"/>
        <w:spacing w:line="360" w:lineRule="auto"/>
        <w:ind w:firstLine="420"/>
        <w:contextualSpacing/>
        <w:jc w:val="left"/>
        <w:rPr>
          <w:rFonts w:ascii="宋体" w:cs="黑体"/>
          <w:b/>
          <w:bCs/>
          <w:color w:val="000000"/>
          <w:sz w:val="21"/>
          <w:szCs w:val="21"/>
          <w:shd w:val="clear" w:color="auto" w:fill="FFFFFF"/>
        </w:rPr>
      </w:pPr>
      <w:r>
        <w:rPr>
          <w:rFonts w:hint="eastAsia" w:ascii="宋体" w:hAnsi="宋体" w:cs="黑体"/>
          <w:b/>
          <w:bCs/>
          <w:color w:val="000000"/>
          <w:sz w:val="21"/>
          <w:szCs w:val="21"/>
          <w:shd w:val="clear" w:color="auto" w:fill="FFFFFF"/>
        </w:rPr>
        <w:t>六、本次招标公告同时在《中国政府采购网》、《河南省政府采购网》、《许昌市政府采购网》、《全国公共资源交易平台（河南省·许昌市）》、《中国·许昌</w:t>
      </w:r>
      <w:r>
        <w:rPr>
          <w:rFonts w:ascii="宋体" w:hAnsi="宋体" w:cs="黑体"/>
          <w:b/>
          <w:bCs/>
          <w:color w:val="000000"/>
          <w:sz w:val="21"/>
          <w:szCs w:val="21"/>
          <w:shd w:val="clear" w:color="auto" w:fill="FFFFFF"/>
        </w:rPr>
        <w:t xml:space="preserve"> </w:t>
      </w:r>
      <w:r>
        <w:rPr>
          <w:rFonts w:hint="eastAsia" w:ascii="宋体" w:hAnsi="宋体" w:cs="黑体"/>
          <w:b/>
          <w:bCs/>
          <w:color w:val="000000"/>
          <w:sz w:val="21"/>
          <w:szCs w:val="21"/>
          <w:shd w:val="clear" w:color="auto" w:fill="FFFFFF"/>
        </w:rPr>
        <w:t>许昌市政府网》发布。</w:t>
      </w:r>
    </w:p>
    <w:p>
      <w:pPr>
        <w:pStyle w:val="23"/>
        <w:widowControl/>
        <w:shd w:val="clear" w:color="auto" w:fill="FFFFFF"/>
        <w:spacing w:line="360" w:lineRule="auto"/>
        <w:ind w:firstLine="420"/>
        <w:contextualSpacing/>
        <w:jc w:val="left"/>
        <w:rPr>
          <w:rFonts w:ascii="宋体" w:cs="黑体"/>
          <w:b/>
          <w:bCs/>
          <w:color w:val="000000"/>
          <w:sz w:val="21"/>
          <w:szCs w:val="21"/>
          <w:shd w:val="clear" w:color="auto" w:fill="FFFFFF"/>
        </w:rPr>
      </w:pPr>
      <w:r>
        <w:rPr>
          <w:rFonts w:hint="eastAsia" w:ascii="宋体" w:hAnsi="宋体" w:cs="黑体"/>
          <w:b/>
          <w:bCs/>
          <w:color w:val="000000"/>
          <w:sz w:val="21"/>
          <w:szCs w:val="21"/>
          <w:shd w:val="clear" w:color="auto" w:fill="FFFFFF"/>
        </w:rPr>
        <w:t>七、公告期限</w:t>
      </w:r>
    </w:p>
    <w:p>
      <w:pPr>
        <w:pStyle w:val="23"/>
        <w:widowControl/>
        <w:shd w:val="clear" w:color="auto" w:fill="FFFFFF"/>
        <w:spacing w:line="360" w:lineRule="auto"/>
        <w:ind w:firstLine="420"/>
        <w:contextualSpacing/>
        <w:jc w:val="left"/>
        <w:rPr>
          <w:rFonts w:ascii="宋体" w:cs="仿宋_GB2312"/>
          <w:color w:val="000000"/>
          <w:sz w:val="21"/>
          <w:szCs w:val="21"/>
        </w:rPr>
      </w:pPr>
      <w:r>
        <w:rPr>
          <w:rFonts w:hint="eastAsia" w:ascii="宋体" w:hAnsi="宋体" w:cs="仿宋_GB2312"/>
          <w:color w:val="000000"/>
          <w:sz w:val="21"/>
          <w:szCs w:val="21"/>
        </w:rPr>
        <w:t>本招标公告自发布之日起公告期限为</w:t>
      </w:r>
      <w:r>
        <w:rPr>
          <w:rFonts w:ascii="宋体" w:hAnsi="宋体" w:cs="仿宋_GB2312"/>
          <w:color w:val="000000"/>
          <w:sz w:val="21"/>
          <w:szCs w:val="21"/>
        </w:rPr>
        <w:t>5</w:t>
      </w:r>
      <w:r>
        <w:rPr>
          <w:rFonts w:hint="eastAsia" w:ascii="宋体" w:hAnsi="宋体" w:cs="仿宋_GB2312"/>
          <w:color w:val="000000"/>
          <w:sz w:val="21"/>
          <w:szCs w:val="21"/>
        </w:rPr>
        <w:t>个工作日。</w:t>
      </w:r>
    </w:p>
    <w:p>
      <w:pPr>
        <w:pStyle w:val="23"/>
        <w:widowControl/>
        <w:shd w:val="clear" w:color="auto" w:fill="FFFFFF"/>
        <w:spacing w:line="360" w:lineRule="auto"/>
        <w:ind w:firstLine="420"/>
        <w:contextualSpacing/>
        <w:jc w:val="left"/>
        <w:rPr>
          <w:rFonts w:ascii="宋体" w:cs="黑体"/>
          <w:b/>
          <w:bCs/>
          <w:color w:val="000000"/>
          <w:sz w:val="21"/>
          <w:szCs w:val="21"/>
        </w:rPr>
      </w:pPr>
      <w:r>
        <w:rPr>
          <w:rFonts w:hint="eastAsia" w:ascii="宋体" w:hAnsi="宋体" w:cs="黑体"/>
          <w:b/>
          <w:bCs/>
          <w:color w:val="000000"/>
          <w:sz w:val="21"/>
          <w:szCs w:val="21"/>
        </w:rPr>
        <w:t>八、联系方式</w:t>
      </w:r>
    </w:p>
    <w:p>
      <w:pPr>
        <w:adjustRightInd w:val="0"/>
        <w:spacing w:line="360" w:lineRule="auto"/>
        <w:ind w:firstLine="843" w:firstLineChars="400"/>
        <w:contextualSpacing/>
        <w:jc w:val="left"/>
        <w:rPr>
          <w:rFonts w:hint="eastAsia" w:ascii="宋体" w:eastAsia="宋体"/>
          <w:szCs w:val="21"/>
          <w:lang w:eastAsia="zh-CN"/>
        </w:rPr>
      </w:pPr>
      <w:r>
        <w:rPr>
          <w:rFonts w:hint="eastAsia" w:ascii="宋体" w:hAnsi="宋体"/>
          <w:b/>
          <w:szCs w:val="21"/>
        </w:rPr>
        <w:t>采购人</w:t>
      </w:r>
      <w:r>
        <w:rPr>
          <w:rFonts w:hint="eastAsia" w:ascii="宋体" w:hAnsi="宋体"/>
          <w:szCs w:val="21"/>
        </w:rPr>
        <w:t>：</w:t>
      </w:r>
      <w:r>
        <w:rPr>
          <w:rFonts w:hint="eastAsia" w:ascii="宋体" w:hAnsi="宋体" w:cs="Arial"/>
          <w:color w:val="000000"/>
          <w:szCs w:val="21"/>
          <w:lang w:eastAsia="zh-CN"/>
        </w:rPr>
        <w:t>许昌经高科技发展有限公司</w:t>
      </w:r>
    </w:p>
    <w:p>
      <w:pPr>
        <w:adjustRightInd w:val="0"/>
        <w:spacing w:line="360" w:lineRule="auto"/>
        <w:ind w:firstLine="840" w:firstLineChars="400"/>
        <w:contextualSpacing/>
        <w:jc w:val="left"/>
        <w:rPr>
          <w:rFonts w:ascii="宋体" w:cs="Arial"/>
          <w:color w:val="000000"/>
          <w:szCs w:val="21"/>
        </w:rPr>
      </w:pPr>
      <w:r>
        <w:rPr>
          <w:rFonts w:hint="eastAsia" w:ascii="宋体" w:hAnsi="宋体" w:cs="Arial"/>
          <w:color w:val="000000"/>
          <w:szCs w:val="21"/>
        </w:rPr>
        <w:t>地址：</w:t>
      </w:r>
      <w:r>
        <w:rPr>
          <w:rFonts w:hint="eastAsia" w:ascii="宋体" w:hAnsi="宋体" w:cs="仿宋_GB2312"/>
        </w:rPr>
        <w:t>许昌经济技术开发区瑞祥路中段</w:t>
      </w:r>
    </w:p>
    <w:p>
      <w:pPr>
        <w:adjustRightInd w:val="0"/>
        <w:spacing w:line="360" w:lineRule="auto"/>
        <w:ind w:firstLine="840" w:firstLineChars="400"/>
        <w:contextualSpacing/>
        <w:jc w:val="left"/>
        <w:rPr>
          <w:rFonts w:hint="eastAsia" w:ascii="宋体" w:eastAsia="宋体" w:cs="仿宋_GB2312"/>
          <w:color w:val="000000"/>
          <w:szCs w:val="21"/>
          <w:lang w:eastAsia="zh-CN"/>
        </w:rPr>
      </w:pPr>
      <w:r>
        <w:rPr>
          <w:rFonts w:hint="eastAsia" w:ascii="宋体" w:hAnsi="宋体" w:cs="Arial"/>
          <w:color w:val="000000"/>
          <w:szCs w:val="21"/>
        </w:rPr>
        <w:t>联系人：</w:t>
      </w:r>
      <w:r>
        <w:rPr>
          <w:rFonts w:hint="eastAsia" w:ascii="宋体" w:hAnsi="宋体" w:cs="Arial"/>
          <w:color w:val="000000"/>
          <w:szCs w:val="21"/>
          <w:lang w:eastAsia="zh-CN"/>
        </w:rPr>
        <w:t>王女士</w:t>
      </w:r>
      <w:r>
        <w:rPr>
          <w:rFonts w:ascii="宋体" w:cs="Arial"/>
          <w:color w:val="000000"/>
          <w:szCs w:val="21"/>
        </w:rPr>
        <w:t> </w:t>
      </w:r>
      <w:r>
        <w:rPr>
          <w:rFonts w:ascii="宋体" w:hAnsi="宋体" w:cs="Arial"/>
          <w:color w:val="000000"/>
          <w:szCs w:val="21"/>
        </w:rPr>
        <w:t xml:space="preserve">              </w:t>
      </w:r>
      <w:r>
        <w:rPr>
          <w:rFonts w:hint="eastAsia" w:ascii="宋体" w:hAnsi="宋体" w:cs="Arial"/>
          <w:color w:val="000000"/>
          <w:szCs w:val="21"/>
        </w:rPr>
        <w:t xml:space="preserve"> </w:t>
      </w:r>
      <w:r>
        <w:rPr>
          <w:rFonts w:ascii="宋体" w:hAnsi="宋体" w:cs="Arial"/>
          <w:color w:val="000000"/>
          <w:szCs w:val="21"/>
        </w:rPr>
        <w:t xml:space="preserve"> </w:t>
      </w:r>
      <w:r>
        <w:rPr>
          <w:rFonts w:hint="eastAsia" w:ascii="宋体" w:hAnsi="宋体" w:cs="Arial"/>
          <w:color w:val="000000"/>
          <w:szCs w:val="21"/>
        </w:rPr>
        <w:t>联系电话：</w:t>
      </w:r>
      <w:r>
        <w:rPr>
          <w:rFonts w:hint="eastAsia" w:ascii="宋体" w:hAnsi="宋体" w:cs="Arial"/>
          <w:color w:val="000000"/>
          <w:szCs w:val="21"/>
          <w:lang w:eastAsia="zh-CN"/>
        </w:rPr>
        <w:t>0374—8581622</w:t>
      </w:r>
    </w:p>
    <w:p>
      <w:pPr>
        <w:adjustRightInd w:val="0"/>
        <w:spacing w:line="360" w:lineRule="auto"/>
        <w:ind w:firstLine="843" w:firstLineChars="400"/>
        <w:contextualSpacing/>
        <w:jc w:val="left"/>
        <w:rPr>
          <w:rFonts w:hint="eastAsia" w:ascii="宋体" w:eastAsia="宋体"/>
          <w:szCs w:val="21"/>
          <w:lang w:eastAsia="zh-CN"/>
        </w:rPr>
      </w:pPr>
      <w:r>
        <w:rPr>
          <w:rFonts w:hint="eastAsia" w:ascii="宋体" w:hAnsi="宋体"/>
          <w:b/>
          <w:szCs w:val="21"/>
        </w:rPr>
        <w:t>代理机构</w:t>
      </w:r>
      <w:r>
        <w:rPr>
          <w:rFonts w:hint="eastAsia" w:ascii="宋体" w:hAnsi="宋体"/>
          <w:szCs w:val="21"/>
        </w:rPr>
        <w:t>：</w:t>
      </w:r>
      <w:r>
        <w:rPr>
          <w:rFonts w:hint="eastAsia" w:ascii="宋体" w:hAnsi="宋体"/>
          <w:szCs w:val="21"/>
          <w:lang w:eastAsia="zh-CN"/>
        </w:rPr>
        <w:t>河南永安工程管理有限公司</w:t>
      </w:r>
    </w:p>
    <w:p>
      <w:pPr>
        <w:adjustRightInd w:val="0"/>
        <w:ind w:firstLine="840" w:firstLineChars="400"/>
        <w:rPr>
          <w:rFonts w:hint="eastAsia" w:ascii="宋体" w:eastAsia="宋体"/>
          <w:szCs w:val="21"/>
          <w:lang w:eastAsia="zh-CN"/>
        </w:rPr>
      </w:pPr>
      <w:r>
        <w:rPr>
          <w:rFonts w:hint="eastAsia" w:ascii="宋体" w:hAnsi="宋体"/>
          <w:szCs w:val="21"/>
        </w:rPr>
        <w:t>地址：</w:t>
      </w:r>
      <w:r>
        <w:rPr>
          <w:rFonts w:hint="eastAsia" w:ascii="宋体" w:hAnsi="宋体"/>
          <w:szCs w:val="21"/>
          <w:lang w:eastAsia="zh-CN"/>
        </w:rPr>
        <w:t>许昌市城乡一体化示范区元鼎国际B座1612</w:t>
      </w:r>
    </w:p>
    <w:p>
      <w:pPr>
        <w:adjustRightInd w:val="0"/>
        <w:spacing w:line="360" w:lineRule="auto"/>
        <w:ind w:firstLine="840" w:firstLineChars="400"/>
        <w:contextualSpacing/>
        <w:jc w:val="left"/>
        <w:rPr>
          <w:rFonts w:hint="eastAsia" w:ascii="宋体" w:eastAsia="宋体"/>
          <w:szCs w:val="21"/>
          <w:lang w:eastAsia="zh-CN"/>
        </w:rPr>
      </w:pPr>
      <w:r>
        <w:rPr>
          <w:rFonts w:hint="eastAsia" w:ascii="宋体" w:hAnsi="宋体"/>
          <w:szCs w:val="21"/>
        </w:rPr>
        <w:t>联系人：</w:t>
      </w:r>
      <w:r>
        <w:rPr>
          <w:rFonts w:hint="eastAsia" w:ascii="宋体" w:hAnsi="宋体"/>
          <w:szCs w:val="21"/>
          <w:lang w:eastAsia="zh-CN"/>
        </w:rPr>
        <w:t>蔡女士</w:t>
      </w:r>
      <w:r>
        <w:rPr>
          <w:rFonts w:ascii="宋体" w:hAnsi="宋体"/>
          <w:szCs w:val="21"/>
        </w:rPr>
        <w:t xml:space="preserve">                 </w:t>
      </w:r>
      <w:r>
        <w:rPr>
          <w:rFonts w:hint="eastAsia" w:ascii="宋体" w:hAnsi="宋体"/>
          <w:szCs w:val="21"/>
        </w:rPr>
        <w:t>联系电话：</w:t>
      </w:r>
      <w:r>
        <w:rPr>
          <w:rFonts w:hint="eastAsia" w:ascii="宋体" w:hAnsi="宋体"/>
          <w:szCs w:val="21"/>
          <w:lang w:eastAsia="zh-CN"/>
        </w:rPr>
        <w:t>0374-8318599</w:t>
      </w:r>
    </w:p>
    <w:p>
      <w:pPr>
        <w:adjustRightInd w:val="0"/>
        <w:snapToGrid w:val="0"/>
        <w:spacing w:line="360" w:lineRule="auto"/>
        <w:ind w:firstLine="840" w:firstLineChars="400"/>
        <w:jc w:val="left"/>
        <w:rPr>
          <w:rFonts w:ascii="宋体" w:cs="仿宋_GB2312"/>
          <w:color w:val="000000"/>
          <w:szCs w:val="21"/>
        </w:rPr>
      </w:pPr>
    </w:p>
    <w:p>
      <w:pPr>
        <w:adjustRightInd w:val="0"/>
        <w:snapToGrid w:val="0"/>
        <w:spacing w:line="360" w:lineRule="auto"/>
        <w:ind w:firstLine="5040" w:firstLineChars="2400"/>
        <w:jc w:val="left"/>
        <w:rPr>
          <w:rFonts w:hint="eastAsia" w:ascii="宋体" w:eastAsia="宋体" w:cs="Arial"/>
          <w:color w:val="000000"/>
          <w:szCs w:val="21"/>
          <w:lang w:eastAsia="zh-CN"/>
        </w:rPr>
      </w:pPr>
      <w:r>
        <w:rPr>
          <w:rFonts w:hint="eastAsia" w:ascii="宋体" w:hAnsi="宋体" w:cs="Arial"/>
          <w:color w:val="000000"/>
          <w:szCs w:val="21"/>
          <w:lang w:eastAsia="zh-CN"/>
        </w:rPr>
        <w:t>许昌经高科技发展有限公司</w:t>
      </w:r>
    </w:p>
    <w:p>
      <w:pPr>
        <w:adjustRightInd w:val="0"/>
        <w:snapToGrid w:val="0"/>
        <w:spacing w:line="360" w:lineRule="auto"/>
        <w:ind w:firstLine="5460" w:firstLineChars="2600"/>
        <w:jc w:val="left"/>
        <w:rPr>
          <w:rFonts w:ascii="宋体"/>
          <w:szCs w:val="21"/>
        </w:rPr>
      </w:pPr>
      <w:r>
        <w:rPr>
          <w:rFonts w:hint="eastAsia" w:ascii="宋体" w:hAnsi="宋体" w:cs="仿宋_GB2312"/>
          <w:color w:val="000000"/>
          <w:szCs w:val="21"/>
        </w:rPr>
        <w:t>二〇二〇年三月</w:t>
      </w:r>
    </w:p>
    <w:p>
      <w:pPr>
        <w:spacing w:line="360" w:lineRule="auto"/>
        <w:rPr>
          <w:rFonts w:hAnsi="宋体"/>
          <w:b/>
          <w:sz w:val="28"/>
          <w:szCs w:val="28"/>
        </w:rPr>
      </w:pPr>
      <w:r>
        <w:rPr>
          <w:rFonts w:hint="eastAsia" w:hAnsi="宋体"/>
          <w:b/>
          <w:sz w:val="28"/>
          <w:szCs w:val="28"/>
        </w:rPr>
        <w:t>温馨提示：</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本项目为全流程电子化交易项目，请认真阅读招标文件，并注意以下事项。</w:t>
      </w:r>
    </w:p>
    <w:p>
      <w:pPr>
        <w:tabs>
          <w:tab w:val="left" w:pos="7095"/>
        </w:tabs>
        <w:spacing w:line="360" w:lineRule="auto"/>
        <w:ind w:firstLine="422" w:firstLineChars="200"/>
        <w:contextualSpacing/>
        <w:rPr>
          <w:rFonts w:hAnsi="宋体"/>
          <w:b/>
          <w:color w:val="FF0000"/>
          <w:szCs w:val="21"/>
        </w:rPr>
      </w:pPr>
      <w:r>
        <w:rPr>
          <w:rFonts w:hint="eastAsia" w:asciiTheme="minorEastAsia" w:hAnsiTheme="minorEastAsia"/>
          <w:b/>
          <w:color w:val="FF0000"/>
          <w:szCs w:val="21"/>
        </w:rPr>
        <w:t>1.</w:t>
      </w:r>
      <w:r>
        <w:rPr>
          <w:rFonts w:hint="eastAsia" w:hAnsi="宋体"/>
          <w:b/>
          <w:color w:val="FF0000"/>
          <w:szCs w:val="21"/>
        </w:rPr>
        <w:t>投标人应按招标文件规定编制、提交、解密电子投标文件。</w:t>
      </w:r>
    </w:p>
    <w:p>
      <w:pPr>
        <w:tabs>
          <w:tab w:val="left" w:pos="7095"/>
        </w:tabs>
        <w:spacing w:line="360" w:lineRule="auto"/>
        <w:ind w:firstLine="422" w:firstLineChars="200"/>
        <w:contextualSpacing/>
        <w:rPr>
          <w:rFonts w:hAnsi="宋体"/>
          <w:b/>
          <w:color w:val="FF0000"/>
          <w:szCs w:val="21"/>
        </w:rPr>
      </w:pPr>
      <w:r>
        <w:rPr>
          <w:rFonts w:hint="eastAsia" w:asciiTheme="minorEastAsia" w:hAnsiTheme="minorEastAsia"/>
          <w:b/>
          <w:color w:val="FF0000"/>
          <w:szCs w:val="21"/>
        </w:rPr>
        <w:t>2</w:t>
      </w:r>
      <w:r>
        <w:rPr>
          <w:rFonts w:asciiTheme="minorEastAsia" w:hAnsiTheme="minorEastAsia"/>
          <w:b/>
          <w:color w:val="FF0000"/>
          <w:szCs w:val="21"/>
        </w:rPr>
        <w:t>.</w:t>
      </w:r>
      <w:r>
        <w:rPr>
          <w:rFonts w:hint="eastAsia" w:hAnsi="宋体"/>
          <w:b/>
          <w:color w:val="FF0000"/>
          <w:szCs w:val="21"/>
        </w:rPr>
        <w:t>电子文件下载、制作、提交期间和远程不见面开标（</w:t>
      </w:r>
      <w:r>
        <w:rPr>
          <w:rFonts w:hint="eastAsia" w:hAnsi="宋体"/>
          <w:color w:val="FF0000"/>
          <w:szCs w:val="21"/>
        </w:rPr>
        <w:t>电子投标文件的解密</w:t>
      </w:r>
      <w:r>
        <w:rPr>
          <w:rFonts w:hint="eastAsia" w:hAnsi="宋体"/>
          <w:b/>
          <w:color w:val="FF0000"/>
          <w:szCs w:val="21"/>
        </w:rPr>
        <w:t>）环节，投标人须使用同一个</w:t>
      </w:r>
      <w:r>
        <w:rPr>
          <w:rFonts w:hAnsi="宋体"/>
          <w:b/>
          <w:color w:val="FF0000"/>
          <w:szCs w:val="21"/>
        </w:rPr>
        <w:t>CA数字证书</w:t>
      </w:r>
      <w:r>
        <w:rPr>
          <w:rFonts w:hint="eastAsia" w:hAnsi="宋体"/>
          <w:b/>
          <w:color w:val="FF0000"/>
          <w:szCs w:val="21"/>
        </w:rPr>
        <w:t>（证书须在有效期内并可正常使用）</w:t>
      </w:r>
      <w:r>
        <w:rPr>
          <w:rFonts w:hAnsi="宋体"/>
          <w:b/>
          <w:color w:val="FF0000"/>
          <w:szCs w:val="21"/>
        </w:rPr>
        <w:t>。</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3</w:t>
      </w:r>
      <w:r>
        <w:rPr>
          <w:rFonts w:hint="eastAsia" w:asciiTheme="minorEastAsia" w:hAnsiTheme="minorEastAsia"/>
          <w:b/>
          <w:color w:val="000000"/>
          <w:szCs w:val="21"/>
        </w:rPr>
        <w:t>.</w:t>
      </w:r>
      <w:r>
        <w:rPr>
          <w:rFonts w:hint="eastAsia" w:hAnsi="宋体"/>
          <w:b/>
          <w:color w:val="000000"/>
          <w:szCs w:val="21"/>
        </w:rPr>
        <w:t>电子投标文件的制作</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.1</w:t>
      </w:r>
      <w:r>
        <w:rPr>
          <w:rFonts w:hint="eastAsia" w:hAnsi="宋体"/>
          <w:color w:val="000000"/>
          <w:szCs w:val="21"/>
        </w:rPr>
        <w:t xml:space="preserve"> 投标人登录《全国公共资源交易平台</w:t>
      </w:r>
      <w:r>
        <w:rPr>
          <w:rFonts w:hint="eastAsia" w:asciiTheme="majorEastAsia" w:hAnsiTheme="majorEastAsia" w:eastAsiaTheme="maj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28"/>
          <w:rFonts w:hAnsi="宋体"/>
          <w:szCs w:val="21"/>
        </w:rPr>
        <w:t>http://221.14.6.70:8088/ggzy/</w:t>
      </w:r>
      <w:r>
        <w:rPr>
          <w:rStyle w:val="28"/>
          <w:rFonts w:hAnsi="宋体"/>
          <w:szCs w:val="21"/>
        </w:rPr>
        <w:fldChar w:fldCharType="end"/>
      </w:r>
      <w:r>
        <w:rPr>
          <w:rFonts w:hint="eastAsia" w:hAnsi="宋体"/>
          <w:color w:val="000000"/>
          <w:szCs w:val="21"/>
        </w:rPr>
        <w:t>）下载“许昌投标文件制作系统SEARUN 最新版本”，按招标文件要求制作电子投标文件。</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电子投标文件的制作，参考《全国公共资源交易平台</w:t>
      </w:r>
      <w:r>
        <w:rPr>
          <w:rFonts w:hint="eastAsia" w:asciiTheme="minorEastAsia" w:hAnsiTheme="min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》公共资源交易系统——组件下载——交易系统操作手册（投标人、供应商）。</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w:t>
      </w:r>
      <w:r>
        <w:rPr>
          <w:rFonts w:asciiTheme="minorEastAsia" w:hAnsiTheme="minorEastAsia"/>
          <w:color w:val="000000"/>
          <w:szCs w:val="21"/>
        </w:rPr>
        <w:t>2</w:t>
      </w:r>
      <w:r>
        <w:rPr>
          <w:rFonts w:hint="eastAsia" w:hAnsi="宋体"/>
          <w:color w:val="000000"/>
          <w:szCs w:val="21"/>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3.3</w:t>
      </w:r>
      <w:r>
        <w:rPr>
          <w:rFonts w:hint="eastAsia" w:hAnsi="宋体"/>
          <w:color w:val="000000"/>
          <w:szCs w:val="21"/>
        </w:rPr>
        <w:t>投标人对同一项目多个标段进行投标的，应分别下载所投标段的招标文件，按标段制作电子投标文件，并</w:t>
      </w:r>
      <w:r>
        <w:rPr>
          <w:rFonts w:hAnsi="宋体"/>
          <w:color w:val="000000"/>
          <w:szCs w:val="21"/>
        </w:rPr>
        <w:t>按招标文件要求在相应位置加盖</w:t>
      </w:r>
      <w:r>
        <w:rPr>
          <w:rFonts w:hint="eastAsia" w:hAnsi="宋体"/>
          <w:color w:val="000000"/>
          <w:szCs w:val="21"/>
        </w:rPr>
        <w:t>投标人</w:t>
      </w:r>
      <w:r>
        <w:rPr>
          <w:rFonts w:hAnsi="宋体"/>
          <w:color w:val="000000"/>
          <w:szCs w:val="21"/>
        </w:rPr>
        <w:t>电子印章</w:t>
      </w:r>
      <w:r>
        <w:rPr>
          <w:rFonts w:hint="eastAsia" w:hAnsi="宋体"/>
          <w:color w:val="000000"/>
          <w:szCs w:val="21"/>
        </w:rPr>
        <w:t>和法人电子印章。</w:t>
      </w:r>
    </w:p>
    <w:p>
      <w:pPr>
        <w:tabs>
          <w:tab w:val="left" w:pos="7095"/>
        </w:tabs>
        <w:spacing w:line="360" w:lineRule="auto"/>
        <w:ind w:left="105" w:leftChars="50" w:firstLine="315" w:firstLineChars="150"/>
        <w:contextualSpacing/>
        <w:rPr>
          <w:rFonts w:hAnsi="宋体"/>
          <w:color w:val="FF0000"/>
          <w:szCs w:val="21"/>
        </w:rPr>
      </w:pPr>
      <w:r>
        <w:rPr>
          <w:rFonts w:hint="eastAsia" w:hAnsi="宋体"/>
          <w:color w:val="FF0000"/>
          <w:szCs w:val="21"/>
        </w:rPr>
        <w:t>一个标段对应生成一个文件夹（xxxx项目xx标段）,其中后缀名为“</w:t>
      </w:r>
      <w:r>
        <w:rPr>
          <w:rFonts w:hAnsi="宋体"/>
          <w:color w:val="FF0000"/>
          <w:szCs w:val="21"/>
        </w:rPr>
        <w:t>.file</w:t>
      </w:r>
      <w:r>
        <w:rPr>
          <w:rFonts w:hint="eastAsia" w:hAnsi="宋体"/>
          <w:color w:val="FF0000"/>
          <w:szCs w:val="21"/>
        </w:rPr>
        <w:t>”的文件用于电子投标使用。</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4</w:t>
      </w:r>
      <w:r>
        <w:rPr>
          <w:rFonts w:hint="eastAsia" w:asciiTheme="minorEastAsia" w:hAnsiTheme="minorEastAsia"/>
          <w:b/>
          <w:color w:val="000000"/>
          <w:szCs w:val="21"/>
        </w:rPr>
        <w:t>.加密</w:t>
      </w:r>
      <w:r>
        <w:rPr>
          <w:rFonts w:hint="eastAsia" w:hAnsi="宋体"/>
          <w:b/>
          <w:color w:val="000000"/>
          <w:szCs w:val="21"/>
        </w:rPr>
        <w:t>电子投标文件的提交</w:t>
      </w:r>
    </w:p>
    <w:p>
      <w:pPr>
        <w:tabs>
          <w:tab w:val="left" w:pos="7095"/>
        </w:tabs>
        <w:spacing w:line="360" w:lineRule="auto"/>
        <w:contextualSpacing/>
        <w:rPr>
          <w:rFonts w:hAnsi="宋体"/>
          <w:color w:val="000000"/>
          <w:szCs w:val="21"/>
        </w:rPr>
      </w:pPr>
      <w:r>
        <w:rPr>
          <w:rFonts w:hint="eastAsia" w:hAnsi="宋体"/>
          <w:color w:val="000000"/>
          <w:szCs w:val="21"/>
        </w:rPr>
        <w:t xml:space="preserve">    </w:t>
      </w:r>
      <w:r>
        <w:rPr>
          <w:rFonts w:asciiTheme="minorEastAsia" w:hAnsiTheme="minorEastAsia"/>
          <w:color w:val="000000"/>
          <w:szCs w:val="21"/>
        </w:rPr>
        <w:t>4</w:t>
      </w:r>
      <w:r>
        <w:rPr>
          <w:rFonts w:hint="eastAsia" w:asciiTheme="minorEastAsia" w:hAnsiTheme="minorEastAsia"/>
          <w:color w:val="000000"/>
          <w:szCs w:val="21"/>
        </w:rPr>
        <w:t>.1</w:t>
      </w:r>
      <w:r>
        <w:rPr>
          <w:rFonts w:hint="eastAsia" w:asciiTheme="minorEastAsia" w:hAnsiTheme="minorEastAsia"/>
          <w:color w:val="FF0000"/>
          <w:szCs w:val="21"/>
        </w:rPr>
        <w:t>加密</w:t>
      </w:r>
      <w:r>
        <w:rPr>
          <w:rFonts w:hint="eastAsia" w:hAnsi="宋体"/>
          <w:color w:val="FF0000"/>
          <w:szCs w:val="21"/>
        </w:rPr>
        <w:t>电子投标文件应按规定在投标截止时间</w:t>
      </w:r>
      <w:r>
        <w:rPr>
          <w:rFonts w:hint="eastAsia" w:hAnsi="宋体"/>
          <w:color w:val="000000"/>
          <w:szCs w:val="21"/>
        </w:rPr>
        <w:t>（开标时间）之前成功提交至《全国公共资源交易平台(河南省</w:t>
      </w:r>
      <w:r>
        <w:rPr>
          <w:rFonts w:hint="eastAsia" w:ascii="MS Mincho" w:hAnsi="MS Mincho" w:eastAsia="MS Mincho" w:cs="MS Mincho"/>
          <w:color w:val="000000"/>
          <w:szCs w:val="21"/>
        </w:rPr>
        <w:t>▪</w:t>
      </w:r>
      <w:r>
        <w:rPr>
          <w:rFonts w:hint="eastAsia" w:ascii="宋体" w:hAnsi="宋体" w:cs="宋体"/>
          <w:color w:val="000000"/>
          <w:szCs w:val="21"/>
        </w:rPr>
        <w:t>许昌市</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28"/>
          <w:rFonts w:hAnsi="宋体"/>
          <w:szCs w:val="21"/>
        </w:rPr>
        <w:t>http://221.14.6.70:8088/ggzy/</w:t>
      </w:r>
      <w:r>
        <w:rPr>
          <w:rStyle w:val="28"/>
          <w:rFonts w:hAnsi="宋体"/>
          <w:szCs w:val="21"/>
        </w:rPr>
        <w:fldChar w:fldCharType="end"/>
      </w:r>
      <w:r>
        <w:rPr>
          <w:rFonts w:hint="eastAsia" w:hAnsi="宋体"/>
          <w:color w:val="000000"/>
          <w:szCs w:val="21"/>
        </w:rPr>
        <w:t>）。</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投标人应充分考虑并预留技术处理和上传数据所需时间。</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 xml:space="preserve">2 </w:t>
      </w:r>
      <w:r>
        <w:rPr>
          <w:rFonts w:hint="eastAsia" w:hAnsi="宋体"/>
          <w:color w:val="000000"/>
          <w:szCs w:val="21"/>
        </w:rPr>
        <w:t>投标人对同一项目多个标段进行投标的，加密电子投标文件应按标段分别提交。</w:t>
      </w:r>
    </w:p>
    <w:p>
      <w:pPr>
        <w:tabs>
          <w:tab w:val="left" w:pos="7095"/>
        </w:tabs>
        <w:spacing w:line="360" w:lineRule="auto"/>
        <w:ind w:firstLine="420" w:firstLineChars="200"/>
        <w:contextualSpacing/>
        <w:rPr>
          <w:rFonts w:hAnsi="宋体"/>
          <w:color w:val="FF0000"/>
          <w:szCs w:val="21"/>
        </w:rPr>
      </w:pPr>
      <w:r>
        <w:rPr>
          <w:rFonts w:asciiTheme="minorEastAsia" w:hAnsiTheme="minorEastAsia"/>
          <w:color w:val="FF0000"/>
          <w:szCs w:val="21"/>
        </w:rPr>
        <w:t>4</w:t>
      </w:r>
      <w:r>
        <w:rPr>
          <w:rFonts w:hint="eastAsia" w:asciiTheme="minorEastAsia" w:hAnsiTheme="minorEastAsia"/>
          <w:color w:val="FF0000"/>
          <w:szCs w:val="21"/>
        </w:rPr>
        <w:t>.</w:t>
      </w:r>
      <w:r>
        <w:rPr>
          <w:rFonts w:asciiTheme="minorEastAsia" w:hAnsiTheme="minorEastAsia"/>
          <w:color w:val="FF0000"/>
          <w:szCs w:val="21"/>
        </w:rPr>
        <w:t>3</w:t>
      </w:r>
      <w:r>
        <w:rPr>
          <w:rFonts w:hint="eastAsia" w:asciiTheme="minorEastAsia" w:hAnsiTheme="minorEastAsia"/>
          <w:color w:val="FF0000"/>
          <w:szCs w:val="21"/>
        </w:rPr>
        <w:t xml:space="preserve"> 加密</w:t>
      </w:r>
      <w:r>
        <w:rPr>
          <w:rFonts w:hint="eastAsia" w:hAnsi="宋体"/>
          <w:color w:val="FF0000"/>
          <w:szCs w:val="21"/>
        </w:rPr>
        <w:t>电子投标文件成功提交后，《全国公共资源交易平台(河南省</w:t>
      </w:r>
      <w:r>
        <w:rPr>
          <w:rFonts w:hint="eastAsia" w:ascii="MS Mincho" w:hAnsi="MS Mincho" w:cs="MS Mincho"/>
          <w:color w:val="FF0000"/>
          <w:szCs w:val="21"/>
        </w:rPr>
        <w:t>.</w:t>
      </w:r>
      <w:r>
        <w:rPr>
          <w:rFonts w:hint="eastAsia" w:ascii="宋体" w:hAnsi="宋体" w:cs="宋体"/>
          <w:color w:val="FF0000"/>
          <w:szCs w:val="21"/>
        </w:rPr>
        <w:t>许昌市</w:t>
      </w:r>
      <w:r>
        <w:rPr>
          <w:rFonts w:hint="eastAsia" w:hAnsi="宋体"/>
          <w:color w:val="FF0000"/>
          <w:szCs w:val="21"/>
        </w:rPr>
        <w:t>)》公共资源交易系统（</w:t>
      </w:r>
      <w:r>
        <w:fldChar w:fldCharType="begin"/>
      </w:r>
      <w:r>
        <w:instrText xml:space="preserve"> HYPERLINK "http://221.14.6.70:8088/ggzy/" </w:instrText>
      </w:r>
      <w:r>
        <w:fldChar w:fldCharType="separate"/>
      </w:r>
      <w:r>
        <w:rPr>
          <w:rStyle w:val="28"/>
          <w:rFonts w:hAnsi="宋体"/>
          <w:color w:val="FF0000"/>
          <w:szCs w:val="21"/>
        </w:rPr>
        <w:t>http://221.14.6.70:8088/ggzy/</w:t>
      </w:r>
      <w:r>
        <w:rPr>
          <w:rStyle w:val="28"/>
          <w:rFonts w:hAnsi="宋体"/>
          <w:color w:val="FF0000"/>
          <w:szCs w:val="21"/>
        </w:rPr>
        <w:fldChar w:fldCharType="end"/>
      </w:r>
      <w:r>
        <w:rPr>
          <w:rFonts w:hint="eastAsia" w:hAnsi="宋体"/>
          <w:color w:val="FF0000"/>
          <w:szCs w:val="21"/>
        </w:rPr>
        <w:t>）</w:t>
      </w:r>
      <w:r>
        <w:rPr>
          <w:rFonts w:hint="eastAsia" w:cs="仿宋_GB2312" w:asciiTheme="minorEastAsia" w:hAnsiTheme="minorEastAsia"/>
          <w:color w:val="FF0000"/>
          <w:szCs w:val="21"/>
        </w:rPr>
        <w:t>生成“投标文件提交回执单”。</w:t>
      </w:r>
    </w:p>
    <w:p>
      <w:pPr>
        <w:tabs>
          <w:tab w:val="left" w:pos="7095"/>
        </w:tabs>
        <w:spacing w:line="360" w:lineRule="auto"/>
        <w:ind w:firstLine="422" w:firstLineChars="200"/>
        <w:contextualSpacing/>
        <w:rPr>
          <w:rFonts w:hAnsi="宋体"/>
          <w:b/>
          <w:color w:val="FF0000"/>
          <w:szCs w:val="21"/>
        </w:rPr>
      </w:pPr>
      <w:r>
        <w:rPr>
          <w:rFonts w:hint="eastAsia" w:asciiTheme="minorEastAsia" w:hAnsiTheme="minorEastAsia"/>
          <w:b/>
          <w:color w:val="FF0000"/>
          <w:szCs w:val="21"/>
        </w:rPr>
        <w:t>5.远程不见面开标（</w:t>
      </w:r>
      <w:r>
        <w:rPr>
          <w:rFonts w:hint="eastAsia" w:hAnsi="宋体"/>
          <w:b/>
          <w:color w:val="FF0000"/>
          <w:szCs w:val="21"/>
        </w:rPr>
        <w:t>电子投标文件的解密</w:t>
      </w:r>
      <w:r>
        <w:rPr>
          <w:rFonts w:hint="eastAsia" w:asciiTheme="minorEastAsia" w:hAnsiTheme="minorEastAsia"/>
          <w:b/>
          <w:color w:val="FF0000"/>
          <w:szCs w:val="21"/>
        </w:rPr>
        <w:t>）</w:t>
      </w:r>
    </w:p>
    <w:p>
      <w:pPr>
        <w:tabs>
          <w:tab w:val="left" w:pos="7095"/>
        </w:tabs>
        <w:spacing w:line="360" w:lineRule="auto"/>
        <w:ind w:firstLine="420"/>
        <w:contextualSpacing/>
        <w:rPr>
          <w:rFonts w:hAnsi="宋体"/>
          <w:color w:val="000000"/>
          <w:szCs w:val="21"/>
        </w:rPr>
      </w:pPr>
      <w:r>
        <w:rPr>
          <w:rFonts w:hint="eastAsia" w:asciiTheme="minorEastAsia" w:hAnsiTheme="minorEastAsia"/>
          <w:color w:val="000000"/>
          <w:szCs w:val="21"/>
        </w:rPr>
        <w:t>5</w:t>
      </w:r>
      <w:r>
        <w:rPr>
          <w:rFonts w:asciiTheme="minorEastAsia" w:hAnsiTheme="minorEastAsia"/>
          <w:color w:val="000000"/>
          <w:szCs w:val="21"/>
        </w:rPr>
        <w:t>.</w:t>
      </w:r>
      <w:r>
        <w:rPr>
          <w:rFonts w:hint="eastAsia" w:asciiTheme="minorEastAsia" w:hAnsiTheme="minorEastAsia"/>
          <w:color w:val="000000"/>
          <w:szCs w:val="21"/>
        </w:rPr>
        <w:t xml:space="preserve">1 </w:t>
      </w:r>
      <w:r>
        <w:rPr>
          <w:rFonts w:hint="eastAsia" w:hAnsi="宋体"/>
          <w:color w:val="000000"/>
          <w:szCs w:val="21"/>
        </w:rPr>
        <w:t>投标人应熟悉《许昌市不见面操作手册》，并提前设置不见面开标浏览器（设置流程详见《许昌市不见面操作手册》）。</w:t>
      </w:r>
    </w:p>
    <w:p>
      <w:pPr>
        <w:tabs>
          <w:tab w:val="left" w:pos="7095"/>
        </w:tabs>
        <w:spacing w:line="360" w:lineRule="auto"/>
        <w:ind w:firstLine="420"/>
        <w:contextualSpacing/>
        <w:rPr>
          <w:rFonts w:hAnsi="宋体"/>
          <w:color w:val="000000"/>
          <w:szCs w:val="21"/>
        </w:rPr>
      </w:pPr>
      <w:r>
        <w:rPr>
          <w:rFonts w:hint="eastAsia" w:asciiTheme="minorEastAsia" w:hAnsiTheme="minorEastAsia"/>
          <w:color w:val="000000"/>
          <w:szCs w:val="21"/>
        </w:rPr>
        <w:t xml:space="preserve">5.2 </w:t>
      </w:r>
      <w:r>
        <w:rPr>
          <w:rFonts w:hint="eastAsia" w:hAnsi="宋体"/>
          <w:color w:val="000000"/>
          <w:szCs w:val="21"/>
        </w:rPr>
        <w:t>《许昌市不见面操作手册》下载路径：全国公共资源交易平台（河南省·许昌市）—“资料下载”栏目。</w:t>
      </w:r>
    </w:p>
    <w:p>
      <w:pPr>
        <w:tabs>
          <w:tab w:val="left" w:pos="7095"/>
        </w:tabs>
        <w:spacing w:line="360" w:lineRule="auto"/>
        <w:ind w:firstLine="420"/>
        <w:contextualSpacing/>
        <w:rPr>
          <w:rFonts w:hAnsi="宋体"/>
          <w:color w:val="000000"/>
          <w:szCs w:val="21"/>
        </w:rPr>
      </w:pPr>
      <w:r>
        <w:rPr>
          <w:rFonts w:hint="eastAsia" w:asciiTheme="minorEastAsia" w:hAnsiTheme="minorEastAsia"/>
          <w:color w:val="000000"/>
          <w:szCs w:val="21"/>
        </w:rPr>
        <w:t>5.</w:t>
      </w:r>
      <w:r>
        <w:rPr>
          <w:rFonts w:asciiTheme="minorEastAsia" w:hAnsiTheme="minorEastAsia"/>
          <w:color w:val="000000"/>
          <w:szCs w:val="21"/>
        </w:rPr>
        <w:t>3</w:t>
      </w:r>
      <w:r>
        <w:rPr>
          <w:rFonts w:hint="eastAsia" w:cs="仿宋_GB2312" w:asciiTheme="minorEastAsia" w:hAnsiTheme="minorEastAsia"/>
          <w:color w:val="000000"/>
          <w:szCs w:val="21"/>
        </w:rPr>
        <w:t>开标时间前投标人应登录本项目不见面开标大厅，按照招标文件确定的开标时间准时参加网上开标。</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5.4</w:t>
      </w:r>
      <w:r>
        <w:rPr>
          <w:rFonts w:hint="eastAsia" w:hAnsi="宋体"/>
          <w:color w:val="000000"/>
          <w:szCs w:val="21"/>
        </w:rPr>
        <w:t>投标人对开标过程和开标记录如有疑义，可在本项目不见面开标大厅“文字互动”对话框或“新增质疑”处在线提出询问。</w:t>
      </w:r>
    </w:p>
    <w:p>
      <w:pPr>
        <w:tabs>
          <w:tab w:val="left" w:pos="7095"/>
        </w:tabs>
        <w:spacing w:line="360" w:lineRule="auto"/>
        <w:ind w:firstLine="420" w:firstLineChars="200"/>
        <w:contextualSpacing/>
        <w:rPr>
          <w:rFonts w:asciiTheme="minorEastAsia" w:hAnsiTheme="minorEastAsia"/>
          <w:color w:val="000000"/>
          <w:szCs w:val="21"/>
        </w:rPr>
      </w:pPr>
      <w:r>
        <w:rPr>
          <w:rFonts w:hint="eastAsia" w:asciiTheme="minorEastAsia" w:hAnsiTheme="minorEastAsia"/>
          <w:color w:val="000000"/>
          <w:szCs w:val="21"/>
        </w:rPr>
        <w:t>5.5根据采购代理机构在“文字互动”对话框的通知，投标人选择功能栏“解密环节”按钮进行电子投标文件解密（投标人解密应自采购代理机构点击“开标”按钮后60分钟内完成）。投标人未解密或</w:t>
      </w:r>
      <w:r>
        <w:rPr>
          <w:rFonts w:hint="eastAsia" w:cs="宋体" w:asciiTheme="minorEastAsia" w:hAnsiTheme="minorEastAsia"/>
          <w:kern w:val="0"/>
          <w:szCs w:val="21"/>
        </w:rPr>
        <w:t>因投标人原因解密失败的，其投标将被拒绝。</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5.6项目远程</w:t>
      </w:r>
      <w:r>
        <w:rPr>
          <w:rFonts w:hint="eastAsia" w:hAnsi="宋体"/>
          <w:color w:val="000000"/>
          <w:szCs w:val="21"/>
        </w:rPr>
        <w:t>不见面开标活动结束时，投标人应在《开标记录表》上进行电子签章。投标人未签章的，视同认可开标结果。</w:t>
      </w: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6.</w:t>
      </w:r>
      <w:r>
        <w:rPr>
          <w:rFonts w:hint="eastAsia" w:hAnsi="宋体"/>
          <w:b/>
          <w:color w:val="000000"/>
          <w:szCs w:val="21"/>
        </w:rPr>
        <w:t>评标依据</w:t>
      </w:r>
    </w:p>
    <w:p>
      <w:pPr>
        <w:tabs>
          <w:tab w:val="left" w:pos="7095"/>
        </w:tabs>
        <w:spacing w:line="360" w:lineRule="auto"/>
        <w:ind w:firstLine="420" w:firstLineChars="200"/>
        <w:contextualSpacing/>
        <w:rPr>
          <w:rFonts w:hAnsi="宋体"/>
          <w:color w:val="FF0000"/>
          <w:szCs w:val="21"/>
        </w:rPr>
      </w:pPr>
      <w:r>
        <w:rPr>
          <w:rFonts w:hint="eastAsia" w:asciiTheme="minorEastAsia" w:hAnsiTheme="minorEastAsia"/>
          <w:color w:val="FF0000"/>
          <w:szCs w:val="21"/>
        </w:rPr>
        <w:t>6.1</w:t>
      </w:r>
      <w:r>
        <w:rPr>
          <w:rFonts w:hint="eastAsia" w:hAnsi="宋体"/>
          <w:color w:val="FF0000"/>
          <w:szCs w:val="21"/>
        </w:rPr>
        <w:t>全流程电子化交易（不见面开标）项目，评标委员会以成功上传、解密的电子投标文件为依据评审。</w:t>
      </w:r>
    </w:p>
    <w:p>
      <w:pPr>
        <w:tabs>
          <w:tab w:val="left" w:pos="7095"/>
        </w:tabs>
        <w:spacing w:line="360" w:lineRule="auto"/>
        <w:ind w:firstLine="420" w:firstLineChars="200"/>
        <w:contextualSpacing/>
        <w:rPr>
          <w:rFonts w:asciiTheme="minorEastAsia" w:hAnsiTheme="minorEastAsia"/>
          <w:color w:val="FF0000"/>
          <w:szCs w:val="21"/>
        </w:rPr>
      </w:pPr>
      <w:r>
        <w:rPr>
          <w:rFonts w:hint="eastAsia" w:asciiTheme="minorEastAsia" w:hAnsiTheme="minorEastAsia"/>
          <w:color w:val="FF0000"/>
          <w:szCs w:val="21"/>
        </w:rPr>
        <w:t>6.2 评标期间，投标人应保持通讯手机畅通。</w:t>
      </w:r>
      <w:r>
        <w:rPr>
          <w:rFonts w:hint="eastAsia" w:cs="宋体" w:asciiTheme="minorEastAsia" w:hAnsiTheme="minorEastAsia"/>
          <w:color w:val="FF0000"/>
          <w:kern w:val="0"/>
          <w:szCs w:val="21"/>
        </w:rPr>
        <w:t>评标委员会</w:t>
      </w:r>
      <w:r>
        <w:rPr>
          <w:rFonts w:hint="eastAsia" w:asciiTheme="minorEastAsia" w:hAnsiTheme="minorEastAsia"/>
          <w:color w:val="FF0000"/>
          <w:szCs w:val="21"/>
        </w:rPr>
        <w:t>如</w:t>
      </w:r>
      <w:r>
        <w:rPr>
          <w:rFonts w:hint="eastAsia" w:cs="宋体" w:asciiTheme="minorEastAsia" w:hAnsiTheme="minorEastAsia"/>
          <w:color w:val="FF0000"/>
          <w:kern w:val="0"/>
          <w:szCs w:val="21"/>
        </w:rPr>
        <w:t>要求投标人作出澄清、说明或者补正等，投标人应在评标委员会要求的评标期间合理的时间内通过电子邮件形式提供。投标人通过电子邮件提供的书面说明或相关证明材料应加盖公章，或者由法定代表人或其授权的代表签字。</w:t>
      </w:r>
    </w:p>
    <w:p>
      <w:pPr>
        <w:tabs>
          <w:tab w:val="left" w:pos="7095"/>
        </w:tabs>
        <w:spacing w:line="360" w:lineRule="auto"/>
        <w:ind w:firstLine="420" w:firstLineChars="200"/>
        <w:contextualSpacing/>
        <w:rPr>
          <w:rFonts w:hint="eastAsia" w:hAnsi="宋体"/>
          <w:color w:val="000000"/>
          <w:szCs w:val="21"/>
        </w:rPr>
      </w:pPr>
      <w:r>
        <w:rPr>
          <w:rFonts w:hint="eastAsia" w:hAnsi="宋体"/>
          <w:color w:val="000000"/>
          <w:szCs w:val="21"/>
        </w:rPr>
        <w:t>6.3有多轮报价得，各投标人应提前准备号分项报价，为多轮报价做好准备，在谈判小组发起报价通知后，在规定时间内提交有效报价。</w:t>
      </w:r>
    </w:p>
    <w:p>
      <w:pPr>
        <w:pStyle w:val="2"/>
      </w:pPr>
    </w:p>
    <w:p>
      <w:pPr>
        <w:numPr>
          <w:ilvl w:val="0"/>
          <w:numId w:val="4"/>
        </w:numPr>
        <w:jc w:val="center"/>
        <w:rPr>
          <w:rFonts w:hint="eastAsia" w:ascii="宋体" w:hAnsi="宋体" w:cs="宋体"/>
          <w:b/>
          <w:kern w:val="0"/>
          <w:sz w:val="32"/>
          <w:szCs w:val="32"/>
        </w:rPr>
      </w:pPr>
      <w:r>
        <w:rPr>
          <w:rFonts w:hint="eastAsia" w:ascii="宋体" w:hAnsi="宋体" w:cs="宋体"/>
          <w:b/>
          <w:kern w:val="0"/>
          <w:sz w:val="32"/>
          <w:szCs w:val="32"/>
        </w:rPr>
        <w:t>项目需求</w:t>
      </w:r>
      <w:bookmarkStart w:id="0" w:name="_Hlk17379885"/>
      <w:r>
        <w:rPr>
          <w:rFonts w:hint="eastAsia" w:ascii="宋体" w:hAnsi="宋体" w:cs="宋体"/>
          <w:b/>
          <w:kern w:val="0"/>
          <w:sz w:val="32"/>
          <w:szCs w:val="32"/>
        </w:rPr>
        <w:t xml:space="preserve"> </w:t>
      </w:r>
    </w:p>
    <w:p>
      <w:pPr>
        <w:widowControl/>
        <w:spacing w:line="360" w:lineRule="auto"/>
        <w:ind w:firstLine="482" w:firstLineChars="200"/>
        <w:jc w:val="left"/>
        <w:rPr>
          <w:rFonts w:ascii="宋体" w:hAnsi="宋体" w:cs="黑体"/>
          <w:b/>
          <w:bCs/>
          <w:color w:val="000000"/>
          <w:sz w:val="24"/>
          <w:szCs w:val="24"/>
          <w:shd w:val="clear" w:color="auto" w:fill="FFFFFF"/>
        </w:rPr>
      </w:pPr>
      <w:bookmarkStart w:id="1" w:name="_Toc346208010"/>
      <w:bookmarkStart w:id="2" w:name="_Toc26739"/>
      <w:bookmarkStart w:id="3" w:name="_Toc297668007"/>
      <w:bookmarkStart w:id="4" w:name="_Toc261876241"/>
      <w:bookmarkStart w:id="5" w:name="_Toc268067962"/>
      <w:r>
        <w:rPr>
          <w:rFonts w:hint="eastAsia" w:hAnsi="宋体" w:cs="宋体"/>
          <w:b/>
          <w:bCs/>
          <w:sz w:val="24"/>
        </w:rPr>
        <w:t>一、</w:t>
      </w:r>
      <w:bookmarkEnd w:id="1"/>
      <w:bookmarkEnd w:id="2"/>
      <w:r>
        <w:rPr>
          <w:rFonts w:hint="eastAsia" w:ascii="宋体" w:hAnsi="宋体" w:cs="黑体"/>
          <w:b/>
          <w:bCs/>
          <w:color w:val="000000"/>
          <w:sz w:val="24"/>
          <w:szCs w:val="24"/>
          <w:shd w:val="clear" w:color="auto" w:fill="FFFFFF"/>
        </w:rPr>
        <w:t>本项目需实现的功能或者目标</w:t>
      </w:r>
    </w:p>
    <w:p>
      <w:pPr>
        <w:spacing w:line="360" w:lineRule="auto"/>
        <w:ind w:firstLine="480" w:firstLineChars="200"/>
        <w:rPr>
          <w:rFonts w:hAnsi="宋体" w:cs="宋体"/>
          <w:sz w:val="24"/>
        </w:rPr>
      </w:pPr>
      <w:bookmarkStart w:id="6" w:name="_Toc346208011"/>
      <w:bookmarkStart w:id="7" w:name="_Toc598"/>
      <w:r>
        <w:rPr>
          <w:rFonts w:hint="eastAsia" w:hAnsi="宋体" w:cs="宋体"/>
          <w:sz w:val="24"/>
        </w:rPr>
        <w:t>按照党中央、国务院决策部署，牢固树立和贯彻落实创新、协调、绿色、开放、共享的发展理念，以促进简政放权、放管结合、优化服务改革措施落地为目标，进一步规范行政权力运行、优化政务服务供给，降低制度性交易成本，解决影响企业和群众办事创业的难点堵点，进一步激发社会和市场活力；以运用现代信息技术创新公共管理方式为手段，坚持问题导向，强化顶层设计，注重资源整合，优化各部门网上政务服务平台建设，促进网上政务服务运行规范、程序严密、过程透明、结果公开、监督有力，切实增强政务服务的主动性、精准性和便捷性，为推进政府治理的智慧化创新提供有力支撑和保障。</w:t>
      </w:r>
    </w:p>
    <w:bookmarkEnd w:id="6"/>
    <w:bookmarkEnd w:id="7"/>
    <w:p>
      <w:pPr>
        <w:spacing w:line="360" w:lineRule="auto"/>
        <w:ind w:firstLine="480" w:firstLineChars="200"/>
        <w:rPr>
          <w:rFonts w:hAnsi="宋体" w:cs="宋体"/>
          <w:sz w:val="24"/>
        </w:rPr>
      </w:pPr>
      <w:r>
        <w:rPr>
          <w:rFonts w:hint="eastAsia" w:hAnsi="宋体" w:cs="宋体"/>
          <w:sz w:val="24"/>
        </w:rPr>
        <w:t>为了进一步提升经开区对辖区内社会经济单元及社会发展的管控能力、进一步提升应用效能、进一步提升政府执法、服务水平，为经开区二次创业创造更好的条件，因此，国家许昌经济技术开发区管委会决定，对管委会大楼2层东侧原开发区办税大厅位置建设智慧联动中心项目。</w:t>
      </w:r>
    </w:p>
    <w:p>
      <w:pPr>
        <w:widowControl/>
        <w:spacing w:line="360" w:lineRule="auto"/>
        <w:ind w:firstLine="482" w:firstLineChars="200"/>
        <w:jc w:val="left"/>
        <w:rPr>
          <w:rFonts w:hAnsi="宋体" w:cs="宋体"/>
          <w:b/>
          <w:bCs/>
          <w:sz w:val="24"/>
        </w:rPr>
      </w:pPr>
      <w:r>
        <w:rPr>
          <w:rFonts w:hint="eastAsia" w:hAnsi="宋体" w:cs="宋体"/>
          <w:b/>
          <w:bCs/>
          <w:sz w:val="24"/>
        </w:rPr>
        <w:t>二、采购需求</w:t>
      </w:r>
    </w:p>
    <w:p>
      <w:pPr>
        <w:pStyle w:val="6"/>
        <w:spacing w:before="120" w:after="156"/>
        <w:ind w:firstLine="480" w:firstLineChars="200"/>
        <w:jc w:val="left"/>
        <w:rPr>
          <w:rFonts w:ascii="Calibri" w:cs="宋体"/>
          <w:b w:val="0"/>
          <w:color w:val="auto"/>
          <w:kern w:val="2"/>
          <w:szCs w:val="22"/>
          <w:lang w:val="en-US"/>
        </w:rPr>
      </w:pPr>
      <w:r>
        <w:rPr>
          <w:rFonts w:hint="eastAsia" w:ascii="Calibri" w:cs="宋体"/>
          <w:b w:val="0"/>
          <w:color w:val="auto"/>
          <w:kern w:val="2"/>
          <w:szCs w:val="22"/>
          <w:lang w:val="en-US"/>
        </w:rPr>
        <w:t>1、项目地址</w:t>
      </w:r>
    </w:p>
    <w:p>
      <w:pPr>
        <w:pStyle w:val="6"/>
        <w:spacing w:before="120" w:after="156"/>
        <w:ind w:firstLine="480" w:firstLineChars="200"/>
        <w:jc w:val="left"/>
        <w:rPr>
          <w:rFonts w:ascii="Calibri" w:cs="宋体"/>
          <w:b w:val="0"/>
          <w:color w:val="auto"/>
          <w:kern w:val="2"/>
          <w:szCs w:val="22"/>
          <w:lang w:val="en-US"/>
        </w:rPr>
      </w:pPr>
      <w:r>
        <w:rPr>
          <w:rFonts w:hint="eastAsia" w:ascii="Calibri" w:cs="宋体"/>
          <w:b w:val="0"/>
          <w:color w:val="auto"/>
          <w:kern w:val="2"/>
          <w:szCs w:val="22"/>
          <w:lang w:val="en-US"/>
        </w:rPr>
        <w:t>本项目位于许昌经济技术开发区管委会大楼2层东侧，原开发区办税大厅。</w:t>
      </w:r>
    </w:p>
    <w:p>
      <w:pPr>
        <w:pStyle w:val="6"/>
        <w:spacing w:before="120" w:after="156"/>
        <w:ind w:firstLine="480" w:firstLineChars="200"/>
        <w:jc w:val="left"/>
        <w:rPr>
          <w:rFonts w:ascii="Calibri" w:cs="宋体"/>
          <w:b w:val="0"/>
          <w:color w:val="auto"/>
          <w:kern w:val="2"/>
          <w:szCs w:val="22"/>
          <w:lang w:val="en-US"/>
        </w:rPr>
      </w:pPr>
      <w:r>
        <w:rPr>
          <w:rFonts w:hint="eastAsia" w:ascii="Calibri" w:cs="宋体"/>
          <w:b w:val="0"/>
          <w:color w:val="auto"/>
          <w:kern w:val="2"/>
          <w:szCs w:val="22"/>
          <w:lang w:val="en-US"/>
        </w:rPr>
        <w:t>2、项目建设内容</w:t>
      </w:r>
      <w:bookmarkEnd w:id="3"/>
      <w:bookmarkEnd w:id="4"/>
      <w:bookmarkEnd w:id="5"/>
      <w:bookmarkStart w:id="8" w:name="_Toc261876242"/>
      <w:bookmarkStart w:id="9" w:name="_Toc268067963"/>
      <w:bookmarkStart w:id="10" w:name="_Toc297668008"/>
    </w:p>
    <w:p>
      <w:pPr>
        <w:pStyle w:val="6"/>
        <w:spacing w:before="120" w:after="156"/>
        <w:ind w:firstLine="480" w:firstLineChars="200"/>
        <w:jc w:val="left"/>
        <w:rPr>
          <w:rFonts w:ascii="Calibri" w:cs="宋体"/>
          <w:b w:val="0"/>
          <w:color w:val="auto"/>
          <w:kern w:val="2"/>
          <w:szCs w:val="22"/>
          <w:lang w:val="en-US"/>
        </w:rPr>
      </w:pPr>
      <w:r>
        <w:rPr>
          <w:rFonts w:hint="eastAsia" w:ascii="Calibri" w:cs="宋体"/>
          <w:b w:val="0"/>
          <w:color w:val="auto"/>
          <w:kern w:val="2"/>
          <w:szCs w:val="22"/>
          <w:lang w:val="en-US"/>
        </w:rPr>
        <w:t>（1）由于本项目中，需要对管委会大楼2层东侧原开发区办税大厅内部分设施需要拆除及重装、需加装新风、空调等系统，并对有关部位进行加固等工序，同时开展智慧中心建设。</w:t>
      </w:r>
    </w:p>
    <w:p>
      <w:pPr>
        <w:spacing w:before="120" w:after="10" w:line="360" w:lineRule="auto"/>
        <w:rPr>
          <w:rFonts w:hAnsi="宋体" w:cs="宋体"/>
          <w:sz w:val="24"/>
        </w:rPr>
      </w:pPr>
      <w:r>
        <w:rPr>
          <w:rFonts w:hint="eastAsia" w:hAnsi="宋体" w:cs="宋体"/>
          <w:sz w:val="24"/>
        </w:rPr>
        <w:t>（2）除上述内容外，主要建设内容：国标B级计算机机房一座，联动指挥大厅一座， 多功能会议室一个，大数据管理与应用平台系统一套，对与机房、指挥大厅、多功能会议室相对应的空间及附属空间的整修。</w:t>
      </w:r>
    </w:p>
    <w:bookmarkEnd w:id="8"/>
    <w:bookmarkEnd w:id="9"/>
    <w:tbl>
      <w:tblPr>
        <w:tblStyle w:val="24"/>
        <w:tblW w:w="0" w:type="auto"/>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0"/>
        <w:gridCol w:w="1055"/>
        <w:gridCol w:w="58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2080" w:type="dxa"/>
            <w:noWrap w:val="0"/>
            <w:vAlign w:val="center"/>
          </w:tcPr>
          <w:p>
            <w:pPr>
              <w:pStyle w:val="2"/>
              <w:spacing w:line="360" w:lineRule="auto"/>
              <w:ind w:firstLine="240"/>
              <w:jc w:val="center"/>
              <w:rPr>
                <w:rFonts w:ascii="Calibri" w:hAnsi="宋体" w:cs="宋体"/>
                <w:kern w:val="2"/>
                <w:sz w:val="24"/>
                <w:szCs w:val="22"/>
              </w:rPr>
            </w:pPr>
            <w:r>
              <w:rPr>
                <w:rFonts w:hint="eastAsia" w:ascii="Calibri" w:hAnsi="宋体" w:cs="宋体"/>
                <w:kern w:val="2"/>
                <w:sz w:val="24"/>
                <w:szCs w:val="22"/>
              </w:rPr>
              <w:t>建设内容</w:t>
            </w:r>
          </w:p>
        </w:tc>
        <w:tc>
          <w:tcPr>
            <w:tcW w:w="1055" w:type="dxa"/>
            <w:noWrap w:val="0"/>
            <w:vAlign w:val="center"/>
          </w:tcPr>
          <w:p>
            <w:pPr>
              <w:pStyle w:val="2"/>
              <w:spacing w:line="360" w:lineRule="auto"/>
              <w:ind w:firstLine="0" w:firstLineChars="0"/>
              <w:jc w:val="center"/>
              <w:rPr>
                <w:rFonts w:ascii="Calibri" w:hAnsi="宋体" w:cs="宋体"/>
                <w:kern w:val="2"/>
                <w:sz w:val="24"/>
                <w:szCs w:val="22"/>
              </w:rPr>
            </w:pPr>
            <w:r>
              <w:rPr>
                <w:rFonts w:hint="eastAsia" w:ascii="Calibri" w:hAnsi="宋体" w:cs="宋体"/>
                <w:kern w:val="2"/>
                <w:sz w:val="24"/>
                <w:szCs w:val="22"/>
              </w:rPr>
              <w:t>序号</w:t>
            </w:r>
          </w:p>
        </w:tc>
        <w:tc>
          <w:tcPr>
            <w:tcW w:w="5864" w:type="dxa"/>
            <w:noWrap w:val="0"/>
            <w:vAlign w:val="center"/>
          </w:tcPr>
          <w:p>
            <w:pPr>
              <w:pStyle w:val="2"/>
              <w:spacing w:line="360" w:lineRule="auto"/>
              <w:ind w:firstLine="240"/>
              <w:jc w:val="center"/>
              <w:rPr>
                <w:rFonts w:ascii="Calibri" w:hAnsi="宋体" w:cs="宋体"/>
                <w:kern w:val="2"/>
                <w:sz w:val="24"/>
                <w:szCs w:val="22"/>
              </w:rPr>
            </w:pPr>
            <w:r>
              <w:rPr>
                <w:rFonts w:hint="eastAsia" w:ascii="Calibri" w:hAnsi="宋体" w:cs="宋体"/>
                <w:kern w:val="2"/>
                <w:sz w:val="24"/>
                <w:szCs w:val="22"/>
              </w:rPr>
              <w:t>分项建设内容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2080" w:type="dxa"/>
            <w:vMerge w:val="restart"/>
            <w:noWrap w:val="0"/>
            <w:vAlign w:val="center"/>
          </w:tcPr>
          <w:p>
            <w:pPr>
              <w:pStyle w:val="2"/>
              <w:spacing w:line="360" w:lineRule="auto"/>
              <w:ind w:firstLine="240"/>
              <w:jc w:val="center"/>
              <w:rPr>
                <w:rFonts w:ascii="Calibri" w:hAnsi="宋体" w:cs="宋体"/>
                <w:kern w:val="2"/>
                <w:sz w:val="24"/>
                <w:szCs w:val="22"/>
              </w:rPr>
            </w:pPr>
            <w:r>
              <w:rPr>
                <w:rFonts w:hint="eastAsia" w:ascii="Calibri" w:hAnsi="宋体" w:cs="宋体"/>
                <w:kern w:val="2"/>
                <w:sz w:val="24"/>
                <w:szCs w:val="22"/>
              </w:rPr>
              <w:t>计</w:t>
            </w:r>
          </w:p>
          <w:p>
            <w:pPr>
              <w:pStyle w:val="2"/>
              <w:spacing w:line="360" w:lineRule="auto"/>
              <w:ind w:firstLine="240"/>
              <w:jc w:val="center"/>
              <w:rPr>
                <w:rFonts w:ascii="Calibri" w:hAnsi="宋体" w:cs="宋体"/>
                <w:kern w:val="2"/>
                <w:sz w:val="24"/>
                <w:szCs w:val="22"/>
              </w:rPr>
            </w:pPr>
            <w:r>
              <w:rPr>
                <w:rFonts w:hint="eastAsia" w:ascii="Calibri" w:hAnsi="宋体" w:cs="宋体"/>
                <w:kern w:val="2"/>
                <w:sz w:val="24"/>
                <w:szCs w:val="22"/>
              </w:rPr>
              <w:t>算</w:t>
            </w:r>
          </w:p>
          <w:p>
            <w:pPr>
              <w:pStyle w:val="2"/>
              <w:spacing w:line="360" w:lineRule="auto"/>
              <w:ind w:firstLine="240"/>
              <w:jc w:val="center"/>
              <w:rPr>
                <w:rFonts w:ascii="Calibri" w:hAnsi="宋体" w:cs="宋体"/>
                <w:kern w:val="2"/>
                <w:sz w:val="24"/>
                <w:szCs w:val="22"/>
              </w:rPr>
            </w:pPr>
            <w:r>
              <w:rPr>
                <w:rFonts w:hint="eastAsia" w:ascii="Calibri" w:hAnsi="宋体" w:cs="宋体"/>
                <w:kern w:val="2"/>
                <w:sz w:val="24"/>
                <w:szCs w:val="22"/>
              </w:rPr>
              <w:t>机</w:t>
            </w:r>
          </w:p>
          <w:p>
            <w:pPr>
              <w:pStyle w:val="2"/>
              <w:spacing w:line="360" w:lineRule="auto"/>
              <w:ind w:firstLine="240"/>
              <w:jc w:val="center"/>
              <w:rPr>
                <w:rFonts w:ascii="Calibri" w:hAnsi="宋体" w:cs="宋体"/>
                <w:kern w:val="2"/>
                <w:sz w:val="24"/>
                <w:szCs w:val="22"/>
              </w:rPr>
            </w:pPr>
            <w:r>
              <w:rPr>
                <w:rFonts w:hint="eastAsia" w:ascii="Calibri" w:hAnsi="宋体" w:cs="宋体"/>
                <w:kern w:val="2"/>
                <w:sz w:val="24"/>
                <w:szCs w:val="22"/>
              </w:rPr>
              <w:t>机</w:t>
            </w:r>
          </w:p>
          <w:p>
            <w:pPr>
              <w:pStyle w:val="2"/>
              <w:spacing w:line="360" w:lineRule="auto"/>
              <w:ind w:firstLine="240"/>
              <w:jc w:val="center"/>
              <w:rPr>
                <w:rFonts w:ascii="Calibri" w:hAnsi="宋体" w:cs="宋体"/>
                <w:kern w:val="2"/>
                <w:sz w:val="24"/>
                <w:szCs w:val="22"/>
              </w:rPr>
            </w:pPr>
            <w:r>
              <w:rPr>
                <w:rFonts w:hint="eastAsia" w:ascii="Calibri" w:hAnsi="宋体" w:cs="宋体"/>
                <w:kern w:val="2"/>
                <w:sz w:val="24"/>
                <w:szCs w:val="22"/>
              </w:rPr>
              <w:t>房</w:t>
            </w:r>
          </w:p>
        </w:tc>
        <w:tc>
          <w:tcPr>
            <w:tcW w:w="1055" w:type="dxa"/>
            <w:noWrap/>
            <w:vAlign w:val="center"/>
          </w:tcPr>
          <w:p>
            <w:pPr>
              <w:pStyle w:val="2"/>
              <w:spacing w:line="360" w:lineRule="auto"/>
              <w:ind w:firstLine="240"/>
              <w:jc w:val="center"/>
              <w:rPr>
                <w:rFonts w:ascii="Calibri" w:hAnsi="宋体" w:cs="宋体"/>
                <w:kern w:val="2"/>
                <w:sz w:val="24"/>
                <w:szCs w:val="22"/>
              </w:rPr>
            </w:pPr>
            <w:r>
              <w:rPr>
                <w:rFonts w:hint="eastAsia" w:ascii="Calibri" w:hAnsi="宋体" w:cs="宋体"/>
                <w:kern w:val="2"/>
                <w:sz w:val="24"/>
                <w:szCs w:val="22"/>
              </w:rPr>
              <w:t>1</w:t>
            </w:r>
          </w:p>
        </w:tc>
        <w:tc>
          <w:tcPr>
            <w:tcW w:w="5864" w:type="dxa"/>
            <w:noWrap w:val="0"/>
            <w:vAlign w:val="center"/>
          </w:tcPr>
          <w:p>
            <w:pPr>
              <w:pStyle w:val="2"/>
              <w:spacing w:line="360" w:lineRule="auto"/>
              <w:ind w:firstLine="240"/>
              <w:jc w:val="center"/>
              <w:rPr>
                <w:rFonts w:ascii="Calibri" w:hAnsi="宋体" w:cs="宋体"/>
                <w:kern w:val="2"/>
                <w:sz w:val="24"/>
                <w:szCs w:val="22"/>
              </w:rPr>
            </w:pPr>
            <w:r>
              <w:rPr>
                <w:rFonts w:hint="eastAsia" w:ascii="Calibri" w:hAnsi="宋体" w:cs="宋体"/>
                <w:kern w:val="2"/>
                <w:sz w:val="24"/>
                <w:szCs w:val="22"/>
              </w:rPr>
              <w:t>模块架构设备、安装及调试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2080" w:type="dxa"/>
            <w:vMerge w:val="continue"/>
            <w:noWrap w:val="0"/>
            <w:vAlign w:val="center"/>
          </w:tcPr>
          <w:p>
            <w:pPr>
              <w:pStyle w:val="2"/>
              <w:spacing w:line="360" w:lineRule="auto"/>
              <w:ind w:firstLine="240"/>
              <w:jc w:val="center"/>
              <w:rPr>
                <w:rFonts w:ascii="Calibri" w:hAnsi="宋体" w:cs="宋体"/>
                <w:kern w:val="2"/>
                <w:sz w:val="24"/>
                <w:szCs w:val="22"/>
              </w:rPr>
            </w:pPr>
          </w:p>
        </w:tc>
        <w:tc>
          <w:tcPr>
            <w:tcW w:w="1055" w:type="dxa"/>
            <w:noWrap/>
            <w:vAlign w:val="center"/>
          </w:tcPr>
          <w:p>
            <w:pPr>
              <w:pStyle w:val="2"/>
              <w:spacing w:line="360" w:lineRule="auto"/>
              <w:ind w:firstLine="240"/>
              <w:jc w:val="center"/>
              <w:rPr>
                <w:rFonts w:ascii="Calibri" w:hAnsi="宋体" w:cs="宋体"/>
                <w:kern w:val="2"/>
                <w:sz w:val="24"/>
                <w:szCs w:val="22"/>
              </w:rPr>
            </w:pPr>
            <w:r>
              <w:rPr>
                <w:rFonts w:hint="eastAsia" w:ascii="Calibri" w:hAnsi="宋体" w:cs="宋体"/>
                <w:kern w:val="2"/>
                <w:sz w:val="24"/>
                <w:szCs w:val="22"/>
              </w:rPr>
              <w:t>2</w:t>
            </w:r>
          </w:p>
        </w:tc>
        <w:tc>
          <w:tcPr>
            <w:tcW w:w="5864" w:type="dxa"/>
            <w:noWrap w:val="0"/>
            <w:vAlign w:val="center"/>
          </w:tcPr>
          <w:p>
            <w:pPr>
              <w:pStyle w:val="2"/>
              <w:spacing w:line="360" w:lineRule="auto"/>
              <w:ind w:firstLine="240"/>
              <w:jc w:val="center"/>
              <w:rPr>
                <w:rFonts w:ascii="Calibri" w:hAnsi="宋体" w:cs="宋体"/>
                <w:kern w:val="2"/>
                <w:sz w:val="24"/>
                <w:szCs w:val="22"/>
              </w:rPr>
            </w:pPr>
            <w:r>
              <w:rPr>
                <w:rFonts w:hint="eastAsia" w:ascii="Calibri" w:hAnsi="宋体" w:cs="宋体"/>
                <w:kern w:val="2"/>
                <w:sz w:val="24"/>
                <w:szCs w:val="22"/>
              </w:rPr>
              <w:t>机电配电设备、安装及调试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2080" w:type="dxa"/>
            <w:vMerge w:val="continue"/>
            <w:noWrap w:val="0"/>
            <w:vAlign w:val="center"/>
          </w:tcPr>
          <w:p>
            <w:pPr>
              <w:pStyle w:val="2"/>
              <w:spacing w:line="360" w:lineRule="auto"/>
              <w:ind w:firstLine="240"/>
              <w:jc w:val="center"/>
              <w:rPr>
                <w:rFonts w:ascii="Calibri" w:hAnsi="宋体" w:cs="宋体"/>
                <w:kern w:val="2"/>
                <w:sz w:val="24"/>
                <w:szCs w:val="22"/>
              </w:rPr>
            </w:pPr>
          </w:p>
        </w:tc>
        <w:tc>
          <w:tcPr>
            <w:tcW w:w="1055" w:type="dxa"/>
            <w:noWrap/>
            <w:vAlign w:val="center"/>
          </w:tcPr>
          <w:p>
            <w:pPr>
              <w:pStyle w:val="2"/>
              <w:spacing w:line="360" w:lineRule="auto"/>
              <w:ind w:firstLine="240"/>
              <w:jc w:val="center"/>
              <w:rPr>
                <w:rFonts w:ascii="Calibri" w:hAnsi="宋体" w:cs="宋体"/>
                <w:kern w:val="2"/>
                <w:sz w:val="24"/>
                <w:szCs w:val="22"/>
              </w:rPr>
            </w:pPr>
            <w:r>
              <w:rPr>
                <w:rFonts w:hint="eastAsia" w:ascii="Calibri" w:hAnsi="宋体" w:cs="宋体"/>
                <w:kern w:val="2"/>
                <w:sz w:val="24"/>
                <w:szCs w:val="22"/>
              </w:rPr>
              <w:t>3</w:t>
            </w:r>
          </w:p>
        </w:tc>
        <w:tc>
          <w:tcPr>
            <w:tcW w:w="5864" w:type="dxa"/>
            <w:noWrap w:val="0"/>
            <w:vAlign w:val="center"/>
          </w:tcPr>
          <w:p>
            <w:pPr>
              <w:pStyle w:val="2"/>
              <w:spacing w:line="360" w:lineRule="auto"/>
              <w:ind w:firstLine="240"/>
              <w:jc w:val="center"/>
              <w:rPr>
                <w:rFonts w:ascii="Calibri" w:hAnsi="宋体" w:cs="宋体"/>
                <w:kern w:val="2"/>
                <w:sz w:val="24"/>
                <w:szCs w:val="22"/>
              </w:rPr>
            </w:pPr>
            <w:r>
              <w:rPr>
                <w:rFonts w:hint="eastAsia" w:ascii="Calibri" w:hAnsi="宋体" w:cs="宋体"/>
                <w:kern w:val="2"/>
                <w:sz w:val="24"/>
                <w:szCs w:val="22"/>
              </w:rPr>
              <w:t>制冷及空气调节设备、安装及调试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2080" w:type="dxa"/>
            <w:vMerge w:val="continue"/>
            <w:noWrap w:val="0"/>
            <w:vAlign w:val="center"/>
          </w:tcPr>
          <w:p>
            <w:pPr>
              <w:pStyle w:val="2"/>
              <w:spacing w:line="360" w:lineRule="auto"/>
              <w:ind w:firstLine="240"/>
              <w:jc w:val="center"/>
              <w:rPr>
                <w:rFonts w:ascii="Calibri" w:hAnsi="宋体" w:cs="宋体"/>
                <w:kern w:val="2"/>
                <w:sz w:val="24"/>
                <w:szCs w:val="22"/>
              </w:rPr>
            </w:pPr>
          </w:p>
        </w:tc>
        <w:tc>
          <w:tcPr>
            <w:tcW w:w="1055" w:type="dxa"/>
            <w:noWrap/>
            <w:vAlign w:val="center"/>
          </w:tcPr>
          <w:p>
            <w:pPr>
              <w:pStyle w:val="2"/>
              <w:spacing w:line="360" w:lineRule="auto"/>
              <w:ind w:firstLine="240"/>
              <w:jc w:val="center"/>
              <w:rPr>
                <w:rFonts w:ascii="Calibri" w:hAnsi="宋体" w:cs="宋体"/>
                <w:kern w:val="2"/>
                <w:sz w:val="24"/>
                <w:szCs w:val="22"/>
              </w:rPr>
            </w:pPr>
            <w:r>
              <w:rPr>
                <w:rFonts w:hint="eastAsia" w:ascii="Calibri" w:hAnsi="宋体" w:cs="宋体"/>
                <w:kern w:val="2"/>
                <w:sz w:val="24"/>
                <w:szCs w:val="22"/>
              </w:rPr>
              <w:t>4</w:t>
            </w:r>
          </w:p>
        </w:tc>
        <w:tc>
          <w:tcPr>
            <w:tcW w:w="5864" w:type="dxa"/>
            <w:noWrap w:val="0"/>
            <w:vAlign w:val="center"/>
          </w:tcPr>
          <w:p>
            <w:pPr>
              <w:pStyle w:val="2"/>
              <w:spacing w:line="360" w:lineRule="auto"/>
              <w:ind w:firstLine="240"/>
              <w:jc w:val="center"/>
              <w:rPr>
                <w:rFonts w:ascii="Calibri" w:hAnsi="宋体" w:cs="宋体"/>
                <w:kern w:val="2"/>
                <w:sz w:val="24"/>
                <w:szCs w:val="22"/>
              </w:rPr>
            </w:pPr>
            <w:r>
              <w:rPr>
                <w:rFonts w:hint="eastAsia" w:ascii="Calibri" w:hAnsi="宋体" w:cs="宋体"/>
                <w:kern w:val="2"/>
                <w:sz w:val="24"/>
                <w:szCs w:val="22"/>
              </w:rPr>
              <w:t>弱电系统设备、安装及调试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2080" w:type="dxa"/>
            <w:vMerge w:val="continue"/>
            <w:noWrap w:val="0"/>
            <w:vAlign w:val="center"/>
          </w:tcPr>
          <w:p>
            <w:pPr>
              <w:pStyle w:val="2"/>
              <w:spacing w:line="360" w:lineRule="auto"/>
              <w:ind w:firstLine="240"/>
              <w:jc w:val="center"/>
              <w:rPr>
                <w:rFonts w:ascii="Calibri" w:hAnsi="宋体" w:cs="宋体"/>
                <w:kern w:val="2"/>
                <w:sz w:val="24"/>
                <w:szCs w:val="22"/>
              </w:rPr>
            </w:pPr>
          </w:p>
        </w:tc>
        <w:tc>
          <w:tcPr>
            <w:tcW w:w="1055" w:type="dxa"/>
            <w:noWrap/>
            <w:vAlign w:val="center"/>
          </w:tcPr>
          <w:p>
            <w:pPr>
              <w:pStyle w:val="2"/>
              <w:spacing w:line="360" w:lineRule="auto"/>
              <w:ind w:firstLine="240"/>
              <w:jc w:val="center"/>
              <w:rPr>
                <w:rFonts w:ascii="Calibri" w:hAnsi="宋体" w:cs="宋体"/>
                <w:kern w:val="2"/>
                <w:sz w:val="24"/>
                <w:szCs w:val="22"/>
              </w:rPr>
            </w:pPr>
            <w:r>
              <w:rPr>
                <w:rFonts w:hint="eastAsia" w:ascii="Calibri" w:hAnsi="宋体" w:cs="宋体"/>
                <w:kern w:val="2"/>
                <w:sz w:val="24"/>
                <w:szCs w:val="22"/>
              </w:rPr>
              <w:t>5</w:t>
            </w:r>
          </w:p>
        </w:tc>
        <w:tc>
          <w:tcPr>
            <w:tcW w:w="5864" w:type="dxa"/>
            <w:noWrap w:val="0"/>
            <w:vAlign w:val="center"/>
          </w:tcPr>
          <w:p>
            <w:pPr>
              <w:pStyle w:val="2"/>
              <w:spacing w:line="360" w:lineRule="auto"/>
              <w:ind w:firstLine="240"/>
              <w:jc w:val="center"/>
              <w:rPr>
                <w:rFonts w:ascii="Calibri" w:hAnsi="宋体" w:cs="宋体"/>
                <w:kern w:val="2"/>
                <w:sz w:val="24"/>
                <w:szCs w:val="22"/>
              </w:rPr>
            </w:pPr>
            <w:r>
              <w:rPr>
                <w:rFonts w:hint="eastAsia" w:ascii="Calibri" w:hAnsi="宋体" w:cs="宋体"/>
                <w:kern w:val="2"/>
                <w:sz w:val="24"/>
                <w:szCs w:val="22"/>
              </w:rPr>
              <w:t>消防系统设备、安装及调试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2080" w:type="dxa"/>
            <w:noWrap w:val="0"/>
            <w:vAlign w:val="center"/>
          </w:tcPr>
          <w:p>
            <w:pPr>
              <w:pStyle w:val="2"/>
              <w:spacing w:line="360" w:lineRule="auto"/>
              <w:ind w:left="239" w:leftChars="114" w:firstLine="0" w:firstLineChars="0"/>
              <w:jc w:val="center"/>
              <w:rPr>
                <w:rFonts w:ascii="Calibri" w:hAnsi="宋体" w:cs="宋体"/>
                <w:kern w:val="2"/>
                <w:sz w:val="24"/>
                <w:szCs w:val="22"/>
              </w:rPr>
            </w:pPr>
            <w:r>
              <w:rPr>
                <w:rFonts w:hint="eastAsia" w:ascii="Calibri" w:hAnsi="宋体" w:cs="宋体"/>
                <w:kern w:val="2"/>
                <w:sz w:val="24"/>
                <w:szCs w:val="22"/>
              </w:rPr>
              <w:t>指挥大厅</w:t>
            </w:r>
          </w:p>
        </w:tc>
        <w:tc>
          <w:tcPr>
            <w:tcW w:w="1055" w:type="dxa"/>
            <w:noWrap/>
            <w:vAlign w:val="center"/>
          </w:tcPr>
          <w:p>
            <w:pPr>
              <w:pStyle w:val="2"/>
              <w:spacing w:line="360" w:lineRule="auto"/>
              <w:ind w:firstLine="240"/>
              <w:jc w:val="center"/>
              <w:rPr>
                <w:rFonts w:ascii="Calibri" w:hAnsi="宋体" w:cs="宋体"/>
                <w:kern w:val="2"/>
                <w:sz w:val="24"/>
                <w:szCs w:val="22"/>
              </w:rPr>
            </w:pPr>
            <w:r>
              <w:rPr>
                <w:rFonts w:ascii="Calibri" w:hAnsi="宋体" w:cs="宋体"/>
                <w:kern w:val="2"/>
                <w:sz w:val="24"/>
                <w:szCs w:val="22"/>
              </w:rPr>
              <w:t>6</w:t>
            </w:r>
          </w:p>
        </w:tc>
        <w:tc>
          <w:tcPr>
            <w:tcW w:w="5864" w:type="dxa"/>
            <w:noWrap w:val="0"/>
            <w:vAlign w:val="center"/>
          </w:tcPr>
          <w:p>
            <w:pPr>
              <w:pStyle w:val="2"/>
              <w:spacing w:line="360" w:lineRule="auto"/>
              <w:ind w:firstLine="240"/>
              <w:jc w:val="center"/>
              <w:rPr>
                <w:rFonts w:ascii="Calibri" w:hAnsi="宋体" w:cs="宋体"/>
                <w:kern w:val="2"/>
                <w:sz w:val="24"/>
                <w:szCs w:val="22"/>
              </w:rPr>
            </w:pPr>
            <w:r>
              <w:rPr>
                <w:rFonts w:hint="eastAsia" w:ascii="Calibri" w:hAnsi="宋体" w:cs="宋体"/>
                <w:kern w:val="2"/>
                <w:sz w:val="24"/>
                <w:szCs w:val="22"/>
              </w:rPr>
              <w:t>指挥大厅设备、安装及系统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2080" w:type="dxa"/>
            <w:noWrap w:val="0"/>
            <w:vAlign w:val="center"/>
          </w:tcPr>
          <w:p>
            <w:pPr>
              <w:pStyle w:val="2"/>
              <w:spacing w:line="360" w:lineRule="auto"/>
              <w:ind w:firstLine="240"/>
              <w:jc w:val="center"/>
              <w:rPr>
                <w:rFonts w:ascii="Calibri" w:hAnsi="宋体" w:cs="宋体"/>
                <w:kern w:val="2"/>
                <w:sz w:val="24"/>
                <w:szCs w:val="22"/>
              </w:rPr>
            </w:pPr>
            <w:r>
              <w:rPr>
                <w:rFonts w:hint="eastAsia" w:ascii="Calibri" w:hAnsi="宋体" w:cs="宋体"/>
                <w:kern w:val="2"/>
                <w:sz w:val="24"/>
                <w:szCs w:val="22"/>
              </w:rPr>
              <w:t>多功能会议厅</w:t>
            </w:r>
          </w:p>
        </w:tc>
        <w:tc>
          <w:tcPr>
            <w:tcW w:w="1055" w:type="dxa"/>
            <w:noWrap/>
            <w:vAlign w:val="center"/>
          </w:tcPr>
          <w:p>
            <w:pPr>
              <w:pStyle w:val="2"/>
              <w:spacing w:line="360" w:lineRule="auto"/>
              <w:ind w:firstLine="240"/>
              <w:jc w:val="center"/>
              <w:rPr>
                <w:rFonts w:ascii="Calibri" w:hAnsi="宋体" w:cs="宋体"/>
                <w:kern w:val="2"/>
                <w:sz w:val="24"/>
                <w:szCs w:val="22"/>
              </w:rPr>
            </w:pPr>
            <w:r>
              <w:rPr>
                <w:rFonts w:ascii="Calibri" w:hAnsi="宋体" w:cs="宋体"/>
                <w:kern w:val="2"/>
                <w:sz w:val="24"/>
                <w:szCs w:val="22"/>
              </w:rPr>
              <w:t>7</w:t>
            </w:r>
          </w:p>
        </w:tc>
        <w:tc>
          <w:tcPr>
            <w:tcW w:w="5864" w:type="dxa"/>
            <w:noWrap w:val="0"/>
            <w:vAlign w:val="center"/>
          </w:tcPr>
          <w:p>
            <w:pPr>
              <w:pStyle w:val="2"/>
              <w:spacing w:line="360" w:lineRule="auto"/>
              <w:ind w:firstLine="240"/>
              <w:jc w:val="center"/>
              <w:rPr>
                <w:rFonts w:ascii="Calibri" w:hAnsi="宋体" w:cs="宋体"/>
                <w:kern w:val="2"/>
                <w:sz w:val="24"/>
                <w:szCs w:val="22"/>
              </w:rPr>
            </w:pPr>
            <w:r>
              <w:rPr>
                <w:rFonts w:hint="eastAsia" w:ascii="Calibri" w:hAnsi="宋体" w:cs="宋体"/>
                <w:kern w:val="2"/>
                <w:sz w:val="24"/>
                <w:szCs w:val="22"/>
              </w:rPr>
              <w:t>多功能会议厅设备、安装及系统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2080" w:type="dxa"/>
            <w:vMerge w:val="restart"/>
            <w:noWrap w:val="0"/>
            <w:vAlign w:val="center"/>
          </w:tcPr>
          <w:p>
            <w:pPr>
              <w:pStyle w:val="2"/>
              <w:spacing w:line="360" w:lineRule="auto"/>
              <w:ind w:firstLine="240"/>
              <w:jc w:val="center"/>
              <w:rPr>
                <w:rFonts w:ascii="Calibri" w:hAnsi="宋体" w:cs="宋体"/>
                <w:kern w:val="2"/>
                <w:sz w:val="24"/>
                <w:szCs w:val="22"/>
              </w:rPr>
            </w:pPr>
            <w:r>
              <w:rPr>
                <w:rFonts w:hint="eastAsia" w:ascii="Calibri" w:hAnsi="宋体" w:cs="宋体"/>
                <w:kern w:val="2"/>
                <w:sz w:val="24"/>
                <w:szCs w:val="22"/>
              </w:rPr>
              <w:t>数据管理系统</w:t>
            </w:r>
          </w:p>
        </w:tc>
        <w:tc>
          <w:tcPr>
            <w:tcW w:w="1055" w:type="dxa"/>
            <w:noWrap/>
            <w:vAlign w:val="center"/>
          </w:tcPr>
          <w:p>
            <w:pPr>
              <w:pStyle w:val="2"/>
              <w:spacing w:line="360" w:lineRule="auto"/>
              <w:ind w:firstLine="240"/>
              <w:jc w:val="center"/>
              <w:rPr>
                <w:rFonts w:ascii="Calibri" w:hAnsi="宋体" w:cs="宋体"/>
                <w:kern w:val="2"/>
                <w:sz w:val="24"/>
                <w:szCs w:val="22"/>
              </w:rPr>
            </w:pPr>
            <w:r>
              <w:rPr>
                <w:rFonts w:hint="eastAsia" w:ascii="Calibri" w:hAnsi="宋体" w:cs="宋体"/>
                <w:kern w:val="2"/>
                <w:sz w:val="24"/>
                <w:szCs w:val="22"/>
              </w:rPr>
              <w:t>8</w:t>
            </w:r>
          </w:p>
        </w:tc>
        <w:tc>
          <w:tcPr>
            <w:tcW w:w="5864" w:type="dxa"/>
            <w:noWrap w:val="0"/>
            <w:vAlign w:val="center"/>
          </w:tcPr>
          <w:p>
            <w:pPr>
              <w:pStyle w:val="2"/>
              <w:spacing w:line="360" w:lineRule="auto"/>
              <w:ind w:firstLine="240"/>
              <w:jc w:val="center"/>
              <w:rPr>
                <w:rFonts w:hint="eastAsia" w:ascii="Calibri" w:hAnsi="宋体" w:cs="宋体"/>
                <w:kern w:val="2"/>
                <w:sz w:val="24"/>
                <w:szCs w:val="22"/>
              </w:rPr>
            </w:pPr>
            <w:r>
              <w:rPr>
                <w:rFonts w:hint="eastAsia" w:ascii="Calibri" w:hAnsi="宋体" w:cs="宋体"/>
                <w:kern w:val="2"/>
                <w:sz w:val="24"/>
                <w:szCs w:val="22"/>
              </w:rPr>
              <w:t>服务器及网络设备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2080" w:type="dxa"/>
            <w:vMerge w:val="continue"/>
            <w:noWrap w:val="0"/>
            <w:vAlign w:val="center"/>
          </w:tcPr>
          <w:p>
            <w:pPr>
              <w:pStyle w:val="2"/>
              <w:spacing w:line="360" w:lineRule="auto"/>
              <w:ind w:firstLine="240"/>
              <w:jc w:val="center"/>
              <w:rPr>
                <w:rFonts w:hint="eastAsia" w:ascii="Calibri" w:hAnsi="宋体" w:cs="宋体"/>
                <w:kern w:val="2"/>
                <w:sz w:val="24"/>
                <w:szCs w:val="22"/>
              </w:rPr>
            </w:pPr>
          </w:p>
        </w:tc>
        <w:tc>
          <w:tcPr>
            <w:tcW w:w="1055" w:type="dxa"/>
            <w:noWrap/>
            <w:vAlign w:val="center"/>
          </w:tcPr>
          <w:p>
            <w:pPr>
              <w:pStyle w:val="2"/>
              <w:spacing w:line="360" w:lineRule="auto"/>
              <w:ind w:firstLine="240"/>
              <w:jc w:val="center"/>
              <w:rPr>
                <w:rFonts w:hint="eastAsia" w:ascii="Calibri" w:hAnsi="宋体" w:cs="宋体"/>
                <w:kern w:val="2"/>
                <w:sz w:val="24"/>
                <w:szCs w:val="22"/>
              </w:rPr>
            </w:pPr>
            <w:r>
              <w:rPr>
                <w:rFonts w:hint="eastAsia" w:ascii="Calibri" w:hAnsi="宋体" w:cs="宋体"/>
                <w:kern w:val="2"/>
                <w:sz w:val="24"/>
                <w:szCs w:val="22"/>
              </w:rPr>
              <w:t>9</w:t>
            </w:r>
          </w:p>
        </w:tc>
        <w:tc>
          <w:tcPr>
            <w:tcW w:w="5864" w:type="dxa"/>
            <w:noWrap w:val="0"/>
            <w:vAlign w:val="center"/>
          </w:tcPr>
          <w:p>
            <w:pPr>
              <w:pStyle w:val="2"/>
              <w:spacing w:line="360" w:lineRule="auto"/>
              <w:ind w:firstLine="240"/>
              <w:jc w:val="center"/>
              <w:rPr>
                <w:rFonts w:hint="eastAsia" w:ascii="Calibri" w:hAnsi="宋体" w:cs="宋体"/>
                <w:kern w:val="2"/>
                <w:sz w:val="24"/>
                <w:szCs w:val="22"/>
              </w:rPr>
            </w:pPr>
            <w:r>
              <w:rPr>
                <w:rFonts w:hint="eastAsia" w:ascii="Calibri" w:hAnsi="宋体" w:cs="宋体"/>
                <w:kern w:val="2"/>
                <w:sz w:val="24"/>
                <w:szCs w:val="22"/>
              </w:rPr>
              <w:t>数据信息安全系统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2080" w:type="dxa"/>
            <w:vMerge w:val="continue"/>
            <w:noWrap w:val="0"/>
            <w:vAlign w:val="center"/>
          </w:tcPr>
          <w:p>
            <w:pPr>
              <w:pStyle w:val="2"/>
              <w:spacing w:line="360" w:lineRule="auto"/>
              <w:ind w:firstLine="240"/>
              <w:jc w:val="center"/>
              <w:rPr>
                <w:rFonts w:hint="eastAsia" w:ascii="Calibri" w:hAnsi="宋体" w:cs="宋体"/>
                <w:kern w:val="2"/>
                <w:sz w:val="24"/>
                <w:szCs w:val="22"/>
              </w:rPr>
            </w:pPr>
          </w:p>
        </w:tc>
        <w:tc>
          <w:tcPr>
            <w:tcW w:w="1055" w:type="dxa"/>
            <w:noWrap/>
            <w:vAlign w:val="center"/>
          </w:tcPr>
          <w:p>
            <w:pPr>
              <w:pStyle w:val="2"/>
              <w:spacing w:line="360" w:lineRule="auto"/>
              <w:ind w:firstLine="240"/>
              <w:jc w:val="center"/>
              <w:rPr>
                <w:rFonts w:ascii="Calibri" w:hAnsi="宋体" w:cs="宋体"/>
                <w:kern w:val="2"/>
                <w:sz w:val="24"/>
                <w:szCs w:val="22"/>
              </w:rPr>
            </w:pPr>
            <w:r>
              <w:rPr>
                <w:rFonts w:ascii="Calibri" w:hAnsi="宋体" w:cs="宋体"/>
                <w:kern w:val="2"/>
                <w:sz w:val="24"/>
                <w:szCs w:val="22"/>
              </w:rPr>
              <w:t>10</w:t>
            </w:r>
          </w:p>
        </w:tc>
        <w:tc>
          <w:tcPr>
            <w:tcW w:w="5864" w:type="dxa"/>
            <w:noWrap w:val="0"/>
            <w:vAlign w:val="center"/>
          </w:tcPr>
          <w:p>
            <w:pPr>
              <w:pStyle w:val="2"/>
              <w:spacing w:line="360" w:lineRule="auto"/>
              <w:ind w:firstLine="240"/>
              <w:jc w:val="center"/>
              <w:rPr>
                <w:rFonts w:ascii="Calibri" w:hAnsi="宋体" w:cs="宋体"/>
                <w:kern w:val="2"/>
                <w:sz w:val="24"/>
                <w:szCs w:val="22"/>
              </w:rPr>
            </w:pPr>
            <w:r>
              <w:rPr>
                <w:rFonts w:hint="eastAsia" w:ascii="Calibri" w:hAnsi="宋体" w:cs="宋体"/>
                <w:kern w:val="2"/>
                <w:sz w:val="24"/>
                <w:szCs w:val="22"/>
              </w:rPr>
              <w:t>大数据基础系统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2080" w:type="dxa"/>
            <w:vMerge w:val="continue"/>
            <w:noWrap w:val="0"/>
            <w:vAlign w:val="center"/>
          </w:tcPr>
          <w:p>
            <w:pPr>
              <w:pStyle w:val="2"/>
              <w:spacing w:line="360" w:lineRule="auto"/>
              <w:ind w:firstLine="240"/>
              <w:jc w:val="center"/>
              <w:rPr>
                <w:rFonts w:ascii="Calibri" w:hAnsi="宋体" w:cs="宋体"/>
                <w:kern w:val="2"/>
                <w:sz w:val="24"/>
                <w:szCs w:val="22"/>
              </w:rPr>
            </w:pPr>
          </w:p>
        </w:tc>
        <w:tc>
          <w:tcPr>
            <w:tcW w:w="1055" w:type="dxa"/>
            <w:noWrap/>
            <w:vAlign w:val="center"/>
          </w:tcPr>
          <w:p>
            <w:pPr>
              <w:pStyle w:val="2"/>
              <w:spacing w:line="360" w:lineRule="auto"/>
              <w:ind w:firstLine="240"/>
              <w:jc w:val="center"/>
              <w:rPr>
                <w:rFonts w:ascii="Calibri" w:hAnsi="宋体" w:cs="宋体"/>
                <w:kern w:val="2"/>
                <w:sz w:val="24"/>
                <w:szCs w:val="22"/>
              </w:rPr>
            </w:pPr>
            <w:r>
              <w:rPr>
                <w:rFonts w:hint="eastAsia" w:ascii="Calibri" w:hAnsi="宋体" w:cs="宋体"/>
                <w:kern w:val="2"/>
                <w:sz w:val="24"/>
                <w:szCs w:val="22"/>
              </w:rPr>
              <w:t>1</w:t>
            </w:r>
            <w:r>
              <w:rPr>
                <w:rFonts w:ascii="Calibri" w:hAnsi="宋体" w:cs="宋体"/>
                <w:kern w:val="2"/>
                <w:sz w:val="24"/>
                <w:szCs w:val="22"/>
              </w:rPr>
              <w:t>1</w:t>
            </w:r>
          </w:p>
        </w:tc>
        <w:tc>
          <w:tcPr>
            <w:tcW w:w="5864" w:type="dxa"/>
            <w:noWrap w:val="0"/>
            <w:vAlign w:val="center"/>
          </w:tcPr>
          <w:p>
            <w:pPr>
              <w:pStyle w:val="2"/>
              <w:spacing w:line="360" w:lineRule="auto"/>
              <w:ind w:firstLine="240"/>
              <w:jc w:val="center"/>
              <w:rPr>
                <w:rFonts w:ascii="Calibri" w:hAnsi="宋体" w:cs="宋体"/>
                <w:kern w:val="2"/>
                <w:sz w:val="24"/>
                <w:szCs w:val="22"/>
              </w:rPr>
            </w:pPr>
            <w:r>
              <w:rPr>
                <w:rFonts w:hint="eastAsia" w:ascii="Calibri" w:hAnsi="宋体" w:cs="宋体"/>
                <w:kern w:val="2"/>
                <w:sz w:val="24"/>
                <w:szCs w:val="22"/>
              </w:rPr>
              <w:t>大数据资产服务系统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2080" w:type="dxa"/>
            <w:vMerge w:val="continue"/>
            <w:noWrap w:val="0"/>
            <w:vAlign w:val="center"/>
          </w:tcPr>
          <w:p>
            <w:pPr>
              <w:pStyle w:val="2"/>
              <w:spacing w:line="360" w:lineRule="auto"/>
              <w:ind w:firstLine="240"/>
              <w:jc w:val="center"/>
              <w:rPr>
                <w:rFonts w:ascii="Calibri" w:hAnsi="宋体" w:cs="宋体"/>
                <w:kern w:val="2"/>
                <w:sz w:val="24"/>
                <w:szCs w:val="22"/>
              </w:rPr>
            </w:pPr>
          </w:p>
        </w:tc>
        <w:tc>
          <w:tcPr>
            <w:tcW w:w="1055" w:type="dxa"/>
            <w:noWrap/>
            <w:vAlign w:val="center"/>
          </w:tcPr>
          <w:p>
            <w:pPr>
              <w:pStyle w:val="2"/>
              <w:spacing w:line="360" w:lineRule="auto"/>
              <w:ind w:firstLine="240"/>
              <w:jc w:val="center"/>
              <w:rPr>
                <w:rFonts w:ascii="Calibri" w:hAnsi="宋体" w:cs="宋体"/>
                <w:kern w:val="2"/>
                <w:sz w:val="24"/>
                <w:szCs w:val="22"/>
              </w:rPr>
            </w:pPr>
            <w:r>
              <w:rPr>
                <w:rFonts w:hint="eastAsia" w:ascii="Calibri" w:hAnsi="宋体" w:cs="宋体"/>
                <w:kern w:val="2"/>
                <w:sz w:val="24"/>
                <w:szCs w:val="22"/>
              </w:rPr>
              <w:t>1</w:t>
            </w:r>
            <w:r>
              <w:rPr>
                <w:rFonts w:ascii="Calibri" w:hAnsi="宋体" w:cs="宋体"/>
                <w:kern w:val="2"/>
                <w:sz w:val="24"/>
                <w:szCs w:val="22"/>
              </w:rPr>
              <w:t>2</w:t>
            </w:r>
          </w:p>
        </w:tc>
        <w:tc>
          <w:tcPr>
            <w:tcW w:w="5864" w:type="dxa"/>
            <w:noWrap w:val="0"/>
            <w:vAlign w:val="center"/>
          </w:tcPr>
          <w:p>
            <w:pPr>
              <w:pStyle w:val="2"/>
              <w:spacing w:line="360" w:lineRule="auto"/>
              <w:ind w:firstLine="240"/>
              <w:jc w:val="center"/>
              <w:rPr>
                <w:rFonts w:ascii="Calibri" w:hAnsi="宋体" w:cs="宋体"/>
                <w:kern w:val="2"/>
                <w:sz w:val="24"/>
                <w:szCs w:val="22"/>
              </w:rPr>
            </w:pPr>
            <w:r>
              <w:rPr>
                <w:rFonts w:hint="eastAsia" w:ascii="Calibri" w:hAnsi="宋体" w:cs="宋体"/>
                <w:kern w:val="2"/>
                <w:sz w:val="24"/>
                <w:szCs w:val="22"/>
              </w:rPr>
              <w:t>大数据指挥大厅平台管理系统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2080" w:type="dxa"/>
            <w:vMerge w:val="restart"/>
            <w:noWrap w:val="0"/>
            <w:vAlign w:val="center"/>
          </w:tcPr>
          <w:p>
            <w:pPr>
              <w:pStyle w:val="2"/>
              <w:spacing w:line="360" w:lineRule="auto"/>
              <w:ind w:firstLine="240"/>
              <w:jc w:val="center"/>
              <w:rPr>
                <w:rFonts w:ascii="Calibri" w:hAnsi="宋体" w:cs="宋体"/>
                <w:kern w:val="2"/>
                <w:sz w:val="24"/>
                <w:szCs w:val="22"/>
              </w:rPr>
            </w:pPr>
            <w:r>
              <w:rPr>
                <w:rFonts w:hint="eastAsia" w:ascii="Calibri" w:hAnsi="宋体" w:cs="宋体"/>
                <w:kern w:val="2"/>
                <w:sz w:val="24"/>
                <w:szCs w:val="22"/>
              </w:rPr>
              <w:t>指挥大厅、多功能会议室及附属空间</w:t>
            </w:r>
          </w:p>
          <w:p>
            <w:pPr>
              <w:pStyle w:val="2"/>
              <w:spacing w:line="360" w:lineRule="auto"/>
              <w:ind w:firstLine="240"/>
              <w:jc w:val="center"/>
              <w:rPr>
                <w:rFonts w:ascii="Calibri" w:hAnsi="宋体" w:cs="宋体"/>
                <w:kern w:val="2"/>
                <w:sz w:val="24"/>
                <w:szCs w:val="22"/>
              </w:rPr>
            </w:pPr>
          </w:p>
        </w:tc>
        <w:tc>
          <w:tcPr>
            <w:tcW w:w="1055" w:type="dxa"/>
            <w:noWrap w:val="0"/>
            <w:vAlign w:val="center"/>
          </w:tcPr>
          <w:p>
            <w:pPr>
              <w:pStyle w:val="2"/>
              <w:spacing w:line="360" w:lineRule="auto"/>
              <w:ind w:firstLine="240"/>
              <w:jc w:val="center"/>
              <w:rPr>
                <w:rFonts w:ascii="Calibri" w:hAnsi="宋体" w:cs="宋体"/>
                <w:kern w:val="2"/>
                <w:sz w:val="24"/>
                <w:szCs w:val="22"/>
              </w:rPr>
            </w:pPr>
            <w:r>
              <w:rPr>
                <w:rFonts w:hint="eastAsia" w:ascii="Calibri" w:hAnsi="宋体" w:cs="宋体"/>
                <w:kern w:val="2"/>
                <w:sz w:val="24"/>
                <w:szCs w:val="22"/>
              </w:rPr>
              <w:t>1</w:t>
            </w:r>
            <w:r>
              <w:rPr>
                <w:rFonts w:ascii="Calibri" w:hAnsi="宋体" w:cs="宋体"/>
                <w:kern w:val="2"/>
                <w:sz w:val="24"/>
                <w:szCs w:val="22"/>
              </w:rPr>
              <w:t>3</w:t>
            </w:r>
          </w:p>
        </w:tc>
        <w:tc>
          <w:tcPr>
            <w:tcW w:w="5864" w:type="dxa"/>
            <w:noWrap w:val="0"/>
            <w:vAlign w:val="center"/>
          </w:tcPr>
          <w:p>
            <w:pPr>
              <w:pStyle w:val="2"/>
              <w:spacing w:line="360" w:lineRule="auto"/>
              <w:ind w:firstLine="240"/>
              <w:jc w:val="center"/>
              <w:rPr>
                <w:rFonts w:ascii="Calibri" w:hAnsi="宋体" w:cs="宋体"/>
                <w:kern w:val="2"/>
                <w:sz w:val="24"/>
                <w:szCs w:val="22"/>
              </w:rPr>
            </w:pPr>
            <w:r>
              <w:rPr>
                <w:rFonts w:hint="eastAsia" w:ascii="Calibri" w:hAnsi="宋体" w:cs="宋体"/>
                <w:kern w:val="2"/>
                <w:sz w:val="24"/>
                <w:szCs w:val="22"/>
              </w:rPr>
              <w:t>整修（含机房加固）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2080" w:type="dxa"/>
            <w:vMerge w:val="continue"/>
            <w:noWrap w:val="0"/>
            <w:vAlign w:val="center"/>
          </w:tcPr>
          <w:p>
            <w:pPr>
              <w:pStyle w:val="2"/>
              <w:spacing w:line="360" w:lineRule="auto"/>
              <w:ind w:firstLine="240"/>
              <w:jc w:val="center"/>
              <w:rPr>
                <w:rFonts w:ascii="Calibri" w:hAnsi="宋体" w:cs="宋体"/>
                <w:kern w:val="2"/>
                <w:sz w:val="24"/>
                <w:szCs w:val="22"/>
              </w:rPr>
            </w:pPr>
          </w:p>
        </w:tc>
        <w:tc>
          <w:tcPr>
            <w:tcW w:w="1055" w:type="dxa"/>
            <w:noWrap w:val="0"/>
            <w:vAlign w:val="center"/>
          </w:tcPr>
          <w:p>
            <w:pPr>
              <w:pStyle w:val="2"/>
              <w:spacing w:line="360" w:lineRule="auto"/>
              <w:ind w:firstLine="240"/>
              <w:jc w:val="center"/>
              <w:rPr>
                <w:rFonts w:ascii="Calibri" w:hAnsi="宋体" w:cs="宋体"/>
                <w:kern w:val="2"/>
                <w:sz w:val="24"/>
                <w:szCs w:val="22"/>
              </w:rPr>
            </w:pPr>
            <w:r>
              <w:rPr>
                <w:rFonts w:hint="eastAsia" w:ascii="Calibri" w:hAnsi="宋体" w:cs="宋体"/>
                <w:kern w:val="2"/>
                <w:sz w:val="24"/>
                <w:szCs w:val="22"/>
              </w:rPr>
              <w:t>1</w:t>
            </w:r>
            <w:r>
              <w:rPr>
                <w:rFonts w:ascii="Calibri" w:hAnsi="宋体" w:cs="宋体"/>
                <w:kern w:val="2"/>
                <w:sz w:val="24"/>
                <w:szCs w:val="22"/>
              </w:rPr>
              <w:t>4</w:t>
            </w:r>
          </w:p>
        </w:tc>
        <w:tc>
          <w:tcPr>
            <w:tcW w:w="5864" w:type="dxa"/>
            <w:noWrap w:val="0"/>
            <w:vAlign w:val="center"/>
          </w:tcPr>
          <w:p>
            <w:pPr>
              <w:pStyle w:val="2"/>
              <w:spacing w:line="360" w:lineRule="auto"/>
              <w:ind w:firstLine="240"/>
              <w:jc w:val="center"/>
              <w:rPr>
                <w:rFonts w:ascii="Calibri" w:hAnsi="宋体" w:cs="宋体"/>
                <w:kern w:val="2"/>
                <w:sz w:val="24"/>
                <w:szCs w:val="22"/>
              </w:rPr>
            </w:pPr>
            <w:r>
              <w:rPr>
                <w:rFonts w:hint="eastAsia" w:ascii="Calibri" w:hAnsi="宋体" w:cs="宋体"/>
                <w:kern w:val="2"/>
                <w:sz w:val="24"/>
                <w:szCs w:val="22"/>
              </w:rPr>
              <w:t>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2080" w:type="dxa"/>
            <w:vMerge w:val="continue"/>
            <w:noWrap w:val="0"/>
            <w:vAlign w:val="center"/>
          </w:tcPr>
          <w:p>
            <w:pPr>
              <w:pStyle w:val="2"/>
              <w:spacing w:line="360" w:lineRule="auto"/>
              <w:ind w:firstLine="240"/>
              <w:jc w:val="center"/>
              <w:rPr>
                <w:rFonts w:ascii="Calibri" w:hAnsi="宋体" w:cs="宋体"/>
                <w:kern w:val="2"/>
                <w:sz w:val="24"/>
                <w:szCs w:val="22"/>
              </w:rPr>
            </w:pPr>
          </w:p>
        </w:tc>
        <w:tc>
          <w:tcPr>
            <w:tcW w:w="1055" w:type="dxa"/>
            <w:noWrap w:val="0"/>
            <w:vAlign w:val="center"/>
          </w:tcPr>
          <w:p>
            <w:pPr>
              <w:pStyle w:val="2"/>
              <w:spacing w:line="360" w:lineRule="auto"/>
              <w:ind w:firstLine="240"/>
              <w:jc w:val="center"/>
              <w:rPr>
                <w:rFonts w:ascii="Calibri" w:hAnsi="宋体" w:cs="宋体"/>
                <w:kern w:val="2"/>
                <w:sz w:val="24"/>
                <w:szCs w:val="22"/>
              </w:rPr>
            </w:pPr>
            <w:r>
              <w:rPr>
                <w:rFonts w:hint="eastAsia" w:ascii="Calibri" w:hAnsi="宋体" w:cs="宋体"/>
                <w:kern w:val="2"/>
                <w:sz w:val="24"/>
                <w:szCs w:val="22"/>
              </w:rPr>
              <w:t>1</w:t>
            </w:r>
            <w:r>
              <w:rPr>
                <w:rFonts w:ascii="Calibri" w:hAnsi="宋体" w:cs="宋体"/>
                <w:kern w:val="2"/>
                <w:sz w:val="24"/>
                <w:szCs w:val="22"/>
              </w:rPr>
              <w:t>5</w:t>
            </w:r>
          </w:p>
        </w:tc>
        <w:tc>
          <w:tcPr>
            <w:tcW w:w="5864" w:type="dxa"/>
            <w:noWrap w:val="0"/>
            <w:vAlign w:val="center"/>
          </w:tcPr>
          <w:p>
            <w:pPr>
              <w:pStyle w:val="2"/>
              <w:spacing w:line="360" w:lineRule="auto"/>
              <w:ind w:firstLine="240"/>
              <w:jc w:val="center"/>
              <w:rPr>
                <w:rFonts w:ascii="Calibri" w:hAnsi="宋体" w:cs="宋体"/>
                <w:kern w:val="2"/>
                <w:sz w:val="24"/>
                <w:szCs w:val="22"/>
              </w:rPr>
            </w:pPr>
            <w:r>
              <w:rPr>
                <w:rFonts w:hint="eastAsia" w:ascii="Calibri" w:hAnsi="宋体" w:cs="宋体"/>
                <w:kern w:val="2"/>
                <w:sz w:val="24"/>
                <w:szCs w:val="22"/>
              </w:rPr>
              <w:t>拆除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2080" w:type="dxa"/>
            <w:vMerge w:val="continue"/>
            <w:noWrap w:val="0"/>
            <w:vAlign w:val="center"/>
          </w:tcPr>
          <w:p>
            <w:pPr>
              <w:pStyle w:val="2"/>
              <w:spacing w:line="360" w:lineRule="auto"/>
              <w:ind w:firstLine="240"/>
              <w:jc w:val="center"/>
              <w:rPr>
                <w:rFonts w:ascii="Calibri" w:hAnsi="宋体" w:cs="宋体"/>
                <w:kern w:val="2"/>
                <w:sz w:val="24"/>
                <w:szCs w:val="22"/>
              </w:rPr>
            </w:pPr>
          </w:p>
        </w:tc>
        <w:tc>
          <w:tcPr>
            <w:tcW w:w="1055" w:type="dxa"/>
            <w:noWrap w:val="0"/>
            <w:vAlign w:val="center"/>
          </w:tcPr>
          <w:p>
            <w:pPr>
              <w:pStyle w:val="2"/>
              <w:spacing w:line="360" w:lineRule="auto"/>
              <w:ind w:firstLine="240"/>
              <w:jc w:val="center"/>
              <w:rPr>
                <w:rFonts w:ascii="Calibri" w:hAnsi="宋体" w:cs="宋体"/>
                <w:kern w:val="2"/>
                <w:sz w:val="24"/>
                <w:szCs w:val="22"/>
              </w:rPr>
            </w:pPr>
            <w:r>
              <w:rPr>
                <w:rFonts w:hint="eastAsia" w:ascii="Calibri" w:hAnsi="宋体" w:cs="宋体"/>
                <w:kern w:val="2"/>
                <w:sz w:val="24"/>
                <w:szCs w:val="22"/>
              </w:rPr>
              <w:t>1</w:t>
            </w:r>
            <w:r>
              <w:rPr>
                <w:rFonts w:ascii="Calibri" w:hAnsi="宋体" w:cs="宋体"/>
                <w:kern w:val="2"/>
                <w:sz w:val="24"/>
                <w:szCs w:val="22"/>
              </w:rPr>
              <w:t>6</w:t>
            </w:r>
          </w:p>
        </w:tc>
        <w:tc>
          <w:tcPr>
            <w:tcW w:w="5864" w:type="dxa"/>
            <w:noWrap w:val="0"/>
            <w:vAlign w:val="center"/>
          </w:tcPr>
          <w:p>
            <w:pPr>
              <w:pStyle w:val="2"/>
              <w:spacing w:line="360" w:lineRule="auto"/>
              <w:ind w:firstLine="240"/>
              <w:jc w:val="center"/>
              <w:rPr>
                <w:rFonts w:ascii="Calibri" w:hAnsi="宋体" w:cs="宋体"/>
                <w:kern w:val="2"/>
                <w:sz w:val="24"/>
                <w:szCs w:val="22"/>
              </w:rPr>
            </w:pPr>
            <w:r>
              <w:rPr>
                <w:rFonts w:hint="eastAsia" w:ascii="Calibri" w:hAnsi="宋体" w:cs="宋体"/>
                <w:kern w:val="2"/>
                <w:sz w:val="24"/>
                <w:szCs w:val="22"/>
              </w:rPr>
              <w:t>新风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2080" w:type="dxa"/>
            <w:vMerge w:val="continue"/>
            <w:noWrap w:val="0"/>
            <w:vAlign w:val="center"/>
          </w:tcPr>
          <w:p>
            <w:pPr>
              <w:pStyle w:val="2"/>
              <w:spacing w:line="360" w:lineRule="auto"/>
              <w:ind w:firstLine="240"/>
              <w:jc w:val="center"/>
              <w:rPr>
                <w:rFonts w:ascii="Calibri" w:hAnsi="宋体" w:cs="宋体"/>
                <w:kern w:val="2"/>
                <w:sz w:val="24"/>
                <w:szCs w:val="22"/>
              </w:rPr>
            </w:pPr>
          </w:p>
        </w:tc>
        <w:tc>
          <w:tcPr>
            <w:tcW w:w="1055" w:type="dxa"/>
            <w:noWrap w:val="0"/>
            <w:vAlign w:val="center"/>
          </w:tcPr>
          <w:p>
            <w:pPr>
              <w:pStyle w:val="2"/>
              <w:spacing w:line="360" w:lineRule="auto"/>
              <w:ind w:firstLine="240"/>
              <w:jc w:val="center"/>
              <w:rPr>
                <w:rFonts w:ascii="Calibri" w:hAnsi="宋体" w:cs="宋体"/>
                <w:kern w:val="2"/>
                <w:sz w:val="24"/>
                <w:szCs w:val="22"/>
              </w:rPr>
            </w:pPr>
            <w:r>
              <w:rPr>
                <w:rFonts w:hint="eastAsia" w:ascii="Calibri" w:hAnsi="宋体" w:cs="宋体"/>
                <w:kern w:val="2"/>
                <w:sz w:val="24"/>
                <w:szCs w:val="22"/>
              </w:rPr>
              <w:t>1</w:t>
            </w:r>
            <w:r>
              <w:rPr>
                <w:rFonts w:ascii="Calibri" w:hAnsi="宋体" w:cs="宋体"/>
                <w:kern w:val="2"/>
                <w:sz w:val="24"/>
                <w:szCs w:val="22"/>
              </w:rPr>
              <w:t>7</w:t>
            </w:r>
          </w:p>
        </w:tc>
        <w:tc>
          <w:tcPr>
            <w:tcW w:w="5864" w:type="dxa"/>
            <w:noWrap w:val="0"/>
            <w:vAlign w:val="center"/>
          </w:tcPr>
          <w:p>
            <w:pPr>
              <w:pStyle w:val="2"/>
              <w:spacing w:line="360" w:lineRule="auto"/>
              <w:ind w:firstLine="240"/>
              <w:jc w:val="center"/>
              <w:rPr>
                <w:rFonts w:ascii="Calibri" w:hAnsi="宋体" w:cs="宋体"/>
                <w:kern w:val="2"/>
                <w:sz w:val="24"/>
                <w:szCs w:val="22"/>
              </w:rPr>
            </w:pPr>
            <w:r>
              <w:rPr>
                <w:rFonts w:hint="eastAsia" w:ascii="Calibri" w:hAnsi="宋体" w:cs="宋体"/>
                <w:kern w:val="2"/>
                <w:sz w:val="24"/>
                <w:szCs w:val="22"/>
              </w:rPr>
              <w:t>空调</w:t>
            </w:r>
          </w:p>
        </w:tc>
      </w:tr>
      <w:bookmarkEnd w:id="10"/>
    </w:tbl>
    <w:p>
      <w:pPr>
        <w:adjustRightInd w:val="0"/>
        <w:snapToGrid w:val="0"/>
        <w:ind w:firstLine="480" w:firstLineChars="200"/>
        <w:rPr>
          <w:rFonts w:hAnsi="宋体" w:cs="宋体"/>
          <w:sz w:val="24"/>
        </w:rPr>
      </w:pPr>
      <w:r>
        <w:rPr>
          <w:rFonts w:hint="eastAsia" w:hAnsi="宋体" w:cs="宋体"/>
          <w:sz w:val="24"/>
        </w:rPr>
        <w:t>3、采购清单</w:t>
      </w:r>
    </w:p>
    <w:p>
      <w:pPr>
        <w:pStyle w:val="2"/>
        <w:ind w:firstLine="320"/>
        <w:jc w:val="center"/>
        <w:rPr>
          <w:rFonts w:ascii="仿宋_GB2312" w:eastAsia="仿宋_GB2312"/>
          <w:b/>
          <w:sz w:val="32"/>
          <w:szCs w:val="32"/>
        </w:rPr>
      </w:pPr>
      <w:r>
        <w:rPr>
          <w:rFonts w:hint="eastAsia" w:ascii="仿宋_GB2312" w:eastAsia="仿宋_GB2312"/>
          <w:b/>
          <w:sz w:val="32"/>
          <w:szCs w:val="32"/>
        </w:rPr>
        <w:t>标准化机房采购清单</w:t>
      </w:r>
    </w:p>
    <w:tbl>
      <w:tblPr>
        <w:tblStyle w:val="24"/>
        <w:tblW w:w="9510" w:type="dxa"/>
        <w:tblInd w:w="0" w:type="dxa"/>
        <w:tblLayout w:type="fixed"/>
        <w:tblCellMar>
          <w:top w:w="0" w:type="dxa"/>
          <w:left w:w="0" w:type="dxa"/>
          <w:bottom w:w="0" w:type="dxa"/>
          <w:right w:w="0" w:type="dxa"/>
        </w:tblCellMar>
      </w:tblPr>
      <w:tblGrid>
        <w:gridCol w:w="346"/>
        <w:gridCol w:w="1292"/>
        <w:gridCol w:w="6787"/>
        <w:gridCol w:w="514"/>
        <w:gridCol w:w="571"/>
      </w:tblGrid>
      <w:tr>
        <w:tblPrEx>
          <w:tblCellMar>
            <w:top w:w="0" w:type="dxa"/>
            <w:left w:w="0" w:type="dxa"/>
            <w:bottom w:w="0" w:type="dxa"/>
            <w:right w:w="0" w:type="dxa"/>
          </w:tblCellMar>
        </w:tblPrEx>
        <w:trPr>
          <w:trHeight w:val="240" w:hRule="atLeast"/>
        </w:trPr>
        <w:tc>
          <w:tcPr>
            <w:tcW w:w="9510" w:type="dxa"/>
            <w:gridSpan w:val="5"/>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lang w:bidi="ar"/>
              </w:rPr>
              <w:t>标准化机房-模块架构</w:t>
            </w:r>
          </w:p>
        </w:tc>
      </w:tr>
      <w:tr>
        <w:tblPrEx>
          <w:tblCellMar>
            <w:top w:w="0" w:type="dxa"/>
            <w:left w:w="0" w:type="dxa"/>
            <w:bottom w:w="0" w:type="dxa"/>
            <w:right w:w="0" w:type="dxa"/>
          </w:tblCellMar>
        </w:tblPrEx>
        <w:trPr>
          <w:trHeight w:val="4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序号</w:t>
            </w:r>
          </w:p>
        </w:tc>
        <w:tc>
          <w:tcPr>
            <w:tcW w:w="129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产品名称</w:t>
            </w:r>
          </w:p>
        </w:tc>
        <w:tc>
          <w:tcPr>
            <w:tcW w:w="678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规格型号</w:t>
            </w:r>
          </w:p>
        </w:tc>
        <w:tc>
          <w:tcPr>
            <w:tcW w:w="5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单位</w:t>
            </w:r>
          </w:p>
        </w:tc>
        <w:tc>
          <w:tcPr>
            <w:tcW w:w="57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数量</w:t>
            </w:r>
          </w:p>
        </w:tc>
      </w:tr>
      <w:tr>
        <w:tblPrEx>
          <w:tblCellMar>
            <w:top w:w="0" w:type="dxa"/>
            <w:left w:w="0" w:type="dxa"/>
            <w:bottom w:w="0" w:type="dxa"/>
            <w:right w:w="0" w:type="dxa"/>
          </w:tblCellMar>
        </w:tblPrEx>
        <w:trPr>
          <w:trHeight w:val="240" w:hRule="atLeast"/>
        </w:trPr>
        <w:tc>
          <w:tcPr>
            <w:tcW w:w="9510" w:type="dxa"/>
            <w:gridSpan w:val="5"/>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一、核心机房-微模块架构</w:t>
            </w:r>
          </w:p>
        </w:tc>
      </w:tr>
      <w:tr>
        <w:tblPrEx>
          <w:tblCellMar>
            <w:top w:w="0" w:type="dxa"/>
            <w:left w:w="0" w:type="dxa"/>
            <w:bottom w:w="0" w:type="dxa"/>
            <w:right w:w="0" w:type="dxa"/>
          </w:tblCellMar>
        </w:tblPrEx>
        <w:trPr>
          <w:trHeight w:val="651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模块化柜体</w:t>
            </w:r>
          </w:p>
        </w:tc>
        <w:tc>
          <w:tcPr>
            <w:tcW w:w="678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1.按照ANSI/EIA -310-D-1992、IEC60297-2、DIN41491;PART1、DIN41494;PART7、 GB/T19520.2-2007标准生产，兼容ETSI。</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2.柜体模块化拼装结构，标准19英寸，颜色为RAL9005(黑色细沙)。</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3.规格尺寸：600*1200*2000(mm）宽*深*高；</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4.柜体采用优质冷轧SPCC冷轧钢板，材料厚度：角规/底安装梁≥2.0mm，框架/横梁/理线板≥1.5mm，其它≥1.2mm；</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5.柜体表层外观光洁、色泽均匀、无露底、无流积、无起泡、无裂纹、无桔皮、金属件无毛刺和锈蚀。表面喷塑硬度不少于2H, 附着力不低于O级国际标准，符合ROHS标准；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6.机柜部件表面涂层平均厚度达到≥100um且达到国家无毒无害的喷涂标准。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7.柜体各装配部件具有一致性和互换性，横梁前后设有模数阵列安装孔，方便角规快速前后调节安装；</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8.前门单开高密度网孔门，后门双开高密度网孔门，正面无铰链外露，门体两侧银色镶边，开有全篇幅通风网孔，开孔率＞73%。</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9.柜体侧板分段式结构，方便开启，安装后应平滑无突起；</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10.柜体顶部两侧预留大容量进线孔（175*60mm），配置免工具阻燃毛刷条，保证柜体不漏风；</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11.柜体底部采用目字型分段式全封闭结构，配备免工具阻燃毛刷条进线孔（395*120mm），根据进线容量可按需调节；</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12.带标识刻度的方孔条，U数标识采用电子喷绘打标工艺，安装孔位上带有半圆形位置识别缺口，方便设备快速定位安装；</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13.机柜前安装方孔条与柜体前框架立柱距离＞70mm，同时与前门网孔门面距离＞110mm，方孔条与柜体前框架立柱两侧密闭；</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14.柜体后部设有垂直理线板，用于强弱电走线及PDU安装，保证PDU插孔面不挡19英寸设备安装孔位。设接地铜条安装位，支持不同高度的接地铜条安装，不影响主设备安装及使用；</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15.机柜底部预留安装孔位，支持螺栓与承重底座连接固定；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16.机柜自带并柜部件同时支持带侧板并柜安装；</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17.★机柜整架具有“信息产业通信设备抗震性能质量监督检验中心”颁发的机柜静载承重不低于2000KG检测报告，提供复印件并厂家盖章；</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19.★为保证机房整体的可靠性、兼容性、方便维护及统一管理，要求封闭冷通道、UPS、精密配电柜、蓄电池、PDU、精密空调、动环监控系统、综合布线系统产品为同一品牌。</w:t>
            </w:r>
          </w:p>
        </w:tc>
        <w:tc>
          <w:tcPr>
            <w:tcW w:w="51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台</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25 </w:t>
            </w:r>
          </w:p>
        </w:tc>
      </w:tr>
      <w:tr>
        <w:tblPrEx>
          <w:tblCellMar>
            <w:top w:w="0" w:type="dxa"/>
            <w:left w:w="0" w:type="dxa"/>
            <w:bottom w:w="0" w:type="dxa"/>
            <w:right w:w="0" w:type="dxa"/>
          </w:tblCellMar>
        </w:tblPrEx>
        <w:trPr>
          <w:trHeight w:val="24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12侧板</w:t>
            </w:r>
          </w:p>
        </w:tc>
        <w:tc>
          <w:tcPr>
            <w:tcW w:w="678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用于1200深模块化柜体，相邻柜体的安全隔离，形成独立管理空间；分段式结构；</w:t>
            </w:r>
          </w:p>
        </w:tc>
        <w:tc>
          <w:tcPr>
            <w:tcW w:w="51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块</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3 </w:t>
            </w:r>
          </w:p>
        </w:tc>
      </w:tr>
      <w:tr>
        <w:tblPrEx>
          <w:tblCellMar>
            <w:top w:w="0" w:type="dxa"/>
            <w:left w:w="0" w:type="dxa"/>
            <w:bottom w:w="0" w:type="dxa"/>
            <w:right w:w="0" w:type="dxa"/>
          </w:tblCellMar>
        </w:tblPrEx>
        <w:trPr>
          <w:trHeight w:val="24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1U塑料盲板</w:t>
            </w:r>
          </w:p>
        </w:tc>
        <w:tc>
          <w:tcPr>
            <w:tcW w:w="678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19吋安装，1U免工具安装盲板，ABS材质</w:t>
            </w:r>
          </w:p>
        </w:tc>
        <w:tc>
          <w:tcPr>
            <w:tcW w:w="51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块</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500 </w:t>
            </w:r>
          </w:p>
        </w:tc>
      </w:tr>
      <w:tr>
        <w:tblPrEx>
          <w:tblCellMar>
            <w:top w:w="0" w:type="dxa"/>
            <w:left w:w="0" w:type="dxa"/>
            <w:bottom w:w="0" w:type="dxa"/>
            <w:right w:w="0" w:type="dxa"/>
          </w:tblCellMar>
        </w:tblPrEx>
        <w:trPr>
          <w:trHeight w:val="41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翻转天窗</w:t>
            </w:r>
          </w:p>
        </w:tc>
        <w:tc>
          <w:tcPr>
            <w:tcW w:w="678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1.冷通道天窗采用优质冷轧SPCC钢板，支撑板/拉梁=1.5mm，其它≥1.2mm，5mm钢化玻璃（贴防爆膜），阻燃等级:V0级，透光率:90%以上；</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2.模块化拼装结构，相邻天窗共用拉梁方式，相邻天窗安装并联无缝隙；</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3.冷通道天窗采用5mm钢化玻璃（带防爆膜）镶金属边框，透光率90%以上；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4.冷通道天窗翻转板免工具安装，冷通道为1200mm时开启宽度＞1190mm，开启角度≥85°。</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5.冷通道天窗（翻转天窗）配备磁力锁，磁力锁吸附力F≥50kg，支持消防联动，接到有源消防告警信号后，0.5秒范围内瞬速自动开启。</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6.所有电磁锁线路连接均采用卡扣式端子连接，连接快捷、安全、可靠，无需现场端接线；</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7.连接线路隐蔽式设计，设有专用线槽，采用盖板封闭管理，整洁、美观。</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8.天窗所有部件间均导通接地，实现可靠的电气连接。</w:t>
            </w:r>
          </w:p>
        </w:tc>
        <w:tc>
          <w:tcPr>
            <w:tcW w:w="51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块</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11 </w:t>
            </w:r>
          </w:p>
        </w:tc>
      </w:tr>
      <w:tr>
        <w:tblPrEx>
          <w:tblCellMar>
            <w:top w:w="0" w:type="dxa"/>
            <w:left w:w="0" w:type="dxa"/>
            <w:bottom w:w="0" w:type="dxa"/>
            <w:right w:w="0" w:type="dxa"/>
          </w:tblCellMar>
        </w:tblPrEx>
        <w:trPr>
          <w:trHeight w:val="4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空调天窗</w:t>
            </w:r>
          </w:p>
        </w:tc>
        <w:tc>
          <w:tcPr>
            <w:tcW w:w="678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固定式天窗，适用于1200mm通道，300宽行级空调；</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天窗5mm厚钢化玻璃（贴防爆膜）金属镶边；共用拉梁，无缝阵列拼装；</w:t>
            </w:r>
          </w:p>
        </w:tc>
        <w:tc>
          <w:tcPr>
            <w:tcW w:w="51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块</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2 </w:t>
            </w:r>
          </w:p>
        </w:tc>
      </w:tr>
      <w:tr>
        <w:tblPrEx>
          <w:tblCellMar>
            <w:top w:w="0" w:type="dxa"/>
            <w:left w:w="0" w:type="dxa"/>
            <w:bottom w:w="0" w:type="dxa"/>
            <w:right w:w="0" w:type="dxa"/>
          </w:tblCellMar>
        </w:tblPrEx>
        <w:trPr>
          <w:trHeight w:val="675"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综合天窗</w:t>
            </w:r>
          </w:p>
        </w:tc>
        <w:tc>
          <w:tcPr>
            <w:tcW w:w="678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1.综合天窗，适用于1.2m通道，600宽模块化柜体；</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2.支持跨通道走线，支持烟感、温湿度、摄像头等动环前端采集设备安装；</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3.天窗两侧支撑板设隐形透光玻璃；与相邻天窗共用拉梁，无缝阵列拼装；</w:t>
            </w:r>
          </w:p>
        </w:tc>
        <w:tc>
          <w:tcPr>
            <w:tcW w:w="51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块</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2 </w:t>
            </w:r>
          </w:p>
        </w:tc>
      </w:tr>
      <w:tr>
        <w:tblPrEx>
          <w:tblCellMar>
            <w:top w:w="0" w:type="dxa"/>
            <w:left w:w="0" w:type="dxa"/>
            <w:bottom w:w="0" w:type="dxa"/>
            <w:right w:w="0" w:type="dxa"/>
          </w:tblCellMar>
        </w:tblPrEx>
        <w:trPr>
          <w:trHeight w:val="3375"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7</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自动移门</w:t>
            </w:r>
          </w:p>
        </w:tc>
        <w:tc>
          <w:tcPr>
            <w:tcW w:w="678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1.封闭移门采用优质冷轧SPCC钢板，底安装板=2.0mm，门盒立柱/安装立柱=1.5mm，其它≥1.2mm。</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2.封闭移门采用平移对开方式，门体采用整块12mm厚钢化玻璃，无边框，钢化玻璃满足GB 15763.2-2005抗冲击性、碎片状态试验、霰弹袋冲击性能标准。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3.门盒三段式竖装结构，两侧铝型材镶边，设安全锁，可开启，方便管控，门盒外表面无外露安装固定螺钉。</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4.铝型材质加强型导轨，电机驱动，配置吊轮，智慧型微电脑控制器，运行参数调节（开关门速度、开门保持时间等）。</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5.封闭移门门禁采用触摸密码锁(进），按钮开关（出）。</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6.设有用于封闭铝型材导轨的罩板，保护驱动装置。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7.接到有源消防告警信号后，门自动开启。</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8.移门设有上下2对安全光眼，防夹防撞，保证人或物体在门移动行道时，门体始终保持开启状态。</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9.整个封闭移门外体无安装固定螺钉外露，保持整体美观性；</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10.所有线路连接均采用端子连接，连接安全可靠；连接线路隐蔽式设计。</w:t>
            </w:r>
          </w:p>
        </w:tc>
        <w:tc>
          <w:tcPr>
            <w:tcW w:w="51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樘</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2 </w:t>
            </w:r>
          </w:p>
        </w:tc>
      </w:tr>
      <w:tr>
        <w:tblPrEx>
          <w:tblCellMar>
            <w:top w:w="0" w:type="dxa"/>
            <w:left w:w="0" w:type="dxa"/>
            <w:bottom w:w="0" w:type="dxa"/>
            <w:right w:w="0" w:type="dxa"/>
          </w:tblCellMar>
        </w:tblPrEx>
        <w:trPr>
          <w:trHeight w:val="24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柜体底座</w:t>
            </w:r>
          </w:p>
        </w:tc>
        <w:tc>
          <w:tcPr>
            <w:tcW w:w="678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深：1200mm*宽：600mm高：400mm；防锈处理</w:t>
            </w:r>
          </w:p>
        </w:tc>
        <w:tc>
          <w:tcPr>
            <w:tcW w:w="51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套</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25 </w:t>
            </w:r>
          </w:p>
        </w:tc>
      </w:tr>
      <w:tr>
        <w:tblPrEx>
          <w:tblCellMar>
            <w:top w:w="0" w:type="dxa"/>
            <w:left w:w="0" w:type="dxa"/>
            <w:bottom w:w="0" w:type="dxa"/>
            <w:right w:w="0" w:type="dxa"/>
          </w:tblCellMar>
        </w:tblPrEx>
        <w:trPr>
          <w:trHeight w:val="24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9</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60顶部线槽</w:t>
            </w:r>
          </w:p>
        </w:tc>
        <w:tc>
          <w:tcPr>
            <w:tcW w:w="678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用于600宽柜体的顶部走线槽，用于柜顶的强弱电走线，M型结构；</w:t>
            </w:r>
          </w:p>
        </w:tc>
        <w:tc>
          <w:tcPr>
            <w:tcW w:w="51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套</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52 </w:t>
            </w:r>
          </w:p>
        </w:tc>
      </w:tr>
      <w:tr>
        <w:tblPrEx>
          <w:tblCellMar>
            <w:top w:w="0" w:type="dxa"/>
            <w:left w:w="0" w:type="dxa"/>
            <w:bottom w:w="0" w:type="dxa"/>
            <w:right w:w="0" w:type="dxa"/>
          </w:tblCellMar>
        </w:tblPrEx>
        <w:trPr>
          <w:trHeight w:val="24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30顶部线槽</w:t>
            </w:r>
          </w:p>
        </w:tc>
        <w:tc>
          <w:tcPr>
            <w:tcW w:w="678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用于300宽行级空调的顶部走线槽，用于柜顶的强弱电走线，M型结构；</w:t>
            </w:r>
          </w:p>
        </w:tc>
        <w:tc>
          <w:tcPr>
            <w:tcW w:w="51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套</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8 </w:t>
            </w:r>
          </w:p>
        </w:tc>
      </w:tr>
      <w:tr>
        <w:tblPrEx>
          <w:tblCellMar>
            <w:top w:w="0" w:type="dxa"/>
            <w:left w:w="0" w:type="dxa"/>
            <w:bottom w:w="0" w:type="dxa"/>
            <w:right w:w="0" w:type="dxa"/>
          </w:tblCellMar>
        </w:tblPrEx>
        <w:trPr>
          <w:trHeight w:val="24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11</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10A托盘</w:t>
            </w:r>
          </w:p>
        </w:tc>
        <w:tc>
          <w:tcPr>
            <w:tcW w:w="678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适用于1200深机柜(750mm深）,承重120公斤</w:t>
            </w:r>
          </w:p>
        </w:tc>
        <w:tc>
          <w:tcPr>
            <w:tcW w:w="51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块</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50</w:t>
            </w:r>
          </w:p>
        </w:tc>
      </w:tr>
      <w:tr>
        <w:tblPrEx>
          <w:tblCellMar>
            <w:top w:w="0" w:type="dxa"/>
            <w:left w:w="0" w:type="dxa"/>
            <w:bottom w:w="0" w:type="dxa"/>
            <w:right w:w="0" w:type="dxa"/>
          </w:tblCellMar>
        </w:tblPrEx>
        <w:trPr>
          <w:trHeight w:val="45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12</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垂直安装板</w:t>
            </w:r>
          </w:p>
        </w:tc>
        <w:tc>
          <w:tcPr>
            <w:tcW w:w="678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开有首尾整列的模术安装孔、扎线孔；垂直理线、扎线功能；优质冷轧钢板，SPCC=1.5mm；</w:t>
            </w:r>
          </w:p>
        </w:tc>
        <w:tc>
          <w:tcPr>
            <w:tcW w:w="51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块</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50</w:t>
            </w:r>
          </w:p>
        </w:tc>
      </w:tr>
      <w:tr>
        <w:tblPrEx>
          <w:tblCellMar>
            <w:top w:w="0" w:type="dxa"/>
            <w:left w:w="0" w:type="dxa"/>
            <w:bottom w:w="0" w:type="dxa"/>
            <w:right w:w="0" w:type="dxa"/>
          </w:tblCellMar>
        </w:tblPrEx>
        <w:trPr>
          <w:trHeight w:val="1575"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13</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通道控制箱</w:t>
            </w:r>
          </w:p>
        </w:tc>
        <w:tc>
          <w:tcPr>
            <w:tcW w:w="678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1.通道控制箱用于冷池系统中封闭移门、冷通道天窗、通道照明、背景照明的电源管理。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2.19英寸标准机架式安装，采用高性能内置嵌入式系统芯片及标准化接插端口，易于扩展维护。</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3.主机配备AC220V/150~245V电源输入及控制开关，1路电源指示灯，2路AC 220V电源输出；2路24V DC电源输出，1路 24V DC 控制式输出，2路双联控制接口,1路无源消防接入，1路RS485通讯接口; </w:t>
            </w:r>
          </w:p>
        </w:tc>
        <w:tc>
          <w:tcPr>
            <w:tcW w:w="51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套</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r>
      <w:tr>
        <w:tblPrEx>
          <w:tblCellMar>
            <w:top w:w="0" w:type="dxa"/>
            <w:left w:w="0" w:type="dxa"/>
            <w:bottom w:w="0" w:type="dxa"/>
            <w:right w:w="0" w:type="dxa"/>
          </w:tblCellMar>
        </w:tblPrEx>
        <w:trPr>
          <w:trHeight w:val="31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14</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冷池照明</w:t>
            </w:r>
          </w:p>
        </w:tc>
        <w:tc>
          <w:tcPr>
            <w:tcW w:w="678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1.通道照明与天窗一体式结构，采用1.5mmSPCC金属壳体，内嵌PC散光板及LED灯带，散光均匀；</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2.通道照明额定电压：24V；单珠功率：0.24W；灯珠数量：60株每米；冷白光；</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3.配备手动控制开关按钮，所有线路连接均采用端子连接，方便快捷，安全可靠。</w:t>
            </w:r>
          </w:p>
        </w:tc>
        <w:tc>
          <w:tcPr>
            <w:tcW w:w="51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套</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12 </w:t>
            </w:r>
          </w:p>
        </w:tc>
      </w:tr>
      <w:tr>
        <w:tblPrEx>
          <w:tblCellMar>
            <w:top w:w="0" w:type="dxa"/>
            <w:left w:w="0" w:type="dxa"/>
            <w:bottom w:w="0" w:type="dxa"/>
            <w:right w:w="0" w:type="dxa"/>
          </w:tblCellMar>
        </w:tblPrEx>
        <w:trPr>
          <w:trHeight w:val="45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15</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背景照明</w:t>
            </w:r>
          </w:p>
        </w:tc>
        <w:tc>
          <w:tcPr>
            <w:tcW w:w="678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1.背景照明额定电压：24V；单珠功率：0.08W；灯珠数量：60株每米；绿光；</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2.线路连接均采用端子连接，方便快捷，安全可靠。</w:t>
            </w:r>
          </w:p>
        </w:tc>
        <w:tc>
          <w:tcPr>
            <w:tcW w:w="51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套</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26 </w:t>
            </w:r>
          </w:p>
        </w:tc>
      </w:tr>
      <w:tr>
        <w:tblPrEx>
          <w:tblCellMar>
            <w:top w:w="0" w:type="dxa"/>
            <w:left w:w="0" w:type="dxa"/>
            <w:bottom w:w="0" w:type="dxa"/>
            <w:right w:w="0" w:type="dxa"/>
          </w:tblCellMar>
        </w:tblPrEx>
        <w:trPr>
          <w:trHeight w:val="24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16</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跨通道桥架</w:t>
            </w:r>
          </w:p>
        </w:tc>
        <w:tc>
          <w:tcPr>
            <w:tcW w:w="678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用于双列通道的跨通道走线桥架</w:t>
            </w:r>
          </w:p>
        </w:tc>
        <w:tc>
          <w:tcPr>
            <w:tcW w:w="51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套</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1 </w:t>
            </w:r>
          </w:p>
        </w:tc>
      </w:tr>
      <w:tr>
        <w:tblPrEx>
          <w:tblCellMar>
            <w:top w:w="0" w:type="dxa"/>
            <w:left w:w="0" w:type="dxa"/>
            <w:bottom w:w="0" w:type="dxa"/>
            <w:right w:w="0" w:type="dxa"/>
          </w:tblCellMar>
        </w:tblPrEx>
        <w:trPr>
          <w:trHeight w:val="24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17</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辅材</w:t>
            </w:r>
          </w:p>
        </w:tc>
        <w:tc>
          <w:tcPr>
            <w:tcW w:w="6787" w:type="dxa"/>
            <w:tcBorders>
              <w:top w:val="single" w:color="00FF00" w:sz="4" w:space="0"/>
              <w:left w:val="single" w:color="00FF00" w:sz="4" w:space="0"/>
              <w:bottom w:val="single" w:color="00FF00" w:sz="4" w:space="0"/>
              <w:right w:val="single" w:color="00FF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冷通道密封组件，电路连接线、端子、安装螺丝等组件</w:t>
            </w:r>
          </w:p>
        </w:tc>
        <w:tc>
          <w:tcPr>
            <w:tcW w:w="51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套</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1 </w:t>
            </w:r>
          </w:p>
        </w:tc>
      </w:tr>
      <w:tr>
        <w:tblPrEx>
          <w:tblCellMar>
            <w:top w:w="0" w:type="dxa"/>
            <w:left w:w="0" w:type="dxa"/>
            <w:bottom w:w="0" w:type="dxa"/>
            <w:right w:w="0" w:type="dxa"/>
          </w:tblCellMar>
        </w:tblPrEx>
        <w:trPr>
          <w:trHeight w:val="240" w:hRule="atLeast"/>
        </w:trPr>
        <w:tc>
          <w:tcPr>
            <w:tcW w:w="9510" w:type="dxa"/>
            <w:gridSpan w:val="5"/>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lang w:bidi="ar"/>
              </w:rPr>
              <w:t>标准化机房-机电配电</w:t>
            </w:r>
          </w:p>
        </w:tc>
      </w:tr>
      <w:tr>
        <w:tblPrEx>
          <w:tblCellMar>
            <w:top w:w="0" w:type="dxa"/>
            <w:left w:w="0" w:type="dxa"/>
            <w:bottom w:w="0" w:type="dxa"/>
            <w:right w:w="0" w:type="dxa"/>
          </w:tblCellMar>
        </w:tblPrEx>
        <w:trPr>
          <w:trHeight w:val="240" w:hRule="atLeast"/>
        </w:trPr>
        <w:tc>
          <w:tcPr>
            <w:tcW w:w="9510" w:type="dxa"/>
            <w:gridSpan w:val="5"/>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一、核心机房-电气配线</w:t>
            </w:r>
          </w:p>
        </w:tc>
      </w:tr>
      <w:tr>
        <w:tblPrEx>
          <w:tblCellMar>
            <w:top w:w="0" w:type="dxa"/>
            <w:left w:w="0" w:type="dxa"/>
            <w:bottom w:w="0" w:type="dxa"/>
            <w:right w:w="0" w:type="dxa"/>
          </w:tblCellMar>
        </w:tblPrEx>
        <w:trPr>
          <w:trHeight w:val="28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800*600*2000mm机房主市电配电柜630A互投柜</w:t>
            </w:r>
          </w:p>
        </w:tc>
        <w:tc>
          <w:tcPr>
            <w:tcW w:w="678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1个 双电源自动切换开关（ATS）320A/4P；</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1路 市电总输出 320A/3P（市电）；</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1路 UPS市电输入 200/3P；（UPS输入输出柜）</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2路 UPS维修旁路  200/4P;（常开，挂机械锁）</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8路 精密空调 63A/3P；</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6路 市电输出 16A/1P</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6路 市电输出 32A/1P</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3路 市电输出 32A/2P（消防、新风、照明、备用等）；</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3路 市电输出 32A/3P；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配置B级防雷模块；</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配置智能电量仪，检测各支路电气参数；</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柜体尺寸：800*1000*2000mm</w:t>
            </w:r>
          </w:p>
        </w:tc>
        <w:tc>
          <w:tcPr>
            <w:tcW w:w="51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台</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1 </w:t>
            </w:r>
          </w:p>
        </w:tc>
      </w:tr>
      <w:tr>
        <w:tblPrEx>
          <w:tblCellMar>
            <w:top w:w="0" w:type="dxa"/>
            <w:left w:w="0" w:type="dxa"/>
            <w:bottom w:w="0" w:type="dxa"/>
            <w:right w:w="0" w:type="dxa"/>
          </w:tblCellMar>
        </w:tblPrEx>
        <w:trPr>
          <w:trHeight w:val="144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800*600*2000mmUPS-A/B输入输出柜</w:t>
            </w:r>
          </w:p>
        </w:tc>
        <w:tc>
          <w:tcPr>
            <w:tcW w:w="678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UPS1输入：1路200A/3P;</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UPS2输入：1路200A/3P;</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UPS1输出：1路200A/3P;</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UPS2输出：1路200A/3P;</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配置C级防雷模块，采用端子型端接；</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机柜尺寸：600*1000*2000mm</w:t>
            </w:r>
          </w:p>
        </w:tc>
        <w:tc>
          <w:tcPr>
            <w:tcW w:w="51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台</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1 </w:t>
            </w:r>
          </w:p>
        </w:tc>
      </w:tr>
      <w:tr>
        <w:tblPrEx>
          <w:tblCellMar>
            <w:top w:w="0" w:type="dxa"/>
            <w:left w:w="0" w:type="dxa"/>
            <w:bottom w:w="0" w:type="dxa"/>
            <w:right w:w="0" w:type="dxa"/>
          </w:tblCellMar>
        </w:tblPrEx>
        <w:trPr>
          <w:trHeight w:val="2189"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全电路检测精密型配电柜</w:t>
            </w:r>
          </w:p>
        </w:tc>
        <w:tc>
          <w:tcPr>
            <w:tcW w:w="678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1.柜体尺寸为600mm（宽）×1200mm（深）×2000mm（高）；</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2.配电柜柜体与冷池柜体外观、喷涂工艺等保持一致；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3.配置B级防雷模块，采用端子型端接；</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4.采用≥7寸电容式触摸屏，存数容量不小于64M，可热拔插端子，分辨率为1024*768； 触摸屏应具备RS485通讯接口，实现远程监控；电源列头配电柜告警系统可向上级监控中心发送告警数据，同时发出声光告警；具有电气故障声光报警功能；</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5.端接类型： UK端子，采用国际知名品牌；</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6.设置精密监控系统作为各种电气参数监测与告警装置；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设置精密监控系统作为各种电气参数监测与告警装置；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7.通过第三方监控：HMI可以提供发RS485/232或以太网口可以进入各种以MODBUS通讯协议三方智能设备，本系统可以通过IP地址进行直接访问，真正的做到远程监控；</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8.监控输入端的三相相电压、三相线电压、三相有功功率、总有功功率三相、三相无功功率、总无功功率、三相视在功率、总视在功率、分相电能、总电能、谐波含量，总开关工作状态。阀值预设、电压趋势图、电流趋势图、功率趋势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9.通过微型计算芯片计算馈线回路的电压、电流、功率、电能、开关状态、阀值预设、负载趋势图；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10.报警和事件处理系统内置二级告警，一级为轻度告警指示，二级为严重告警指示外加声光告警，主要分为断相报警、过压报警、欠压报警、支路过载报警、支路跳闸报警，相序报警，零地电流报警，零线电流报价，三相电流不平衡监测，超阀值告警，双电源故障告警；</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11.采用三项平衡Multiclip 母排系统；</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12.精密配电柜总输入回路应采用交流塑壳断路器作为保护元器件，各输出分路应采用交流微型断路器作为保护元器件，空开采用ABB、Schneider、SIEMENS 系列之一的产品；配置容量、数量及其他要求详见设计图纸《交流电源列头柜配电系统图》。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13.进线方式：上进线或下进线；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14.与UPS同一品牌。                                                                                                                                                                                                                                 </w:t>
            </w:r>
          </w:p>
        </w:tc>
        <w:tc>
          <w:tcPr>
            <w:tcW w:w="51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台</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1 </w:t>
            </w:r>
          </w:p>
        </w:tc>
      </w:tr>
      <w:tr>
        <w:tblPrEx>
          <w:tblCellMar>
            <w:top w:w="0" w:type="dxa"/>
            <w:left w:w="0" w:type="dxa"/>
            <w:bottom w:w="0" w:type="dxa"/>
            <w:right w:w="0" w:type="dxa"/>
          </w:tblCellMar>
        </w:tblPrEx>
        <w:trPr>
          <w:trHeight w:val="4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精密空调室内机配线</w:t>
            </w:r>
          </w:p>
        </w:tc>
        <w:tc>
          <w:tcPr>
            <w:tcW w:w="678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ZR-YJV 5X10mm2</w:t>
            </w:r>
          </w:p>
        </w:tc>
        <w:tc>
          <w:tcPr>
            <w:tcW w:w="51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米</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110</w:t>
            </w:r>
          </w:p>
        </w:tc>
      </w:tr>
      <w:tr>
        <w:tblPrEx>
          <w:tblCellMar>
            <w:top w:w="0" w:type="dxa"/>
            <w:left w:w="0" w:type="dxa"/>
            <w:bottom w:w="0" w:type="dxa"/>
            <w:right w:w="0" w:type="dxa"/>
          </w:tblCellMar>
        </w:tblPrEx>
        <w:trPr>
          <w:trHeight w:val="4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精密空调室外机配线</w:t>
            </w:r>
          </w:p>
        </w:tc>
        <w:tc>
          <w:tcPr>
            <w:tcW w:w="678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ZR-YJV 4X2.5mm2</w:t>
            </w:r>
          </w:p>
        </w:tc>
        <w:tc>
          <w:tcPr>
            <w:tcW w:w="51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米</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240</w:t>
            </w:r>
          </w:p>
        </w:tc>
      </w:tr>
      <w:tr>
        <w:tblPrEx>
          <w:tblCellMar>
            <w:top w:w="0" w:type="dxa"/>
            <w:left w:w="0" w:type="dxa"/>
            <w:bottom w:w="0" w:type="dxa"/>
            <w:right w:w="0" w:type="dxa"/>
          </w:tblCellMar>
        </w:tblPrEx>
        <w:trPr>
          <w:trHeight w:val="4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市电柜输入电缆</w:t>
            </w:r>
          </w:p>
        </w:tc>
        <w:tc>
          <w:tcPr>
            <w:tcW w:w="678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ZR-YJV 4*95+1*50mm2</w:t>
            </w:r>
          </w:p>
        </w:tc>
        <w:tc>
          <w:tcPr>
            <w:tcW w:w="51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米</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180</w:t>
            </w:r>
          </w:p>
        </w:tc>
      </w:tr>
      <w:tr>
        <w:tblPrEx>
          <w:tblCellMar>
            <w:top w:w="0" w:type="dxa"/>
            <w:left w:w="0" w:type="dxa"/>
            <w:bottom w:w="0" w:type="dxa"/>
            <w:right w:w="0" w:type="dxa"/>
          </w:tblCellMar>
        </w:tblPrEx>
        <w:trPr>
          <w:trHeight w:val="4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7</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精密型综合配电柜接入电缆</w:t>
            </w:r>
          </w:p>
        </w:tc>
        <w:tc>
          <w:tcPr>
            <w:tcW w:w="678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ZR-YJV 4*35+1*16mm2</w:t>
            </w:r>
          </w:p>
        </w:tc>
        <w:tc>
          <w:tcPr>
            <w:tcW w:w="51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米</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100</w:t>
            </w:r>
          </w:p>
        </w:tc>
      </w:tr>
      <w:tr>
        <w:tblPrEx>
          <w:tblCellMar>
            <w:top w:w="0" w:type="dxa"/>
            <w:left w:w="0" w:type="dxa"/>
            <w:bottom w:w="0" w:type="dxa"/>
            <w:right w:w="0" w:type="dxa"/>
          </w:tblCellMar>
        </w:tblPrEx>
        <w:trPr>
          <w:trHeight w:val="4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UPS输入输出电缆</w:t>
            </w:r>
          </w:p>
        </w:tc>
        <w:tc>
          <w:tcPr>
            <w:tcW w:w="678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ZR-YJV 4*50+1*16mm2</w:t>
            </w:r>
          </w:p>
        </w:tc>
        <w:tc>
          <w:tcPr>
            <w:tcW w:w="51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米</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40</w:t>
            </w:r>
          </w:p>
        </w:tc>
      </w:tr>
      <w:tr>
        <w:tblPrEx>
          <w:tblCellMar>
            <w:top w:w="0" w:type="dxa"/>
            <w:left w:w="0" w:type="dxa"/>
            <w:bottom w:w="0" w:type="dxa"/>
            <w:right w:w="0" w:type="dxa"/>
          </w:tblCellMar>
        </w:tblPrEx>
        <w:trPr>
          <w:trHeight w:val="4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9</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电池到UPS电缆</w:t>
            </w:r>
          </w:p>
        </w:tc>
        <w:tc>
          <w:tcPr>
            <w:tcW w:w="678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ZR-BVR 70mm2</w:t>
            </w:r>
          </w:p>
        </w:tc>
        <w:tc>
          <w:tcPr>
            <w:tcW w:w="51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米</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300</w:t>
            </w:r>
          </w:p>
        </w:tc>
      </w:tr>
      <w:tr>
        <w:tblPrEx>
          <w:tblCellMar>
            <w:top w:w="0" w:type="dxa"/>
            <w:left w:w="0" w:type="dxa"/>
            <w:bottom w:w="0" w:type="dxa"/>
            <w:right w:w="0" w:type="dxa"/>
          </w:tblCellMar>
        </w:tblPrEx>
        <w:trPr>
          <w:trHeight w:val="24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PDU电缆</w:t>
            </w:r>
          </w:p>
        </w:tc>
        <w:tc>
          <w:tcPr>
            <w:tcW w:w="678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ZR-RVV3*6mm2</w:t>
            </w:r>
          </w:p>
        </w:tc>
        <w:tc>
          <w:tcPr>
            <w:tcW w:w="51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米</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600</w:t>
            </w:r>
          </w:p>
        </w:tc>
      </w:tr>
      <w:tr>
        <w:tblPrEx>
          <w:tblCellMar>
            <w:top w:w="0" w:type="dxa"/>
            <w:left w:w="0" w:type="dxa"/>
            <w:bottom w:w="0" w:type="dxa"/>
            <w:right w:w="0" w:type="dxa"/>
          </w:tblCellMar>
        </w:tblPrEx>
        <w:trPr>
          <w:trHeight w:val="24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11</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新风机电源线</w:t>
            </w:r>
          </w:p>
        </w:tc>
        <w:tc>
          <w:tcPr>
            <w:tcW w:w="678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WDZ-YJV-3*6mm²</w:t>
            </w:r>
          </w:p>
        </w:tc>
        <w:tc>
          <w:tcPr>
            <w:tcW w:w="51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米</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40 </w:t>
            </w:r>
          </w:p>
        </w:tc>
      </w:tr>
      <w:tr>
        <w:tblPrEx>
          <w:tblCellMar>
            <w:top w:w="0" w:type="dxa"/>
            <w:left w:w="0" w:type="dxa"/>
            <w:bottom w:w="0" w:type="dxa"/>
            <w:right w:w="0" w:type="dxa"/>
          </w:tblCellMar>
        </w:tblPrEx>
        <w:trPr>
          <w:trHeight w:val="4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12</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新风排风机电源线</w:t>
            </w:r>
          </w:p>
        </w:tc>
        <w:tc>
          <w:tcPr>
            <w:tcW w:w="678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WDZ-YJV-3*6mm²</w:t>
            </w:r>
          </w:p>
        </w:tc>
        <w:tc>
          <w:tcPr>
            <w:tcW w:w="51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米</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40 </w:t>
            </w:r>
          </w:p>
        </w:tc>
      </w:tr>
      <w:tr>
        <w:tblPrEx>
          <w:tblCellMar>
            <w:top w:w="0" w:type="dxa"/>
            <w:left w:w="0" w:type="dxa"/>
            <w:bottom w:w="0" w:type="dxa"/>
            <w:right w:w="0" w:type="dxa"/>
          </w:tblCellMar>
        </w:tblPrEx>
        <w:trPr>
          <w:trHeight w:val="4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13</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照明及检修插座配线 3路</w:t>
            </w:r>
          </w:p>
        </w:tc>
        <w:tc>
          <w:tcPr>
            <w:tcW w:w="678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NH-RVV-3*2.5mm²</w:t>
            </w:r>
          </w:p>
        </w:tc>
        <w:tc>
          <w:tcPr>
            <w:tcW w:w="51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米</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160 </w:t>
            </w:r>
          </w:p>
        </w:tc>
      </w:tr>
      <w:tr>
        <w:tblPrEx>
          <w:tblCellMar>
            <w:top w:w="0" w:type="dxa"/>
            <w:left w:w="0" w:type="dxa"/>
            <w:bottom w:w="0" w:type="dxa"/>
            <w:right w:w="0" w:type="dxa"/>
          </w:tblCellMar>
        </w:tblPrEx>
        <w:trPr>
          <w:trHeight w:val="24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14</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消防系统配线</w:t>
            </w:r>
          </w:p>
        </w:tc>
        <w:tc>
          <w:tcPr>
            <w:tcW w:w="678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NH-RVV-3*2.5mm²</w:t>
            </w:r>
          </w:p>
        </w:tc>
        <w:tc>
          <w:tcPr>
            <w:tcW w:w="51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米</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80 </w:t>
            </w:r>
          </w:p>
        </w:tc>
      </w:tr>
      <w:tr>
        <w:tblPrEx>
          <w:tblCellMar>
            <w:top w:w="0" w:type="dxa"/>
            <w:left w:w="0" w:type="dxa"/>
            <w:bottom w:w="0" w:type="dxa"/>
            <w:right w:w="0" w:type="dxa"/>
          </w:tblCellMar>
        </w:tblPrEx>
        <w:trPr>
          <w:trHeight w:val="72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15</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A/B路机柜20A工业连接器配线</w:t>
            </w:r>
          </w:p>
        </w:tc>
        <w:tc>
          <w:tcPr>
            <w:tcW w:w="678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WDZ-YJV-3*6mm²</w:t>
            </w:r>
          </w:p>
        </w:tc>
        <w:tc>
          <w:tcPr>
            <w:tcW w:w="51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米</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350 </w:t>
            </w:r>
          </w:p>
        </w:tc>
      </w:tr>
      <w:tr>
        <w:tblPrEx>
          <w:tblCellMar>
            <w:top w:w="0" w:type="dxa"/>
            <w:left w:w="0" w:type="dxa"/>
            <w:bottom w:w="0" w:type="dxa"/>
            <w:right w:w="0" w:type="dxa"/>
          </w:tblCellMar>
        </w:tblPrEx>
        <w:trPr>
          <w:trHeight w:val="240" w:hRule="atLeast"/>
        </w:trPr>
        <w:tc>
          <w:tcPr>
            <w:tcW w:w="9510" w:type="dxa"/>
            <w:gridSpan w:val="5"/>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二、核心机房-不间断电源</w:t>
            </w:r>
          </w:p>
        </w:tc>
      </w:tr>
      <w:tr>
        <w:tblPrEx>
          <w:tblCellMar>
            <w:top w:w="0" w:type="dxa"/>
            <w:left w:w="0" w:type="dxa"/>
            <w:bottom w:w="0" w:type="dxa"/>
            <w:right w:w="0" w:type="dxa"/>
          </w:tblCellMar>
        </w:tblPrEx>
        <w:trPr>
          <w:trHeight w:val="744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1292" w:type="dxa"/>
            <w:tcBorders>
              <w:top w:val="single" w:color="000000"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模块化UPS主机 模块6槽位</w:t>
            </w:r>
          </w:p>
        </w:tc>
        <w:tc>
          <w:tcPr>
            <w:tcW w:w="6787" w:type="dxa"/>
            <w:tcBorders>
              <w:top w:val="single" w:color="000000"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1.采用可热插拔式的模块化UPS机组，单柜最大扩容不小于100KVA；</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2.支持不少于4柜的直接并机方式，无须配置并机柜；</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3.能实现多台UPS 分时启动功能，即根据时间间隔，按顺序启动，以避免多台UPS 并联时，UPS 同时启动给发电机带来冲击，导致发电机不能正常供电。</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4.具备发电机接入功率任意设置功能及发电机启动侦测接点, 可配合发电机工作, 当发电机紧急供电时,可自动降低充电电流,减少发电机的供电，更合理调配油机资源。</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5.电池管理：UPS具备电池单体浮充电压、均充电压、放电终止电压最高和最低点可设置功能；电池组最大充电电流、最大电池放电时间及最大均充时间可设置功能；并可根据设置的值实现告警；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6.完全切断输入干扰, 电池转换时间为0ms；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7.UPS应具备蓄电池标称电源可调节功能，以提高电源系统供电安全性。</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8.旁路开关：具有自动静态旁路开关和手动维护旁路开关。旁路开关须采用分散旁路设计，杜绝采用单一的集中旁路模块，避免单点故障，自动静态旁路开关切换时不产生任何间断。旁路开关的容量应与机组额定容量相匹配，并具有较强的过载能力，自动跟踪电网频率和电压，超过额定值时自动与电网解列。</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9.恢复正常后自动与电网并列。转换时间要求为0ms，静态旁路具有状态控制功能,旁路故障时系统避免由逆变器向旁路的转换。</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10.UPS 输出可承受100%之三相不平衡负载，在负载任一相缺相下，系统可继续运转, 增加使用上之方便性。</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11.并机总线须采用双环形冗余结构，避免单点环路影响系统并机安全。</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12.标配紧急关机开关(EPO)功能按键，为安全考虑EPO按键应设计在机柜内部，避免非专业人员误操作。</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13.电流谐波≤4.5%（额定非线性负荷）《依据实际机型调整》，输出波形失真度≤4%（额定非线性负荷）；</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14.每台UPS 自带静态旁路和市电维修旁路；标准内置独立的主路输入开关，旁路开关和输出开关。</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15.单体放电终止电压最高（默认单体1.80V）和最低点（1.75V）可设置，UPS根据电池放电情况自动控制单体放电终止电压电压，已保证电池寿命。</w:t>
            </w:r>
          </w:p>
        </w:tc>
        <w:tc>
          <w:tcPr>
            <w:tcW w:w="514" w:type="dxa"/>
            <w:tcBorders>
              <w:top w:val="single" w:color="000000"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台</w:t>
            </w:r>
          </w:p>
        </w:tc>
        <w:tc>
          <w:tcPr>
            <w:tcW w:w="571" w:type="dxa"/>
            <w:tcBorders>
              <w:top w:val="single" w:color="000000"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2 </w:t>
            </w:r>
          </w:p>
        </w:tc>
      </w:tr>
      <w:tr>
        <w:tblPrEx>
          <w:tblCellMar>
            <w:top w:w="0" w:type="dxa"/>
            <w:left w:w="0" w:type="dxa"/>
            <w:bottom w:w="0" w:type="dxa"/>
            <w:right w:w="0" w:type="dxa"/>
          </w:tblCellMar>
        </w:tblPrEx>
        <w:trPr>
          <w:trHeight w:val="408" w:hRule="atLeast"/>
        </w:trPr>
        <w:tc>
          <w:tcPr>
            <w:tcW w:w="346" w:type="dxa"/>
            <w:tcBorders>
              <w:top w:val="single" w:color="000000" w:sz="4" w:space="0"/>
              <w:left w:val="single" w:color="000000" w:sz="4" w:space="0"/>
              <w:bottom w:val="single" w:color="000000" w:sz="4" w:space="0"/>
              <w:right w:val="single" w:color="auto"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c>
          <w:tcPr>
            <w:tcW w:w="1292" w:type="dxa"/>
            <w:tcBorders>
              <w:top w:val="single" w:color="auto" w:sz="4" w:space="0"/>
              <w:left w:val="single" w:color="auto" w:sz="4" w:space="0"/>
              <w:bottom w:val="single" w:color="auto"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模块化UPS功率模块</w:t>
            </w:r>
          </w:p>
        </w:tc>
        <w:tc>
          <w:tcPr>
            <w:tcW w:w="6787" w:type="dxa"/>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1.单个功率模块的容量不小于20KVA；</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2.相数：三相五线；输入频率范围（Hz）：45～55/ 55～65；</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3.输入功率因数 ≥0.99；</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4.输入电流谐波成分 ≤2% (20KVA模块)；≤3% (15KVA/25KVA模块)；≤3.5% (10KVA/30KVA模块) ；≤4.5% (40KVA模块)；</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5.输出电压（Vac） 380(或400/415)±1%；</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6.输出功因 ≥0.9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7.切换时间（ms） 0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8.整机效率 50%负载，≥94% ；100%负载，≥94%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9.过载能力 负载≤110%，60min；≤125%，10min；≤150%，1min；</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10.通信功能:干接点、RS232、RS485、SNMP卡(可选)；</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11.机平均无故障时间（MTBF） ≥150000 h，故障平均修复时间（MTTR） ≤1小时。；</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12.UPS系统有效的使用年限应不少于10年；</w:t>
            </w:r>
          </w:p>
        </w:tc>
        <w:tc>
          <w:tcPr>
            <w:tcW w:w="514" w:type="dxa"/>
            <w:tcBorders>
              <w:top w:val="single" w:color="auto" w:sz="4" w:space="0"/>
              <w:left w:val="single" w:color="000000" w:sz="4" w:space="0"/>
              <w:bottom w:val="single" w:color="auto"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台</w:t>
            </w:r>
          </w:p>
        </w:tc>
        <w:tc>
          <w:tcPr>
            <w:tcW w:w="571" w:type="dxa"/>
            <w:tcBorders>
              <w:top w:val="single" w:color="auto" w:sz="4" w:space="0"/>
              <w:left w:val="single" w:color="000000" w:sz="4" w:space="0"/>
              <w:bottom w:val="single" w:color="auto" w:sz="4" w:space="0"/>
              <w:right w:val="single" w:color="auto"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8 </w:t>
            </w:r>
          </w:p>
        </w:tc>
      </w:tr>
      <w:tr>
        <w:tblPrEx>
          <w:tblCellMar>
            <w:top w:w="0" w:type="dxa"/>
            <w:left w:w="0" w:type="dxa"/>
            <w:bottom w:w="0" w:type="dxa"/>
            <w:right w:w="0" w:type="dxa"/>
          </w:tblCellMar>
        </w:tblPrEx>
        <w:trPr>
          <w:trHeight w:val="456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w:t>
            </w:r>
          </w:p>
        </w:tc>
        <w:tc>
          <w:tcPr>
            <w:tcW w:w="1292" w:type="dxa"/>
            <w:tcBorders>
              <w:top w:val="single" w:color="auto"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铅酸免维护电池 100AH/12V</w:t>
            </w:r>
          </w:p>
        </w:tc>
        <w:tc>
          <w:tcPr>
            <w:tcW w:w="6787" w:type="dxa"/>
            <w:tcBorders>
              <w:top w:val="single" w:color="auto"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1.产品须符合中华人民共和国信息产业部YD/T799-2010 《通信用阀控式密封铅酸蓄电池》标准。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2.外观要求：无变形、漏液、裂纹及污迹；标识清晰；</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3.结构要求：正负极端子有明显标志，便于链接；</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4.气密性：能承受50KPa正压或负压而不破裂、不开胶，压力释放后壳体无残余变形；</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5.防爆性能：充电过程中，遇到明火，内部不引爆，不引燃；</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6.封口剂性能：环境温度在-30℃~+65℃之间，封口剂无裂纹与溢流现象；</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7.容量保存率：完全充电的蓄电池，在25±2°的环境中，静置28天后，其容量保持率应在98%C10以上（12V）/ 97%以上（2V）；</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8.密封反应效率：98%以上；</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9.电池间连接电压降≤5mV</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10.蓄电池的安全阀有自动开启和关闭的功能，开阀压应是10--49kPa，闭阀压应是4--16kPa；</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11.蓄电池内阻：≤3mΩ（12V） / ≤0.2mΩ（2V）;</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12.蓄电池必须配备防漏液措施，需具备防碰撞及控制蓄电池有效安装距离的设计。</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13.电池正负极端接方式需为下旋式铜端子安装方式；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14.与UPS同一品牌</w:t>
            </w:r>
          </w:p>
        </w:tc>
        <w:tc>
          <w:tcPr>
            <w:tcW w:w="514" w:type="dxa"/>
            <w:tcBorders>
              <w:top w:val="single" w:color="auto"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块</w:t>
            </w:r>
          </w:p>
        </w:tc>
        <w:tc>
          <w:tcPr>
            <w:tcW w:w="571" w:type="dxa"/>
            <w:tcBorders>
              <w:top w:val="single" w:color="auto"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128 </w:t>
            </w:r>
          </w:p>
        </w:tc>
      </w:tr>
      <w:tr>
        <w:tblPrEx>
          <w:tblCellMar>
            <w:top w:w="0" w:type="dxa"/>
            <w:left w:w="0" w:type="dxa"/>
            <w:bottom w:w="0" w:type="dxa"/>
            <w:right w:w="0" w:type="dxa"/>
          </w:tblCellMar>
        </w:tblPrEx>
        <w:trPr>
          <w:trHeight w:val="96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电池架40节容量1000*920*1500mm</w:t>
            </w:r>
          </w:p>
        </w:tc>
        <w:tc>
          <w:tcPr>
            <w:tcW w:w="6787" w:type="dxa"/>
            <w:tcBorders>
              <w:top w:val="single" w:color="000000" w:sz="4" w:space="0"/>
              <w:left w:val="single" w:color="000000" w:sz="4" w:space="0"/>
              <w:bottom w:val="nil"/>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1.采用优质金属成型，经磷化喷塑，耐磨防腐。</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2.前后旁边可快速拆卸，后板装开关及接线板，内配连接线，底部有接地线装置。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3.直流空开、电池连接线规格应满足UPS满负荷运行状态</w:t>
            </w:r>
          </w:p>
        </w:tc>
        <w:tc>
          <w:tcPr>
            <w:tcW w:w="51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台</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4 </w:t>
            </w:r>
          </w:p>
        </w:tc>
      </w:tr>
      <w:tr>
        <w:tblPrEx>
          <w:tblCellMar>
            <w:top w:w="0" w:type="dxa"/>
            <w:left w:w="0" w:type="dxa"/>
            <w:bottom w:w="0" w:type="dxa"/>
            <w:right w:w="0" w:type="dxa"/>
          </w:tblCellMar>
        </w:tblPrEx>
        <w:trPr>
          <w:trHeight w:val="240" w:hRule="atLeast"/>
        </w:trPr>
        <w:tc>
          <w:tcPr>
            <w:tcW w:w="9510" w:type="dxa"/>
            <w:gridSpan w:val="5"/>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三、核心机房-小电器</w:t>
            </w:r>
          </w:p>
        </w:tc>
      </w:tr>
      <w:tr>
        <w:tblPrEx>
          <w:tblCellMar>
            <w:top w:w="0" w:type="dxa"/>
            <w:left w:w="0" w:type="dxa"/>
            <w:bottom w:w="0" w:type="dxa"/>
            <w:right w:w="0" w:type="dxa"/>
          </w:tblCellMar>
        </w:tblPrEx>
        <w:trPr>
          <w:trHeight w:val="240" w:hRule="atLeast"/>
        </w:trPr>
        <w:tc>
          <w:tcPr>
            <w:tcW w:w="34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129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PDU</w:t>
            </w:r>
          </w:p>
        </w:tc>
        <w:tc>
          <w:tcPr>
            <w:tcW w:w="6787" w:type="dxa"/>
            <w:vMerge w:val="restart"/>
            <w:tcBorders>
              <w:top w:val="single" w:color="00FF00" w:sz="4" w:space="0"/>
              <w:left w:val="single" w:color="00FF00" w:sz="4" w:space="0"/>
              <w:bottom w:val="single" w:color="00FF00" w:sz="4" w:space="0"/>
              <w:right w:val="single" w:color="00FF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1.模块化设计结构，32A接线盒输入，输出12*10A国标孔，4*16A国标孔，2*10A国标（五孔），共18位，带指示灯、无插头无线，黑色铝壳，竖安装</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2.外壳采用特有的双燕尾槽设计结构，可更好的防止插座模块、功能模块在运输途中因受外力而造成模块内陷，以及预设备插头拔出时用力过猛而造成插座模块被拔出现象。</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3.外壳采用特殊绝缘高强度电泳铝合金材料，能在实际应用环境中有效防止电磁波干扰。</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4.外壳材料采用1.6mm厚型材，在配合机柜垂直或水平安装时可保证有效的强度。</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5.PDU两插座之间用间隔板分开，且每位插空有对应的阿拉伯数字标号。</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6.所有插座模块、功能模块全部采用PC/ABS塑胶材料，热变型温度高达120℃以上，阻燃特性符合UL94-V0标准。有效的避免了因插座引起火灾事故的发生；</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所有插座的插套组件全部采用独具良好弹性、耐磨性、抗磁性、耐蚀性的磷青铜材料，铜片选材为0.6mm厚度，精细加工，整体冲压成型，高可靠接触，单极拔插寿命试验均在5000次以上，安全耐用无松动和打火现象，保证输出高可靠的电气导通性和连接性；</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8.采用耐压性好、抗冲击LED电源指示灯；</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9.★提供CE认证的ROHS、EMC和LVD认证证书</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10.PDU与UPS同一品牌</w:t>
            </w:r>
          </w:p>
        </w:tc>
        <w:tc>
          <w:tcPr>
            <w:tcW w:w="5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套</w:t>
            </w:r>
          </w:p>
        </w:tc>
        <w:tc>
          <w:tcPr>
            <w:tcW w:w="57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26 </w:t>
            </w:r>
          </w:p>
        </w:tc>
      </w:tr>
      <w:tr>
        <w:tblPrEx>
          <w:tblCellMar>
            <w:top w:w="0" w:type="dxa"/>
            <w:left w:w="0" w:type="dxa"/>
            <w:bottom w:w="0" w:type="dxa"/>
            <w:right w:w="0" w:type="dxa"/>
          </w:tblCellMar>
        </w:tblPrEx>
        <w:trPr>
          <w:trHeight w:val="45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2</w:t>
            </w:r>
          </w:p>
        </w:tc>
        <w:tc>
          <w:tcPr>
            <w:tcW w:w="1292" w:type="dxa"/>
            <w:tcBorders>
              <w:top w:val="nil"/>
              <w:left w:val="nil"/>
              <w:bottom w:val="nil"/>
              <w:right w:val="nil"/>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32A</w:t>
            </w:r>
            <w:r>
              <w:rPr>
                <w:rFonts w:ascii="宋体" w:hAnsi="宋体"/>
                <w:kern w:val="0"/>
                <w:sz w:val="18"/>
                <w:szCs w:val="18"/>
              </w:rPr>
              <w:t>智能</w:t>
            </w:r>
            <w:r>
              <w:rPr>
                <w:rFonts w:ascii="宋体" w:hAnsi="宋体" w:cs="宋体"/>
                <w:kern w:val="0"/>
                <w:sz w:val="18"/>
                <w:szCs w:val="18"/>
              </w:rPr>
              <w:t>PDU</w:t>
            </w:r>
            <w:r>
              <w:rPr>
                <w:rFonts w:ascii="宋体" w:hAnsi="宋体"/>
                <w:kern w:val="0"/>
                <w:sz w:val="18"/>
                <w:szCs w:val="18"/>
              </w:rPr>
              <w:t>远程检测管理，</w:t>
            </w:r>
            <w:r>
              <w:rPr>
                <w:rFonts w:ascii="宋体" w:hAnsi="宋体" w:cs="宋体"/>
                <w:kern w:val="0"/>
                <w:sz w:val="18"/>
                <w:szCs w:val="18"/>
              </w:rPr>
              <w:t>16C13+4</w:t>
            </w:r>
            <w:r>
              <w:rPr>
                <w:rFonts w:ascii="宋体" w:hAnsi="宋体"/>
                <w:kern w:val="0"/>
                <w:sz w:val="18"/>
                <w:szCs w:val="18"/>
              </w:rPr>
              <w:t>个</w:t>
            </w:r>
            <w:r>
              <w:rPr>
                <w:rFonts w:ascii="宋体" w:hAnsi="宋体" w:cs="宋体"/>
                <w:kern w:val="0"/>
                <w:sz w:val="18"/>
                <w:szCs w:val="18"/>
              </w:rPr>
              <w:t>C19</w:t>
            </w:r>
            <w:r>
              <w:rPr>
                <w:rFonts w:ascii="宋体" w:hAnsi="宋体"/>
                <w:kern w:val="0"/>
                <w:sz w:val="18"/>
                <w:szCs w:val="18"/>
              </w:rPr>
              <w:t>输出</w:t>
            </w:r>
          </w:p>
        </w:tc>
        <w:tc>
          <w:tcPr>
            <w:tcW w:w="6787" w:type="dxa"/>
            <w:vMerge w:val="continue"/>
            <w:tcBorders>
              <w:top w:val="single" w:color="00FF00" w:sz="4" w:space="0"/>
              <w:left w:val="single" w:color="00FF00" w:sz="4" w:space="0"/>
              <w:bottom w:val="single" w:color="00FF00" w:sz="4" w:space="0"/>
              <w:right w:val="single" w:color="00FF00" w:sz="4" w:space="0"/>
            </w:tcBorders>
            <w:shd w:val="clear" w:color="auto" w:fill="FFFFFF"/>
            <w:noWrap w:val="0"/>
            <w:tcMar>
              <w:top w:w="15" w:type="dxa"/>
              <w:left w:w="15" w:type="dxa"/>
              <w:right w:w="15" w:type="dxa"/>
            </w:tcMar>
            <w:vAlign w:val="center"/>
          </w:tcPr>
          <w:p>
            <w:pPr>
              <w:jc w:val="left"/>
              <w:rPr>
                <w:rFonts w:ascii="宋体" w:hAnsi="宋体" w:cs="宋体"/>
                <w:color w:val="000000"/>
                <w:sz w:val="18"/>
                <w:szCs w:val="18"/>
              </w:rPr>
            </w:pPr>
          </w:p>
        </w:tc>
        <w:tc>
          <w:tcPr>
            <w:tcW w:w="5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套</w:t>
            </w:r>
          </w:p>
        </w:tc>
        <w:tc>
          <w:tcPr>
            <w:tcW w:w="57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26 </w:t>
            </w:r>
          </w:p>
        </w:tc>
      </w:tr>
      <w:tr>
        <w:tblPrEx>
          <w:tblCellMar>
            <w:top w:w="0" w:type="dxa"/>
            <w:left w:w="0" w:type="dxa"/>
            <w:bottom w:w="0" w:type="dxa"/>
            <w:right w:w="0" w:type="dxa"/>
          </w:tblCellMar>
        </w:tblPrEx>
        <w:trPr>
          <w:trHeight w:val="4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w:t>
            </w:r>
          </w:p>
        </w:tc>
        <w:tc>
          <w:tcPr>
            <w:tcW w:w="129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400*100 网篮桥架</w:t>
            </w:r>
          </w:p>
        </w:tc>
        <w:tc>
          <w:tcPr>
            <w:tcW w:w="678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400*100 网篮桥架</w:t>
            </w:r>
          </w:p>
        </w:tc>
        <w:tc>
          <w:tcPr>
            <w:tcW w:w="5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米</w:t>
            </w:r>
          </w:p>
        </w:tc>
        <w:tc>
          <w:tcPr>
            <w:tcW w:w="57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20 </w:t>
            </w:r>
          </w:p>
        </w:tc>
      </w:tr>
      <w:tr>
        <w:tblPrEx>
          <w:tblCellMar>
            <w:top w:w="0" w:type="dxa"/>
            <w:left w:w="0" w:type="dxa"/>
            <w:bottom w:w="0" w:type="dxa"/>
            <w:right w:w="0" w:type="dxa"/>
          </w:tblCellMar>
        </w:tblPrEx>
        <w:trPr>
          <w:trHeight w:val="4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w:t>
            </w:r>
          </w:p>
        </w:tc>
        <w:tc>
          <w:tcPr>
            <w:tcW w:w="129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300*100 镀锌金属桥架</w:t>
            </w:r>
          </w:p>
        </w:tc>
        <w:tc>
          <w:tcPr>
            <w:tcW w:w="678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300*100 镀锌金属桥架</w:t>
            </w:r>
          </w:p>
        </w:tc>
        <w:tc>
          <w:tcPr>
            <w:tcW w:w="5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米</w:t>
            </w:r>
          </w:p>
        </w:tc>
        <w:tc>
          <w:tcPr>
            <w:tcW w:w="57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35 </w:t>
            </w:r>
          </w:p>
        </w:tc>
      </w:tr>
      <w:tr>
        <w:tblPrEx>
          <w:tblCellMar>
            <w:top w:w="0" w:type="dxa"/>
            <w:left w:w="0" w:type="dxa"/>
            <w:bottom w:w="0" w:type="dxa"/>
            <w:right w:w="0" w:type="dxa"/>
          </w:tblCellMar>
        </w:tblPrEx>
        <w:trPr>
          <w:trHeight w:val="240" w:hRule="atLeast"/>
        </w:trPr>
        <w:tc>
          <w:tcPr>
            <w:tcW w:w="9510" w:type="dxa"/>
            <w:gridSpan w:val="5"/>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lang w:bidi="ar"/>
              </w:rPr>
              <w:t>标准化机房-制冷及空气调节</w:t>
            </w:r>
          </w:p>
        </w:tc>
      </w:tr>
      <w:tr>
        <w:tblPrEx>
          <w:tblCellMar>
            <w:top w:w="0" w:type="dxa"/>
            <w:left w:w="0" w:type="dxa"/>
            <w:bottom w:w="0" w:type="dxa"/>
            <w:right w:w="0" w:type="dxa"/>
          </w:tblCellMar>
        </w:tblPrEx>
        <w:trPr>
          <w:trHeight w:val="240" w:hRule="atLeast"/>
        </w:trPr>
        <w:tc>
          <w:tcPr>
            <w:tcW w:w="9510" w:type="dxa"/>
            <w:gridSpan w:val="5"/>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一、精密空调</w:t>
            </w:r>
          </w:p>
        </w:tc>
      </w:tr>
      <w:tr>
        <w:tblPrEx>
          <w:tblCellMar>
            <w:top w:w="0" w:type="dxa"/>
            <w:left w:w="0" w:type="dxa"/>
            <w:bottom w:w="0" w:type="dxa"/>
            <w:right w:w="0" w:type="dxa"/>
          </w:tblCellMar>
        </w:tblPrEx>
        <w:trPr>
          <w:trHeight w:val="396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行间级精密空调内机30KW制冷量</w:t>
            </w:r>
          </w:p>
        </w:tc>
        <w:tc>
          <w:tcPr>
            <w:tcW w:w="6787" w:type="dxa"/>
            <w:vMerge w:val="restart"/>
            <w:tcBorders>
              <w:top w:val="single" w:color="000000" w:sz="4" w:space="0"/>
              <w:left w:val="nil"/>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1.总制冷量（kW）≥25.8，显冷量（kW）≥25.8，风量（m³/h）≥5000，电加热量（kW）≥3，加湿量（kg/h）≥1.5;</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2.电源模式：三相380V，功能类型：单冷+加热+加湿；送风形式：前送后回，风机数量≥5；</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3.送风形式：前送后回，风机数量≥5；</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4.采用谷轮或日立全封闭变频涡旋压缩机，压缩机可根据实际负荷进行无级变速调节，制冷量可在大范围内快速变化。采用R410A环保制冷剂；</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5.配置油分离器，保证机组可靠回油。</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6.室内风机配置无级调速风机，使用直联式风机，不得采用皮带传动型风机，以防止采用皮带传动造成皮带松动和粉尘的污染，风机数量应不少于5个。</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7.室外风机采用无级调速冷凝风机，满足能够根据冷凝器压力自动无级调节风机转速，达到节能降耗的效果。</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8.空气过滤器采用大面积高容量低风阻多褶板式初效过滤器，过滤器形状为“W”褶皱型，过滤器面积与表冷器面积应相同，以达到最长维护周期。过滤器安装于机组内部，空气过滤器应便于更换。过滤器应保证机房的洁净度达到GB 50174—2008《电子计算机机房设计规范》标准：每升空气中大于或等于0.5μM的尘粒数，应少于18000粒，满足G3~G4金属框架标准。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9.采用PTC电加热，最高表面温度不超过250℃，安全无明火，有过热保护功能。采用意大利卡乐电极加湿；</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10.节流装置采用卡乐或者丹佛斯电子膨胀阀，可以更精确的控制蒸发器内制冷剂过热度，稳定的控制蒸发压力和蒸发量，保持较高的冷量输出；</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11.室外机组提供冷凝风扇无级变速驱动器，无级变速驱动器能根据冷凝器管道内部压力变化自动调节冷凝风扇的运转速度。室外机组支持兼容水平安装和垂直安装</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12.满足远程监控功能，具备RS485或以太网接口通信接口，支持Modbus通讯协议。系统具备至少16台机组联动控制功能。通过机组内的控制器，可使各机组自动轮换工作，以达到各机组工作时间基本相同。当群控功能失效，保证单机自动接管运行。空调都应有相同的完整的电脑控制系统，不允许同一场地中，某一台带有完整的可以进行监控的主板，而其他机组的控制系统没有监控功能，仅能串联在这台主机上，通过这台主机进行远程监控。</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13.具有风机故障检测、加湿故障及加热器过热等报警及故障诊断、告警记录功能，具有自动保护、来电自动重启动等功能；具有大容量的故障报警记录储存功能及维护提示设定。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14.每台空调机组均应设有自动控制系统，采用先进的模糊逻辑控制或PID调解技术，能按机房要求的温度、湿度自动调解与控制机组的运行。系统可提供本地和远端两种控制模式。风冷行级精密空调控制器应采用意大利卡乐或自主开发品牌。</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15.配置不小于7英寸触摸彩色液晶屏；具有温湿度曲线显示功能及多级密码保护功能；机组需配滤网堵塞报警开关；每台精密空调必须配2个或以上的送风温度传感器，2个或以上的回风温度传感器，1个独立的温湿度传感器。</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16.具备防凝露模式，能够保证机组正常运行时不出现凝露的现象。要求在进入该模式后触摸屏上有显示“防凝露”状态。</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17.具有高可靠性，平均设计寿命≥15年。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18.机组满足在室外温度-20/-40～45℃正常运行，每天运行24小时，365天连续运行制冷，保证机房恒温恒湿控制；</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19.电气性能符合IEC标准。来电自启动功能，具备延时启动功能，避免因来电闪断影响设备稳定性，或因多台设备同时开机导致前端供电开关因浪涌导致“跳闸”。空调机组的输入电源因故障恢复正常后，启动后空调机组设置的参数须与停机前的设置保持一致。</w:t>
            </w:r>
          </w:p>
        </w:tc>
        <w:tc>
          <w:tcPr>
            <w:tcW w:w="51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台</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4 </w:t>
            </w:r>
          </w:p>
        </w:tc>
      </w:tr>
      <w:tr>
        <w:tblPrEx>
          <w:tblCellMar>
            <w:top w:w="0" w:type="dxa"/>
            <w:left w:w="0" w:type="dxa"/>
            <w:bottom w:w="0" w:type="dxa"/>
            <w:right w:w="0" w:type="dxa"/>
          </w:tblCellMar>
        </w:tblPrEx>
        <w:trPr>
          <w:trHeight w:val="1371"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行间级精密空调外机</w:t>
            </w:r>
          </w:p>
        </w:tc>
        <w:tc>
          <w:tcPr>
            <w:tcW w:w="6787" w:type="dxa"/>
            <w:vMerge w:val="continue"/>
            <w:tcBorders>
              <w:top w:val="single" w:color="000000" w:sz="4" w:space="0"/>
              <w:left w:val="nil"/>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ascii="宋体" w:hAnsi="宋体" w:cs="宋体"/>
                <w:color w:val="000000"/>
                <w:kern w:val="0"/>
                <w:sz w:val="18"/>
                <w:szCs w:val="18"/>
                <w:lang w:bidi="ar"/>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台</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4 </w:t>
            </w:r>
          </w:p>
        </w:tc>
      </w:tr>
      <w:tr>
        <w:tblPrEx>
          <w:tblCellMar>
            <w:top w:w="0" w:type="dxa"/>
            <w:left w:w="0" w:type="dxa"/>
            <w:bottom w:w="0" w:type="dxa"/>
            <w:right w:w="0" w:type="dxa"/>
          </w:tblCellMar>
        </w:tblPrEx>
        <w:trPr>
          <w:trHeight w:val="4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精密空调辅材组件</w:t>
            </w:r>
          </w:p>
        </w:tc>
        <w:tc>
          <w:tcPr>
            <w:tcW w:w="67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含50米内的铜管、保温管、弯头及冷凝剂等辅材。</w:t>
            </w:r>
          </w:p>
        </w:tc>
        <w:tc>
          <w:tcPr>
            <w:tcW w:w="51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套</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7 </w:t>
            </w:r>
          </w:p>
        </w:tc>
      </w:tr>
      <w:tr>
        <w:tblPrEx>
          <w:tblCellMar>
            <w:top w:w="0" w:type="dxa"/>
            <w:left w:w="0" w:type="dxa"/>
            <w:bottom w:w="0" w:type="dxa"/>
            <w:right w:w="0" w:type="dxa"/>
          </w:tblCellMar>
        </w:tblPrEx>
        <w:trPr>
          <w:trHeight w:val="16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基站式12.5KW空调（含外机）</w:t>
            </w:r>
          </w:p>
        </w:tc>
        <w:tc>
          <w:tcPr>
            <w:tcW w:w="6787" w:type="dxa"/>
            <w:tcBorders>
              <w:top w:val="single" w:color="000000" w:sz="4" w:space="0"/>
              <w:left w:val="single" w:color="000000" w:sz="4" w:space="0"/>
              <w:bottom w:val="nil"/>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1.基站式精密空调，室内机采用上前送风，制冷量≥12.5KW，显冷量≥11.5KW；风量≥3200m³/h，采用铜管套冲缝型亲水铝翘片式“/”型蒸发器盘管；</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2.高效可靠的压缩机，加热加湿，EC风机，整体机组采用380V/50Hz供电，配备可编程液晶显示器，RS485通信接口，R22(未冲)、不含风帽；</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3.室外机采用无级调速方式，常温型（-20℃）；</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4.与行间级精密空调同一品牌</w:t>
            </w:r>
          </w:p>
        </w:tc>
        <w:tc>
          <w:tcPr>
            <w:tcW w:w="51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台</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2 </w:t>
            </w:r>
          </w:p>
        </w:tc>
      </w:tr>
      <w:tr>
        <w:tblPrEx>
          <w:tblCellMar>
            <w:top w:w="0" w:type="dxa"/>
            <w:left w:w="0" w:type="dxa"/>
            <w:bottom w:w="0" w:type="dxa"/>
            <w:right w:w="0" w:type="dxa"/>
          </w:tblCellMar>
        </w:tblPrEx>
        <w:trPr>
          <w:trHeight w:val="16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基站式7.6KW空调室内机（含外机）</w:t>
            </w:r>
          </w:p>
        </w:tc>
        <w:tc>
          <w:tcPr>
            <w:tcW w:w="6787" w:type="dxa"/>
            <w:tcBorders>
              <w:top w:val="single" w:color="000000" w:sz="4" w:space="0"/>
              <w:left w:val="single" w:color="000000" w:sz="4" w:space="0"/>
              <w:bottom w:val="nil"/>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1.基站式精密空调，室内机采用上前送风，制冷量≥7.5KW，显冷量≥6.9KW；风量≥2000m³/h，采用铜管套冲缝型亲水铝翘片式“/”型蒸发器盘管；</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2.高效可靠的压缩机，加热加湿，EC风机，整体机组采用380V/50Hz供电，配备可编程液晶显示器，RS485通信接口，R22(未冲)、不含风帽；</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3.室外机采用无级调速方式，常温型（-20℃）；</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4.与行间级精密空调同一品牌</w:t>
            </w:r>
          </w:p>
        </w:tc>
        <w:tc>
          <w:tcPr>
            <w:tcW w:w="51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台</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1 </w:t>
            </w:r>
          </w:p>
        </w:tc>
      </w:tr>
      <w:tr>
        <w:tblPrEx>
          <w:tblCellMar>
            <w:top w:w="0" w:type="dxa"/>
            <w:left w:w="0" w:type="dxa"/>
            <w:bottom w:w="0" w:type="dxa"/>
            <w:right w:w="0" w:type="dxa"/>
          </w:tblCellMar>
        </w:tblPrEx>
        <w:trPr>
          <w:trHeight w:val="24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冷冻油</w:t>
            </w:r>
          </w:p>
        </w:tc>
        <w:tc>
          <w:tcPr>
            <w:tcW w:w="67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精密空调冷冻油,1L/桶</w:t>
            </w:r>
          </w:p>
        </w:tc>
        <w:tc>
          <w:tcPr>
            <w:tcW w:w="51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桶</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4 </w:t>
            </w:r>
          </w:p>
        </w:tc>
      </w:tr>
      <w:tr>
        <w:tblPrEx>
          <w:tblCellMar>
            <w:top w:w="0" w:type="dxa"/>
            <w:left w:w="0" w:type="dxa"/>
            <w:bottom w:w="0" w:type="dxa"/>
            <w:right w:w="0" w:type="dxa"/>
          </w:tblCellMar>
        </w:tblPrEx>
        <w:trPr>
          <w:trHeight w:val="240" w:hRule="atLeast"/>
        </w:trPr>
        <w:tc>
          <w:tcPr>
            <w:tcW w:w="9510" w:type="dxa"/>
            <w:gridSpan w:val="5"/>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三、新、排（烟）风系统</w:t>
            </w:r>
          </w:p>
        </w:tc>
      </w:tr>
      <w:tr>
        <w:tblPrEx>
          <w:tblCellMar>
            <w:top w:w="0" w:type="dxa"/>
            <w:left w:w="0" w:type="dxa"/>
            <w:bottom w:w="0" w:type="dxa"/>
            <w:right w:w="0" w:type="dxa"/>
          </w:tblCellMar>
        </w:tblPrEx>
        <w:trPr>
          <w:trHeight w:val="4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129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离心排烟风机 6000m³风量</w:t>
            </w:r>
          </w:p>
        </w:tc>
        <w:tc>
          <w:tcPr>
            <w:tcW w:w="678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离心式排风机</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风量：每小时6000m³</w:t>
            </w:r>
          </w:p>
        </w:tc>
        <w:tc>
          <w:tcPr>
            <w:tcW w:w="5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台</w:t>
            </w:r>
          </w:p>
        </w:tc>
        <w:tc>
          <w:tcPr>
            <w:tcW w:w="57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1 </w:t>
            </w:r>
          </w:p>
        </w:tc>
      </w:tr>
      <w:tr>
        <w:tblPrEx>
          <w:tblCellMar>
            <w:top w:w="0" w:type="dxa"/>
            <w:left w:w="0" w:type="dxa"/>
            <w:bottom w:w="0" w:type="dxa"/>
            <w:right w:w="0" w:type="dxa"/>
          </w:tblCellMar>
        </w:tblPrEx>
        <w:trPr>
          <w:trHeight w:val="720" w:hRule="atLeast"/>
        </w:trPr>
        <w:tc>
          <w:tcPr>
            <w:tcW w:w="34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c>
          <w:tcPr>
            <w:tcW w:w="129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冷热预处理新风机 3000m³风量</w:t>
            </w:r>
          </w:p>
        </w:tc>
        <w:tc>
          <w:tcPr>
            <w:tcW w:w="678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冷热预处理新风机</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风量：3000m³风量</w:t>
            </w:r>
          </w:p>
        </w:tc>
        <w:tc>
          <w:tcPr>
            <w:tcW w:w="5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台</w:t>
            </w:r>
          </w:p>
        </w:tc>
        <w:tc>
          <w:tcPr>
            <w:tcW w:w="57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1 </w:t>
            </w:r>
          </w:p>
        </w:tc>
      </w:tr>
      <w:tr>
        <w:tblPrEx>
          <w:tblCellMar>
            <w:top w:w="0" w:type="dxa"/>
            <w:left w:w="0" w:type="dxa"/>
            <w:bottom w:w="0" w:type="dxa"/>
            <w:right w:w="0" w:type="dxa"/>
          </w:tblCellMar>
        </w:tblPrEx>
        <w:trPr>
          <w:trHeight w:val="720" w:hRule="atLeast"/>
        </w:trPr>
        <w:tc>
          <w:tcPr>
            <w:tcW w:w="34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w:t>
            </w:r>
          </w:p>
        </w:tc>
        <w:tc>
          <w:tcPr>
            <w:tcW w:w="129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新风风道 镀锌钢板定制 400*400</w:t>
            </w:r>
          </w:p>
        </w:tc>
        <w:tc>
          <w:tcPr>
            <w:tcW w:w="678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定制</w:t>
            </w:r>
          </w:p>
        </w:tc>
        <w:tc>
          <w:tcPr>
            <w:tcW w:w="5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平米</w:t>
            </w:r>
          </w:p>
        </w:tc>
        <w:tc>
          <w:tcPr>
            <w:tcW w:w="57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168 </w:t>
            </w:r>
          </w:p>
        </w:tc>
      </w:tr>
      <w:tr>
        <w:tblPrEx>
          <w:tblCellMar>
            <w:top w:w="0" w:type="dxa"/>
            <w:left w:w="0" w:type="dxa"/>
            <w:bottom w:w="0" w:type="dxa"/>
            <w:right w:w="0" w:type="dxa"/>
          </w:tblCellMar>
        </w:tblPrEx>
        <w:trPr>
          <w:trHeight w:val="960" w:hRule="atLeast"/>
        </w:trPr>
        <w:tc>
          <w:tcPr>
            <w:tcW w:w="34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w:t>
            </w:r>
          </w:p>
        </w:tc>
        <w:tc>
          <w:tcPr>
            <w:tcW w:w="129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新风风道（送风）保温 20mm橡塑+铝箔</w:t>
            </w:r>
          </w:p>
        </w:tc>
        <w:tc>
          <w:tcPr>
            <w:tcW w:w="678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定制</w:t>
            </w:r>
          </w:p>
        </w:tc>
        <w:tc>
          <w:tcPr>
            <w:tcW w:w="5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平米</w:t>
            </w:r>
          </w:p>
        </w:tc>
        <w:tc>
          <w:tcPr>
            <w:tcW w:w="57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168 </w:t>
            </w:r>
          </w:p>
        </w:tc>
      </w:tr>
      <w:tr>
        <w:tblPrEx>
          <w:tblCellMar>
            <w:top w:w="0" w:type="dxa"/>
            <w:left w:w="0" w:type="dxa"/>
            <w:bottom w:w="0" w:type="dxa"/>
            <w:right w:w="0" w:type="dxa"/>
          </w:tblCellMar>
        </w:tblPrEx>
        <w:trPr>
          <w:trHeight w:val="720" w:hRule="atLeast"/>
        </w:trPr>
        <w:tc>
          <w:tcPr>
            <w:tcW w:w="34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c>
          <w:tcPr>
            <w:tcW w:w="129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铝合金风口（送风） 300*300</w:t>
            </w:r>
          </w:p>
        </w:tc>
        <w:tc>
          <w:tcPr>
            <w:tcW w:w="678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定制</w:t>
            </w:r>
          </w:p>
        </w:tc>
        <w:tc>
          <w:tcPr>
            <w:tcW w:w="5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个</w:t>
            </w:r>
          </w:p>
        </w:tc>
        <w:tc>
          <w:tcPr>
            <w:tcW w:w="57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8 </w:t>
            </w:r>
          </w:p>
        </w:tc>
      </w:tr>
      <w:tr>
        <w:tblPrEx>
          <w:tblCellMar>
            <w:top w:w="0" w:type="dxa"/>
            <w:left w:w="0" w:type="dxa"/>
            <w:bottom w:w="0" w:type="dxa"/>
            <w:right w:w="0" w:type="dxa"/>
          </w:tblCellMar>
        </w:tblPrEx>
        <w:trPr>
          <w:trHeight w:val="720" w:hRule="atLeast"/>
        </w:trPr>
        <w:tc>
          <w:tcPr>
            <w:tcW w:w="34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w:t>
            </w:r>
          </w:p>
        </w:tc>
        <w:tc>
          <w:tcPr>
            <w:tcW w:w="129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铝合金风口（回风） φ150</w:t>
            </w:r>
          </w:p>
        </w:tc>
        <w:tc>
          <w:tcPr>
            <w:tcW w:w="678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定制</w:t>
            </w:r>
          </w:p>
        </w:tc>
        <w:tc>
          <w:tcPr>
            <w:tcW w:w="5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个</w:t>
            </w:r>
          </w:p>
        </w:tc>
        <w:tc>
          <w:tcPr>
            <w:tcW w:w="57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8 </w:t>
            </w:r>
          </w:p>
        </w:tc>
      </w:tr>
      <w:tr>
        <w:tblPrEx>
          <w:tblCellMar>
            <w:top w:w="0" w:type="dxa"/>
            <w:left w:w="0" w:type="dxa"/>
            <w:bottom w:w="0" w:type="dxa"/>
            <w:right w:w="0" w:type="dxa"/>
          </w:tblCellMar>
        </w:tblPrEx>
        <w:trPr>
          <w:trHeight w:val="4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7</w:t>
            </w:r>
          </w:p>
        </w:tc>
        <w:tc>
          <w:tcPr>
            <w:tcW w:w="129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防火阀 400*400</w:t>
            </w:r>
          </w:p>
        </w:tc>
        <w:tc>
          <w:tcPr>
            <w:tcW w:w="678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定制</w:t>
            </w:r>
          </w:p>
        </w:tc>
        <w:tc>
          <w:tcPr>
            <w:tcW w:w="5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个</w:t>
            </w:r>
          </w:p>
        </w:tc>
        <w:tc>
          <w:tcPr>
            <w:tcW w:w="57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2 </w:t>
            </w:r>
          </w:p>
        </w:tc>
      </w:tr>
      <w:tr>
        <w:tblPrEx>
          <w:tblCellMar>
            <w:top w:w="0" w:type="dxa"/>
            <w:left w:w="0" w:type="dxa"/>
            <w:bottom w:w="0" w:type="dxa"/>
            <w:right w:w="0" w:type="dxa"/>
          </w:tblCellMar>
        </w:tblPrEx>
        <w:trPr>
          <w:trHeight w:val="4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w:t>
            </w:r>
          </w:p>
        </w:tc>
        <w:tc>
          <w:tcPr>
            <w:tcW w:w="129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新风止回阀 400*400</w:t>
            </w:r>
          </w:p>
        </w:tc>
        <w:tc>
          <w:tcPr>
            <w:tcW w:w="678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定制</w:t>
            </w:r>
          </w:p>
        </w:tc>
        <w:tc>
          <w:tcPr>
            <w:tcW w:w="5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个</w:t>
            </w:r>
          </w:p>
        </w:tc>
        <w:tc>
          <w:tcPr>
            <w:tcW w:w="57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4 </w:t>
            </w:r>
          </w:p>
        </w:tc>
      </w:tr>
      <w:tr>
        <w:tblPrEx>
          <w:tblCellMar>
            <w:top w:w="0" w:type="dxa"/>
            <w:left w:w="0" w:type="dxa"/>
            <w:bottom w:w="0" w:type="dxa"/>
            <w:right w:w="0" w:type="dxa"/>
          </w:tblCellMar>
        </w:tblPrEx>
        <w:trPr>
          <w:trHeight w:val="240" w:hRule="atLeast"/>
        </w:trPr>
        <w:tc>
          <w:tcPr>
            <w:tcW w:w="9510" w:type="dxa"/>
            <w:gridSpan w:val="5"/>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lang w:bidi="ar"/>
              </w:rPr>
              <w:t>标准化机房-弱电系统</w:t>
            </w:r>
          </w:p>
        </w:tc>
      </w:tr>
      <w:tr>
        <w:tblPrEx>
          <w:tblCellMar>
            <w:top w:w="0" w:type="dxa"/>
            <w:left w:w="0" w:type="dxa"/>
            <w:bottom w:w="0" w:type="dxa"/>
            <w:right w:w="0" w:type="dxa"/>
          </w:tblCellMar>
        </w:tblPrEx>
        <w:trPr>
          <w:trHeight w:val="240" w:hRule="atLeast"/>
        </w:trPr>
        <w:tc>
          <w:tcPr>
            <w:tcW w:w="9510" w:type="dxa"/>
            <w:gridSpan w:val="5"/>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一、动力环境监控系统</w:t>
            </w:r>
          </w:p>
        </w:tc>
      </w:tr>
      <w:tr>
        <w:tblPrEx>
          <w:tblCellMar>
            <w:top w:w="0" w:type="dxa"/>
            <w:left w:w="0" w:type="dxa"/>
            <w:bottom w:w="0" w:type="dxa"/>
            <w:right w:w="0" w:type="dxa"/>
          </w:tblCellMar>
        </w:tblPrEx>
        <w:trPr>
          <w:trHeight w:val="52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动环集中监控中心软件</w:t>
            </w:r>
          </w:p>
        </w:tc>
        <w:tc>
          <w:tcPr>
            <w:tcW w:w="678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1.采用B/S架构和最新HTML5+Ajax+Websocket技术，建立可扩充的整体平台，实现多套动环监控系统的联网集中管控，支持IE浏览器远程管理；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2.支持大屏模式、列表模式、地图模式对多个节点集中监控，大屏模式将机房视图、地区机房统计、机房实时数据、实时告警、机房健康统计、定时自动巡视机房等以动态方式全屏集中展现。</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3.系统实时监控（UPS、空调、供配电、温湿度、烟感、漏水）等设备，采用HTML5技术，动态图表的方式实时显示监测数据，同时支持新设备的组态添加；</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4.系统实时显示不同的设备的告警信息，提供多种报警方式（短信、声光、邮件等），支持4级报警级别设置；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5.系统对用户进行权限管理、菜单和动环设备组态管理、网络IP地址管理、报表管理、历史数据查询、Excel格式报表下载等功能；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6.系统保存1年的历史数据，包括设备监测数据、告警数据、操作日志等，用户可在时间段内查询所有历史数据；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7.具备视频监控功能，可根据需求分配管理员对每个视频监控设备的远程访问权限；</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8.具备门禁管理功能，可根据需求分配每个管理员对每个门禁的远程开门权限，可实时采集每个出入口的进出资料</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9.系统具备自守护功能，实现网络、数据库和系统异常的主动发现和重置恢复；</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10.★具有中国信息安全测评中心出具的动环集中监控中心信息安全测评报告，提供复印件并厂商盖章。</w:t>
            </w:r>
          </w:p>
        </w:tc>
        <w:tc>
          <w:tcPr>
            <w:tcW w:w="51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套</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r>
      <w:tr>
        <w:tblPrEx>
          <w:tblCellMar>
            <w:top w:w="0" w:type="dxa"/>
            <w:left w:w="0" w:type="dxa"/>
            <w:bottom w:w="0" w:type="dxa"/>
            <w:right w:w="0" w:type="dxa"/>
          </w:tblCellMar>
        </w:tblPrEx>
        <w:trPr>
          <w:trHeight w:val="4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UPS系统软件模块</w:t>
            </w:r>
          </w:p>
        </w:tc>
        <w:tc>
          <w:tcPr>
            <w:tcW w:w="678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远程查看UPS的输入、输出、旁路的电压，电池，负载等各部件的运行状态与参数，形成曲线报表，UPS故障报警。</w:t>
            </w:r>
          </w:p>
        </w:tc>
        <w:tc>
          <w:tcPr>
            <w:tcW w:w="51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个</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r>
      <w:tr>
        <w:tblPrEx>
          <w:tblCellMar>
            <w:top w:w="0" w:type="dxa"/>
            <w:left w:w="0" w:type="dxa"/>
            <w:bottom w:w="0" w:type="dxa"/>
            <w:right w:w="0" w:type="dxa"/>
          </w:tblCellMar>
        </w:tblPrEx>
        <w:trPr>
          <w:trHeight w:val="4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供配电系统软件模块</w:t>
            </w:r>
          </w:p>
        </w:tc>
        <w:tc>
          <w:tcPr>
            <w:tcW w:w="678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远程查看配电柜的单相电压、三相电压、电流、频率、功率因数、有功功率、无功功率等，形成曲线报表。</w:t>
            </w:r>
          </w:p>
        </w:tc>
        <w:tc>
          <w:tcPr>
            <w:tcW w:w="51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个</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r>
      <w:tr>
        <w:tblPrEx>
          <w:tblCellMar>
            <w:top w:w="0" w:type="dxa"/>
            <w:left w:w="0" w:type="dxa"/>
            <w:bottom w:w="0" w:type="dxa"/>
            <w:right w:w="0" w:type="dxa"/>
          </w:tblCellMar>
        </w:tblPrEx>
        <w:trPr>
          <w:trHeight w:val="4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PDU系统软件模块</w:t>
            </w:r>
          </w:p>
        </w:tc>
        <w:tc>
          <w:tcPr>
            <w:tcW w:w="678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远程查看PDU如电流负载、电压、功率等运行参数。记录PDU参数曲线，参数越限提供报警。</w:t>
            </w:r>
          </w:p>
        </w:tc>
        <w:tc>
          <w:tcPr>
            <w:tcW w:w="51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个</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r>
      <w:tr>
        <w:tblPrEx>
          <w:tblCellMar>
            <w:top w:w="0" w:type="dxa"/>
            <w:left w:w="0" w:type="dxa"/>
            <w:bottom w:w="0" w:type="dxa"/>
            <w:right w:w="0" w:type="dxa"/>
          </w:tblCellMar>
        </w:tblPrEx>
        <w:trPr>
          <w:trHeight w:val="4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精密空调系统软件模块</w:t>
            </w:r>
          </w:p>
        </w:tc>
        <w:tc>
          <w:tcPr>
            <w:tcW w:w="678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远程查看空调各部件如压缩机、风机、加热器、加湿器、去湿器等的运行状态及回风温度、湿度等运行参数，形成曲线报表，空调故障报警。</w:t>
            </w:r>
          </w:p>
        </w:tc>
        <w:tc>
          <w:tcPr>
            <w:tcW w:w="51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个</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r>
      <w:tr>
        <w:tblPrEx>
          <w:tblCellMar>
            <w:top w:w="0" w:type="dxa"/>
            <w:left w:w="0" w:type="dxa"/>
            <w:bottom w:w="0" w:type="dxa"/>
            <w:right w:w="0" w:type="dxa"/>
          </w:tblCellMar>
        </w:tblPrEx>
        <w:trPr>
          <w:trHeight w:val="4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漏水系统软件模块</w:t>
            </w:r>
          </w:p>
        </w:tc>
        <w:tc>
          <w:tcPr>
            <w:tcW w:w="678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远程查看空调漏水情况，当发生漏水提供报警。</w:t>
            </w:r>
          </w:p>
        </w:tc>
        <w:tc>
          <w:tcPr>
            <w:tcW w:w="51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个</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r>
      <w:tr>
        <w:tblPrEx>
          <w:tblCellMar>
            <w:top w:w="0" w:type="dxa"/>
            <w:left w:w="0" w:type="dxa"/>
            <w:bottom w:w="0" w:type="dxa"/>
            <w:right w:w="0" w:type="dxa"/>
          </w:tblCellMar>
        </w:tblPrEx>
        <w:trPr>
          <w:trHeight w:val="4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7</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温湿度系统软件模块</w:t>
            </w:r>
          </w:p>
        </w:tc>
        <w:tc>
          <w:tcPr>
            <w:tcW w:w="678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1.远程查看温湿度曲线，形成曲线报表，参数越限提供报警；</w:t>
            </w:r>
          </w:p>
        </w:tc>
        <w:tc>
          <w:tcPr>
            <w:tcW w:w="51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个</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r>
      <w:tr>
        <w:tblPrEx>
          <w:tblCellMar>
            <w:top w:w="0" w:type="dxa"/>
            <w:left w:w="0" w:type="dxa"/>
            <w:bottom w:w="0" w:type="dxa"/>
            <w:right w:w="0" w:type="dxa"/>
          </w:tblCellMar>
        </w:tblPrEx>
        <w:trPr>
          <w:trHeight w:val="4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消防系统软件模块</w:t>
            </w:r>
          </w:p>
        </w:tc>
        <w:tc>
          <w:tcPr>
            <w:tcW w:w="678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远程查看室内火灾情况，探测器一旦报警，系统软件通过多种报警方式通知相关管理人员。</w:t>
            </w:r>
          </w:p>
        </w:tc>
        <w:tc>
          <w:tcPr>
            <w:tcW w:w="51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个</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r>
      <w:tr>
        <w:tblPrEx>
          <w:tblCellMar>
            <w:top w:w="0" w:type="dxa"/>
            <w:left w:w="0" w:type="dxa"/>
            <w:bottom w:w="0" w:type="dxa"/>
            <w:right w:w="0" w:type="dxa"/>
          </w:tblCellMar>
        </w:tblPrEx>
        <w:trPr>
          <w:trHeight w:val="4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9</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短信报警软件系统</w:t>
            </w:r>
          </w:p>
        </w:tc>
        <w:tc>
          <w:tcPr>
            <w:tcW w:w="678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1.提供短信报警通知，客户需自行提供SIM卡，支持移动GSM；</w:t>
            </w:r>
          </w:p>
        </w:tc>
        <w:tc>
          <w:tcPr>
            <w:tcW w:w="51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个</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r>
      <w:tr>
        <w:tblPrEx>
          <w:tblCellMar>
            <w:top w:w="0" w:type="dxa"/>
            <w:left w:w="0" w:type="dxa"/>
            <w:bottom w:w="0" w:type="dxa"/>
            <w:right w:w="0" w:type="dxa"/>
          </w:tblCellMar>
        </w:tblPrEx>
        <w:trPr>
          <w:trHeight w:val="4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邮件报警软件系统</w:t>
            </w:r>
          </w:p>
        </w:tc>
        <w:tc>
          <w:tcPr>
            <w:tcW w:w="678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提供邮件报警通知，客户自行提供SMTP服务。</w:t>
            </w:r>
          </w:p>
        </w:tc>
        <w:tc>
          <w:tcPr>
            <w:tcW w:w="51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个</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r>
      <w:tr>
        <w:tblPrEx>
          <w:tblCellMar>
            <w:top w:w="0" w:type="dxa"/>
            <w:left w:w="0" w:type="dxa"/>
            <w:bottom w:w="0" w:type="dxa"/>
            <w:right w:w="0" w:type="dxa"/>
          </w:tblCellMar>
        </w:tblPrEx>
        <w:trPr>
          <w:trHeight w:val="4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11</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视频监控系统软件模块</w:t>
            </w:r>
          </w:p>
        </w:tc>
        <w:tc>
          <w:tcPr>
            <w:tcW w:w="678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集成视频监控系统，对整个视频系统进行统一管理，实现对图像实时画面查看。</w:t>
            </w:r>
          </w:p>
        </w:tc>
        <w:tc>
          <w:tcPr>
            <w:tcW w:w="51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个</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r>
      <w:tr>
        <w:tblPrEx>
          <w:tblCellMar>
            <w:top w:w="0" w:type="dxa"/>
            <w:left w:w="0" w:type="dxa"/>
            <w:bottom w:w="0" w:type="dxa"/>
            <w:right w:w="0" w:type="dxa"/>
          </w:tblCellMar>
        </w:tblPrEx>
        <w:trPr>
          <w:trHeight w:val="4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12</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门禁监控系统软件模块</w:t>
            </w:r>
          </w:p>
        </w:tc>
        <w:tc>
          <w:tcPr>
            <w:tcW w:w="678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1.集成门禁管理系统，用户通过操作集中监控中心，达成对门禁系统管理的所有功能如发卡、进入人员记录、控制门禁打开或关闭、门禁状态查看等；</w:t>
            </w:r>
          </w:p>
        </w:tc>
        <w:tc>
          <w:tcPr>
            <w:tcW w:w="51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个</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r>
      <w:tr>
        <w:tblPrEx>
          <w:tblCellMar>
            <w:top w:w="0" w:type="dxa"/>
            <w:left w:w="0" w:type="dxa"/>
            <w:bottom w:w="0" w:type="dxa"/>
            <w:right w:w="0" w:type="dxa"/>
          </w:tblCellMar>
        </w:tblPrEx>
        <w:trPr>
          <w:trHeight w:val="120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13</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APP远程管理软件模块</w:t>
            </w:r>
          </w:p>
        </w:tc>
        <w:tc>
          <w:tcPr>
            <w:tcW w:w="6787" w:type="dxa"/>
            <w:tcBorders>
              <w:top w:val="single" w:color="000000" w:sz="4" w:space="0"/>
              <w:left w:val="single" w:color="000000" w:sz="4" w:space="0"/>
              <w:bottom w:val="nil"/>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1.提供手机动环APP，能监控机房实时统计信息，监控每个单体机状态信息及单体机中设备实时数据；能显示实时告警信息和告警数量，可按时间和单体机房查询历史告警信息。</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2.★具有动环监控手机客户端软件的“软件著作权登记”证书，提供复印件并厂商盖章</w:t>
            </w:r>
          </w:p>
        </w:tc>
        <w:tc>
          <w:tcPr>
            <w:tcW w:w="51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套</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r>
      <w:tr>
        <w:tblPrEx>
          <w:tblCellMar>
            <w:top w:w="0" w:type="dxa"/>
            <w:left w:w="0" w:type="dxa"/>
            <w:bottom w:w="0" w:type="dxa"/>
            <w:right w:w="0" w:type="dxa"/>
          </w:tblCellMar>
        </w:tblPrEx>
        <w:trPr>
          <w:trHeight w:val="154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14</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工业触摸屏9.7寸</w:t>
            </w:r>
          </w:p>
        </w:tc>
        <w:tc>
          <w:tcPr>
            <w:tcW w:w="678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1.配置9.7英寸工业触摸屏，提供本地屏端管理；实时监控（UPS、空调、供配电、温湿度、烟感、漏水）等设备；</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2.触屏尺寸9.7”4:3 分辨率1024x768；色彩24位色；Glass+Glass 透射式多点电容触摸屏；CPU600MHz ARM Cortex-A8；存储器128MB Flash+128MB DDR3；RTC实时时钟内置；以太网10M/100M自适应；串行通讯端口COM1/COM4端口RS232/RS485/RS422；</w:t>
            </w:r>
          </w:p>
        </w:tc>
        <w:tc>
          <w:tcPr>
            <w:tcW w:w="51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套</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r>
      <w:tr>
        <w:tblPrEx>
          <w:tblCellMar>
            <w:top w:w="0" w:type="dxa"/>
            <w:left w:w="0" w:type="dxa"/>
            <w:bottom w:w="0" w:type="dxa"/>
            <w:right w:w="0" w:type="dxa"/>
          </w:tblCellMar>
        </w:tblPrEx>
        <w:trPr>
          <w:trHeight w:val="630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15</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动环监控主机</w:t>
            </w:r>
          </w:p>
        </w:tc>
        <w:tc>
          <w:tcPr>
            <w:tcW w:w="678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1.标准1U机架式安装，采用嵌入式系统，内置10/100M网络交换模块，内置短信报警模块，基于ARM Cortex 四核、主频1.5GHz的CPU，存储器具有1G内存，8G Flash；</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2.设备前端具有1个电源指示灯、一个短信SIM卡槽；外形尺寸440*250*44mm；设备后端接口如下：</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  电源输入端口：1路AC220V/150~245V @10A电源输入；</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  电源输出端口：2路DC12V/1A电源输出，2路DC24V/1A电源输出；</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  以太网络端口：2路10/100M 以太网接口；</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  信号采集端口：8*DI，RJ45接口，对外提供12V直流电源，限流0.5A；</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  信号控制端口：4*DO，2EDG接口，对外提供12V直流电源，限流0.5A；</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  信号输入端口：2路RS485信号输入端，8*RS485，RJ45接口，对外提供12V直流电源，限流0.5A；</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  信号输出端口：1*RS485，RJ45接口，对外提供12V直流电源，限流0.5A；</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3.提供远程管理，满足冷通道内多套温湿度、水浸监控、烟感、空调、配电、UPS设备的监控管理，提供短信、邮件、声光等多元化报警；支持远程网页实时数据查看、历史数据查询和下载、系统参数设置管理等；</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4.支持与触屏一体机对接，实现在本地触摸屏实时查看温湿度、水浸、烟感、空调、配电、UPS等设备的实时监控数据；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5.在磁场强度 100A/m下，进行不少于5次正、负极性脉冲实验，脉冲之间的时间间隔应不少于10s，动环监控主机脉冲磁场抗扰度在规范极限值内性能正常。</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6.在磁场强度10A/m，感应线圈旋转 90°，振荡频率为1MHz，重复率为400 次/s，施加持续时间2s的状态下，将动环监控主机置于 1m×1m 的磁场感应线圈中心，持续时间不少于1分钟，其阻尼振荡磁场抗扰度在规范极限值内性能正常。</w:t>
            </w:r>
          </w:p>
        </w:tc>
        <w:tc>
          <w:tcPr>
            <w:tcW w:w="51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台</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r>
      <w:tr>
        <w:tblPrEx>
          <w:tblCellMar>
            <w:top w:w="0" w:type="dxa"/>
            <w:left w:w="0" w:type="dxa"/>
            <w:bottom w:w="0" w:type="dxa"/>
            <w:right w:w="0" w:type="dxa"/>
          </w:tblCellMar>
        </w:tblPrEx>
        <w:trPr>
          <w:trHeight w:val="24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16</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短信报警设备</w:t>
            </w:r>
          </w:p>
        </w:tc>
        <w:tc>
          <w:tcPr>
            <w:tcW w:w="678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提供短信报警通知，客户需自行提供SIM卡</w:t>
            </w:r>
          </w:p>
        </w:tc>
        <w:tc>
          <w:tcPr>
            <w:tcW w:w="51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个</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r>
      <w:tr>
        <w:tblPrEx>
          <w:tblCellMar>
            <w:top w:w="0" w:type="dxa"/>
            <w:left w:w="0" w:type="dxa"/>
            <w:bottom w:w="0" w:type="dxa"/>
            <w:right w:w="0" w:type="dxa"/>
          </w:tblCellMar>
        </w:tblPrEx>
        <w:trPr>
          <w:trHeight w:val="4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17</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声光报警设备</w:t>
            </w:r>
          </w:p>
        </w:tc>
        <w:tc>
          <w:tcPr>
            <w:tcW w:w="678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系统一旦检测到参数值越限、设备故障等可通过本地声光报警提醒管理人员及时处理。</w:t>
            </w:r>
          </w:p>
        </w:tc>
        <w:tc>
          <w:tcPr>
            <w:tcW w:w="51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个</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r>
      <w:tr>
        <w:tblPrEx>
          <w:tblCellMar>
            <w:top w:w="0" w:type="dxa"/>
            <w:left w:w="0" w:type="dxa"/>
            <w:bottom w:w="0" w:type="dxa"/>
            <w:right w:w="0" w:type="dxa"/>
          </w:tblCellMar>
        </w:tblPrEx>
        <w:trPr>
          <w:trHeight w:val="72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18</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数显温湿度传感器</w:t>
            </w:r>
          </w:p>
        </w:tc>
        <w:tc>
          <w:tcPr>
            <w:tcW w:w="678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供电电源：12VDC；显示：数码显示参数值，自检显示；测湿范围：0-100% RH，精度：±3%RH（25℃时）；测温范围：-20℃～60℃，精度：±0.5℃（全量程内）；输出：RS485；工作环境：-20℃～60℃，0-100% RH；</w:t>
            </w:r>
          </w:p>
        </w:tc>
        <w:tc>
          <w:tcPr>
            <w:tcW w:w="51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个</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r>
      <w:tr>
        <w:tblPrEx>
          <w:tblCellMar>
            <w:top w:w="0" w:type="dxa"/>
            <w:left w:w="0" w:type="dxa"/>
            <w:bottom w:w="0" w:type="dxa"/>
            <w:right w:w="0" w:type="dxa"/>
          </w:tblCellMar>
        </w:tblPrEx>
        <w:trPr>
          <w:trHeight w:val="96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19</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光电烟感探测器</w:t>
            </w:r>
          </w:p>
        </w:tc>
        <w:tc>
          <w:tcPr>
            <w:tcW w:w="678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工作电压：DC 12V；静态电流：≤8mA；报警电流：≤35mA；工作温度：-10℃～50℃；环境温度：≤95%RH；安装方式：吸顶；输出：常开/常闭；传感器类型：红外光电管；灵敏度等级：符合（GB4715-93）4.22火灾灵敏程度试验标准；尺寸：φ112×41mm</w:t>
            </w:r>
          </w:p>
        </w:tc>
        <w:tc>
          <w:tcPr>
            <w:tcW w:w="51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个</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r>
      <w:tr>
        <w:tblPrEx>
          <w:tblCellMar>
            <w:top w:w="0" w:type="dxa"/>
            <w:left w:w="0" w:type="dxa"/>
            <w:bottom w:w="0" w:type="dxa"/>
            <w:right w:w="0" w:type="dxa"/>
          </w:tblCellMar>
        </w:tblPrEx>
        <w:trPr>
          <w:trHeight w:val="72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20</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非定位式漏水控制器</w:t>
            </w:r>
          </w:p>
        </w:tc>
        <w:tc>
          <w:tcPr>
            <w:tcW w:w="678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灵敏度可调，遇到极少水即可报警；输出形式：干接点；短路时阻抗＜50Ω，负载电压＜60V，负载电流＜30mA；告警：负载不超过最大值，否则会导致适配器的损坏。漏水绳长定制。</w:t>
            </w:r>
          </w:p>
        </w:tc>
        <w:tc>
          <w:tcPr>
            <w:tcW w:w="51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套</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w:t>
            </w:r>
          </w:p>
        </w:tc>
      </w:tr>
      <w:tr>
        <w:tblPrEx>
          <w:tblCellMar>
            <w:top w:w="0" w:type="dxa"/>
            <w:left w:w="0" w:type="dxa"/>
            <w:bottom w:w="0" w:type="dxa"/>
            <w:right w:w="0" w:type="dxa"/>
          </w:tblCellMar>
        </w:tblPrEx>
        <w:trPr>
          <w:trHeight w:val="4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21</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3.5M漏水绳</w:t>
            </w:r>
          </w:p>
        </w:tc>
        <w:tc>
          <w:tcPr>
            <w:tcW w:w="678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长度3</w:t>
            </w:r>
            <w:r>
              <w:rPr>
                <w:rStyle w:val="60"/>
                <w:rFonts w:hint="default"/>
                <w:sz w:val="18"/>
                <w:szCs w:val="18"/>
                <w:lang w:bidi="ar"/>
              </w:rPr>
              <w:t>.5；探测密度：全线程；螺旋体直径：6-8mm；传感线间距：6-10mm。</w:t>
            </w:r>
          </w:p>
        </w:tc>
        <w:tc>
          <w:tcPr>
            <w:tcW w:w="51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根</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w:t>
            </w:r>
          </w:p>
        </w:tc>
      </w:tr>
      <w:tr>
        <w:tblPrEx>
          <w:tblCellMar>
            <w:top w:w="0" w:type="dxa"/>
            <w:left w:w="0" w:type="dxa"/>
            <w:bottom w:w="0" w:type="dxa"/>
            <w:right w:w="0" w:type="dxa"/>
          </w:tblCellMar>
        </w:tblPrEx>
        <w:trPr>
          <w:trHeight w:val="4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22</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200W红外半球</w:t>
            </w:r>
          </w:p>
        </w:tc>
        <w:tc>
          <w:tcPr>
            <w:tcW w:w="678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200万1/2.7”CMOS ICR日夜型半球型网络摄像机；最高分辨率可达1920×1080 @ 30 fps,在该分辨率下可输出实时图像，红外照射距离最远</w:t>
            </w:r>
          </w:p>
        </w:tc>
        <w:tc>
          <w:tcPr>
            <w:tcW w:w="51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个</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r>
      <w:tr>
        <w:tblPrEx>
          <w:tblCellMar>
            <w:top w:w="0" w:type="dxa"/>
            <w:left w:w="0" w:type="dxa"/>
            <w:bottom w:w="0" w:type="dxa"/>
            <w:right w:w="0" w:type="dxa"/>
          </w:tblCellMar>
        </w:tblPrEx>
        <w:trPr>
          <w:trHeight w:val="96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23</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网络硬盘录像机</w:t>
            </w:r>
          </w:p>
        </w:tc>
        <w:tc>
          <w:tcPr>
            <w:tcW w:w="678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1.5U机箱，支持80M/160M/200M网络接入带宽；支持最大500M像素接入；支持HDMI/VGA高清输出；支持4SATA；支持2个1000M网口；支持2个USB 2.0，1个USB 3.0，支持1路同步回放；16个支持POE功能10M/100M自适应交换网口；</w:t>
            </w:r>
          </w:p>
        </w:tc>
        <w:tc>
          <w:tcPr>
            <w:tcW w:w="51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个</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r>
      <w:tr>
        <w:tblPrEx>
          <w:tblCellMar>
            <w:top w:w="0" w:type="dxa"/>
            <w:left w:w="0" w:type="dxa"/>
            <w:bottom w:w="0" w:type="dxa"/>
            <w:right w:w="0" w:type="dxa"/>
          </w:tblCellMar>
        </w:tblPrEx>
        <w:trPr>
          <w:trHeight w:val="24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24</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硬盘</w:t>
            </w:r>
          </w:p>
        </w:tc>
        <w:tc>
          <w:tcPr>
            <w:tcW w:w="678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录像存储硬盘，容量4</w:t>
            </w:r>
            <w:r>
              <w:rPr>
                <w:rStyle w:val="60"/>
                <w:rFonts w:hint="default"/>
                <w:sz w:val="18"/>
                <w:szCs w:val="18"/>
                <w:lang w:bidi="ar"/>
              </w:rPr>
              <w:t>T</w:t>
            </w:r>
          </w:p>
        </w:tc>
        <w:tc>
          <w:tcPr>
            <w:tcW w:w="51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个</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r>
      <w:tr>
        <w:tblPrEx>
          <w:tblCellMar>
            <w:top w:w="0" w:type="dxa"/>
            <w:left w:w="0" w:type="dxa"/>
            <w:bottom w:w="0" w:type="dxa"/>
            <w:right w:w="0" w:type="dxa"/>
          </w:tblCellMar>
        </w:tblPrEx>
        <w:trPr>
          <w:trHeight w:val="96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25</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四门门禁控制板</w:t>
            </w:r>
          </w:p>
        </w:tc>
        <w:tc>
          <w:tcPr>
            <w:tcW w:w="678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可管理4个门、支持四组15.6万用户数据、25万笔事件记录、提供4组开门继电器、支持消防联动匪警联动、4组出门开关、4组门磁开门、8组Wiegand读卡器接口，提供RS485接口TCP/IP接口。支持DC9V至14V工作电压、工作电流&lt; 280mA。</w:t>
            </w:r>
          </w:p>
        </w:tc>
        <w:tc>
          <w:tcPr>
            <w:tcW w:w="51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个</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r>
      <w:tr>
        <w:tblPrEx>
          <w:tblCellMar>
            <w:top w:w="0" w:type="dxa"/>
            <w:left w:w="0" w:type="dxa"/>
            <w:bottom w:w="0" w:type="dxa"/>
            <w:right w:w="0" w:type="dxa"/>
          </w:tblCellMar>
        </w:tblPrEx>
        <w:trPr>
          <w:trHeight w:val="4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26</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专用控制电源箱</w:t>
            </w:r>
          </w:p>
        </w:tc>
        <w:tc>
          <w:tcPr>
            <w:tcW w:w="678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门禁控制器专用电源箱、内置专用电源与保护盖，支持AC220V输入，DC12V3.5A输出，自带保险电路。</w:t>
            </w:r>
          </w:p>
        </w:tc>
        <w:tc>
          <w:tcPr>
            <w:tcW w:w="51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个</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r>
      <w:tr>
        <w:tblPrEx>
          <w:tblCellMar>
            <w:top w:w="0" w:type="dxa"/>
            <w:left w:w="0" w:type="dxa"/>
            <w:bottom w:w="0" w:type="dxa"/>
            <w:right w:w="0" w:type="dxa"/>
          </w:tblCellMar>
        </w:tblPrEx>
        <w:trPr>
          <w:trHeight w:val="4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27</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ID卡指纹密码读卡器</w:t>
            </w:r>
          </w:p>
        </w:tc>
        <w:tc>
          <w:tcPr>
            <w:tcW w:w="678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支持2000个指纹、ID卡，支持指纹、读卡、密码三种开门模式、支持门磁报警、可作为WG26指纹读卡器、可以使用U盘数据备份与数据互拷。</w:t>
            </w:r>
          </w:p>
        </w:tc>
        <w:tc>
          <w:tcPr>
            <w:tcW w:w="51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个</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w:t>
            </w:r>
          </w:p>
        </w:tc>
      </w:tr>
      <w:tr>
        <w:tblPrEx>
          <w:tblCellMar>
            <w:top w:w="0" w:type="dxa"/>
            <w:left w:w="0" w:type="dxa"/>
            <w:bottom w:w="0" w:type="dxa"/>
            <w:right w:w="0" w:type="dxa"/>
          </w:tblCellMar>
        </w:tblPrEx>
        <w:trPr>
          <w:trHeight w:val="96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28</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双门磁力锁</w:t>
            </w:r>
          </w:p>
        </w:tc>
        <w:tc>
          <w:tcPr>
            <w:tcW w:w="678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明装型普通双门锁，通电上锁无残磁、无机械磨损、双门，有LED指示，适用于90度开的任何有框门、无框门或内推门可选择配件，电压：DC12V输入，工作电流：900mA，抗拉力：2*260kg-2*280kg，重量：3.78kg  尺寸：500*47*26mm</w:t>
            </w:r>
          </w:p>
        </w:tc>
        <w:tc>
          <w:tcPr>
            <w:tcW w:w="51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个</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r>
      <w:tr>
        <w:tblPrEx>
          <w:tblCellMar>
            <w:top w:w="0" w:type="dxa"/>
            <w:left w:w="0" w:type="dxa"/>
            <w:bottom w:w="0" w:type="dxa"/>
            <w:right w:w="0" w:type="dxa"/>
          </w:tblCellMar>
        </w:tblPrEx>
        <w:trPr>
          <w:trHeight w:val="96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29</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单门磁力锁</w:t>
            </w:r>
          </w:p>
        </w:tc>
        <w:tc>
          <w:tcPr>
            <w:tcW w:w="678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明装型普通单门锁，通电上锁无残磁、无机械磨损、单门，有LED指示，适用于90度开的任何有框门、无框门或内推门可选择配件，电压：DC12V输入，工作电流：450MA，抗拉力：260-280kg,重量：1.89kg  尺寸：250*47*26mm</w:t>
            </w:r>
          </w:p>
        </w:tc>
        <w:tc>
          <w:tcPr>
            <w:tcW w:w="51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个</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r>
      <w:tr>
        <w:tblPrEx>
          <w:tblCellMar>
            <w:top w:w="0" w:type="dxa"/>
            <w:left w:w="0" w:type="dxa"/>
            <w:bottom w:w="0" w:type="dxa"/>
            <w:right w:w="0" w:type="dxa"/>
          </w:tblCellMar>
        </w:tblPrEx>
        <w:trPr>
          <w:trHeight w:val="24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30</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出门开关</w:t>
            </w:r>
          </w:p>
        </w:tc>
        <w:tc>
          <w:tcPr>
            <w:tcW w:w="678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50万次机械使用寿命，适合标准86电器接线暗盒使用，PC防火材料</w:t>
            </w:r>
          </w:p>
        </w:tc>
        <w:tc>
          <w:tcPr>
            <w:tcW w:w="51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个</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w:t>
            </w:r>
          </w:p>
        </w:tc>
      </w:tr>
      <w:tr>
        <w:tblPrEx>
          <w:tblCellMar>
            <w:top w:w="0" w:type="dxa"/>
            <w:left w:w="0" w:type="dxa"/>
            <w:bottom w:w="0" w:type="dxa"/>
            <w:right w:w="0" w:type="dxa"/>
          </w:tblCellMar>
        </w:tblPrEx>
        <w:trPr>
          <w:trHeight w:val="72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31</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ID发卡器</w:t>
            </w:r>
          </w:p>
        </w:tc>
        <w:tc>
          <w:tcPr>
            <w:tcW w:w="678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感应式发卡器，适用卡类：EM格式的ID感应卡，重量：100克，读卡距离：&gt;80mm，读卡时间：&lt;100ms，通信接口：USB设备接口，数据格式：10位十进制卡号，适用：各类ID卡数字身份识别系统</w:t>
            </w:r>
          </w:p>
        </w:tc>
        <w:tc>
          <w:tcPr>
            <w:tcW w:w="51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个</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r>
      <w:tr>
        <w:tblPrEx>
          <w:tblCellMar>
            <w:top w:w="0" w:type="dxa"/>
            <w:left w:w="0" w:type="dxa"/>
            <w:bottom w:w="0" w:type="dxa"/>
            <w:right w:w="0" w:type="dxa"/>
          </w:tblCellMar>
        </w:tblPrEx>
        <w:trPr>
          <w:trHeight w:val="24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32</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ID卡</w:t>
            </w:r>
          </w:p>
        </w:tc>
        <w:tc>
          <w:tcPr>
            <w:tcW w:w="678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ID卡</w:t>
            </w:r>
          </w:p>
        </w:tc>
        <w:tc>
          <w:tcPr>
            <w:tcW w:w="51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个</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r>
      <w:tr>
        <w:tblPrEx>
          <w:tblCellMar>
            <w:top w:w="0" w:type="dxa"/>
            <w:left w:w="0" w:type="dxa"/>
            <w:bottom w:w="0" w:type="dxa"/>
            <w:right w:w="0" w:type="dxa"/>
          </w:tblCellMar>
        </w:tblPrEx>
        <w:trPr>
          <w:trHeight w:val="24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33</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交换机</w:t>
            </w:r>
          </w:p>
        </w:tc>
        <w:tc>
          <w:tcPr>
            <w:tcW w:w="678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用于动环监控主机、触屏一体机、硬盘录像机、门禁控制系统的联网。</w:t>
            </w:r>
          </w:p>
        </w:tc>
        <w:tc>
          <w:tcPr>
            <w:tcW w:w="51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台</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r>
      <w:tr>
        <w:tblPrEx>
          <w:tblCellMar>
            <w:top w:w="0" w:type="dxa"/>
            <w:left w:w="0" w:type="dxa"/>
            <w:bottom w:w="0" w:type="dxa"/>
            <w:right w:w="0" w:type="dxa"/>
          </w:tblCellMar>
        </w:tblPrEx>
        <w:trPr>
          <w:trHeight w:val="24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34</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托架</w:t>
            </w:r>
          </w:p>
        </w:tc>
        <w:tc>
          <w:tcPr>
            <w:tcW w:w="678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用户动环监控主机、服务器、硬盘录像机的安装支撑</w:t>
            </w:r>
          </w:p>
        </w:tc>
        <w:tc>
          <w:tcPr>
            <w:tcW w:w="51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对</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r>
      <w:tr>
        <w:tblPrEx>
          <w:tblCellMar>
            <w:top w:w="0" w:type="dxa"/>
            <w:left w:w="0" w:type="dxa"/>
            <w:bottom w:w="0" w:type="dxa"/>
            <w:right w:w="0" w:type="dxa"/>
          </w:tblCellMar>
        </w:tblPrEx>
        <w:trPr>
          <w:trHeight w:val="24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35</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动环安装辅材</w:t>
            </w:r>
          </w:p>
        </w:tc>
        <w:tc>
          <w:tcPr>
            <w:tcW w:w="678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动环系统安装辅材</w:t>
            </w:r>
          </w:p>
        </w:tc>
        <w:tc>
          <w:tcPr>
            <w:tcW w:w="51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套</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r>
      <w:tr>
        <w:tblPrEx>
          <w:tblCellMar>
            <w:top w:w="0" w:type="dxa"/>
            <w:left w:w="0" w:type="dxa"/>
            <w:bottom w:w="0" w:type="dxa"/>
            <w:right w:w="0" w:type="dxa"/>
          </w:tblCellMar>
        </w:tblPrEx>
        <w:trPr>
          <w:trHeight w:val="240" w:hRule="atLeast"/>
        </w:trPr>
        <w:tc>
          <w:tcPr>
            <w:tcW w:w="9510" w:type="dxa"/>
            <w:gridSpan w:val="5"/>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二、综合布线系统</w:t>
            </w:r>
          </w:p>
        </w:tc>
      </w:tr>
      <w:tr>
        <w:tblPrEx>
          <w:tblCellMar>
            <w:top w:w="0" w:type="dxa"/>
            <w:left w:w="0" w:type="dxa"/>
            <w:bottom w:w="0" w:type="dxa"/>
            <w:right w:w="0" w:type="dxa"/>
          </w:tblCellMar>
        </w:tblPrEx>
        <w:trPr>
          <w:trHeight w:val="3375" w:hRule="atLeast"/>
        </w:trPr>
        <w:tc>
          <w:tcPr>
            <w:tcW w:w="34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Calibri"/>
                <w:color w:val="000000"/>
                <w:sz w:val="18"/>
                <w:szCs w:val="18"/>
              </w:rPr>
            </w:pPr>
            <w:r>
              <w:rPr>
                <w:rFonts w:ascii="宋体" w:hAnsi="宋体" w:cs="Calibri"/>
                <w:color w:val="000000"/>
                <w:kern w:val="0"/>
                <w:sz w:val="18"/>
                <w:szCs w:val="18"/>
                <w:lang w:bidi="ar"/>
              </w:rPr>
              <w:t>1</w:t>
            </w:r>
          </w:p>
        </w:tc>
        <w:tc>
          <w:tcPr>
            <w:tcW w:w="129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Calibri"/>
                <w:color w:val="000000"/>
                <w:sz w:val="18"/>
                <w:szCs w:val="18"/>
              </w:rPr>
            </w:pPr>
            <w:r>
              <w:rPr>
                <w:rFonts w:ascii="宋体" w:hAnsi="宋体" w:cs="Calibri"/>
                <w:color w:val="000000"/>
                <w:kern w:val="0"/>
                <w:sz w:val="18"/>
                <w:szCs w:val="18"/>
                <w:lang w:bidi="ar"/>
              </w:rPr>
              <w:t>UTP Cat.6</w:t>
            </w:r>
            <w:r>
              <w:rPr>
                <w:rStyle w:val="60"/>
                <w:rFonts w:hint="default"/>
                <w:sz w:val="18"/>
                <w:szCs w:val="18"/>
                <w:lang w:bidi="ar"/>
              </w:rPr>
              <w:t>线缆</w:t>
            </w:r>
          </w:p>
        </w:tc>
        <w:tc>
          <w:tcPr>
            <w:tcW w:w="678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1.符合标准：ISO/IEC 11801：2008；IEC 61156-5-2009；TIA /EIA- 568-C.2</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2.通过标准250MHz带宽测试要求 可扩展到550MHz带宽</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3.单根导体直流电阻：≤9.0Ω/100m</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4.额定传输速率(NVP)：68%</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5.电缆对数：4对</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6.十字骨架材料：PE混合物</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7.导体材料：无氧圆铜（纯度99.99%）</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8.导体线规：23AWG</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9.绝缘材料：HDPE</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10.屏蔽方式：U/UTP</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11.电缆外径：6.3±0.3mm</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12.外护套材料：PVS</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13.工作温度：-20℃～+60℃</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14.交货长度（米/盘）：305米/箱</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15.最小弯曲半径：10倍电缆外径</w:t>
            </w:r>
          </w:p>
        </w:tc>
        <w:tc>
          <w:tcPr>
            <w:tcW w:w="5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箱</w:t>
            </w:r>
          </w:p>
        </w:tc>
        <w:tc>
          <w:tcPr>
            <w:tcW w:w="57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Calibri"/>
                <w:color w:val="000000"/>
                <w:sz w:val="18"/>
                <w:szCs w:val="18"/>
              </w:rPr>
            </w:pPr>
            <w:r>
              <w:rPr>
                <w:rFonts w:ascii="宋体" w:hAnsi="宋体" w:cs="Calibri"/>
                <w:color w:val="000000"/>
                <w:kern w:val="0"/>
                <w:sz w:val="18"/>
                <w:szCs w:val="18"/>
                <w:lang w:bidi="ar"/>
              </w:rPr>
              <w:t>25</w:t>
            </w:r>
          </w:p>
        </w:tc>
      </w:tr>
      <w:tr>
        <w:tblPrEx>
          <w:tblCellMar>
            <w:top w:w="0" w:type="dxa"/>
            <w:left w:w="0" w:type="dxa"/>
            <w:bottom w:w="0" w:type="dxa"/>
            <w:right w:w="0" w:type="dxa"/>
          </w:tblCellMar>
        </w:tblPrEx>
        <w:trPr>
          <w:trHeight w:val="2925" w:hRule="atLeast"/>
        </w:trPr>
        <w:tc>
          <w:tcPr>
            <w:tcW w:w="34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Calibri"/>
                <w:color w:val="000000"/>
                <w:sz w:val="18"/>
                <w:szCs w:val="18"/>
              </w:rPr>
            </w:pPr>
            <w:r>
              <w:rPr>
                <w:rFonts w:ascii="宋体" w:hAnsi="宋体" w:cs="Calibri"/>
                <w:color w:val="000000"/>
                <w:kern w:val="0"/>
                <w:sz w:val="18"/>
                <w:szCs w:val="18"/>
                <w:lang w:bidi="ar"/>
              </w:rPr>
              <w:t>2</w:t>
            </w:r>
          </w:p>
        </w:tc>
        <w:tc>
          <w:tcPr>
            <w:tcW w:w="129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Calibri"/>
                <w:color w:val="000000"/>
                <w:sz w:val="18"/>
                <w:szCs w:val="18"/>
              </w:rPr>
            </w:pPr>
            <w:r>
              <w:rPr>
                <w:rFonts w:ascii="宋体" w:hAnsi="宋体" w:cs="Calibri"/>
                <w:color w:val="000000"/>
                <w:kern w:val="0"/>
                <w:sz w:val="18"/>
                <w:szCs w:val="18"/>
                <w:lang w:bidi="ar"/>
              </w:rPr>
              <w:t>UTP Cat.6</w:t>
            </w:r>
            <w:r>
              <w:rPr>
                <w:rStyle w:val="60"/>
                <w:rFonts w:hint="default"/>
                <w:sz w:val="18"/>
                <w:szCs w:val="18"/>
                <w:lang w:bidi="ar"/>
              </w:rPr>
              <w:t>配线架</w:t>
            </w:r>
          </w:p>
        </w:tc>
        <w:tc>
          <w:tcPr>
            <w:tcW w:w="678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1.符合标准：ISO/IEC 11801:2008；YD/T 926.3-2009；TIA /EIA- 568-C.2</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2.标准19英寸机架式安装</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3.端口数量：24位</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4.IDC材料：磷青铜</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5.金针：磷青铜表面镀金</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6.屏蔽方式：非屏蔽</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7.卡线后座及线缆保护盖：PC 材料</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8.进行方式：180°垂直进线方式，45°斜角卡线簧片设计</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9.打线方式：110工具端接方式，兼容T568A/B两种端接方式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10.插头与插座插合次数：≥1000次</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11.导线端接次数：≥250次</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12.卡接导体线规：22~26AWG</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13.工作温度：-25～60℃</w:t>
            </w:r>
          </w:p>
        </w:tc>
        <w:tc>
          <w:tcPr>
            <w:tcW w:w="5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个</w:t>
            </w:r>
          </w:p>
        </w:tc>
        <w:tc>
          <w:tcPr>
            <w:tcW w:w="57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Calibri"/>
                <w:color w:val="000000"/>
                <w:sz w:val="18"/>
                <w:szCs w:val="18"/>
              </w:rPr>
            </w:pPr>
            <w:r>
              <w:rPr>
                <w:rFonts w:ascii="宋体" w:hAnsi="宋体" w:cs="Calibri"/>
                <w:color w:val="000000"/>
                <w:kern w:val="0"/>
                <w:sz w:val="18"/>
                <w:szCs w:val="18"/>
                <w:lang w:bidi="ar"/>
              </w:rPr>
              <w:t>48</w:t>
            </w:r>
          </w:p>
        </w:tc>
      </w:tr>
      <w:tr>
        <w:tblPrEx>
          <w:tblCellMar>
            <w:top w:w="0" w:type="dxa"/>
            <w:left w:w="0" w:type="dxa"/>
            <w:bottom w:w="0" w:type="dxa"/>
            <w:right w:w="0" w:type="dxa"/>
          </w:tblCellMar>
        </w:tblPrEx>
        <w:trPr>
          <w:trHeight w:val="2700" w:hRule="atLeast"/>
        </w:trPr>
        <w:tc>
          <w:tcPr>
            <w:tcW w:w="34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Calibri"/>
                <w:color w:val="000000"/>
                <w:sz w:val="18"/>
                <w:szCs w:val="18"/>
              </w:rPr>
            </w:pPr>
            <w:r>
              <w:rPr>
                <w:rFonts w:ascii="宋体" w:hAnsi="宋体" w:cs="Calibri"/>
                <w:color w:val="000000"/>
                <w:kern w:val="0"/>
                <w:sz w:val="18"/>
                <w:szCs w:val="18"/>
                <w:lang w:bidi="ar"/>
              </w:rPr>
              <w:t>3</w:t>
            </w:r>
          </w:p>
        </w:tc>
        <w:tc>
          <w:tcPr>
            <w:tcW w:w="129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Calibri"/>
                <w:color w:val="000000"/>
                <w:sz w:val="18"/>
                <w:szCs w:val="18"/>
              </w:rPr>
            </w:pPr>
            <w:r>
              <w:rPr>
                <w:rFonts w:ascii="宋体" w:hAnsi="宋体" w:cs="Calibri"/>
                <w:color w:val="000000"/>
                <w:kern w:val="0"/>
                <w:sz w:val="18"/>
                <w:szCs w:val="18"/>
                <w:lang w:bidi="ar"/>
              </w:rPr>
              <w:t>UTP Cat.6</w:t>
            </w:r>
            <w:r>
              <w:rPr>
                <w:rStyle w:val="60"/>
                <w:rFonts w:hint="default"/>
                <w:sz w:val="18"/>
                <w:szCs w:val="18"/>
                <w:lang w:bidi="ar"/>
              </w:rPr>
              <w:t>跳线</w:t>
            </w:r>
          </w:p>
        </w:tc>
        <w:tc>
          <w:tcPr>
            <w:tcW w:w="678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1.符合标准：ISO/IEC 11801:2008；YD/T 926.3-2009；TIA /EIA- 568-C.2</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2.导体结构: 多股绞合</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3.跳线长度：2M</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4.导体材料：无氧圆铜(纯度99.99%),</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5.RJ45接口: 8P8C</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6.RJ45簧片材料：磷青铜表面镀金</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7.导体线规：23AWG</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8.RJ45接口 插拔次数≥1000次</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9.插头护套：聚氯乙烯(PVC)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10.跳线包装方式：1根/袋（PE彩袋）</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11.使用温度：-20℃～+60℃</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12.护套颜色：GY-灰其它长度的跳线均可定做</w:t>
            </w:r>
          </w:p>
        </w:tc>
        <w:tc>
          <w:tcPr>
            <w:tcW w:w="5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条</w:t>
            </w:r>
          </w:p>
        </w:tc>
        <w:tc>
          <w:tcPr>
            <w:tcW w:w="57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Calibri"/>
                <w:color w:val="000000"/>
                <w:sz w:val="18"/>
                <w:szCs w:val="18"/>
              </w:rPr>
            </w:pPr>
            <w:r>
              <w:rPr>
                <w:rFonts w:ascii="宋体" w:hAnsi="宋体" w:cs="Calibri"/>
                <w:color w:val="000000"/>
                <w:kern w:val="0"/>
                <w:sz w:val="18"/>
                <w:szCs w:val="18"/>
                <w:lang w:bidi="ar"/>
              </w:rPr>
              <w:t>576</w:t>
            </w:r>
          </w:p>
        </w:tc>
      </w:tr>
      <w:tr>
        <w:tblPrEx>
          <w:tblCellMar>
            <w:top w:w="0" w:type="dxa"/>
            <w:left w:w="0" w:type="dxa"/>
            <w:bottom w:w="0" w:type="dxa"/>
            <w:right w:w="0" w:type="dxa"/>
          </w:tblCellMar>
        </w:tblPrEx>
        <w:trPr>
          <w:trHeight w:val="2025" w:hRule="atLeast"/>
        </w:trPr>
        <w:tc>
          <w:tcPr>
            <w:tcW w:w="34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Calibri"/>
                <w:color w:val="000000"/>
                <w:sz w:val="18"/>
                <w:szCs w:val="18"/>
              </w:rPr>
            </w:pPr>
            <w:r>
              <w:rPr>
                <w:rFonts w:ascii="宋体" w:hAnsi="宋体" w:cs="Calibri"/>
                <w:color w:val="000000"/>
                <w:kern w:val="0"/>
                <w:sz w:val="18"/>
                <w:szCs w:val="18"/>
                <w:lang w:bidi="ar"/>
              </w:rPr>
              <w:t>4</w:t>
            </w:r>
          </w:p>
        </w:tc>
        <w:tc>
          <w:tcPr>
            <w:tcW w:w="129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光纤配线架</w:t>
            </w:r>
          </w:p>
        </w:tc>
        <w:tc>
          <w:tcPr>
            <w:tcW w:w="678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1.符合标准：ISO/IEC  11801：2008；ANSI/TIA/EIA-568-C.3；YD/T778-2006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2.端口数量：24位</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3.端口类型：LC双工</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4.表面处理：静电喷塑</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5.安装方式：19″机架式安装</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6.材料：优质冷扎钢板</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7.表面颜色：黑色</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8.工作温度：-25℃～+60℃</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9.进出光纤方便灵活，有充裕的光纤盘存空间，光纤和尾纤弯曲半径不小于30mm</w:t>
            </w:r>
          </w:p>
        </w:tc>
        <w:tc>
          <w:tcPr>
            <w:tcW w:w="5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个</w:t>
            </w:r>
          </w:p>
        </w:tc>
        <w:tc>
          <w:tcPr>
            <w:tcW w:w="57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Calibri"/>
                <w:color w:val="000000"/>
                <w:sz w:val="18"/>
                <w:szCs w:val="18"/>
              </w:rPr>
            </w:pPr>
            <w:r>
              <w:rPr>
                <w:rFonts w:ascii="宋体" w:hAnsi="宋体" w:cs="Calibri"/>
                <w:color w:val="000000"/>
                <w:kern w:val="0"/>
                <w:sz w:val="18"/>
                <w:szCs w:val="18"/>
                <w:lang w:bidi="ar"/>
              </w:rPr>
              <w:t>24</w:t>
            </w:r>
          </w:p>
        </w:tc>
      </w:tr>
      <w:tr>
        <w:tblPrEx>
          <w:tblCellMar>
            <w:top w:w="0" w:type="dxa"/>
            <w:left w:w="0" w:type="dxa"/>
            <w:bottom w:w="0" w:type="dxa"/>
            <w:right w:w="0" w:type="dxa"/>
          </w:tblCellMar>
        </w:tblPrEx>
        <w:trPr>
          <w:trHeight w:val="2250" w:hRule="atLeast"/>
        </w:trPr>
        <w:tc>
          <w:tcPr>
            <w:tcW w:w="34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Calibri"/>
                <w:color w:val="000000"/>
                <w:sz w:val="18"/>
                <w:szCs w:val="18"/>
              </w:rPr>
            </w:pPr>
            <w:r>
              <w:rPr>
                <w:rFonts w:ascii="宋体" w:hAnsi="宋体" w:cs="Calibri"/>
                <w:color w:val="000000"/>
                <w:kern w:val="0"/>
                <w:sz w:val="18"/>
                <w:szCs w:val="18"/>
                <w:lang w:bidi="ar"/>
              </w:rPr>
              <w:t>5</w:t>
            </w:r>
          </w:p>
        </w:tc>
        <w:tc>
          <w:tcPr>
            <w:tcW w:w="129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Calibri"/>
                <w:color w:val="000000"/>
                <w:sz w:val="18"/>
                <w:szCs w:val="18"/>
              </w:rPr>
            </w:pPr>
            <w:r>
              <w:rPr>
                <w:rFonts w:ascii="宋体" w:hAnsi="宋体" w:cs="Calibri"/>
                <w:color w:val="000000"/>
                <w:kern w:val="0"/>
                <w:sz w:val="18"/>
                <w:szCs w:val="18"/>
                <w:lang w:bidi="ar"/>
              </w:rPr>
              <w:t>ODF</w:t>
            </w:r>
            <w:r>
              <w:rPr>
                <w:rStyle w:val="60"/>
                <w:rFonts w:hint="default"/>
                <w:sz w:val="18"/>
                <w:szCs w:val="18"/>
                <w:lang w:bidi="ar"/>
              </w:rPr>
              <w:t>架</w:t>
            </w:r>
          </w:p>
        </w:tc>
        <w:tc>
          <w:tcPr>
            <w:tcW w:w="678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1.符合标准：ISO/IEC  11801：2008；ANSI/TIA/EIA-568-C.3；YD/T778-2006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2.材料结构：金属框架，表面涂装静电喷塑，塑料组件</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3.进出光纤方便灵活，有充裕的光纤盘存空间，光纤和尾纤弯曲半径不小于30mm</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4.抽拉式设计，集熔接配线一体化的熔接配线配件 ，不含适配器</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5.每盘端口数量：12位</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6.端口类型：ST 、FC、SC、LC双工通用</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7.安装方式：19″机架式安装</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8.材料：优质钢板</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9.表面颜色：白色</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10.工作温度：-25℃～+60℃</w:t>
            </w:r>
          </w:p>
        </w:tc>
        <w:tc>
          <w:tcPr>
            <w:tcW w:w="5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个</w:t>
            </w:r>
          </w:p>
        </w:tc>
        <w:tc>
          <w:tcPr>
            <w:tcW w:w="57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Calibri"/>
                <w:color w:val="000000"/>
                <w:sz w:val="18"/>
                <w:szCs w:val="18"/>
              </w:rPr>
            </w:pPr>
            <w:r>
              <w:rPr>
                <w:rFonts w:ascii="宋体" w:hAnsi="宋体" w:cs="Calibri"/>
                <w:color w:val="000000"/>
                <w:kern w:val="0"/>
                <w:sz w:val="18"/>
                <w:szCs w:val="18"/>
                <w:lang w:bidi="ar"/>
              </w:rPr>
              <w:t>6</w:t>
            </w:r>
          </w:p>
        </w:tc>
      </w:tr>
      <w:tr>
        <w:tblPrEx>
          <w:tblCellMar>
            <w:top w:w="0" w:type="dxa"/>
            <w:left w:w="0" w:type="dxa"/>
            <w:bottom w:w="0" w:type="dxa"/>
            <w:right w:w="0" w:type="dxa"/>
          </w:tblCellMar>
        </w:tblPrEx>
        <w:trPr>
          <w:trHeight w:val="1350" w:hRule="atLeast"/>
        </w:trPr>
        <w:tc>
          <w:tcPr>
            <w:tcW w:w="34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Calibri"/>
                <w:color w:val="000000"/>
                <w:sz w:val="18"/>
                <w:szCs w:val="18"/>
              </w:rPr>
            </w:pPr>
            <w:r>
              <w:rPr>
                <w:rFonts w:ascii="宋体" w:hAnsi="宋体" w:cs="Calibri"/>
                <w:color w:val="000000"/>
                <w:kern w:val="0"/>
                <w:sz w:val="18"/>
                <w:szCs w:val="18"/>
                <w:lang w:bidi="ar"/>
              </w:rPr>
              <w:t>6</w:t>
            </w:r>
          </w:p>
        </w:tc>
        <w:tc>
          <w:tcPr>
            <w:tcW w:w="129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Calibri"/>
                <w:color w:val="000000"/>
                <w:sz w:val="18"/>
                <w:szCs w:val="18"/>
              </w:rPr>
            </w:pPr>
            <w:r>
              <w:rPr>
                <w:rFonts w:ascii="宋体" w:hAnsi="宋体" w:cs="Calibri"/>
                <w:color w:val="000000"/>
                <w:kern w:val="0"/>
                <w:sz w:val="18"/>
                <w:szCs w:val="18"/>
                <w:lang w:bidi="ar"/>
              </w:rPr>
              <w:t>LC</w:t>
            </w:r>
            <w:r>
              <w:rPr>
                <w:rStyle w:val="60"/>
                <w:rFonts w:hint="default"/>
                <w:sz w:val="18"/>
                <w:szCs w:val="18"/>
                <w:lang w:bidi="ar"/>
              </w:rPr>
              <w:t>双工多模适配器</w:t>
            </w:r>
          </w:p>
        </w:tc>
        <w:tc>
          <w:tcPr>
            <w:tcW w:w="678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1.卡锁式插接结构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2.材料：氧化锆陶瓷套管</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3.插入损耗（含重复性）：≤0.2dB</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4.重复性：≥1000次</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5.互换性：≤0.2dB</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6.工作温度：-25℃~+70℃</w:t>
            </w:r>
          </w:p>
        </w:tc>
        <w:tc>
          <w:tcPr>
            <w:tcW w:w="5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个</w:t>
            </w:r>
          </w:p>
        </w:tc>
        <w:tc>
          <w:tcPr>
            <w:tcW w:w="57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Calibri"/>
                <w:color w:val="000000"/>
                <w:sz w:val="18"/>
                <w:szCs w:val="18"/>
              </w:rPr>
            </w:pPr>
            <w:r>
              <w:rPr>
                <w:rFonts w:ascii="宋体" w:hAnsi="宋体" w:cs="Calibri"/>
                <w:color w:val="000000"/>
                <w:kern w:val="0"/>
                <w:sz w:val="18"/>
                <w:szCs w:val="18"/>
                <w:lang w:bidi="ar"/>
              </w:rPr>
              <w:t>288</w:t>
            </w:r>
          </w:p>
        </w:tc>
      </w:tr>
      <w:tr>
        <w:tblPrEx>
          <w:tblCellMar>
            <w:top w:w="0" w:type="dxa"/>
            <w:left w:w="0" w:type="dxa"/>
            <w:bottom w:w="0" w:type="dxa"/>
            <w:right w:w="0" w:type="dxa"/>
          </w:tblCellMar>
        </w:tblPrEx>
        <w:trPr>
          <w:trHeight w:val="2475" w:hRule="atLeast"/>
        </w:trPr>
        <w:tc>
          <w:tcPr>
            <w:tcW w:w="34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Calibri"/>
                <w:color w:val="000000"/>
                <w:sz w:val="18"/>
                <w:szCs w:val="18"/>
              </w:rPr>
            </w:pPr>
            <w:r>
              <w:rPr>
                <w:rFonts w:ascii="宋体" w:hAnsi="宋体" w:cs="Calibri"/>
                <w:color w:val="000000"/>
                <w:kern w:val="0"/>
                <w:sz w:val="18"/>
                <w:szCs w:val="18"/>
                <w:lang w:bidi="ar"/>
              </w:rPr>
              <w:t>8</w:t>
            </w:r>
          </w:p>
        </w:tc>
        <w:tc>
          <w:tcPr>
            <w:tcW w:w="129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室内多模</w:t>
            </w:r>
            <w:r>
              <w:rPr>
                <w:rStyle w:val="61"/>
                <w:rFonts w:ascii="宋体" w:hAnsi="宋体"/>
                <w:sz w:val="18"/>
                <w:szCs w:val="18"/>
                <w:lang w:bidi="ar"/>
              </w:rPr>
              <w:t>12</w:t>
            </w:r>
            <w:r>
              <w:rPr>
                <w:rStyle w:val="60"/>
                <w:rFonts w:hint="default"/>
                <w:sz w:val="18"/>
                <w:szCs w:val="18"/>
                <w:lang w:bidi="ar"/>
              </w:rPr>
              <w:t>芯光缆</w:t>
            </w:r>
            <w:r>
              <w:rPr>
                <w:rStyle w:val="61"/>
                <w:rFonts w:ascii="宋体" w:hAnsi="宋体"/>
                <w:sz w:val="18"/>
                <w:szCs w:val="18"/>
                <w:lang w:bidi="ar"/>
              </w:rPr>
              <w:t xml:space="preserve"> OM3</w:t>
            </w:r>
          </w:p>
        </w:tc>
        <w:tc>
          <w:tcPr>
            <w:tcW w:w="678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1.符合标准：ISO/IEC 11801:2008；TIA/EIA-568-C.3；YD/T1272-2009</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2.衰减＠20℃（DB/Km）： ＠850≤3.5，＠1300≤1.5</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3.光纤规格：A1a（50/125μm），A1b（62.5/125μm）</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4.动态/静态弯曲半径：20D/10D</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5.允许压扁（N/100mm）: 200/440</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6.允许拉伸力（N）: 200/1000</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7.紧套光纤外径：0.9±0.05</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8.外护套颜色：橙色</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9.芯数：12</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10.使用温度：-20℃～+60℃</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11.敷设方式：管道、隧道、导管等敷设</w:t>
            </w:r>
          </w:p>
        </w:tc>
        <w:tc>
          <w:tcPr>
            <w:tcW w:w="5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米</w:t>
            </w:r>
          </w:p>
        </w:tc>
        <w:tc>
          <w:tcPr>
            <w:tcW w:w="57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Calibri"/>
                <w:color w:val="000000"/>
                <w:sz w:val="18"/>
                <w:szCs w:val="18"/>
              </w:rPr>
            </w:pPr>
            <w:r>
              <w:rPr>
                <w:rFonts w:ascii="宋体" w:hAnsi="宋体" w:cs="Calibri"/>
                <w:color w:val="000000"/>
                <w:kern w:val="0"/>
                <w:sz w:val="18"/>
                <w:szCs w:val="18"/>
                <w:lang w:bidi="ar"/>
              </w:rPr>
              <w:t>300</w:t>
            </w:r>
          </w:p>
        </w:tc>
      </w:tr>
      <w:tr>
        <w:tblPrEx>
          <w:tblCellMar>
            <w:top w:w="0" w:type="dxa"/>
            <w:left w:w="0" w:type="dxa"/>
            <w:bottom w:w="0" w:type="dxa"/>
            <w:right w:w="0" w:type="dxa"/>
          </w:tblCellMar>
        </w:tblPrEx>
        <w:trPr>
          <w:trHeight w:val="638" w:hRule="atLeast"/>
        </w:trPr>
        <w:tc>
          <w:tcPr>
            <w:tcW w:w="34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Calibri"/>
                <w:color w:val="000000"/>
                <w:sz w:val="18"/>
                <w:szCs w:val="18"/>
              </w:rPr>
            </w:pPr>
            <w:r>
              <w:rPr>
                <w:rFonts w:ascii="宋体" w:hAnsi="宋体" w:cs="Calibri"/>
                <w:color w:val="000000"/>
                <w:kern w:val="0"/>
                <w:sz w:val="18"/>
                <w:szCs w:val="18"/>
                <w:lang w:bidi="ar"/>
              </w:rPr>
              <w:t>9</w:t>
            </w:r>
          </w:p>
        </w:tc>
        <w:tc>
          <w:tcPr>
            <w:tcW w:w="129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Calibri"/>
                <w:color w:val="000000"/>
                <w:sz w:val="18"/>
                <w:szCs w:val="18"/>
              </w:rPr>
            </w:pPr>
            <w:r>
              <w:rPr>
                <w:rFonts w:ascii="宋体" w:hAnsi="宋体" w:cs="Calibri"/>
                <w:color w:val="000000"/>
                <w:kern w:val="0"/>
                <w:sz w:val="18"/>
                <w:szCs w:val="18"/>
                <w:lang w:bidi="ar"/>
              </w:rPr>
              <w:t>LC</w:t>
            </w:r>
            <w:r>
              <w:rPr>
                <w:rStyle w:val="60"/>
                <w:rFonts w:hint="default"/>
                <w:sz w:val="18"/>
                <w:szCs w:val="18"/>
                <w:lang w:bidi="ar"/>
              </w:rPr>
              <w:t>双芯多模尾纤</w:t>
            </w:r>
            <w:r>
              <w:rPr>
                <w:rStyle w:val="61"/>
                <w:rFonts w:ascii="宋体" w:hAnsi="宋体"/>
                <w:sz w:val="18"/>
                <w:szCs w:val="18"/>
                <w:lang w:bidi="ar"/>
              </w:rPr>
              <w:t xml:space="preserve"> OM3</w:t>
            </w:r>
          </w:p>
        </w:tc>
        <w:tc>
          <w:tcPr>
            <w:tcW w:w="678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1.依据标准出厂前100%光学测试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2.接头材料：氧化锆陶瓷插芯</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3.插入损耗（含重复性）：≤0.2dB</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4.回波损耗：≥50dB</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5.重复性≥1000次</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6.互换性：≤0.2dB</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7.长度：1M</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8.工作温度：-25℃~+70℃</w:t>
            </w:r>
          </w:p>
        </w:tc>
        <w:tc>
          <w:tcPr>
            <w:tcW w:w="5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条</w:t>
            </w:r>
          </w:p>
        </w:tc>
        <w:tc>
          <w:tcPr>
            <w:tcW w:w="57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Calibri"/>
                <w:color w:val="000000"/>
                <w:sz w:val="18"/>
                <w:szCs w:val="18"/>
              </w:rPr>
            </w:pPr>
            <w:r>
              <w:rPr>
                <w:rFonts w:ascii="宋体" w:hAnsi="宋体" w:cs="Calibri"/>
                <w:color w:val="000000"/>
                <w:kern w:val="0"/>
                <w:sz w:val="18"/>
                <w:szCs w:val="18"/>
                <w:lang w:bidi="ar"/>
              </w:rPr>
              <w:t>288</w:t>
            </w:r>
          </w:p>
        </w:tc>
      </w:tr>
      <w:tr>
        <w:tblPrEx>
          <w:tblCellMar>
            <w:top w:w="0" w:type="dxa"/>
            <w:left w:w="0" w:type="dxa"/>
            <w:bottom w:w="0" w:type="dxa"/>
            <w:right w:w="0" w:type="dxa"/>
          </w:tblCellMar>
        </w:tblPrEx>
        <w:trPr>
          <w:trHeight w:val="1800" w:hRule="atLeast"/>
        </w:trPr>
        <w:tc>
          <w:tcPr>
            <w:tcW w:w="34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Calibri"/>
                <w:color w:val="000000"/>
                <w:sz w:val="18"/>
                <w:szCs w:val="18"/>
              </w:rPr>
            </w:pPr>
            <w:r>
              <w:rPr>
                <w:rFonts w:ascii="宋体" w:hAnsi="宋体" w:cs="Calibri"/>
                <w:color w:val="000000"/>
                <w:kern w:val="0"/>
                <w:sz w:val="18"/>
                <w:szCs w:val="18"/>
                <w:lang w:bidi="ar"/>
              </w:rPr>
              <w:t>10</w:t>
            </w:r>
          </w:p>
        </w:tc>
        <w:tc>
          <w:tcPr>
            <w:tcW w:w="129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Calibri"/>
                <w:color w:val="000000"/>
                <w:sz w:val="18"/>
                <w:szCs w:val="18"/>
              </w:rPr>
            </w:pPr>
            <w:r>
              <w:rPr>
                <w:rFonts w:ascii="宋体" w:hAnsi="宋体" w:cs="Calibri"/>
                <w:color w:val="000000"/>
                <w:kern w:val="0"/>
                <w:sz w:val="18"/>
                <w:szCs w:val="18"/>
                <w:lang w:bidi="ar"/>
              </w:rPr>
              <w:t>LC-LC</w:t>
            </w:r>
            <w:r>
              <w:rPr>
                <w:rStyle w:val="60"/>
                <w:rFonts w:hint="default"/>
                <w:sz w:val="18"/>
                <w:szCs w:val="18"/>
                <w:lang w:bidi="ar"/>
              </w:rPr>
              <w:t>双芯多模跳线</w:t>
            </w:r>
            <w:r>
              <w:rPr>
                <w:rStyle w:val="61"/>
                <w:rFonts w:ascii="宋体" w:hAnsi="宋体"/>
                <w:sz w:val="18"/>
                <w:szCs w:val="18"/>
                <w:lang w:bidi="ar"/>
              </w:rPr>
              <w:t xml:space="preserve"> OM3</w:t>
            </w:r>
          </w:p>
        </w:tc>
        <w:tc>
          <w:tcPr>
            <w:tcW w:w="678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1.依据标准出厂前100%光学测试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2.接头材料：氧化锆陶瓷插芯</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3.插入损耗（含重复性）：≤0.2dB</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4.回波损耗：≥50dB</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5.重复性≥1000次</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6.互换性：≤0.2dB</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7.长度：3M</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8.工作温度：-25℃~+70℃</w:t>
            </w:r>
          </w:p>
        </w:tc>
        <w:tc>
          <w:tcPr>
            <w:tcW w:w="5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条</w:t>
            </w:r>
          </w:p>
        </w:tc>
        <w:tc>
          <w:tcPr>
            <w:tcW w:w="57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Calibri"/>
                <w:color w:val="000000"/>
                <w:sz w:val="18"/>
                <w:szCs w:val="18"/>
              </w:rPr>
            </w:pPr>
            <w:r>
              <w:rPr>
                <w:rFonts w:ascii="宋体" w:hAnsi="宋体" w:cs="Calibri"/>
                <w:color w:val="000000"/>
                <w:kern w:val="0"/>
                <w:sz w:val="18"/>
                <w:szCs w:val="18"/>
                <w:lang w:bidi="ar"/>
              </w:rPr>
              <w:t>144</w:t>
            </w:r>
          </w:p>
        </w:tc>
      </w:tr>
      <w:tr>
        <w:tblPrEx>
          <w:tblCellMar>
            <w:top w:w="0" w:type="dxa"/>
            <w:left w:w="0" w:type="dxa"/>
            <w:bottom w:w="0" w:type="dxa"/>
            <w:right w:w="0" w:type="dxa"/>
          </w:tblCellMar>
        </w:tblPrEx>
        <w:trPr>
          <w:trHeight w:val="240" w:hRule="atLeast"/>
        </w:trPr>
        <w:tc>
          <w:tcPr>
            <w:tcW w:w="9510" w:type="dxa"/>
            <w:gridSpan w:val="5"/>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lang w:bidi="ar"/>
              </w:rPr>
              <w:t>标准化机房-消防系统</w:t>
            </w:r>
          </w:p>
        </w:tc>
      </w:tr>
      <w:tr>
        <w:tblPrEx>
          <w:tblCellMar>
            <w:top w:w="0" w:type="dxa"/>
            <w:left w:w="0" w:type="dxa"/>
            <w:bottom w:w="0" w:type="dxa"/>
            <w:right w:w="0" w:type="dxa"/>
          </w:tblCellMar>
        </w:tblPrEx>
        <w:trPr>
          <w:trHeight w:val="480" w:hRule="atLeast"/>
        </w:trPr>
        <w:tc>
          <w:tcPr>
            <w:tcW w:w="346" w:type="dxa"/>
            <w:tcBorders>
              <w:top w:val="single" w:color="000000" w:sz="4" w:space="0"/>
              <w:left w:val="single" w:color="000000" w:sz="4" w:space="0"/>
              <w:bottom w:val="nil"/>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序号</w:t>
            </w:r>
          </w:p>
        </w:tc>
        <w:tc>
          <w:tcPr>
            <w:tcW w:w="1292" w:type="dxa"/>
            <w:tcBorders>
              <w:top w:val="single" w:color="000000" w:sz="4" w:space="0"/>
              <w:left w:val="single" w:color="000000" w:sz="4" w:space="0"/>
              <w:bottom w:val="nil"/>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产品名称</w:t>
            </w:r>
          </w:p>
        </w:tc>
        <w:tc>
          <w:tcPr>
            <w:tcW w:w="6787" w:type="dxa"/>
            <w:tcBorders>
              <w:top w:val="single" w:color="000000" w:sz="4" w:space="0"/>
              <w:left w:val="single" w:color="000000" w:sz="4" w:space="0"/>
              <w:bottom w:val="nil"/>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规格型号</w:t>
            </w:r>
          </w:p>
        </w:tc>
        <w:tc>
          <w:tcPr>
            <w:tcW w:w="514" w:type="dxa"/>
            <w:tcBorders>
              <w:top w:val="single" w:color="000000" w:sz="4" w:space="0"/>
              <w:left w:val="single" w:color="000000" w:sz="4" w:space="0"/>
              <w:bottom w:val="nil"/>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单位</w:t>
            </w:r>
          </w:p>
        </w:tc>
        <w:tc>
          <w:tcPr>
            <w:tcW w:w="571" w:type="dxa"/>
            <w:tcBorders>
              <w:top w:val="single" w:color="000000" w:sz="4" w:space="0"/>
              <w:left w:val="single" w:color="000000" w:sz="4" w:space="0"/>
              <w:bottom w:val="nil"/>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数量</w:t>
            </w:r>
          </w:p>
        </w:tc>
      </w:tr>
      <w:tr>
        <w:tblPrEx>
          <w:tblCellMar>
            <w:top w:w="0" w:type="dxa"/>
            <w:left w:w="0" w:type="dxa"/>
            <w:bottom w:w="0" w:type="dxa"/>
            <w:right w:w="0" w:type="dxa"/>
          </w:tblCellMar>
        </w:tblPrEx>
        <w:trPr>
          <w:trHeight w:val="240" w:hRule="atLeast"/>
        </w:trPr>
        <w:tc>
          <w:tcPr>
            <w:tcW w:w="9510" w:type="dxa"/>
            <w:gridSpan w:val="5"/>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一、惰性气体灭火系统</w:t>
            </w:r>
          </w:p>
        </w:tc>
      </w:tr>
      <w:tr>
        <w:tblPrEx>
          <w:tblCellMar>
            <w:top w:w="0" w:type="dxa"/>
            <w:left w:w="0" w:type="dxa"/>
            <w:bottom w:w="0" w:type="dxa"/>
            <w:right w:w="0" w:type="dxa"/>
          </w:tblCellMar>
        </w:tblPrEx>
        <w:trPr>
          <w:trHeight w:val="1440" w:hRule="atLeast"/>
        </w:trPr>
        <w:tc>
          <w:tcPr>
            <w:tcW w:w="34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等线"/>
                <w:color w:val="000000"/>
                <w:sz w:val="18"/>
                <w:szCs w:val="18"/>
              </w:rPr>
            </w:pPr>
            <w:r>
              <w:rPr>
                <w:rFonts w:ascii="宋体" w:hAnsi="宋体" w:cs="等线"/>
                <w:color w:val="000000"/>
                <w:kern w:val="0"/>
                <w:sz w:val="18"/>
                <w:szCs w:val="18"/>
                <w:lang w:bidi="ar"/>
              </w:rPr>
              <w:t>1</w:t>
            </w:r>
          </w:p>
        </w:tc>
        <w:tc>
          <w:tcPr>
            <w:tcW w:w="129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等线"/>
                <w:color w:val="000000"/>
                <w:sz w:val="18"/>
                <w:szCs w:val="18"/>
              </w:rPr>
            </w:pPr>
            <w:r>
              <w:rPr>
                <w:rFonts w:ascii="宋体" w:hAnsi="宋体" w:cs="等线"/>
                <w:color w:val="000000"/>
                <w:kern w:val="0"/>
                <w:sz w:val="18"/>
                <w:szCs w:val="18"/>
                <w:lang w:bidi="ar"/>
              </w:rPr>
              <w:t>七氟丙烷灭火剂</w:t>
            </w:r>
          </w:p>
        </w:tc>
        <w:tc>
          <w:tcPr>
            <w:tcW w:w="6787" w:type="dxa"/>
            <w:tcBorders>
              <w:top w:val="nil"/>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标准大气压下的沸点-16.4℃</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凝固点-131℃</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临界温度101.7℃</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临界压力2912Kpa</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临界体积274CC/mole</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临界密度621Kg/m³</w:t>
            </w:r>
          </w:p>
        </w:tc>
        <w:tc>
          <w:tcPr>
            <w:tcW w:w="5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等线"/>
                <w:color w:val="000000"/>
                <w:sz w:val="18"/>
                <w:szCs w:val="18"/>
              </w:rPr>
            </w:pPr>
            <w:r>
              <w:rPr>
                <w:rFonts w:ascii="宋体" w:hAnsi="宋体" w:cs="等线"/>
                <w:color w:val="000000"/>
                <w:kern w:val="0"/>
                <w:sz w:val="18"/>
                <w:szCs w:val="18"/>
                <w:lang w:bidi="ar"/>
              </w:rPr>
              <w:t>kg</w:t>
            </w:r>
          </w:p>
        </w:tc>
        <w:tc>
          <w:tcPr>
            <w:tcW w:w="57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等线"/>
                <w:color w:val="000000"/>
                <w:sz w:val="18"/>
                <w:szCs w:val="18"/>
              </w:rPr>
            </w:pPr>
            <w:r>
              <w:rPr>
                <w:rFonts w:ascii="宋体" w:hAnsi="宋体" w:cs="等线"/>
                <w:color w:val="000000"/>
                <w:kern w:val="0"/>
                <w:sz w:val="18"/>
                <w:szCs w:val="18"/>
                <w:lang w:bidi="ar"/>
              </w:rPr>
              <w:t>406</w:t>
            </w:r>
          </w:p>
        </w:tc>
      </w:tr>
      <w:tr>
        <w:tblPrEx>
          <w:tblCellMar>
            <w:top w:w="0" w:type="dxa"/>
            <w:left w:w="0" w:type="dxa"/>
            <w:bottom w:w="0" w:type="dxa"/>
            <w:right w:w="0" w:type="dxa"/>
          </w:tblCellMar>
        </w:tblPrEx>
        <w:trPr>
          <w:trHeight w:val="510" w:hRule="atLeast"/>
        </w:trPr>
        <w:tc>
          <w:tcPr>
            <w:tcW w:w="34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等线"/>
                <w:color w:val="000000"/>
                <w:sz w:val="18"/>
                <w:szCs w:val="18"/>
              </w:rPr>
            </w:pPr>
            <w:r>
              <w:rPr>
                <w:rFonts w:ascii="宋体" w:hAnsi="宋体" w:cs="等线"/>
                <w:color w:val="000000"/>
                <w:kern w:val="0"/>
                <w:sz w:val="18"/>
                <w:szCs w:val="18"/>
                <w:lang w:bidi="ar"/>
              </w:rPr>
              <w:t>2</w:t>
            </w:r>
          </w:p>
        </w:tc>
        <w:tc>
          <w:tcPr>
            <w:tcW w:w="129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等线"/>
                <w:color w:val="000000"/>
                <w:sz w:val="18"/>
                <w:szCs w:val="18"/>
              </w:rPr>
            </w:pPr>
            <w:r>
              <w:rPr>
                <w:rFonts w:ascii="宋体" w:hAnsi="宋体" w:cs="等线"/>
                <w:color w:val="000000"/>
                <w:kern w:val="0"/>
                <w:sz w:val="18"/>
                <w:szCs w:val="18"/>
                <w:lang w:bidi="ar"/>
              </w:rPr>
              <w:t>柜式七氟丙烷气体灭火装置</w:t>
            </w:r>
          </w:p>
        </w:tc>
        <w:tc>
          <w:tcPr>
            <w:tcW w:w="678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★充装压力</w:t>
            </w:r>
            <w:r>
              <w:rPr>
                <w:rStyle w:val="61"/>
                <w:rFonts w:ascii="宋体" w:hAnsi="宋体"/>
                <w:sz w:val="18"/>
                <w:szCs w:val="18"/>
                <w:lang w:bidi="ar"/>
              </w:rPr>
              <w:t>:2.5Mpa</w:t>
            </w:r>
            <w:r>
              <w:rPr>
                <w:rStyle w:val="60"/>
                <w:rFonts w:hint="default"/>
                <w:sz w:val="18"/>
                <w:szCs w:val="18"/>
                <w:lang w:bidi="ar"/>
              </w:rPr>
              <w:t>，气瓶容积</w:t>
            </w:r>
            <w:r>
              <w:rPr>
                <w:rStyle w:val="61"/>
                <w:rFonts w:ascii="宋体" w:hAnsi="宋体"/>
                <w:sz w:val="18"/>
                <w:szCs w:val="18"/>
                <w:lang w:bidi="ar"/>
              </w:rPr>
              <w:t>:70L</w:t>
            </w:r>
            <w:r>
              <w:rPr>
                <w:rStyle w:val="60"/>
                <w:rFonts w:hint="default"/>
                <w:sz w:val="18"/>
                <w:szCs w:val="18"/>
                <w:lang w:bidi="ar"/>
              </w:rPr>
              <w:t>，使用环境温度：</w:t>
            </w:r>
            <w:r>
              <w:rPr>
                <w:rStyle w:val="61"/>
                <w:rFonts w:ascii="宋体" w:hAnsi="宋体"/>
                <w:sz w:val="18"/>
                <w:szCs w:val="18"/>
                <w:lang w:bidi="ar"/>
              </w:rPr>
              <w:t>0~50</w:t>
            </w:r>
            <w:r>
              <w:rPr>
                <w:rStyle w:val="60"/>
                <w:rFonts w:hint="default"/>
                <w:sz w:val="18"/>
                <w:szCs w:val="18"/>
                <w:lang w:bidi="ar"/>
              </w:rPr>
              <w:t>℃，喷射时间：≤</w:t>
            </w:r>
            <w:r>
              <w:rPr>
                <w:rStyle w:val="61"/>
                <w:rFonts w:ascii="宋体" w:hAnsi="宋体"/>
                <w:sz w:val="18"/>
                <w:szCs w:val="18"/>
                <w:lang w:bidi="ar"/>
              </w:rPr>
              <w:t>10S</w:t>
            </w:r>
            <w:r>
              <w:rPr>
                <w:rStyle w:val="60"/>
                <w:rFonts w:hint="default"/>
                <w:sz w:val="18"/>
                <w:szCs w:val="18"/>
                <w:lang w:bidi="ar"/>
              </w:rPr>
              <w:t>，电磁阀工作电压：</w:t>
            </w:r>
            <w:r>
              <w:rPr>
                <w:rStyle w:val="61"/>
                <w:rFonts w:ascii="宋体" w:hAnsi="宋体"/>
                <w:sz w:val="18"/>
                <w:szCs w:val="18"/>
                <w:lang w:bidi="ar"/>
              </w:rPr>
              <w:t>DC24V</w:t>
            </w:r>
            <w:r>
              <w:rPr>
                <w:rStyle w:val="60"/>
                <w:rFonts w:hint="default"/>
                <w:sz w:val="18"/>
                <w:szCs w:val="18"/>
                <w:lang w:bidi="ar"/>
              </w:rPr>
              <w:t>，启动电流</w:t>
            </w:r>
            <w:r>
              <w:rPr>
                <w:rStyle w:val="61"/>
                <w:rFonts w:ascii="宋体" w:hAnsi="宋体"/>
                <w:sz w:val="18"/>
                <w:szCs w:val="18"/>
                <w:lang w:bidi="ar"/>
              </w:rPr>
              <w:t>(</w:t>
            </w:r>
            <w:r>
              <w:rPr>
                <w:rStyle w:val="60"/>
                <w:rFonts w:hint="default"/>
                <w:sz w:val="18"/>
                <w:szCs w:val="18"/>
                <w:lang w:bidi="ar"/>
              </w:rPr>
              <w:t xml:space="preserve">每组 </w:t>
            </w:r>
            <w:r>
              <w:rPr>
                <w:rStyle w:val="61"/>
                <w:rFonts w:ascii="宋体" w:hAnsi="宋体"/>
                <w:sz w:val="18"/>
                <w:szCs w:val="18"/>
                <w:lang w:bidi="ar"/>
              </w:rPr>
              <w:t>A)</w:t>
            </w:r>
            <w:r>
              <w:rPr>
                <w:rStyle w:val="60"/>
                <w:rFonts w:hint="default"/>
                <w:sz w:val="18"/>
                <w:szCs w:val="18"/>
                <w:lang w:bidi="ar"/>
              </w:rPr>
              <w:t>：</w:t>
            </w:r>
            <w:r>
              <w:rPr>
                <w:rStyle w:val="61"/>
                <w:rFonts w:ascii="宋体" w:hAnsi="宋体"/>
                <w:sz w:val="18"/>
                <w:szCs w:val="18"/>
                <w:lang w:bidi="ar"/>
              </w:rPr>
              <w:t>1</w:t>
            </w:r>
            <w:r>
              <w:rPr>
                <w:rStyle w:val="60"/>
                <w:rFonts w:hint="default"/>
                <w:sz w:val="18"/>
                <w:szCs w:val="18"/>
                <w:lang w:bidi="ar"/>
              </w:rPr>
              <w:t>～</w:t>
            </w:r>
            <w:r>
              <w:rPr>
                <w:rStyle w:val="61"/>
                <w:rFonts w:ascii="宋体" w:hAnsi="宋体"/>
                <w:sz w:val="18"/>
                <w:szCs w:val="18"/>
                <w:lang w:bidi="ar"/>
              </w:rPr>
              <w:t>1.5</w:t>
            </w:r>
          </w:p>
        </w:tc>
        <w:tc>
          <w:tcPr>
            <w:tcW w:w="5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等线"/>
                <w:color w:val="000000"/>
                <w:sz w:val="18"/>
                <w:szCs w:val="18"/>
              </w:rPr>
            </w:pPr>
            <w:r>
              <w:rPr>
                <w:rFonts w:ascii="宋体" w:hAnsi="宋体" w:cs="等线"/>
                <w:color w:val="000000"/>
                <w:kern w:val="0"/>
                <w:sz w:val="18"/>
                <w:szCs w:val="18"/>
                <w:lang w:bidi="ar"/>
              </w:rPr>
              <w:t>台</w:t>
            </w:r>
          </w:p>
        </w:tc>
        <w:tc>
          <w:tcPr>
            <w:tcW w:w="57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等线"/>
                <w:color w:val="000000"/>
                <w:sz w:val="18"/>
                <w:szCs w:val="18"/>
              </w:rPr>
            </w:pPr>
            <w:r>
              <w:rPr>
                <w:rFonts w:ascii="宋体" w:hAnsi="宋体" w:cs="等线"/>
                <w:color w:val="000000"/>
                <w:kern w:val="0"/>
                <w:sz w:val="18"/>
                <w:szCs w:val="18"/>
                <w:lang w:bidi="ar"/>
              </w:rPr>
              <w:t>1</w:t>
            </w:r>
          </w:p>
        </w:tc>
      </w:tr>
      <w:tr>
        <w:tblPrEx>
          <w:tblCellMar>
            <w:top w:w="0" w:type="dxa"/>
            <w:left w:w="0" w:type="dxa"/>
            <w:bottom w:w="0" w:type="dxa"/>
            <w:right w:w="0" w:type="dxa"/>
          </w:tblCellMar>
        </w:tblPrEx>
        <w:trPr>
          <w:trHeight w:val="510" w:hRule="atLeast"/>
        </w:trPr>
        <w:tc>
          <w:tcPr>
            <w:tcW w:w="34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等线"/>
                <w:color w:val="000000"/>
                <w:sz w:val="18"/>
                <w:szCs w:val="18"/>
              </w:rPr>
            </w:pPr>
            <w:r>
              <w:rPr>
                <w:rFonts w:ascii="宋体" w:hAnsi="宋体" w:cs="等线"/>
                <w:color w:val="000000"/>
                <w:kern w:val="0"/>
                <w:sz w:val="18"/>
                <w:szCs w:val="18"/>
                <w:lang w:bidi="ar"/>
              </w:rPr>
              <w:t>3</w:t>
            </w:r>
          </w:p>
        </w:tc>
        <w:tc>
          <w:tcPr>
            <w:tcW w:w="129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等线"/>
                <w:color w:val="000000"/>
                <w:sz w:val="18"/>
                <w:szCs w:val="18"/>
              </w:rPr>
            </w:pPr>
            <w:r>
              <w:rPr>
                <w:rFonts w:ascii="宋体" w:hAnsi="宋体" w:cs="等线"/>
                <w:color w:val="000000"/>
                <w:kern w:val="0"/>
                <w:sz w:val="18"/>
                <w:szCs w:val="18"/>
                <w:lang w:bidi="ar"/>
              </w:rPr>
              <w:t>柜式七氟丙烷气体灭火装置</w:t>
            </w:r>
          </w:p>
        </w:tc>
        <w:tc>
          <w:tcPr>
            <w:tcW w:w="678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★充装压力</w:t>
            </w:r>
            <w:r>
              <w:rPr>
                <w:rStyle w:val="61"/>
                <w:rFonts w:ascii="宋体" w:hAnsi="宋体"/>
                <w:sz w:val="18"/>
                <w:szCs w:val="18"/>
                <w:lang w:bidi="ar"/>
              </w:rPr>
              <w:t>:2.5Mpa</w:t>
            </w:r>
            <w:r>
              <w:rPr>
                <w:rStyle w:val="60"/>
                <w:rFonts w:hint="default"/>
                <w:sz w:val="18"/>
                <w:szCs w:val="18"/>
                <w:lang w:bidi="ar"/>
              </w:rPr>
              <w:t>，气瓶容积</w:t>
            </w:r>
            <w:r>
              <w:rPr>
                <w:rStyle w:val="61"/>
                <w:rFonts w:ascii="宋体" w:hAnsi="宋体"/>
                <w:sz w:val="18"/>
                <w:szCs w:val="18"/>
                <w:lang w:bidi="ar"/>
              </w:rPr>
              <w:t>:90L</w:t>
            </w:r>
            <w:r>
              <w:rPr>
                <w:rStyle w:val="60"/>
                <w:rFonts w:hint="default"/>
                <w:sz w:val="18"/>
                <w:szCs w:val="18"/>
                <w:lang w:bidi="ar"/>
              </w:rPr>
              <w:t>，使用环境温度：</w:t>
            </w:r>
            <w:r>
              <w:rPr>
                <w:rStyle w:val="61"/>
                <w:rFonts w:ascii="宋体" w:hAnsi="宋体"/>
                <w:sz w:val="18"/>
                <w:szCs w:val="18"/>
                <w:lang w:bidi="ar"/>
              </w:rPr>
              <w:t>0~50</w:t>
            </w:r>
            <w:r>
              <w:rPr>
                <w:rStyle w:val="60"/>
                <w:rFonts w:hint="default"/>
                <w:sz w:val="18"/>
                <w:szCs w:val="18"/>
                <w:lang w:bidi="ar"/>
              </w:rPr>
              <w:t>℃，喷射时间：≤</w:t>
            </w:r>
            <w:r>
              <w:rPr>
                <w:rStyle w:val="61"/>
                <w:rFonts w:ascii="宋体" w:hAnsi="宋体"/>
                <w:sz w:val="18"/>
                <w:szCs w:val="18"/>
                <w:lang w:bidi="ar"/>
              </w:rPr>
              <w:t>10S</w:t>
            </w:r>
            <w:r>
              <w:rPr>
                <w:rStyle w:val="60"/>
                <w:rFonts w:hint="default"/>
                <w:sz w:val="18"/>
                <w:szCs w:val="18"/>
                <w:lang w:bidi="ar"/>
              </w:rPr>
              <w:t>，电磁阀工作电压：</w:t>
            </w:r>
            <w:r>
              <w:rPr>
                <w:rStyle w:val="61"/>
                <w:rFonts w:ascii="宋体" w:hAnsi="宋体"/>
                <w:sz w:val="18"/>
                <w:szCs w:val="18"/>
                <w:lang w:bidi="ar"/>
              </w:rPr>
              <w:t>DC24V</w:t>
            </w:r>
            <w:r>
              <w:rPr>
                <w:rStyle w:val="60"/>
                <w:rFonts w:hint="default"/>
                <w:sz w:val="18"/>
                <w:szCs w:val="18"/>
                <w:lang w:bidi="ar"/>
              </w:rPr>
              <w:t>，启动电流</w:t>
            </w:r>
            <w:r>
              <w:rPr>
                <w:rStyle w:val="61"/>
                <w:rFonts w:ascii="宋体" w:hAnsi="宋体"/>
                <w:sz w:val="18"/>
                <w:szCs w:val="18"/>
                <w:lang w:bidi="ar"/>
              </w:rPr>
              <w:t>(</w:t>
            </w:r>
            <w:r>
              <w:rPr>
                <w:rStyle w:val="60"/>
                <w:rFonts w:hint="default"/>
                <w:sz w:val="18"/>
                <w:szCs w:val="18"/>
                <w:lang w:bidi="ar"/>
              </w:rPr>
              <w:t xml:space="preserve">每组 </w:t>
            </w:r>
            <w:r>
              <w:rPr>
                <w:rStyle w:val="61"/>
                <w:rFonts w:ascii="宋体" w:hAnsi="宋体"/>
                <w:sz w:val="18"/>
                <w:szCs w:val="18"/>
                <w:lang w:bidi="ar"/>
              </w:rPr>
              <w:t>A)</w:t>
            </w:r>
            <w:r>
              <w:rPr>
                <w:rStyle w:val="60"/>
                <w:rFonts w:hint="default"/>
                <w:sz w:val="18"/>
                <w:szCs w:val="18"/>
                <w:lang w:bidi="ar"/>
              </w:rPr>
              <w:t>：</w:t>
            </w:r>
            <w:r>
              <w:rPr>
                <w:rStyle w:val="61"/>
                <w:rFonts w:ascii="宋体" w:hAnsi="宋体"/>
                <w:sz w:val="18"/>
                <w:szCs w:val="18"/>
                <w:lang w:bidi="ar"/>
              </w:rPr>
              <w:t>1</w:t>
            </w:r>
            <w:r>
              <w:rPr>
                <w:rStyle w:val="60"/>
                <w:rFonts w:hint="default"/>
                <w:sz w:val="18"/>
                <w:szCs w:val="18"/>
                <w:lang w:bidi="ar"/>
              </w:rPr>
              <w:t>～</w:t>
            </w:r>
            <w:r>
              <w:rPr>
                <w:rStyle w:val="61"/>
                <w:rFonts w:ascii="宋体" w:hAnsi="宋体"/>
                <w:sz w:val="18"/>
                <w:szCs w:val="18"/>
                <w:lang w:bidi="ar"/>
              </w:rPr>
              <w:t>1.5</w:t>
            </w:r>
          </w:p>
        </w:tc>
        <w:tc>
          <w:tcPr>
            <w:tcW w:w="5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等线"/>
                <w:color w:val="000000"/>
                <w:sz w:val="18"/>
                <w:szCs w:val="18"/>
              </w:rPr>
            </w:pPr>
            <w:r>
              <w:rPr>
                <w:rFonts w:ascii="宋体" w:hAnsi="宋体" w:cs="等线"/>
                <w:color w:val="000000"/>
                <w:kern w:val="0"/>
                <w:sz w:val="18"/>
                <w:szCs w:val="18"/>
                <w:lang w:bidi="ar"/>
              </w:rPr>
              <w:t>台</w:t>
            </w:r>
          </w:p>
        </w:tc>
        <w:tc>
          <w:tcPr>
            <w:tcW w:w="57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等线"/>
                <w:color w:val="000000"/>
                <w:sz w:val="18"/>
                <w:szCs w:val="18"/>
              </w:rPr>
            </w:pPr>
            <w:r>
              <w:rPr>
                <w:rFonts w:ascii="宋体" w:hAnsi="宋体" w:cs="等线"/>
                <w:color w:val="000000"/>
                <w:kern w:val="0"/>
                <w:sz w:val="18"/>
                <w:szCs w:val="18"/>
                <w:lang w:bidi="ar"/>
              </w:rPr>
              <w:t>1</w:t>
            </w:r>
          </w:p>
        </w:tc>
      </w:tr>
      <w:tr>
        <w:tblPrEx>
          <w:tblCellMar>
            <w:top w:w="0" w:type="dxa"/>
            <w:left w:w="0" w:type="dxa"/>
            <w:bottom w:w="0" w:type="dxa"/>
            <w:right w:w="0" w:type="dxa"/>
          </w:tblCellMar>
        </w:tblPrEx>
        <w:trPr>
          <w:trHeight w:val="510" w:hRule="atLeast"/>
        </w:trPr>
        <w:tc>
          <w:tcPr>
            <w:tcW w:w="34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等线"/>
                <w:color w:val="000000"/>
                <w:sz w:val="18"/>
                <w:szCs w:val="18"/>
              </w:rPr>
            </w:pPr>
            <w:r>
              <w:rPr>
                <w:rFonts w:ascii="宋体" w:hAnsi="宋体" w:cs="等线"/>
                <w:color w:val="000000"/>
                <w:kern w:val="0"/>
                <w:sz w:val="18"/>
                <w:szCs w:val="18"/>
                <w:lang w:bidi="ar"/>
              </w:rPr>
              <w:t>4</w:t>
            </w:r>
          </w:p>
        </w:tc>
        <w:tc>
          <w:tcPr>
            <w:tcW w:w="129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等线"/>
                <w:color w:val="000000"/>
                <w:sz w:val="18"/>
                <w:szCs w:val="18"/>
              </w:rPr>
            </w:pPr>
            <w:r>
              <w:rPr>
                <w:rFonts w:ascii="宋体" w:hAnsi="宋体" w:cs="等线"/>
                <w:color w:val="000000"/>
                <w:kern w:val="0"/>
                <w:sz w:val="18"/>
                <w:szCs w:val="18"/>
                <w:lang w:bidi="ar"/>
              </w:rPr>
              <w:t>柜式七氟丙烷气体灭火装置</w:t>
            </w:r>
          </w:p>
        </w:tc>
        <w:tc>
          <w:tcPr>
            <w:tcW w:w="678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★充装压力</w:t>
            </w:r>
            <w:r>
              <w:rPr>
                <w:rStyle w:val="61"/>
                <w:rFonts w:ascii="宋体" w:hAnsi="宋体"/>
                <w:sz w:val="18"/>
                <w:szCs w:val="18"/>
                <w:lang w:bidi="ar"/>
              </w:rPr>
              <w:t>:2.5Mpa</w:t>
            </w:r>
            <w:r>
              <w:rPr>
                <w:rStyle w:val="60"/>
                <w:rFonts w:hint="default"/>
                <w:sz w:val="18"/>
                <w:szCs w:val="18"/>
                <w:lang w:bidi="ar"/>
              </w:rPr>
              <w:t>，气瓶容积</w:t>
            </w:r>
            <w:r>
              <w:rPr>
                <w:rStyle w:val="61"/>
                <w:rFonts w:ascii="宋体" w:hAnsi="宋体"/>
                <w:sz w:val="18"/>
                <w:szCs w:val="18"/>
                <w:lang w:bidi="ar"/>
              </w:rPr>
              <w:t>:120L</w:t>
            </w:r>
            <w:r>
              <w:rPr>
                <w:rStyle w:val="60"/>
                <w:rFonts w:hint="default"/>
                <w:sz w:val="18"/>
                <w:szCs w:val="18"/>
                <w:lang w:bidi="ar"/>
              </w:rPr>
              <w:t>，使用环境温度：</w:t>
            </w:r>
            <w:r>
              <w:rPr>
                <w:rStyle w:val="61"/>
                <w:rFonts w:ascii="宋体" w:hAnsi="宋体"/>
                <w:sz w:val="18"/>
                <w:szCs w:val="18"/>
                <w:lang w:bidi="ar"/>
              </w:rPr>
              <w:t>0~50</w:t>
            </w:r>
            <w:r>
              <w:rPr>
                <w:rStyle w:val="60"/>
                <w:rFonts w:hint="default"/>
                <w:sz w:val="18"/>
                <w:szCs w:val="18"/>
                <w:lang w:bidi="ar"/>
              </w:rPr>
              <w:t>℃，喷射时间：≤</w:t>
            </w:r>
            <w:r>
              <w:rPr>
                <w:rStyle w:val="61"/>
                <w:rFonts w:ascii="宋体" w:hAnsi="宋体"/>
                <w:sz w:val="18"/>
                <w:szCs w:val="18"/>
                <w:lang w:bidi="ar"/>
              </w:rPr>
              <w:t>10S</w:t>
            </w:r>
            <w:r>
              <w:rPr>
                <w:rStyle w:val="60"/>
                <w:rFonts w:hint="default"/>
                <w:sz w:val="18"/>
                <w:szCs w:val="18"/>
                <w:lang w:bidi="ar"/>
              </w:rPr>
              <w:t>，电磁阀工作电压：</w:t>
            </w:r>
            <w:r>
              <w:rPr>
                <w:rStyle w:val="61"/>
                <w:rFonts w:ascii="宋体" w:hAnsi="宋体"/>
                <w:sz w:val="18"/>
                <w:szCs w:val="18"/>
                <w:lang w:bidi="ar"/>
              </w:rPr>
              <w:t>DC24V</w:t>
            </w:r>
            <w:r>
              <w:rPr>
                <w:rStyle w:val="60"/>
                <w:rFonts w:hint="default"/>
                <w:sz w:val="18"/>
                <w:szCs w:val="18"/>
                <w:lang w:bidi="ar"/>
              </w:rPr>
              <w:t>，启动电流</w:t>
            </w:r>
            <w:r>
              <w:rPr>
                <w:rStyle w:val="61"/>
                <w:rFonts w:ascii="宋体" w:hAnsi="宋体"/>
                <w:sz w:val="18"/>
                <w:szCs w:val="18"/>
                <w:lang w:bidi="ar"/>
              </w:rPr>
              <w:t>(</w:t>
            </w:r>
            <w:r>
              <w:rPr>
                <w:rStyle w:val="60"/>
                <w:rFonts w:hint="default"/>
                <w:sz w:val="18"/>
                <w:szCs w:val="18"/>
                <w:lang w:bidi="ar"/>
              </w:rPr>
              <w:t xml:space="preserve">每组 </w:t>
            </w:r>
            <w:r>
              <w:rPr>
                <w:rStyle w:val="61"/>
                <w:rFonts w:ascii="宋体" w:hAnsi="宋体"/>
                <w:sz w:val="18"/>
                <w:szCs w:val="18"/>
                <w:lang w:bidi="ar"/>
              </w:rPr>
              <w:t>A)</w:t>
            </w:r>
            <w:r>
              <w:rPr>
                <w:rStyle w:val="60"/>
                <w:rFonts w:hint="default"/>
                <w:sz w:val="18"/>
                <w:szCs w:val="18"/>
                <w:lang w:bidi="ar"/>
              </w:rPr>
              <w:t>：</w:t>
            </w:r>
            <w:r>
              <w:rPr>
                <w:rStyle w:val="61"/>
                <w:rFonts w:ascii="宋体" w:hAnsi="宋体"/>
                <w:sz w:val="18"/>
                <w:szCs w:val="18"/>
                <w:lang w:bidi="ar"/>
              </w:rPr>
              <w:t>1</w:t>
            </w:r>
            <w:r>
              <w:rPr>
                <w:rStyle w:val="60"/>
                <w:rFonts w:hint="default"/>
                <w:sz w:val="18"/>
                <w:szCs w:val="18"/>
                <w:lang w:bidi="ar"/>
              </w:rPr>
              <w:t>～</w:t>
            </w:r>
            <w:r>
              <w:rPr>
                <w:rStyle w:val="61"/>
                <w:rFonts w:ascii="宋体" w:hAnsi="宋体"/>
                <w:sz w:val="18"/>
                <w:szCs w:val="18"/>
                <w:lang w:bidi="ar"/>
              </w:rPr>
              <w:t>1.5</w:t>
            </w:r>
          </w:p>
        </w:tc>
        <w:tc>
          <w:tcPr>
            <w:tcW w:w="5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等线"/>
                <w:color w:val="000000"/>
                <w:sz w:val="18"/>
                <w:szCs w:val="18"/>
              </w:rPr>
            </w:pPr>
            <w:r>
              <w:rPr>
                <w:rFonts w:ascii="宋体" w:hAnsi="宋体" w:cs="等线"/>
                <w:color w:val="000000"/>
                <w:kern w:val="0"/>
                <w:sz w:val="18"/>
                <w:szCs w:val="18"/>
                <w:lang w:bidi="ar"/>
              </w:rPr>
              <w:t>台</w:t>
            </w:r>
          </w:p>
        </w:tc>
        <w:tc>
          <w:tcPr>
            <w:tcW w:w="57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等线"/>
                <w:color w:val="000000"/>
                <w:sz w:val="18"/>
                <w:szCs w:val="18"/>
              </w:rPr>
            </w:pPr>
            <w:r>
              <w:rPr>
                <w:rFonts w:ascii="宋体" w:hAnsi="宋体" w:cs="等线"/>
                <w:color w:val="000000"/>
                <w:kern w:val="0"/>
                <w:sz w:val="18"/>
                <w:szCs w:val="18"/>
                <w:lang w:bidi="ar"/>
              </w:rPr>
              <w:t>3</w:t>
            </w:r>
          </w:p>
        </w:tc>
      </w:tr>
      <w:tr>
        <w:tblPrEx>
          <w:tblCellMar>
            <w:top w:w="0" w:type="dxa"/>
            <w:left w:w="0" w:type="dxa"/>
            <w:bottom w:w="0" w:type="dxa"/>
            <w:right w:w="0" w:type="dxa"/>
          </w:tblCellMar>
        </w:tblPrEx>
        <w:trPr>
          <w:trHeight w:val="255" w:hRule="atLeast"/>
        </w:trPr>
        <w:tc>
          <w:tcPr>
            <w:tcW w:w="34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等线"/>
                <w:color w:val="000000"/>
                <w:sz w:val="18"/>
                <w:szCs w:val="18"/>
              </w:rPr>
            </w:pPr>
            <w:r>
              <w:rPr>
                <w:rFonts w:ascii="宋体" w:hAnsi="宋体" w:cs="等线"/>
                <w:color w:val="000000"/>
                <w:kern w:val="0"/>
                <w:sz w:val="18"/>
                <w:szCs w:val="18"/>
                <w:lang w:bidi="ar"/>
              </w:rPr>
              <w:t>5</w:t>
            </w:r>
          </w:p>
        </w:tc>
        <w:tc>
          <w:tcPr>
            <w:tcW w:w="129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等线"/>
                <w:color w:val="000000"/>
                <w:sz w:val="18"/>
                <w:szCs w:val="18"/>
              </w:rPr>
            </w:pPr>
            <w:r>
              <w:rPr>
                <w:rFonts w:ascii="宋体" w:hAnsi="宋体" w:cs="等线"/>
                <w:color w:val="000000"/>
                <w:kern w:val="0"/>
                <w:sz w:val="18"/>
                <w:szCs w:val="18"/>
                <w:lang w:bidi="ar"/>
              </w:rPr>
              <w:t>自动泄压装置</w:t>
            </w:r>
          </w:p>
        </w:tc>
        <w:tc>
          <w:tcPr>
            <w:tcW w:w="678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房间内压力达到一定时</w:t>
            </w:r>
            <w:r>
              <w:rPr>
                <w:rStyle w:val="61"/>
                <w:rFonts w:ascii="宋体" w:hAnsi="宋体"/>
                <w:sz w:val="18"/>
                <w:szCs w:val="18"/>
                <w:lang w:bidi="ar"/>
              </w:rPr>
              <w:t>,</w:t>
            </w:r>
            <w:r>
              <w:rPr>
                <w:rStyle w:val="60"/>
                <w:rFonts w:hint="default"/>
                <w:sz w:val="18"/>
                <w:szCs w:val="18"/>
                <w:lang w:bidi="ar"/>
              </w:rPr>
              <w:t>自动打开</w:t>
            </w:r>
          </w:p>
        </w:tc>
        <w:tc>
          <w:tcPr>
            <w:tcW w:w="5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等线"/>
                <w:color w:val="000000"/>
                <w:sz w:val="18"/>
                <w:szCs w:val="18"/>
              </w:rPr>
            </w:pPr>
            <w:r>
              <w:rPr>
                <w:rFonts w:ascii="宋体" w:hAnsi="宋体" w:cs="等线"/>
                <w:color w:val="000000"/>
                <w:kern w:val="0"/>
                <w:sz w:val="18"/>
                <w:szCs w:val="18"/>
                <w:lang w:bidi="ar"/>
              </w:rPr>
              <w:t>台</w:t>
            </w:r>
          </w:p>
        </w:tc>
        <w:tc>
          <w:tcPr>
            <w:tcW w:w="57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等线"/>
                <w:color w:val="000000"/>
                <w:sz w:val="18"/>
                <w:szCs w:val="18"/>
              </w:rPr>
            </w:pPr>
            <w:r>
              <w:rPr>
                <w:rFonts w:ascii="宋体" w:hAnsi="宋体" w:cs="等线"/>
                <w:color w:val="000000"/>
                <w:kern w:val="0"/>
                <w:sz w:val="18"/>
                <w:szCs w:val="18"/>
                <w:lang w:bidi="ar"/>
              </w:rPr>
              <w:t>1</w:t>
            </w:r>
          </w:p>
        </w:tc>
      </w:tr>
      <w:tr>
        <w:tblPrEx>
          <w:tblCellMar>
            <w:top w:w="0" w:type="dxa"/>
            <w:left w:w="0" w:type="dxa"/>
            <w:bottom w:w="0" w:type="dxa"/>
            <w:right w:w="0" w:type="dxa"/>
          </w:tblCellMar>
        </w:tblPrEx>
        <w:trPr>
          <w:trHeight w:val="4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等线"/>
                <w:color w:val="000000"/>
                <w:sz w:val="18"/>
                <w:szCs w:val="18"/>
              </w:rPr>
            </w:pPr>
            <w:r>
              <w:rPr>
                <w:rFonts w:ascii="宋体" w:hAnsi="宋体" w:cs="等线"/>
                <w:color w:val="000000"/>
                <w:kern w:val="0"/>
                <w:sz w:val="18"/>
                <w:szCs w:val="18"/>
                <w:lang w:bidi="ar"/>
              </w:rPr>
              <w:t>6</w:t>
            </w:r>
          </w:p>
        </w:tc>
        <w:tc>
          <w:tcPr>
            <w:tcW w:w="129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等线"/>
                <w:color w:val="000000"/>
                <w:sz w:val="18"/>
                <w:szCs w:val="18"/>
              </w:rPr>
            </w:pPr>
            <w:r>
              <w:rPr>
                <w:rFonts w:ascii="宋体" w:hAnsi="宋体" w:cs="等线"/>
                <w:color w:val="000000"/>
                <w:kern w:val="0"/>
                <w:sz w:val="18"/>
                <w:szCs w:val="18"/>
                <w:lang w:bidi="ar"/>
              </w:rPr>
              <w:t>固定格栅(风口)</w:t>
            </w:r>
          </w:p>
        </w:tc>
        <w:tc>
          <w:tcPr>
            <w:tcW w:w="678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定制</w:t>
            </w:r>
          </w:p>
        </w:tc>
        <w:tc>
          <w:tcPr>
            <w:tcW w:w="5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等线"/>
                <w:color w:val="000000"/>
                <w:sz w:val="18"/>
                <w:szCs w:val="18"/>
              </w:rPr>
            </w:pPr>
            <w:r>
              <w:rPr>
                <w:rFonts w:ascii="宋体" w:hAnsi="宋体" w:cs="等线"/>
                <w:color w:val="000000"/>
                <w:kern w:val="0"/>
                <w:sz w:val="18"/>
                <w:szCs w:val="18"/>
                <w:lang w:bidi="ar"/>
              </w:rPr>
              <w:t>台</w:t>
            </w:r>
          </w:p>
        </w:tc>
        <w:tc>
          <w:tcPr>
            <w:tcW w:w="57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等线"/>
                <w:color w:val="000000"/>
                <w:sz w:val="18"/>
                <w:szCs w:val="18"/>
              </w:rPr>
            </w:pPr>
            <w:r>
              <w:rPr>
                <w:rFonts w:ascii="宋体" w:hAnsi="宋体" w:cs="等线"/>
                <w:color w:val="000000"/>
                <w:kern w:val="0"/>
                <w:sz w:val="18"/>
                <w:szCs w:val="18"/>
                <w:lang w:bidi="ar"/>
              </w:rPr>
              <w:t>1</w:t>
            </w:r>
          </w:p>
        </w:tc>
      </w:tr>
      <w:tr>
        <w:tblPrEx>
          <w:tblCellMar>
            <w:top w:w="0" w:type="dxa"/>
            <w:left w:w="0" w:type="dxa"/>
            <w:bottom w:w="0" w:type="dxa"/>
            <w:right w:w="0" w:type="dxa"/>
          </w:tblCellMar>
        </w:tblPrEx>
        <w:trPr>
          <w:trHeight w:val="255" w:hRule="atLeast"/>
        </w:trPr>
        <w:tc>
          <w:tcPr>
            <w:tcW w:w="34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等线"/>
                <w:color w:val="000000"/>
                <w:sz w:val="18"/>
                <w:szCs w:val="18"/>
              </w:rPr>
            </w:pPr>
            <w:r>
              <w:rPr>
                <w:rFonts w:ascii="宋体" w:hAnsi="宋体" w:cs="等线"/>
                <w:color w:val="000000"/>
                <w:kern w:val="0"/>
                <w:sz w:val="18"/>
                <w:szCs w:val="18"/>
                <w:lang w:bidi="ar"/>
              </w:rPr>
              <w:t>7</w:t>
            </w:r>
          </w:p>
        </w:tc>
        <w:tc>
          <w:tcPr>
            <w:tcW w:w="129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等线"/>
                <w:color w:val="000000"/>
                <w:sz w:val="18"/>
                <w:szCs w:val="18"/>
              </w:rPr>
            </w:pPr>
            <w:r>
              <w:rPr>
                <w:rFonts w:ascii="宋体" w:hAnsi="宋体" w:cs="等线"/>
                <w:color w:val="000000"/>
                <w:kern w:val="0"/>
                <w:sz w:val="18"/>
                <w:szCs w:val="18"/>
                <w:lang w:bidi="ar"/>
              </w:rPr>
              <w:t>自动泄压装置</w:t>
            </w:r>
          </w:p>
        </w:tc>
        <w:tc>
          <w:tcPr>
            <w:tcW w:w="678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房间内压力达到一定时</w:t>
            </w:r>
            <w:r>
              <w:rPr>
                <w:rStyle w:val="61"/>
                <w:rFonts w:ascii="宋体" w:hAnsi="宋体"/>
                <w:sz w:val="18"/>
                <w:szCs w:val="18"/>
                <w:lang w:bidi="ar"/>
              </w:rPr>
              <w:t>,</w:t>
            </w:r>
            <w:r>
              <w:rPr>
                <w:rStyle w:val="60"/>
                <w:rFonts w:hint="default"/>
                <w:sz w:val="18"/>
                <w:szCs w:val="18"/>
                <w:lang w:bidi="ar"/>
              </w:rPr>
              <w:t>自动打开</w:t>
            </w:r>
          </w:p>
        </w:tc>
        <w:tc>
          <w:tcPr>
            <w:tcW w:w="5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等线"/>
                <w:color w:val="000000"/>
                <w:sz w:val="18"/>
                <w:szCs w:val="18"/>
              </w:rPr>
            </w:pPr>
            <w:r>
              <w:rPr>
                <w:rFonts w:ascii="宋体" w:hAnsi="宋体" w:cs="等线"/>
                <w:color w:val="000000"/>
                <w:kern w:val="0"/>
                <w:sz w:val="18"/>
                <w:szCs w:val="18"/>
                <w:lang w:bidi="ar"/>
              </w:rPr>
              <w:t>台</w:t>
            </w:r>
          </w:p>
        </w:tc>
        <w:tc>
          <w:tcPr>
            <w:tcW w:w="57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等线"/>
                <w:color w:val="000000"/>
                <w:sz w:val="18"/>
                <w:szCs w:val="18"/>
              </w:rPr>
            </w:pPr>
            <w:r>
              <w:rPr>
                <w:rFonts w:ascii="宋体" w:hAnsi="宋体" w:cs="等线"/>
                <w:color w:val="000000"/>
                <w:kern w:val="0"/>
                <w:sz w:val="18"/>
                <w:szCs w:val="18"/>
                <w:lang w:bidi="ar"/>
              </w:rPr>
              <w:t>2</w:t>
            </w:r>
          </w:p>
        </w:tc>
      </w:tr>
      <w:tr>
        <w:tblPrEx>
          <w:tblCellMar>
            <w:top w:w="0" w:type="dxa"/>
            <w:left w:w="0" w:type="dxa"/>
            <w:bottom w:w="0" w:type="dxa"/>
            <w:right w:w="0" w:type="dxa"/>
          </w:tblCellMar>
        </w:tblPrEx>
        <w:trPr>
          <w:trHeight w:val="4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等线"/>
                <w:color w:val="000000"/>
                <w:sz w:val="18"/>
                <w:szCs w:val="18"/>
              </w:rPr>
            </w:pPr>
            <w:r>
              <w:rPr>
                <w:rFonts w:ascii="宋体" w:hAnsi="宋体" w:cs="等线"/>
                <w:color w:val="000000"/>
                <w:kern w:val="0"/>
                <w:sz w:val="18"/>
                <w:szCs w:val="18"/>
                <w:lang w:bidi="ar"/>
              </w:rPr>
              <w:t>8</w:t>
            </w:r>
          </w:p>
        </w:tc>
        <w:tc>
          <w:tcPr>
            <w:tcW w:w="129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等线"/>
                <w:color w:val="000000"/>
                <w:sz w:val="18"/>
                <w:szCs w:val="18"/>
              </w:rPr>
            </w:pPr>
            <w:r>
              <w:rPr>
                <w:rFonts w:ascii="宋体" w:hAnsi="宋体" w:cs="等线"/>
                <w:color w:val="000000"/>
                <w:kern w:val="0"/>
                <w:sz w:val="18"/>
                <w:szCs w:val="18"/>
                <w:lang w:bidi="ar"/>
              </w:rPr>
              <w:t>固定格栅(风口)</w:t>
            </w:r>
          </w:p>
        </w:tc>
        <w:tc>
          <w:tcPr>
            <w:tcW w:w="678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定制</w:t>
            </w:r>
          </w:p>
        </w:tc>
        <w:tc>
          <w:tcPr>
            <w:tcW w:w="5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等线"/>
                <w:color w:val="000000"/>
                <w:sz w:val="18"/>
                <w:szCs w:val="18"/>
              </w:rPr>
            </w:pPr>
            <w:r>
              <w:rPr>
                <w:rFonts w:ascii="宋体" w:hAnsi="宋体" w:cs="等线"/>
                <w:color w:val="000000"/>
                <w:kern w:val="0"/>
                <w:sz w:val="18"/>
                <w:szCs w:val="18"/>
                <w:lang w:bidi="ar"/>
              </w:rPr>
              <w:t>台</w:t>
            </w:r>
          </w:p>
        </w:tc>
        <w:tc>
          <w:tcPr>
            <w:tcW w:w="57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等线"/>
                <w:color w:val="000000"/>
                <w:sz w:val="18"/>
                <w:szCs w:val="18"/>
              </w:rPr>
            </w:pPr>
            <w:r>
              <w:rPr>
                <w:rFonts w:ascii="宋体" w:hAnsi="宋体" w:cs="等线"/>
                <w:color w:val="000000"/>
                <w:kern w:val="0"/>
                <w:sz w:val="18"/>
                <w:szCs w:val="18"/>
                <w:lang w:bidi="ar"/>
              </w:rPr>
              <w:t>2</w:t>
            </w:r>
          </w:p>
        </w:tc>
      </w:tr>
      <w:tr>
        <w:tblPrEx>
          <w:tblCellMar>
            <w:top w:w="0" w:type="dxa"/>
            <w:left w:w="0" w:type="dxa"/>
            <w:bottom w:w="0" w:type="dxa"/>
            <w:right w:w="0" w:type="dxa"/>
          </w:tblCellMar>
        </w:tblPrEx>
        <w:trPr>
          <w:trHeight w:val="240" w:hRule="atLeast"/>
        </w:trPr>
        <w:tc>
          <w:tcPr>
            <w:tcW w:w="34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等线"/>
                <w:color w:val="000000"/>
                <w:sz w:val="18"/>
                <w:szCs w:val="18"/>
              </w:rPr>
            </w:pPr>
            <w:r>
              <w:rPr>
                <w:rFonts w:ascii="宋体" w:hAnsi="宋体" w:cs="等线"/>
                <w:color w:val="000000"/>
                <w:kern w:val="0"/>
                <w:sz w:val="18"/>
                <w:szCs w:val="18"/>
                <w:lang w:bidi="ar"/>
              </w:rPr>
              <w:t>9</w:t>
            </w:r>
          </w:p>
        </w:tc>
        <w:tc>
          <w:tcPr>
            <w:tcW w:w="129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增压喷漆管路</w:t>
            </w:r>
          </w:p>
        </w:tc>
        <w:tc>
          <w:tcPr>
            <w:tcW w:w="678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定制</w:t>
            </w:r>
          </w:p>
        </w:tc>
        <w:tc>
          <w:tcPr>
            <w:tcW w:w="5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等线"/>
                <w:color w:val="000000"/>
                <w:sz w:val="18"/>
                <w:szCs w:val="18"/>
              </w:rPr>
            </w:pPr>
            <w:r>
              <w:rPr>
                <w:rFonts w:ascii="宋体" w:hAnsi="宋体" w:cs="等线"/>
                <w:color w:val="000000"/>
                <w:kern w:val="0"/>
                <w:sz w:val="18"/>
                <w:szCs w:val="18"/>
                <w:lang w:bidi="ar"/>
              </w:rPr>
              <w:t>套</w:t>
            </w:r>
          </w:p>
        </w:tc>
        <w:tc>
          <w:tcPr>
            <w:tcW w:w="57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等线"/>
                <w:color w:val="000000"/>
                <w:sz w:val="18"/>
                <w:szCs w:val="18"/>
              </w:rPr>
            </w:pPr>
            <w:r>
              <w:rPr>
                <w:rFonts w:ascii="宋体" w:hAnsi="宋体" w:cs="等线"/>
                <w:color w:val="000000"/>
                <w:kern w:val="0"/>
                <w:sz w:val="18"/>
                <w:szCs w:val="18"/>
                <w:lang w:bidi="ar"/>
              </w:rPr>
              <w:t>5</w:t>
            </w:r>
          </w:p>
        </w:tc>
      </w:tr>
      <w:tr>
        <w:tblPrEx>
          <w:tblCellMar>
            <w:top w:w="0" w:type="dxa"/>
            <w:left w:w="0" w:type="dxa"/>
            <w:bottom w:w="0" w:type="dxa"/>
            <w:right w:w="0" w:type="dxa"/>
          </w:tblCellMar>
        </w:tblPrEx>
        <w:trPr>
          <w:trHeight w:val="240" w:hRule="atLeast"/>
        </w:trPr>
        <w:tc>
          <w:tcPr>
            <w:tcW w:w="9510" w:type="dxa"/>
            <w:gridSpan w:val="5"/>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二、火灾自动报警系统</w:t>
            </w:r>
          </w:p>
        </w:tc>
      </w:tr>
      <w:tr>
        <w:tblPrEx>
          <w:tblCellMar>
            <w:top w:w="0" w:type="dxa"/>
            <w:left w:w="0" w:type="dxa"/>
            <w:bottom w:w="0" w:type="dxa"/>
            <w:right w:w="0" w:type="dxa"/>
          </w:tblCellMar>
        </w:tblPrEx>
        <w:trPr>
          <w:trHeight w:val="40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点型光电感烟火灾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探测器</w:t>
            </w:r>
          </w:p>
        </w:tc>
        <w:tc>
          <w:tcPr>
            <w:tcW w:w="678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点型光电感烟火灾探测器是采用红外散射原理研制而成的点型光电感烟火灾探测器。本探测器结构新颖、外形美观、性能稳定可靠、抗潮湿性强，适用于计算机房及配电室等场所。本探测器主要具有以下特点：</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（1）地址编码可由电子编码器事先写入，也可由控制器直接更改，工程调试简便可靠。</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（2）单片机实时采样处理数据、并能保存14个历史数据，曲线显示跟踪现场情况。</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（3）具有温度、湿度漂移补偿，灰尘积累程度及故障探测功能。</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（4）无极性二总线信号。</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主要技术指标如下：</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（1）工作电压：总线24V    允许范围：16V～28V</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（2）监视电流≤0.8mA</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（3）报警电流≤1.8mA</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（4）指示灯：报警确认灯，红色，巡检时闪烁，报警时常亮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（5）使用环境：温度：-10℃～+55℃；相对湿度≤95%，不结露</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（6）编码方式：电子编码（编码范围为1～242）</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（7）外壳防护等级：IP23</w:t>
            </w:r>
          </w:p>
        </w:tc>
        <w:tc>
          <w:tcPr>
            <w:tcW w:w="51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只</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等线"/>
                <w:color w:val="000000"/>
                <w:sz w:val="18"/>
                <w:szCs w:val="18"/>
              </w:rPr>
            </w:pPr>
            <w:r>
              <w:rPr>
                <w:rFonts w:ascii="宋体" w:hAnsi="宋体" w:cs="等线"/>
                <w:color w:val="000000"/>
                <w:kern w:val="0"/>
                <w:sz w:val="18"/>
                <w:szCs w:val="18"/>
                <w:lang w:bidi="ar"/>
              </w:rPr>
              <w:t>5</w:t>
            </w:r>
          </w:p>
        </w:tc>
      </w:tr>
      <w:tr>
        <w:tblPrEx>
          <w:tblCellMar>
            <w:top w:w="0" w:type="dxa"/>
            <w:left w:w="0" w:type="dxa"/>
            <w:bottom w:w="0" w:type="dxa"/>
            <w:right w:w="0" w:type="dxa"/>
          </w:tblCellMar>
        </w:tblPrEx>
        <w:trPr>
          <w:trHeight w:val="480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点型感温火灾探测器（</w:t>
            </w:r>
            <w:r>
              <w:rPr>
                <w:rStyle w:val="62"/>
                <w:rFonts w:ascii="宋体" w:hAnsi="宋体" w:eastAsia="宋体"/>
                <w:sz w:val="18"/>
                <w:szCs w:val="18"/>
                <w:lang w:bidi="ar"/>
              </w:rPr>
              <w:t>A2S</w:t>
            </w:r>
            <w:r>
              <w:rPr>
                <w:rStyle w:val="60"/>
                <w:rFonts w:hint="default"/>
                <w:sz w:val="18"/>
                <w:szCs w:val="18"/>
                <w:lang w:bidi="ar"/>
              </w:rPr>
              <w:t>）</w:t>
            </w:r>
          </w:p>
        </w:tc>
        <w:tc>
          <w:tcPr>
            <w:tcW w:w="678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J点型感温火灾探测器采用无极性信号二总线技术，可与各类火灾报警控制器的报警总线以任意方式并接，特别适用于发生火灾时有剧烈温升的场所，与感烟探测器配合使用更能可靠探测火灾，减少损失。本探测器具有以下特点：</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（1）结构新颖、外形美观、性能稳定可靠；</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（2）地址编码由电子编码器直接写入，工程调试简便可靠；</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（3）探测器具有A1R和BS两种类别，可用于更广泛的温度环境，可使用编码器进行现场设置。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主要技术指标如下：</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（1）探测器类别：P（A1R和BS可设，出厂默认类别在探测器铭牌上标注）</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（2）工作电压：总线24V</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（3）监视电流≤0.8mA</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（4）报警电流≤1.8mA</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（5）报警确认灯：红色，巡检时闪烁，报警时常亮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（6）使用环境：</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温度： A1R类别：典型应用温度25℃；范围 -10℃～50℃</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BS类别： 典型应用温度40℃；范围 -10℃～65℃</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相对湿度≤95%，不结露</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（7）编码方式：十进制电子编码</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（8）外壳防护等级：IP33</w:t>
            </w:r>
          </w:p>
        </w:tc>
        <w:tc>
          <w:tcPr>
            <w:tcW w:w="51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只</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等线"/>
                <w:color w:val="000000"/>
                <w:sz w:val="18"/>
                <w:szCs w:val="18"/>
              </w:rPr>
            </w:pPr>
            <w:r>
              <w:rPr>
                <w:rFonts w:ascii="宋体" w:hAnsi="宋体" w:cs="等线"/>
                <w:color w:val="000000"/>
                <w:kern w:val="0"/>
                <w:sz w:val="18"/>
                <w:szCs w:val="18"/>
                <w:lang w:bidi="ar"/>
              </w:rPr>
              <w:t>5</w:t>
            </w:r>
          </w:p>
        </w:tc>
      </w:tr>
      <w:tr>
        <w:tblPrEx>
          <w:tblCellMar>
            <w:top w:w="0" w:type="dxa"/>
            <w:left w:w="0" w:type="dxa"/>
            <w:bottom w:w="0" w:type="dxa"/>
            <w:right w:w="0" w:type="dxa"/>
          </w:tblCellMar>
        </w:tblPrEx>
        <w:trPr>
          <w:trHeight w:val="4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编码通用底座</w:t>
            </w:r>
          </w:p>
        </w:tc>
        <w:tc>
          <w:tcPr>
            <w:tcW w:w="678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配接点型复合式感烟感温火灾探测器、点型光电感烟火灾探测器、点型感温火灾探测器、点型紫外火焰探测器。</w:t>
            </w:r>
          </w:p>
        </w:tc>
        <w:tc>
          <w:tcPr>
            <w:tcW w:w="51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只</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等线"/>
                <w:color w:val="000000"/>
                <w:sz w:val="18"/>
                <w:szCs w:val="18"/>
              </w:rPr>
            </w:pPr>
            <w:r>
              <w:rPr>
                <w:rFonts w:ascii="宋体" w:hAnsi="宋体" w:cs="等线"/>
                <w:color w:val="000000"/>
                <w:kern w:val="0"/>
                <w:sz w:val="18"/>
                <w:szCs w:val="18"/>
                <w:lang w:bidi="ar"/>
              </w:rPr>
              <w:t>9</w:t>
            </w:r>
          </w:p>
        </w:tc>
      </w:tr>
      <w:tr>
        <w:tblPrEx>
          <w:tblCellMar>
            <w:top w:w="0" w:type="dxa"/>
            <w:left w:w="0" w:type="dxa"/>
            <w:bottom w:w="0" w:type="dxa"/>
            <w:right w:w="0" w:type="dxa"/>
          </w:tblCellMar>
        </w:tblPrEx>
        <w:trPr>
          <w:trHeight w:val="45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w:t>
            </w:r>
          </w:p>
        </w:tc>
        <w:tc>
          <w:tcPr>
            <w:tcW w:w="129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总线短路保护器</w:t>
            </w:r>
          </w:p>
        </w:tc>
        <w:tc>
          <w:tcPr>
            <w:tcW w:w="678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DC 14-24V   工作温度 -40-55℃</w:t>
            </w:r>
          </w:p>
        </w:tc>
        <w:tc>
          <w:tcPr>
            <w:tcW w:w="51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只</w:t>
            </w:r>
          </w:p>
        </w:tc>
        <w:tc>
          <w:tcPr>
            <w:tcW w:w="57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等线"/>
                <w:color w:val="000000"/>
                <w:sz w:val="18"/>
                <w:szCs w:val="18"/>
              </w:rPr>
            </w:pPr>
            <w:r>
              <w:rPr>
                <w:rFonts w:ascii="宋体" w:hAnsi="宋体" w:cs="等线"/>
                <w:color w:val="000000"/>
                <w:kern w:val="0"/>
                <w:sz w:val="18"/>
                <w:szCs w:val="18"/>
                <w:lang w:bidi="ar"/>
              </w:rPr>
              <w:t>14</w:t>
            </w:r>
          </w:p>
        </w:tc>
      </w:tr>
      <w:tr>
        <w:tblPrEx>
          <w:tblCellMar>
            <w:top w:w="0" w:type="dxa"/>
            <w:left w:w="0" w:type="dxa"/>
            <w:bottom w:w="0" w:type="dxa"/>
            <w:right w:w="0" w:type="dxa"/>
          </w:tblCellMar>
        </w:tblPrEx>
        <w:trPr>
          <w:trHeight w:val="4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c>
          <w:tcPr>
            <w:tcW w:w="129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等线"/>
                <w:color w:val="000000"/>
                <w:sz w:val="18"/>
                <w:szCs w:val="18"/>
              </w:rPr>
            </w:pPr>
            <w:r>
              <w:rPr>
                <w:rFonts w:ascii="宋体" w:hAnsi="宋体" w:cs="等线"/>
                <w:color w:val="000000"/>
                <w:kern w:val="0"/>
                <w:sz w:val="18"/>
                <w:szCs w:val="18"/>
                <w:lang w:bidi="ar"/>
              </w:rPr>
              <w:t>模块底座</w:t>
            </w:r>
          </w:p>
        </w:tc>
        <w:tc>
          <w:tcPr>
            <w:tcW w:w="678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配接点型复合式感烟感温火灾探测器、点型光电感烟火灾探测器、点型感温火灾探测器、点型紫外火焰探测器。</w:t>
            </w:r>
          </w:p>
        </w:tc>
        <w:tc>
          <w:tcPr>
            <w:tcW w:w="51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只</w:t>
            </w:r>
          </w:p>
        </w:tc>
        <w:tc>
          <w:tcPr>
            <w:tcW w:w="57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等线"/>
                <w:color w:val="000000"/>
                <w:sz w:val="18"/>
                <w:szCs w:val="18"/>
              </w:rPr>
            </w:pPr>
            <w:r>
              <w:rPr>
                <w:rFonts w:ascii="宋体" w:hAnsi="宋体" w:cs="等线"/>
                <w:color w:val="000000"/>
                <w:kern w:val="0"/>
                <w:sz w:val="18"/>
                <w:szCs w:val="18"/>
                <w:lang w:bidi="ar"/>
              </w:rPr>
              <w:t>3</w:t>
            </w:r>
          </w:p>
        </w:tc>
      </w:tr>
      <w:tr>
        <w:tblPrEx>
          <w:tblCellMar>
            <w:top w:w="0" w:type="dxa"/>
            <w:left w:w="0" w:type="dxa"/>
            <w:bottom w:w="0" w:type="dxa"/>
            <w:right w:w="0" w:type="dxa"/>
          </w:tblCellMar>
        </w:tblPrEx>
        <w:trPr>
          <w:trHeight w:val="52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火灾声光警报器</w:t>
            </w:r>
          </w:p>
        </w:tc>
        <w:tc>
          <w:tcPr>
            <w:tcW w:w="678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火灾声光警报器是一种安装在现场的声光报警设备，当现场发生火灾并确认后，安装在现场的火灾声光警报器可由消防控制中心的火灾报警控制器启动，发出强烈的声光报警信号，以达到提醒现场人员注意的目的。</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可直接接入火灾报警控制器的信号二总线（需由电源系统提供二根DC24V电源线）。</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主要技术指标如下：</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（1）工作电压：</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信号总线电压：24V       允许范围：16V～28V</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电源总线电压：DC24V     允许范围：DC20V～DC28V</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（2）工作电流：</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总线监视电流≤0.8mA      总线启动电流≤6.0mA</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电源监视电流≤10mA       电源动作电流≤90mA</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（3）线制：四线制，与控制器采用无极性信号二总线连接，与电源线采用无极性二线制连接</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（4）声压级：80dB～115dB（前方3m水平处（A计权））</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（5）闪光频率：1.4Hz±20％</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（6）变调周期：4s（1±20％）</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（7）声调：火警声</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（8）使用环境：温度：-10℃～+50℃；相对湿度≤95%，不结露</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（9）外壳防护等级：IP43</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（10）执行标准：GB 26851-2011</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（11）外形尺寸：90mm×144mm×60.5mm（带底壳）</w:t>
            </w:r>
          </w:p>
        </w:tc>
        <w:tc>
          <w:tcPr>
            <w:tcW w:w="51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只</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等线"/>
                <w:color w:val="000000"/>
                <w:sz w:val="18"/>
                <w:szCs w:val="18"/>
              </w:rPr>
            </w:pPr>
            <w:r>
              <w:rPr>
                <w:rFonts w:ascii="宋体" w:hAnsi="宋体" w:cs="等线"/>
                <w:color w:val="000000"/>
                <w:kern w:val="0"/>
                <w:sz w:val="18"/>
                <w:szCs w:val="18"/>
                <w:lang w:bidi="ar"/>
              </w:rPr>
              <w:t>3</w:t>
            </w:r>
          </w:p>
        </w:tc>
      </w:tr>
      <w:tr>
        <w:tblPrEx>
          <w:tblCellMar>
            <w:top w:w="0" w:type="dxa"/>
            <w:left w:w="0" w:type="dxa"/>
            <w:bottom w:w="0" w:type="dxa"/>
            <w:right w:w="0" w:type="dxa"/>
          </w:tblCellMar>
        </w:tblPrEx>
        <w:trPr>
          <w:trHeight w:val="45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7</w:t>
            </w:r>
          </w:p>
        </w:tc>
        <w:tc>
          <w:tcPr>
            <w:tcW w:w="129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等线"/>
                <w:color w:val="000000"/>
                <w:sz w:val="18"/>
                <w:szCs w:val="18"/>
              </w:rPr>
            </w:pPr>
            <w:r>
              <w:rPr>
                <w:rFonts w:ascii="宋体" w:hAnsi="宋体" w:cs="等线"/>
                <w:color w:val="000000"/>
                <w:kern w:val="0"/>
                <w:sz w:val="18"/>
                <w:szCs w:val="18"/>
                <w:lang w:bidi="ar"/>
              </w:rPr>
              <w:t>火灾声光警报器底座</w:t>
            </w:r>
          </w:p>
        </w:tc>
        <w:tc>
          <w:tcPr>
            <w:tcW w:w="678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配接火灾声光警报器 。</w:t>
            </w:r>
          </w:p>
        </w:tc>
        <w:tc>
          <w:tcPr>
            <w:tcW w:w="51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只</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等线"/>
                <w:color w:val="000000"/>
                <w:sz w:val="18"/>
                <w:szCs w:val="18"/>
              </w:rPr>
            </w:pPr>
            <w:r>
              <w:rPr>
                <w:rFonts w:ascii="宋体" w:hAnsi="宋体" w:cs="等线"/>
                <w:color w:val="000000"/>
                <w:kern w:val="0"/>
                <w:sz w:val="18"/>
                <w:szCs w:val="18"/>
                <w:lang w:bidi="ar"/>
              </w:rPr>
              <w:t>3</w:t>
            </w:r>
          </w:p>
        </w:tc>
      </w:tr>
      <w:tr>
        <w:tblPrEx>
          <w:tblCellMar>
            <w:top w:w="0" w:type="dxa"/>
            <w:left w:w="0" w:type="dxa"/>
            <w:bottom w:w="0" w:type="dxa"/>
            <w:right w:w="0" w:type="dxa"/>
          </w:tblCellMar>
        </w:tblPrEx>
        <w:trPr>
          <w:trHeight w:val="691"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w:t>
            </w:r>
          </w:p>
        </w:tc>
        <w:tc>
          <w:tcPr>
            <w:tcW w:w="1292" w:type="dxa"/>
            <w:tcBorders>
              <w:top w:val="single" w:color="000000" w:sz="4" w:space="0"/>
              <w:left w:val="single" w:color="000000" w:sz="4" w:space="0"/>
              <w:bottom w:val="nil"/>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现场紧急启停控制按钮</w:t>
            </w:r>
          </w:p>
        </w:tc>
        <w:tc>
          <w:tcPr>
            <w:tcW w:w="6787" w:type="dxa"/>
            <w:tcBorders>
              <w:top w:val="nil"/>
              <w:left w:val="nil"/>
              <w:bottom w:val="nil"/>
              <w:right w:val="nil"/>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紧急启/停按钮，用于控制气体灭火系统的启动及停动。当被保护的区域内发生火灾时，按下“按下喷洒”按键，即可向气体灭火控制器，发出气体喷洒请求信号。气体灭火控制器发出气体喷洒命令，经延时，启动气体喷洒电磁阀。在延时期间，若现场人员确认无火灾发生，可立即按下“停止”按键，终止启动。</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按钮为编码方式，启动和停动共占一个编码点；按钮可提供输出无源常开触点信号，可直接控制声光警报器等设备。</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主要技术指标如下：</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（1）工作电压：总线24V，允许范围：16V～28V</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（2）监视电流：≤0.8mA，报警电流≤10mA</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（3）编码方式：电子编码方式，编码范围可在21～30之间任意设定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（4）常开输出触点：额定值DC60V、0.1A，接触电阻≤100m</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（5）启动方式：击碎玻璃罩后，按下“按下喷洒”按键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（6）启动零件类型：重复使用型</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（7）“按下喷洒”按键复位方式：用专用钥匙复位</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（8）指示灯：“按下喷洒”按键：红色，按下时常亮            “停止”按键：绿色，按下时常亮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（9）线  制：与气体灭火控制器采用无极性两线制连接</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（10）外壳防护等级：IP33</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（11）使用环境：温度：-10℃～+55℃ ； 相对湿度≤95%，不凝露</w:t>
            </w:r>
          </w:p>
        </w:tc>
        <w:tc>
          <w:tcPr>
            <w:tcW w:w="514" w:type="dxa"/>
            <w:tcBorders>
              <w:top w:val="single" w:color="000000" w:sz="4" w:space="0"/>
              <w:left w:val="single" w:color="000000" w:sz="4" w:space="0"/>
              <w:bottom w:val="nil"/>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只</w:t>
            </w:r>
          </w:p>
        </w:tc>
        <w:tc>
          <w:tcPr>
            <w:tcW w:w="571" w:type="dxa"/>
            <w:tcBorders>
              <w:top w:val="single" w:color="000000" w:sz="4" w:space="0"/>
              <w:left w:val="single" w:color="000000" w:sz="4" w:space="0"/>
              <w:bottom w:val="nil"/>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等线"/>
                <w:color w:val="000000"/>
                <w:sz w:val="18"/>
                <w:szCs w:val="18"/>
              </w:rPr>
            </w:pPr>
            <w:r>
              <w:rPr>
                <w:rFonts w:ascii="宋体" w:hAnsi="宋体" w:cs="等线"/>
                <w:color w:val="000000"/>
                <w:kern w:val="0"/>
                <w:sz w:val="18"/>
                <w:szCs w:val="18"/>
                <w:lang w:bidi="ar"/>
              </w:rPr>
              <w:t>3</w:t>
            </w:r>
          </w:p>
        </w:tc>
      </w:tr>
      <w:tr>
        <w:tblPrEx>
          <w:tblCellMar>
            <w:top w:w="0" w:type="dxa"/>
            <w:left w:w="0" w:type="dxa"/>
            <w:bottom w:w="0" w:type="dxa"/>
            <w:right w:w="0" w:type="dxa"/>
          </w:tblCellMar>
        </w:tblPrEx>
        <w:trPr>
          <w:trHeight w:val="24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9</w:t>
            </w:r>
          </w:p>
        </w:tc>
        <w:tc>
          <w:tcPr>
            <w:tcW w:w="129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等线"/>
                <w:color w:val="000000"/>
                <w:sz w:val="18"/>
                <w:szCs w:val="18"/>
              </w:rPr>
            </w:pPr>
            <w:r>
              <w:rPr>
                <w:rFonts w:ascii="宋体" w:hAnsi="宋体" w:cs="等线"/>
                <w:color w:val="000000"/>
                <w:kern w:val="0"/>
                <w:sz w:val="18"/>
                <w:szCs w:val="18"/>
                <w:lang w:bidi="ar"/>
              </w:rPr>
              <w:t>火灾声警报器</w:t>
            </w:r>
          </w:p>
        </w:tc>
        <w:tc>
          <w:tcPr>
            <w:tcW w:w="678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等线"/>
                <w:color w:val="000000"/>
                <w:sz w:val="18"/>
                <w:szCs w:val="18"/>
              </w:rPr>
            </w:pPr>
            <w:r>
              <w:rPr>
                <w:rFonts w:ascii="宋体" w:hAnsi="宋体" w:cs="等线"/>
                <w:color w:val="000000"/>
                <w:kern w:val="0"/>
                <w:sz w:val="18"/>
                <w:szCs w:val="18"/>
                <w:lang w:bidi="ar"/>
              </w:rPr>
              <w:t>警铃</w:t>
            </w:r>
          </w:p>
        </w:tc>
        <w:tc>
          <w:tcPr>
            <w:tcW w:w="5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等线"/>
                <w:color w:val="000000"/>
                <w:sz w:val="18"/>
                <w:szCs w:val="18"/>
              </w:rPr>
            </w:pPr>
            <w:r>
              <w:rPr>
                <w:rFonts w:ascii="宋体" w:hAnsi="宋体" w:cs="等线"/>
                <w:color w:val="000000"/>
                <w:kern w:val="0"/>
                <w:sz w:val="18"/>
                <w:szCs w:val="18"/>
                <w:lang w:bidi="ar"/>
              </w:rPr>
              <w:t>只</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等线"/>
                <w:color w:val="000000"/>
                <w:sz w:val="18"/>
                <w:szCs w:val="18"/>
              </w:rPr>
            </w:pPr>
            <w:r>
              <w:rPr>
                <w:rFonts w:ascii="宋体" w:hAnsi="宋体" w:cs="等线"/>
                <w:color w:val="000000"/>
                <w:kern w:val="0"/>
                <w:sz w:val="18"/>
                <w:szCs w:val="18"/>
                <w:lang w:bidi="ar"/>
              </w:rPr>
              <w:t>3</w:t>
            </w:r>
          </w:p>
        </w:tc>
      </w:tr>
      <w:tr>
        <w:tblPrEx>
          <w:tblCellMar>
            <w:top w:w="0" w:type="dxa"/>
            <w:left w:w="0" w:type="dxa"/>
            <w:bottom w:w="0" w:type="dxa"/>
            <w:right w:w="0" w:type="dxa"/>
          </w:tblCellMar>
        </w:tblPrEx>
        <w:trPr>
          <w:trHeight w:val="40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放气指示灯</w:t>
            </w:r>
          </w:p>
        </w:tc>
        <w:tc>
          <w:tcPr>
            <w:tcW w:w="678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气体喷洒指示灯是气体灭火系统的配套产品。安装在保护场所的入口处。当气体喷洒后，气体灭火控制器将启动喷洒灯发出灯光指示，提醒人员注意并采取相应的措施。本喷洒灯为编码型，可与气体灭火系统控制器配套使用。</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气体喷洒指示灯与控制器进行通信采用数字信号，工作稳定可靠，对电磁干扰有良好的抑制能力；地址码为电子编码，可由电子编码器事先写入，也可由控制器直接改写，工程调试简便。</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主要技术指标如下：</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（1）工作电压：</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信号总线电压：24V     允许范围：16V～28V</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电源总线电压：DC24V   允许范围：DC20V～DC28V</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（2）工作电流：信号总线监视电流≤1mA           电源总线监视电流≤2mA；信号总线动作电流≤2mA           电源总线动作电流≤25mA</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（3）闪光频率：每分钟闪亮45±5次</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（4）编码方式：电子编码方式，编码范围可在11～20之间任意设定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（5）线制：与气体灭火控制器采用四线连接。其中两线接总线，无极性；</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另外两线接电源DC24V，无极性</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（6）使用环境：温度：-10℃～+50℃ ；相对湿度≤95%，不凝露</w:t>
            </w:r>
          </w:p>
        </w:tc>
        <w:tc>
          <w:tcPr>
            <w:tcW w:w="51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只</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等线"/>
                <w:color w:val="000000"/>
                <w:sz w:val="18"/>
                <w:szCs w:val="18"/>
              </w:rPr>
            </w:pPr>
            <w:r>
              <w:rPr>
                <w:rFonts w:ascii="宋体" w:hAnsi="宋体" w:cs="等线"/>
                <w:color w:val="000000"/>
                <w:kern w:val="0"/>
                <w:sz w:val="18"/>
                <w:szCs w:val="18"/>
                <w:lang w:bidi="ar"/>
              </w:rPr>
              <w:t>3</w:t>
            </w:r>
          </w:p>
        </w:tc>
      </w:tr>
      <w:tr>
        <w:tblPrEx>
          <w:tblCellMar>
            <w:top w:w="0" w:type="dxa"/>
            <w:left w:w="0" w:type="dxa"/>
            <w:bottom w:w="0" w:type="dxa"/>
            <w:right w:w="0" w:type="dxa"/>
          </w:tblCellMar>
        </w:tblPrEx>
        <w:trPr>
          <w:trHeight w:val="24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11</w:t>
            </w:r>
          </w:p>
        </w:tc>
        <w:tc>
          <w:tcPr>
            <w:tcW w:w="129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等线"/>
                <w:color w:val="000000"/>
                <w:sz w:val="18"/>
                <w:szCs w:val="18"/>
              </w:rPr>
            </w:pPr>
            <w:r>
              <w:rPr>
                <w:rFonts w:ascii="宋体" w:hAnsi="宋体" w:cs="等线"/>
                <w:color w:val="000000"/>
                <w:kern w:val="0"/>
                <w:sz w:val="18"/>
                <w:szCs w:val="18"/>
                <w:lang w:bidi="ar"/>
              </w:rPr>
              <w:t>接线端子箱</w:t>
            </w:r>
          </w:p>
        </w:tc>
        <w:tc>
          <w:tcPr>
            <w:tcW w:w="6787"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壁挂式端子箱</w:t>
            </w:r>
          </w:p>
        </w:tc>
        <w:tc>
          <w:tcPr>
            <w:tcW w:w="51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台</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等线"/>
                <w:color w:val="000000"/>
                <w:sz w:val="18"/>
                <w:szCs w:val="18"/>
              </w:rPr>
            </w:pPr>
            <w:r>
              <w:rPr>
                <w:rFonts w:ascii="宋体" w:hAnsi="宋体" w:cs="等线"/>
                <w:color w:val="000000"/>
                <w:kern w:val="0"/>
                <w:sz w:val="18"/>
                <w:szCs w:val="18"/>
                <w:lang w:bidi="ar"/>
              </w:rPr>
              <w:t>3</w:t>
            </w:r>
          </w:p>
        </w:tc>
      </w:tr>
      <w:tr>
        <w:tblPrEx>
          <w:tblCellMar>
            <w:top w:w="0" w:type="dxa"/>
            <w:left w:w="0" w:type="dxa"/>
            <w:bottom w:w="0" w:type="dxa"/>
            <w:right w:w="0" w:type="dxa"/>
          </w:tblCellMar>
        </w:tblPrEx>
        <w:trPr>
          <w:trHeight w:val="1905"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12</w:t>
            </w:r>
          </w:p>
        </w:tc>
        <w:tc>
          <w:tcPr>
            <w:tcW w:w="129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等线"/>
                <w:color w:val="000000"/>
                <w:sz w:val="18"/>
                <w:szCs w:val="18"/>
              </w:rPr>
            </w:pPr>
            <w:r>
              <w:rPr>
                <w:rFonts w:ascii="宋体" w:hAnsi="宋体" w:cs="等线"/>
                <w:color w:val="000000"/>
                <w:kern w:val="0"/>
                <w:sz w:val="18"/>
                <w:szCs w:val="18"/>
                <w:lang w:bidi="ar"/>
              </w:rPr>
              <w:t>火灾报警控制器 (联动型）</w:t>
            </w:r>
          </w:p>
        </w:tc>
        <w:tc>
          <w:tcPr>
            <w:tcW w:w="678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具有</w:t>
            </w:r>
            <w:r>
              <w:rPr>
                <w:rStyle w:val="63"/>
                <w:rFonts w:ascii="宋体" w:hAnsi="宋体" w:eastAsia="宋体"/>
                <w:lang w:bidi="ar"/>
              </w:rPr>
              <w:t>RS232</w:t>
            </w:r>
            <w:r>
              <w:rPr>
                <w:rStyle w:val="64"/>
                <w:rFonts w:hint="default"/>
                <w:lang w:bidi="ar"/>
              </w:rPr>
              <w:t>串行中文打印机</w:t>
            </w:r>
            <w:r>
              <w:rPr>
                <w:rStyle w:val="63"/>
                <w:rFonts w:ascii="宋体" w:hAnsi="宋体" w:eastAsia="宋体"/>
                <w:lang w:bidi="ar"/>
              </w:rPr>
              <w:br w:type="textWrapping"/>
            </w:r>
            <w:r>
              <w:rPr>
                <w:rStyle w:val="64"/>
                <w:rFonts w:hint="default"/>
                <w:lang w:bidi="ar"/>
              </w:rPr>
              <w:t>采用</w:t>
            </w:r>
            <w:r>
              <w:rPr>
                <w:rStyle w:val="63"/>
                <w:rFonts w:ascii="宋体" w:hAnsi="宋体" w:eastAsia="宋体"/>
                <w:lang w:bidi="ar"/>
              </w:rPr>
              <w:t>CANBus</w:t>
            </w:r>
            <w:r>
              <w:rPr>
                <w:rStyle w:val="64"/>
                <w:rFonts w:hint="default"/>
                <w:lang w:bidi="ar"/>
              </w:rPr>
              <w:t>通讯方式，与其它具有</w:t>
            </w:r>
            <w:r>
              <w:rPr>
                <w:rStyle w:val="63"/>
                <w:rFonts w:ascii="宋体" w:hAnsi="宋体" w:eastAsia="宋体"/>
                <w:lang w:bidi="ar"/>
              </w:rPr>
              <w:t>CANBus</w:t>
            </w:r>
            <w:r>
              <w:rPr>
                <w:rStyle w:val="64"/>
                <w:rFonts w:hint="default"/>
                <w:lang w:bidi="ar"/>
              </w:rPr>
              <w:t>总线的控制器配合实现区域网络</w:t>
            </w:r>
            <w:r>
              <w:rPr>
                <w:rStyle w:val="63"/>
                <w:rFonts w:ascii="宋体" w:hAnsi="宋体" w:eastAsia="宋体"/>
                <w:lang w:bidi="ar"/>
              </w:rPr>
              <w:br w:type="textWrapping"/>
            </w:r>
            <w:r>
              <w:rPr>
                <w:rStyle w:val="64"/>
                <w:rFonts w:hint="default"/>
                <w:lang w:bidi="ar"/>
              </w:rPr>
              <w:t>全中文</w:t>
            </w:r>
            <w:r>
              <w:rPr>
                <w:rStyle w:val="63"/>
                <w:rFonts w:ascii="宋体" w:hAnsi="宋体" w:eastAsia="宋体"/>
                <w:lang w:bidi="ar"/>
              </w:rPr>
              <w:t>LED</w:t>
            </w:r>
            <w:r>
              <w:rPr>
                <w:rStyle w:val="64"/>
                <w:rFonts w:hint="default"/>
                <w:lang w:bidi="ar"/>
              </w:rPr>
              <w:t>液晶屏显示主要信息与内容，指示灯指示关键状态</w:t>
            </w:r>
            <w:r>
              <w:rPr>
                <w:rStyle w:val="63"/>
                <w:rFonts w:ascii="宋体" w:hAnsi="宋体" w:eastAsia="宋体"/>
                <w:lang w:bidi="ar"/>
              </w:rPr>
              <w:br w:type="textWrapping"/>
            </w:r>
            <w:r>
              <w:rPr>
                <w:rStyle w:val="64"/>
                <w:rFonts w:hint="default"/>
                <w:lang w:bidi="ar"/>
              </w:rPr>
              <w:t>可编程</w:t>
            </w:r>
            <w:r>
              <w:rPr>
                <w:rStyle w:val="63"/>
                <w:rFonts w:ascii="宋体" w:hAnsi="宋体" w:eastAsia="宋体"/>
                <w:lang w:bidi="ar"/>
              </w:rPr>
              <w:t>2</w:t>
            </w:r>
            <w:r>
              <w:rPr>
                <w:rStyle w:val="64"/>
                <w:rFonts w:hint="default"/>
                <w:lang w:bidi="ar"/>
              </w:rPr>
              <w:t>组无源接点输出及公共火警无源接点输出，公共故障无源接点输出，一路气体灭火多线有源接点输出</w:t>
            </w:r>
            <w:r>
              <w:rPr>
                <w:rStyle w:val="63"/>
                <w:rFonts w:ascii="宋体" w:hAnsi="宋体" w:eastAsia="宋体"/>
                <w:lang w:bidi="ar"/>
              </w:rPr>
              <w:br w:type="textWrapping"/>
            </w:r>
            <w:r>
              <w:rPr>
                <w:rStyle w:val="64"/>
                <w:rFonts w:hint="default"/>
                <w:lang w:bidi="ar"/>
              </w:rPr>
              <w:t>采用回路短路保护和电源短路保护</w:t>
            </w:r>
            <w:r>
              <w:rPr>
                <w:rStyle w:val="63"/>
                <w:rFonts w:ascii="宋体" w:hAnsi="宋体" w:eastAsia="宋体"/>
                <w:lang w:bidi="ar"/>
              </w:rPr>
              <w:br w:type="textWrapping"/>
            </w:r>
            <w:r>
              <w:rPr>
                <w:rStyle w:val="64"/>
                <w:rFonts w:hint="default"/>
                <w:lang w:bidi="ar"/>
              </w:rPr>
              <w:t>有</w:t>
            </w:r>
            <w:r>
              <w:rPr>
                <w:rStyle w:val="63"/>
                <w:rFonts w:ascii="宋体" w:hAnsi="宋体" w:eastAsia="宋体"/>
                <w:lang w:bidi="ar"/>
              </w:rPr>
              <w:t>“</w:t>
            </w:r>
            <w:r>
              <w:rPr>
                <w:rStyle w:val="64"/>
                <w:rFonts w:hint="default"/>
                <w:lang w:bidi="ar"/>
              </w:rPr>
              <w:t>黑匣子</w:t>
            </w:r>
            <w:r>
              <w:rPr>
                <w:rStyle w:val="63"/>
                <w:rFonts w:ascii="宋体" w:hAnsi="宋体" w:eastAsia="宋体"/>
                <w:lang w:bidi="ar"/>
              </w:rPr>
              <w:t>”</w:t>
            </w:r>
            <w:r>
              <w:rPr>
                <w:rStyle w:val="64"/>
                <w:rFonts w:hint="default"/>
                <w:lang w:bidi="ar"/>
              </w:rPr>
              <w:t>存储记忆功能，能自动记录</w:t>
            </w:r>
            <w:r>
              <w:rPr>
                <w:rStyle w:val="63"/>
                <w:rFonts w:ascii="宋体" w:hAnsi="宋体" w:eastAsia="宋体"/>
                <w:lang w:bidi="ar"/>
              </w:rPr>
              <w:t>256</w:t>
            </w:r>
            <w:r>
              <w:rPr>
                <w:rStyle w:val="64"/>
                <w:rFonts w:hint="default"/>
                <w:lang w:bidi="ar"/>
              </w:rPr>
              <w:t>条火警信息</w:t>
            </w:r>
            <w:r>
              <w:rPr>
                <w:rStyle w:val="63"/>
                <w:rFonts w:ascii="宋体" w:hAnsi="宋体" w:eastAsia="宋体"/>
                <w:lang w:bidi="ar"/>
              </w:rPr>
              <w:br w:type="textWrapping"/>
            </w:r>
            <w:r>
              <w:rPr>
                <w:rStyle w:val="64"/>
                <w:rFonts w:hint="default"/>
                <w:lang w:bidi="ar"/>
              </w:rPr>
              <w:t>总线设备混合编址</w:t>
            </w:r>
          </w:p>
        </w:tc>
        <w:tc>
          <w:tcPr>
            <w:tcW w:w="51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台</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等线"/>
                <w:color w:val="000000"/>
                <w:sz w:val="18"/>
                <w:szCs w:val="18"/>
              </w:rPr>
            </w:pPr>
            <w:r>
              <w:rPr>
                <w:rFonts w:ascii="宋体" w:hAnsi="宋体" w:cs="等线"/>
                <w:color w:val="000000"/>
                <w:kern w:val="0"/>
                <w:sz w:val="18"/>
                <w:szCs w:val="18"/>
                <w:lang w:bidi="ar"/>
              </w:rPr>
              <w:t>3</w:t>
            </w:r>
          </w:p>
        </w:tc>
      </w:tr>
      <w:tr>
        <w:tblPrEx>
          <w:tblCellMar>
            <w:top w:w="0" w:type="dxa"/>
            <w:left w:w="0" w:type="dxa"/>
            <w:bottom w:w="0" w:type="dxa"/>
            <w:right w:w="0" w:type="dxa"/>
          </w:tblCellMar>
        </w:tblPrEx>
        <w:trPr>
          <w:trHeight w:val="52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13</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气体灭火控制器</w:t>
            </w:r>
          </w:p>
        </w:tc>
        <w:tc>
          <w:tcPr>
            <w:tcW w:w="6787" w:type="dxa"/>
            <w:tcBorders>
              <w:top w:val="nil"/>
              <w:left w:val="nil"/>
              <w:bottom w:val="nil"/>
              <w:right w:val="nil"/>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气体灭火控制器 具有火灾探测报警和气体灭火控制双重功能，可配接各种编码火灾探测器、手动报警按钮、紧急启/停按钮、声光警报器、气体释放警报器、手自动转换开关以及输出模块，实现1个防火区的火灾报警和气体灭火控制。</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（1）配置灵活、可靠性高</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（2）功能强、控制方式灵活</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（3）窗口化、汉字菜单式显示界面</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（4）模块式开关电源</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具有火灾探测及报警功能；能控制实现气体灭火设备的启动喷洒；控制主机收到启动控制信号后能启动现场的区域讯响器报警、自动显示延时且指示延时时间；并联动启动输出模块实现关闭门窗、防火阀和停止空调等功能；延时启动的延时时间在0～30秒连续可调；具有停动功能；具有手自动转换功能；自身带有备电，在主电缺失时可自动进入备电运行状态，能给备电充电并有备电保护功能；具有信息记录、查询功能，可保存最后的999条记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主要技术指标如下：（1）工作电压：交流AC220V  50/60Hz，允许电压变化范围AC176V～AC264V；</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（2）功耗：监视状态功耗≤20W；最大功耗≤150W；</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（3）备用电源：2个DC12V/7Ah密封铅酸电池；</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（4）气体喷洒输出：DC24V/3A，脉冲方式/持续方式，可调；</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（5）辅助24V电源输出：最大0.6A；</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（6）电池充电电流：0.6A~0.8A；</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（7）液晶屏规格：128×64点，可同屏显示32个汉字信息；</w:t>
            </w:r>
          </w:p>
        </w:tc>
        <w:tc>
          <w:tcPr>
            <w:tcW w:w="51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台</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等线"/>
                <w:color w:val="000000"/>
                <w:sz w:val="18"/>
                <w:szCs w:val="18"/>
              </w:rPr>
            </w:pPr>
            <w:r>
              <w:rPr>
                <w:rFonts w:ascii="宋体" w:hAnsi="宋体" w:cs="等线"/>
                <w:color w:val="000000"/>
                <w:kern w:val="0"/>
                <w:sz w:val="18"/>
                <w:szCs w:val="18"/>
                <w:lang w:bidi="ar"/>
              </w:rPr>
              <w:t>1</w:t>
            </w:r>
          </w:p>
        </w:tc>
      </w:tr>
      <w:tr>
        <w:tblPrEx>
          <w:tblCellMar>
            <w:top w:w="0" w:type="dxa"/>
            <w:left w:w="0" w:type="dxa"/>
            <w:bottom w:w="0" w:type="dxa"/>
            <w:right w:w="0" w:type="dxa"/>
          </w:tblCellMar>
        </w:tblPrEx>
        <w:trPr>
          <w:trHeight w:val="24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14</w:t>
            </w:r>
          </w:p>
        </w:tc>
        <w:tc>
          <w:tcPr>
            <w:tcW w:w="129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等线"/>
                <w:color w:val="000000"/>
                <w:sz w:val="18"/>
                <w:szCs w:val="18"/>
              </w:rPr>
            </w:pPr>
            <w:r>
              <w:rPr>
                <w:rFonts w:ascii="宋体" w:hAnsi="宋体" w:cs="等线"/>
                <w:color w:val="000000"/>
                <w:kern w:val="0"/>
                <w:sz w:val="18"/>
                <w:szCs w:val="18"/>
                <w:lang w:bidi="ar"/>
              </w:rPr>
              <w:t>电池</w:t>
            </w:r>
          </w:p>
        </w:tc>
        <w:tc>
          <w:tcPr>
            <w:tcW w:w="678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等线"/>
                <w:color w:val="000000"/>
                <w:sz w:val="18"/>
                <w:szCs w:val="18"/>
              </w:rPr>
            </w:pPr>
            <w:r>
              <w:rPr>
                <w:rFonts w:ascii="宋体" w:hAnsi="宋体" w:cs="等线"/>
                <w:color w:val="000000"/>
                <w:kern w:val="0"/>
                <w:sz w:val="18"/>
                <w:szCs w:val="18"/>
                <w:lang w:bidi="ar"/>
              </w:rPr>
              <w:t>14Ah12V</w:t>
            </w:r>
          </w:p>
        </w:tc>
        <w:tc>
          <w:tcPr>
            <w:tcW w:w="5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等线"/>
                <w:color w:val="000000"/>
                <w:sz w:val="18"/>
                <w:szCs w:val="18"/>
              </w:rPr>
            </w:pPr>
            <w:r>
              <w:rPr>
                <w:rFonts w:ascii="宋体" w:hAnsi="宋体" w:cs="等线"/>
                <w:color w:val="000000"/>
                <w:kern w:val="0"/>
                <w:sz w:val="18"/>
                <w:szCs w:val="18"/>
                <w:lang w:bidi="ar"/>
              </w:rPr>
              <w:t>节</w:t>
            </w:r>
          </w:p>
        </w:tc>
        <w:tc>
          <w:tcPr>
            <w:tcW w:w="57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等线"/>
                <w:color w:val="000000"/>
                <w:sz w:val="18"/>
                <w:szCs w:val="18"/>
              </w:rPr>
            </w:pPr>
            <w:r>
              <w:rPr>
                <w:rFonts w:ascii="宋体" w:hAnsi="宋体" w:cs="等线"/>
                <w:color w:val="000000"/>
                <w:kern w:val="0"/>
                <w:sz w:val="18"/>
                <w:szCs w:val="18"/>
                <w:lang w:bidi="ar"/>
              </w:rPr>
              <w:t>1</w:t>
            </w:r>
          </w:p>
        </w:tc>
      </w:tr>
      <w:tr>
        <w:tblPrEx>
          <w:tblCellMar>
            <w:top w:w="0" w:type="dxa"/>
            <w:left w:w="0" w:type="dxa"/>
            <w:bottom w:w="0" w:type="dxa"/>
            <w:right w:w="0" w:type="dxa"/>
          </w:tblCellMar>
        </w:tblPrEx>
        <w:trPr>
          <w:trHeight w:val="24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15</w:t>
            </w:r>
          </w:p>
        </w:tc>
        <w:tc>
          <w:tcPr>
            <w:tcW w:w="129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等线"/>
                <w:color w:val="000000"/>
                <w:sz w:val="18"/>
                <w:szCs w:val="18"/>
              </w:rPr>
            </w:pPr>
            <w:r>
              <w:rPr>
                <w:rFonts w:ascii="宋体" w:hAnsi="宋体" w:cs="等线"/>
                <w:color w:val="000000"/>
                <w:kern w:val="0"/>
                <w:sz w:val="18"/>
                <w:szCs w:val="18"/>
                <w:lang w:bidi="ar"/>
              </w:rPr>
              <w:t>电池</w:t>
            </w:r>
          </w:p>
        </w:tc>
        <w:tc>
          <w:tcPr>
            <w:tcW w:w="678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等线"/>
                <w:color w:val="000000"/>
                <w:sz w:val="18"/>
                <w:szCs w:val="18"/>
              </w:rPr>
            </w:pPr>
            <w:r>
              <w:rPr>
                <w:rFonts w:ascii="宋体" w:hAnsi="宋体" w:cs="等线"/>
                <w:color w:val="000000"/>
                <w:kern w:val="0"/>
                <w:sz w:val="18"/>
                <w:szCs w:val="18"/>
                <w:lang w:bidi="ar"/>
              </w:rPr>
              <w:t>7AH12V</w:t>
            </w:r>
          </w:p>
        </w:tc>
        <w:tc>
          <w:tcPr>
            <w:tcW w:w="5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等线"/>
                <w:color w:val="000000"/>
                <w:sz w:val="18"/>
                <w:szCs w:val="18"/>
              </w:rPr>
            </w:pPr>
            <w:r>
              <w:rPr>
                <w:rFonts w:ascii="宋体" w:hAnsi="宋体" w:cs="等线"/>
                <w:color w:val="000000"/>
                <w:kern w:val="0"/>
                <w:sz w:val="18"/>
                <w:szCs w:val="18"/>
                <w:lang w:bidi="ar"/>
              </w:rPr>
              <w:t>节</w:t>
            </w:r>
          </w:p>
        </w:tc>
        <w:tc>
          <w:tcPr>
            <w:tcW w:w="57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等线"/>
                <w:color w:val="000000"/>
                <w:sz w:val="18"/>
                <w:szCs w:val="18"/>
              </w:rPr>
            </w:pPr>
            <w:r>
              <w:rPr>
                <w:rFonts w:ascii="宋体" w:hAnsi="宋体" w:cs="等线"/>
                <w:color w:val="000000"/>
                <w:kern w:val="0"/>
                <w:sz w:val="18"/>
                <w:szCs w:val="18"/>
                <w:lang w:bidi="ar"/>
              </w:rPr>
              <w:t>2</w:t>
            </w:r>
          </w:p>
        </w:tc>
      </w:tr>
      <w:tr>
        <w:tblPrEx>
          <w:tblCellMar>
            <w:top w:w="0" w:type="dxa"/>
            <w:left w:w="0" w:type="dxa"/>
            <w:bottom w:w="0" w:type="dxa"/>
            <w:right w:w="0" w:type="dxa"/>
          </w:tblCellMar>
        </w:tblPrEx>
        <w:trPr>
          <w:trHeight w:val="192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16</w:t>
            </w:r>
          </w:p>
        </w:tc>
        <w:tc>
          <w:tcPr>
            <w:tcW w:w="129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等线"/>
                <w:color w:val="000000"/>
                <w:sz w:val="18"/>
                <w:szCs w:val="18"/>
              </w:rPr>
            </w:pPr>
            <w:r>
              <w:rPr>
                <w:rFonts w:ascii="宋体" w:hAnsi="宋体" w:cs="等线"/>
                <w:color w:val="000000"/>
                <w:kern w:val="0"/>
                <w:sz w:val="18"/>
                <w:szCs w:val="18"/>
                <w:lang w:bidi="ar"/>
              </w:rPr>
              <w:t>电子编码器</w:t>
            </w:r>
          </w:p>
        </w:tc>
        <w:tc>
          <w:tcPr>
            <w:tcW w:w="6787" w:type="dxa"/>
            <w:tcBorders>
              <w:top w:val="nil"/>
              <w:left w:val="nil"/>
              <w:bottom w:val="nil"/>
              <w:right w:val="nil"/>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类型： 电子编码的总线设备编址器</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显示：四位段码式液晶显示</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电源：一节9v层叠电池</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工作电流：待机电流:&lt; 1 oouA工作电流:&lt; 10mA</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工作环境温度：一10℃一50℃</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工作环境相对湿度：&lt;95RH(40℃士2℃)(无凝露)</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操作方式：手握式结构，外形小巧.携带方便。操作简单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大外形尺寸：76mm x 134mm x 29.5mm </w:t>
            </w:r>
          </w:p>
        </w:tc>
        <w:tc>
          <w:tcPr>
            <w:tcW w:w="5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等线"/>
                <w:color w:val="000000"/>
                <w:sz w:val="18"/>
                <w:szCs w:val="18"/>
              </w:rPr>
            </w:pPr>
            <w:r>
              <w:rPr>
                <w:rFonts w:ascii="宋体" w:hAnsi="宋体" w:cs="等线"/>
                <w:color w:val="000000"/>
                <w:kern w:val="0"/>
                <w:sz w:val="18"/>
                <w:szCs w:val="18"/>
                <w:lang w:bidi="ar"/>
              </w:rPr>
              <w:t>套</w:t>
            </w:r>
          </w:p>
        </w:tc>
        <w:tc>
          <w:tcPr>
            <w:tcW w:w="57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等线"/>
                <w:color w:val="000000"/>
                <w:sz w:val="18"/>
                <w:szCs w:val="18"/>
              </w:rPr>
            </w:pPr>
            <w:r>
              <w:rPr>
                <w:rFonts w:ascii="宋体" w:hAnsi="宋体" w:cs="等线"/>
                <w:color w:val="000000"/>
                <w:kern w:val="0"/>
                <w:sz w:val="18"/>
                <w:szCs w:val="18"/>
                <w:lang w:bidi="ar"/>
              </w:rPr>
              <w:t>2</w:t>
            </w:r>
          </w:p>
        </w:tc>
      </w:tr>
      <w:tr>
        <w:tblPrEx>
          <w:tblCellMar>
            <w:top w:w="0" w:type="dxa"/>
            <w:left w:w="0" w:type="dxa"/>
            <w:bottom w:w="0" w:type="dxa"/>
            <w:right w:w="0" w:type="dxa"/>
          </w:tblCellMar>
        </w:tblPrEx>
        <w:trPr>
          <w:trHeight w:val="1905"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17</w:t>
            </w:r>
          </w:p>
        </w:tc>
        <w:tc>
          <w:tcPr>
            <w:tcW w:w="129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等线"/>
                <w:color w:val="000000"/>
                <w:sz w:val="18"/>
                <w:szCs w:val="18"/>
              </w:rPr>
            </w:pPr>
            <w:r>
              <w:rPr>
                <w:rFonts w:ascii="宋体" w:hAnsi="宋体" w:cs="等线"/>
                <w:color w:val="000000"/>
                <w:kern w:val="0"/>
                <w:sz w:val="18"/>
                <w:szCs w:val="18"/>
                <w:lang w:bidi="ar"/>
              </w:rPr>
              <w:t>输入/输出模块</w:t>
            </w:r>
          </w:p>
        </w:tc>
        <w:tc>
          <w:tcPr>
            <w:tcW w:w="678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电源总线电压：</w:t>
            </w:r>
            <w:r>
              <w:rPr>
                <w:rStyle w:val="63"/>
                <w:rFonts w:ascii="宋体" w:hAnsi="宋体" w:eastAsia="宋体"/>
                <w:lang w:bidi="ar"/>
              </w:rPr>
              <w:t xml:space="preserve">DC 24V </w:t>
            </w:r>
            <w:r>
              <w:rPr>
                <w:rStyle w:val="63"/>
                <w:rFonts w:ascii="宋体" w:hAnsi="宋体" w:eastAsia="宋体"/>
                <w:lang w:bidi="ar"/>
              </w:rPr>
              <w:br w:type="textWrapping"/>
            </w:r>
            <w:r>
              <w:rPr>
                <w:rStyle w:val="64"/>
                <w:rFonts w:hint="default"/>
                <w:lang w:bidi="ar"/>
              </w:rPr>
              <w:t>二总线电压：</w:t>
            </w:r>
            <w:r>
              <w:rPr>
                <w:rStyle w:val="63"/>
                <w:rFonts w:ascii="宋体" w:hAnsi="宋体" w:eastAsia="宋体"/>
                <w:lang w:bidi="ar"/>
              </w:rPr>
              <w:t>DC 18V</w:t>
            </w:r>
            <w:r>
              <w:rPr>
                <w:rStyle w:val="63"/>
                <w:rFonts w:ascii="宋体" w:hAnsi="宋体" w:eastAsia="宋体"/>
                <w:lang w:bidi="ar"/>
              </w:rPr>
              <w:br w:type="textWrapping"/>
            </w:r>
            <w:r>
              <w:rPr>
                <w:rStyle w:val="64"/>
                <w:rFonts w:hint="default"/>
                <w:lang w:bidi="ar"/>
              </w:rPr>
              <w:t>输出信号：有源（电压）</w:t>
            </w:r>
            <w:r>
              <w:rPr>
                <w:rStyle w:val="63"/>
                <w:rFonts w:ascii="宋体" w:hAnsi="宋体" w:eastAsia="宋体"/>
                <w:lang w:bidi="ar"/>
              </w:rPr>
              <w:t xml:space="preserve">DC 24V/2A </w:t>
            </w:r>
            <w:r>
              <w:rPr>
                <w:rStyle w:val="63"/>
                <w:rFonts w:ascii="宋体" w:hAnsi="宋体" w:eastAsia="宋体"/>
                <w:lang w:bidi="ar"/>
              </w:rPr>
              <w:br w:type="textWrapping"/>
            </w:r>
            <w:r>
              <w:rPr>
                <w:rStyle w:val="64"/>
                <w:rFonts w:hint="default"/>
                <w:lang w:bidi="ar"/>
              </w:rPr>
              <w:t>输入信号：无源开关量信号输入</w:t>
            </w:r>
            <w:r>
              <w:rPr>
                <w:rStyle w:val="63"/>
                <w:rFonts w:ascii="宋体" w:hAnsi="宋体" w:eastAsia="宋体"/>
                <w:lang w:bidi="ar"/>
              </w:rPr>
              <w:br w:type="textWrapping"/>
            </w:r>
            <w:r>
              <w:rPr>
                <w:rStyle w:val="64"/>
                <w:rFonts w:hint="default"/>
                <w:lang w:bidi="ar"/>
              </w:rPr>
              <w:t>工作环境温度：</w:t>
            </w:r>
            <w:r>
              <w:rPr>
                <w:rStyle w:val="63"/>
                <w:rFonts w:ascii="宋体" w:hAnsi="宋体" w:eastAsia="宋体"/>
                <w:lang w:bidi="ar"/>
              </w:rPr>
              <w:t>-40</w:t>
            </w:r>
            <w:r>
              <w:rPr>
                <w:rStyle w:val="64"/>
                <w:rFonts w:hint="default"/>
                <w:lang w:bidi="ar"/>
              </w:rPr>
              <w:t>℃～</w:t>
            </w:r>
            <w:r>
              <w:rPr>
                <w:rStyle w:val="63"/>
                <w:rFonts w:ascii="宋体" w:hAnsi="宋体" w:eastAsia="宋体"/>
                <w:lang w:bidi="ar"/>
              </w:rPr>
              <w:t>+55</w:t>
            </w:r>
            <w:r>
              <w:rPr>
                <w:rStyle w:val="64"/>
                <w:rFonts w:hint="default"/>
                <w:lang w:bidi="ar"/>
              </w:rPr>
              <w:t>℃</w:t>
            </w:r>
            <w:r>
              <w:rPr>
                <w:rStyle w:val="63"/>
                <w:rFonts w:ascii="宋体" w:hAnsi="宋体" w:eastAsia="宋体"/>
                <w:lang w:bidi="ar"/>
              </w:rPr>
              <w:br w:type="textWrapping"/>
            </w:r>
            <w:r>
              <w:rPr>
                <w:rStyle w:val="64"/>
                <w:rFonts w:hint="default"/>
                <w:lang w:bidi="ar"/>
              </w:rPr>
              <w:t>工作环境相对湿度：</w:t>
            </w:r>
            <w:r>
              <w:rPr>
                <w:rStyle w:val="63"/>
                <w:rFonts w:ascii="宋体" w:hAnsi="宋体" w:eastAsia="宋体"/>
                <w:lang w:bidi="ar"/>
              </w:rPr>
              <w:t>≤95</w:t>
            </w:r>
            <w:r>
              <w:rPr>
                <w:rStyle w:val="64"/>
                <w:rFonts w:hint="default"/>
                <w:lang w:bidi="ar"/>
              </w:rPr>
              <w:t>％（（</w:t>
            </w:r>
            <w:r>
              <w:rPr>
                <w:rStyle w:val="63"/>
                <w:rFonts w:ascii="宋体" w:hAnsi="宋体" w:eastAsia="宋体"/>
                <w:lang w:bidi="ar"/>
              </w:rPr>
              <w:t>40±2</w:t>
            </w:r>
            <w:r>
              <w:rPr>
                <w:rStyle w:val="64"/>
                <w:rFonts w:hint="default"/>
                <w:lang w:bidi="ar"/>
              </w:rPr>
              <w:t>）℃，无凝露）</w:t>
            </w:r>
            <w:r>
              <w:rPr>
                <w:rStyle w:val="63"/>
                <w:rFonts w:ascii="宋体" w:hAnsi="宋体" w:eastAsia="宋体"/>
                <w:lang w:bidi="ar"/>
              </w:rPr>
              <w:br w:type="textWrapping"/>
            </w:r>
            <w:r>
              <w:rPr>
                <w:rStyle w:val="64"/>
                <w:rFonts w:hint="default"/>
                <w:lang w:bidi="ar"/>
              </w:rPr>
              <w:t>输出动作指示灯：输出动作时红色常亮</w:t>
            </w:r>
            <w:r>
              <w:rPr>
                <w:rStyle w:val="63"/>
                <w:rFonts w:ascii="宋体" w:hAnsi="宋体" w:eastAsia="宋体"/>
                <w:lang w:bidi="ar"/>
              </w:rPr>
              <w:br w:type="textWrapping"/>
            </w:r>
            <w:r>
              <w:rPr>
                <w:rStyle w:val="64"/>
                <w:rFonts w:hint="default"/>
                <w:lang w:bidi="ar"/>
              </w:rPr>
              <w:t>输入动作指示灯：输入动作时红色常亮</w:t>
            </w:r>
          </w:p>
        </w:tc>
        <w:tc>
          <w:tcPr>
            <w:tcW w:w="5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等线"/>
                <w:color w:val="000000"/>
                <w:sz w:val="18"/>
                <w:szCs w:val="18"/>
              </w:rPr>
            </w:pPr>
            <w:r>
              <w:rPr>
                <w:rFonts w:ascii="宋体" w:hAnsi="宋体" w:cs="等线"/>
                <w:color w:val="000000"/>
                <w:kern w:val="0"/>
                <w:sz w:val="18"/>
                <w:szCs w:val="18"/>
                <w:lang w:bidi="ar"/>
              </w:rPr>
              <w:t>只</w:t>
            </w:r>
          </w:p>
        </w:tc>
        <w:tc>
          <w:tcPr>
            <w:tcW w:w="57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等线"/>
                <w:color w:val="000000"/>
                <w:sz w:val="18"/>
                <w:szCs w:val="18"/>
              </w:rPr>
            </w:pPr>
            <w:r>
              <w:rPr>
                <w:rFonts w:ascii="宋体" w:hAnsi="宋体" w:cs="等线"/>
                <w:color w:val="000000"/>
                <w:kern w:val="0"/>
                <w:sz w:val="18"/>
                <w:szCs w:val="18"/>
                <w:lang w:bidi="ar"/>
              </w:rPr>
              <w:t>1</w:t>
            </w:r>
          </w:p>
        </w:tc>
      </w:tr>
      <w:tr>
        <w:tblPrEx>
          <w:tblCellMar>
            <w:top w:w="0" w:type="dxa"/>
            <w:left w:w="0" w:type="dxa"/>
            <w:bottom w:w="0" w:type="dxa"/>
            <w:right w:w="0" w:type="dxa"/>
          </w:tblCellMar>
        </w:tblPrEx>
        <w:trPr>
          <w:trHeight w:val="480" w:hRule="atLeast"/>
        </w:trPr>
        <w:tc>
          <w:tcPr>
            <w:tcW w:w="34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18</w:t>
            </w:r>
          </w:p>
        </w:tc>
        <w:tc>
          <w:tcPr>
            <w:tcW w:w="129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消防信号线配线</w:t>
            </w:r>
          </w:p>
        </w:tc>
        <w:tc>
          <w:tcPr>
            <w:tcW w:w="678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ZR-RVS2*1.5mm²（纯铜国标）</w:t>
            </w:r>
          </w:p>
        </w:tc>
        <w:tc>
          <w:tcPr>
            <w:tcW w:w="51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米</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等线"/>
                <w:color w:val="000000"/>
                <w:sz w:val="18"/>
                <w:szCs w:val="18"/>
              </w:rPr>
            </w:pPr>
            <w:r>
              <w:rPr>
                <w:rFonts w:ascii="宋体" w:hAnsi="宋体" w:cs="等线"/>
                <w:color w:val="000000"/>
                <w:kern w:val="0"/>
                <w:sz w:val="18"/>
                <w:szCs w:val="18"/>
                <w:lang w:bidi="ar"/>
              </w:rPr>
              <w:t>500</w:t>
            </w:r>
          </w:p>
        </w:tc>
      </w:tr>
    </w:tbl>
    <w:p>
      <w:pPr>
        <w:pStyle w:val="2"/>
        <w:ind w:firstLine="320"/>
        <w:jc w:val="center"/>
        <w:rPr>
          <w:rFonts w:ascii="仿宋_GB2312" w:eastAsia="仿宋_GB2312"/>
          <w:b/>
          <w:sz w:val="32"/>
          <w:szCs w:val="32"/>
        </w:rPr>
      </w:pPr>
    </w:p>
    <w:p>
      <w:pPr>
        <w:adjustRightInd w:val="0"/>
        <w:snapToGrid w:val="0"/>
        <w:spacing w:line="450" w:lineRule="exact"/>
        <w:ind w:firstLine="723" w:firstLineChars="200"/>
        <w:jc w:val="center"/>
        <w:rPr>
          <w:b/>
          <w:sz w:val="36"/>
          <w:szCs w:val="36"/>
        </w:rPr>
      </w:pPr>
      <w:r>
        <w:rPr>
          <w:rFonts w:hint="eastAsia"/>
          <w:b/>
          <w:sz w:val="36"/>
          <w:szCs w:val="36"/>
        </w:rPr>
        <w:t>指挥大厅采购清单</w:t>
      </w:r>
    </w:p>
    <w:tbl>
      <w:tblPr>
        <w:tblStyle w:val="24"/>
        <w:tblW w:w="9675" w:type="dxa"/>
        <w:tblInd w:w="0" w:type="dxa"/>
        <w:tblLayout w:type="autofit"/>
        <w:tblCellMar>
          <w:top w:w="0" w:type="dxa"/>
          <w:left w:w="0" w:type="dxa"/>
          <w:bottom w:w="0" w:type="dxa"/>
          <w:right w:w="0" w:type="dxa"/>
        </w:tblCellMar>
      </w:tblPr>
      <w:tblGrid>
        <w:gridCol w:w="332"/>
        <w:gridCol w:w="2730"/>
        <w:gridCol w:w="5733"/>
        <w:gridCol w:w="416"/>
        <w:gridCol w:w="464"/>
      </w:tblGrid>
      <w:tr>
        <w:tblPrEx>
          <w:tblCellMar>
            <w:top w:w="0" w:type="dxa"/>
            <w:left w:w="0" w:type="dxa"/>
            <w:bottom w:w="0" w:type="dxa"/>
            <w:right w:w="0" w:type="dxa"/>
          </w:tblCellMar>
        </w:tblPrEx>
        <w:trPr>
          <w:trHeight w:val="480" w:hRule="atLeast"/>
        </w:trPr>
        <w:tc>
          <w:tcPr>
            <w:tcW w:w="37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序号</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产品名称</w:t>
            </w:r>
          </w:p>
        </w:tc>
        <w:tc>
          <w:tcPr>
            <w:tcW w:w="694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规格型号</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单位</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数量</w:t>
            </w:r>
          </w:p>
        </w:tc>
      </w:tr>
      <w:tr>
        <w:tblPrEx>
          <w:tblCellMar>
            <w:top w:w="0" w:type="dxa"/>
            <w:left w:w="0" w:type="dxa"/>
            <w:bottom w:w="0" w:type="dxa"/>
            <w:right w:w="0" w:type="dxa"/>
          </w:tblCellMar>
        </w:tblPrEx>
        <w:trPr>
          <w:trHeight w:val="240" w:hRule="atLeast"/>
        </w:trPr>
        <w:tc>
          <w:tcPr>
            <w:tcW w:w="9675" w:type="dxa"/>
            <w:gridSpan w:val="5"/>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一、大屏</w:t>
            </w:r>
          </w:p>
        </w:tc>
      </w:tr>
      <w:tr>
        <w:tblPrEx>
          <w:tblCellMar>
            <w:top w:w="0" w:type="dxa"/>
            <w:left w:w="0" w:type="dxa"/>
            <w:bottom w:w="0" w:type="dxa"/>
            <w:right w:w="0" w:type="dxa"/>
          </w:tblCellMar>
        </w:tblPrEx>
        <w:trPr>
          <w:trHeight w:val="2280" w:hRule="atLeast"/>
        </w:trPr>
        <w:tc>
          <w:tcPr>
            <w:tcW w:w="37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全彩色LED显示屏，8.00m× 2.4m</w:t>
            </w:r>
          </w:p>
        </w:tc>
        <w:tc>
          <w:tcPr>
            <w:tcW w:w="694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像素密度</w:t>
            </w:r>
            <w:r>
              <w:rPr>
                <w:rFonts w:ascii="宋体" w:hAnsi="宋体" w:cs="Calibri"/>
                <w:color w:val="000000"/>
                <w:kern w:val="0"/>
                <w:sz w:val="18"/>
                <w:szCs w:val="18"/>
                <w:lang w:bidi="ar"/>
              </w:rPr>
              <w:t xml:space="preserve"> 422500Dots/</w:t>
            </w:r>
            <w:r>
              <w:rPr>
                <w:rStyle w:val="65"/>
                <w:rFonts w:hint="default"/>
                <w:sz w:val="18"/>
                <w:szCs w:val="18"/>
                <w:lang w:bidi="ar"/>
              </w:rPr>
              <w:t>㎡像数点间距</w:t>
            </w:r>
            <w:r>
              <w:rPr>
                <w:rFonts w:ascii="宋体" w:hAnsi="宋体" w:cs="Calibri"/>
                <w:color w:val="000000"/>
                <w:kern w:val="0"/>
                <w:sz w:val="18"/>
                <w:szCs w:val="18"/>
                <w:lang w:bidi="ar"/>
              </w:rPr>
              <w:t xml:space="preserve">1.538mm </w:t>
            </w:r>
            <w:r>
              <w:rPr>
                <w:rFonts w:ascii="宋体" w:hAnsi="宋体" w:cs="Calibri"/>
                <w:color w:val="000000"/>
                <w:kern w:val="0"/>
                <w:sz w:val="18"/>
                <w:szCs w:val="18"/>
                <w:lang w:bidi="ar"/>
              </w:rPr>
              <w:br w:type="textWrapping"/>
            </w:r>
            <w:r>
              <w:rPr>
                <w:rStyle w:val="65"/>
                <w:rFonts w:hint="default"/>
                <w:sz w:val="18"/>
                <w:szCs w:val="18"/>
                <w:lang w:bidi="ar"/>
              </w:rPr>
              <w:t>为保证产品的稳定使用，产品可靠性试验要求：本次所投</w:t>
            </w:r>
            <w:r>
              <w:rPr>
                <w:rFonts w:ascii="宋体" w:hAnsi="宋体" w:cs="Calibri"/>
                <w:color w:val="000000"/>
                <w:kern w:val="0"/>
                <w:sz w:val="18"/>
                <w:szCs w:val="18"/>
                <w:lang w:bidi="ar"/>
              </w:rPr>
              <w:t>LED</w:t>
            </w:r>
            <w:r>
              <w:rPr>
                <w:rStyle w:val="65"/>
                <w:rFonts w:hint="default"/>
                <w:sz w:val="18"/>
                <w:szCs w:val="18"/>
                <w:lang w:bidi="ar"/>
              </w:rPr>
              <w:t>显示屏达到平均无故障时间（</w:t>
            </w:r>
            <w:r>
              <w:rPr>
                <w:rFonts w:ascii="宋体" w:hAnsi="宋体" w:cs="Calibri"/>
                <w:color w:val="000000"/>
                <w:kern w:val="0"/>
                <w:sz w:val="18"/>
                <w:szCs w:val="18"/>
                <w:lang w:bidi="ar"/>
              </w:rPr>
              <w:t>MTBF</w:t>
            </w:r>
            <w:r>
              <w:rPr>
                <w:rStyle w:val="65"/>
                <w:rFonts w:hint="default"/>
                <w:sz w:val="18"/>
                <w:szCs w:val="18"/>
                <w:lang w:bidi="ar"/>
              </w:rPr>
              <w:t>）</w:t>
            </w:r>
            <w:r>
              <w:rPr>
                <w:rFonts w:ascii="宋体" w:hAnsi="宋体" w:cs="Calibri"/>
                <w:color w:val="000000"/>
                <w:kern w:val="0"/>
                <w:sz w:val="18"/>
                <w:szCs w:val="18"/>
                <w:lang w:bidi="ar"/>
              </w:rPr>
              <w:t>m</w:t>
            </w:r>
            <w:r>
              <w:rPr>
                <w:rFonts w:ascii="Cambria Math" w:hAnsi="Cambria Math" w:cs="Cambria Math"/>
                <w:color w:val="000000"/>
                <w:kern w:val="0"/>
                <w:sz w:val="18"/>
                <w:szCs w:val="18"/>
                <w:lang w:bidi="ar"/>
              </w:rPr>
              <w:t>₁</w:t>
            </w:r>
            <w:r>
              <w:rPr>
                <w:rFonts w:ascii="宋体" w:hAnsi="宋体" w:cs="Calibri"/>
                <w:color w:val="000000"/>
                <w:kern w:val="0"/>
                <w:sz w:val="18"/>
                <w:szCs w:val="18"/>
                <w:lang w:bidi="ar"/>
              </w:rPr>
              <w:t xml:space="preserve">≥10000h </w:t>
            </w:r>
            <w:r>
              <w:rPr>
                <w:rStyle w:val="65"/>
                <w:rFonts w:hint="default"/>
                <w:sz w:val="18"/>
                <w:szCs w:val="18"/>
                <w:lang w:bidi="ar"/>
              </w:rPr>
              <w:t>；</w:t>
            </w:r>
            <w:r>
              <w:rPr>
                <w:rFonts w:ascii="宋体" w:hAnsi="宋体" w:cs="Calibri"/>
                <w:color w:val="000000"/>
                <w:kern w:val="0"/>
                <w:sz w:val="18"/>
                <w:szCs w:val="18"/>
                <w:lang w:bidi="ar"/>
              </w:rPr>
              <w:br w:type="textWrapping"/>
            </w:r>
            <w:r>
              <w:rPr>
                <w:rStyle w:val="65"/>
                <w:rFonts w:hint="default"/>
                <w:sz w:val="18"/>
                <w:szCs w:val="18"/>
                <w:lang w:bidi="ar"/>
              </w:rPr>
              <w:t>为保证产品在不同环境使用</w:t>
            </w:r>
            <w:r>
              <w:rPr>
                <w:rFonts w:ascii="宋体" w:hAnsi="宋体" w:cs="Calibri"/>
                <w:color w:val="000000"/>
                <w:kern w:val="0"/>
                <w:sz w:val="18"/>
                <w:szCs w:val="18"/>
                <w:lang w:bidi="ar"/>
              </w:rPr>
              <w:t>,</w:t>
            </w:r>
            <w:r>
              <w:rPr>
                <w:rStyle w:val="65"/>
                <w:rFonts w:hint="default"/>
                <w:sz w:val="18"/>
                <w:szCs w:val="18"/>
                <w:lang w:bidi="ar"/>
              </w:rPr>
              <w:t>本次所投</w:t>
            </w:r>
            <w:r>
              <w:rPr>
                <w:rFonts w:ascii="宋体" w:hAnsi="宋体" w:cs="Calibri"/>
                <w:color w:val="000000"/>
                <w:kern w:val="0"/>
                <w:sz w:val="18"/>
                <w:szCs w:val="18"/>
                <w:lang w:bidi="ar"/>
              </w:rPr>
              <w:t>LED</w:t>
            </w:r>
            <w:r>
              <w:rPr>
                <w:rStyle w:val="65"/>
                <w:rFonts w:hint="default"/>
                <w:sz w:val="18"/>
                <w:szCs w:val="18"/>
                <w:lang w:bidi="ar"/>
              </w:rPr>
              <w:t>显示屏通过低温</w:t>
            </w:r>
            <w:r>
              <w:rPr>
                <w:rFonts w:ascii="宋体" w:hAnsi="宋体" w:cs="Calibri"/>
                <w:color w:val="000000"/>
                <w:kern w:val="0"/>
                <w:sz w:val="18"/>
                <w:szCs w:val="18"/>
                <w:lang w:bidi="ar"/>
              </w:rPr>
              <w:t>-40</w:t>
            </w:r>
            <w:r>
              <w:rPr>
                <w:rStyle w:val="65"/>
                <w:rFonts w:hint="default"/>
                <w:sz w:val="18"/>
                <w:szCs w:val="18"/>
                <w:lang w:bidi="ar"/>
              </w:rPr>
              <w:t>℃</w:t>
            </w:r>
            <w:r>
              <w:rPr>
                <w:rFonts w:ascii="宋体" w:hAnsi="宋体" w:cs="Calibri"/>
                <w:color w:val="000000"/>
                <w:kern w:val="0"/>
                <w:sz w:val="18"/>
                <w:szCs w:val="18"/>
                <w:lang w:bidi="ar"/>
              </w:rPr>
              <w:t>-</w:t>
            </w:r>
            <w:r>
              <w:rPr>
                <w:rStyle w:val="65"/>
                <w:rFonts w:hint="default"/>
                <w:sz w:val="18"/>
                <w:szCs w:val="18"/>
                <w:lang w:bidi="ar"/>
              </w:rPr>
              <w:t>高温</w:t>
            </w:r>
            <w:r>
              <w:rPr>
                <w:rFonts w:ascii="宋体" w:hAnsi="宋体" w:cs="Calibri"/>
                <w:color w:val="000000"/>
                <w:kern w:val="0"/>
                <w:sz w:val="18"/>
                <w:szCs w:val="18"/>
                <w:lang w:bidi="ar"/>
              </w:rPr>
              <w:t>100</w:t>
            </w:r>
            <w:r>
              <w:rPr>
                <w:rStyle w:val="65"/>
                <w:rFonts w:hint="default"/>
                <w:sz w:val="18"/>
                <w:szCs w:val="18"/>
                <w:lang w:bidi="ar"/>
              </w:rPr>
              <w:t>℃实验室循环冷热冲击并检测通过；提供由第三方权威机构出具的检测报告；</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平方米</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等线"/>
                <w:color w:val="000000"/>
                <w:sz w:val="18"/>
                <w:szCs w:val="18"/>
              </w:rPr>
            </w:pPr>
            <w:r>
              <w:rPr>
                <w:rFonts w:ascii="宋体" w:hAnsi="宋体" w:cs="等线"/>
                <w:color w:val="000000"/>
                <w:kern w:val="0"/>
                <w:sz w:val="18"/>
                <w:szCs w:val="18"/>
                <w:lang w:bidi="ar"/>
              </w:rPr>
              <w:t>19.2</w:t>
            </w:r>
          </w:p>
        </w:tc>
      </w:tr>
      <w:tr>
        <w:tblPrEx>
          <w:tblCellMar>
            <w:top w:w="0" w:type="dxa"/>
            <w:left w:w="0" w:type="dxa"/>
            <w:bottom w:w="0" w:type="dxa"/>
            <w:right w:w="0" w:type="dxa"/>
          </w:tblCellMar>
        </w:tblPrEx>
        <w:trPr>
          <w:trHeight w:val="2550" w:hRule="atLeast"/>
        </w:trPr>
        <w:tc>
          <w:tcPr>
            <w:tcW w:w="37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屏幕控制电脑，带HDMI一体机</w:t>
            </w:r>
          </w:p>
        </w:tc>
        <w:tc>
          <w:tcPr>
            <w:tcW w:w="694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Calibri"/>
                <w:color w:val="000000"/>
                <w:sz w:val="18"/>
                <w:szCs w:val="18"/>
              </w:rPr>
            </w:pPr>
            <w:r>
              <w:rPr>
                <w:rFonts w:ascii="宋体" w:hAnsi="宋体" w:cs="Calibri"/>
                <w:color w:val="000000"/>
                <w:kern w:val="0"/>
                <w:sz w:val="18"/>
                <w:szCs w:val="18"/>
                <w:lang w:bidi="ar"/>
              </w:rPr>
              <w:t>CPU</w:t>
            </w:r>
            <w:r>
              <w:rPr>
                <w:rStyle w:val="65"/>
                <w:rFonts w:hint="default"/>
                <w:sz w:val="18"/>
                <w:szCs w:val="18"/>
                <w:lang w:bidi="ar"/>
              </w:rPr>
              <w:t>：</w:t>
            </w:r>
            <w:r>
              <w:rPr>
                <w:rFonts w:ascii="宋体" w:hAnsi="宋体" w:cs="Calibri"/>
                <w:color w:val="000000"/>
                <w:kern w:val="0"/>
                <w:sz w:val="18"/>
                <w:szCs w:val="18"/>
                <w:lang w:bidi="ar"/>
              </w:rPr>
              <w:t xml:space="preserve">Intel </w:t>
            </w:r>
            <w:r>
              <w:rPr>
                <w:rStyle w:val="65"/>
                <w:rFonts w:hint="default"/>
                <w:sz w:val="18"/>
                <w:szCs w:val="18"/>
                <w:lang w:bidi="ar"/>
              </w:rPr>
              <w:t>酷睿</w:t>
            </w:r>
            <w:r>
              <w:rPr>
                <w:rFonts w:ascii="宋体" w:hAnsi="宋体" w:cs="Calibri"/>
                <w:color w:val="000000"/>
                <w:kern w:val="0"/>
                <w:sz w:val="18"/>
                <w:szCs w:val="18"/>
                <w:lang w:bidi="ar"/>
              </w:rPr>
              <w:t xml:space="preserve"> i5</w:t>
            </w:r>
            <w:r>
              <w:rPr>
                <w:rStyle w:val="65"/>
                <w:rFonts w:hint="default"/>
                <w:sz w:val="18"/>
                <w:szCs w:val="18"/>
                <w:lang w:bidi="ar"/>
              </w:rPr>
              <w:t>处理器或其他同性能及以上产品；</w:t>
            </w:r>
            <w:r>
              <w:rPr>
                <w:rFonts w:ascii="宋体" w:hAnsi="宋体" w:cs="Calibri"/>
                <w:color w:val="000000"/>
                <w:kern w:val="0"/>
                <w:sz w:val="18"/>
                <w:szCs w:val="18"/>
                <w:lang w:bidi="ar"/>
              </w:rPr>
              <w:br w:type="textWrapping"/>
            </w:r>
            <w:r>
              <w:rPr>
                <w:rStyle w:val="65"/>
                <w:rFonts w:hint="default"/>
                <w:sz w:val="18"/>
                <w:szCs w:val="18"/>
                <w:lang w:bidi="ar"/>
              </w:rPr>
              <w:t>内存：</w:t>
            </w:r>
            <w:r>
              <w:rPr>
                <w:rFonts w:ascii="宋体" w:hAnsi="宋体" w:cs="Calibri"/>
                <w:color w:val="000000"/>
                <w:kern w:val="0"/>
                <w:sz w:val="18"/>
                <w:szCs w:val="18"/>
                <w:lang w:bidi="ar"/>
              </w:rPr>
              <w:t>≥4GB DDR3</w:t>
            </w:r>
            <w:r>
              <w:rPr>
                <w:rStyle w:val="65"/>
                <w:rFonts w:hint="default"/>
                <w:sz w:val="18"/>
                <w:szCs w:val="18"/>
                <w:lang w:bidi="ar"/>
              </w:rPr>
              <w:t>；</w:t>
            </w:r>
            <w:r>
              <w:rPr>
                <w:rFonts w:ascii="宋体" w:hAnsi="宋体" w:cs="Calibri"/>
                <w:color w:val="000000"/>
                <w:kern w:val="0"/>
                <w:sz w:val="18"/>
                <w:szCs w:val="18"/>
                <w:lang w:bidi="ar"/>
              </w:rPr>
              <w:br w:type="textWrapping"/>
            </w:r>
            <w:r>
              <w:rPr>
                <w:rStyle w:val="65"/>
                <w:rFonts w:hint="default"/>
                <w:sz w:val="18"/>
                <w:szCs w:val="18"/>
                <w:lang w:bidi="ar"/>
              </w:rPr>
              <w:t>主板：集成声卡、</w:t>
            </w:r>
            <w:r>
              <w:rPr>
                <w:rFonts w:ascii="宋体" w:hAnsi="宋体" w:cs="Calibri"/>
                <w:color w:val="000000"/>
                <w:kern w:val="0"/>
                <w:sz w:val="18"/>
                <w:szCs w:val="18"/>
                <w:lang w:bidi="ar"/>
              </w:rPr>
              <w:t>10/100M/1000M</w:t>
            </w:r>
            <w:r>
              <w:rPr>
                <w:rStyle w:val="65"/>
                <w:rFonts w:hint="default"/>
                <w:sz w:val="18"/>
                <w:szCs w:val="18"/>
                <w:lang w:bidi="ar"/>
              </w:rPr>
              <w:t>网卡；</w:t>
            </w:r>
            <w:r>
              <w:rPr>
                <w:rFonts w:ascii="宋体" w:hAnsi="宋体" w:cs="Calibri"/>
                <w:color w:val="000000"/>
                <w:kern w:val="0"/>
                <w:sz w:val="18"/>
                <w:szCs w:val="18"/>
                <w:lang w:bidi="ar"/>
              </w:rPr>
              <w:br w:type="textWrapping"/>
            </w:r>
            <w:r>
              <w:rPr>
                <w:rStyle w:val="65"/>
                <w:rFonts w:hint="default"/>
                <w:sz w:val="18"/>
                <w:szCs w:val="18"/>
                <w:lang w:bidi="ar"/>
              </w:rPr>
              <w:t>光驱：</w:t>
            </w:r>
            <w:r>
              <w:rPr>
                <w:rFonts w:ascii="宋体" w:hAnsi="宋体" w:cs="Calibri"/>
                <w:color w:val="000000"/>
                <w:kern w:val="0"/>
                <w:sz w:val="18"/>
                <w:szCs w:val="18"/>
                <w:lang w:bidi="ar"/>
              </w:rPr>
              <w:t>DVD</w:t>
            </w:r>
            <w:r>
              <w:rPr>
                <w:rFonts w:ascii="宋体" w:hAnsi="宋体" w:cs="Calibri"/>
                <w:color w:val="000000"/>
                <w:kern w:val="0"/>
                <w:sz w:val="18"/>
                <w:szCs w:val="18"/>
                <w:lang w:bidi="ar"/>
              </w:rPr>
              <w:br w:type="textWrapping"/>
            </w:r>
            <w:r>
              <w:rPr>
                <w:rStyle w:val="65"/>
                <w:rFonts w:hint="default"/>
                <w:sz w:val="18"/>
                <w:szCs w:val="18"/>
                <w:lang w:bidi="ar"/>
              </w:rPr>
              <w:t>显卡：独立显卡</w:t>
            </w:r>
            <w:r>
              <w:rPr>
                <w:rFonts w:ascii="宋体" w:hAnsi="宋体" w:cs="Calibri"/>
                <w:color w:val="000000"/>
                <w:kern w:val="0"/>
                <w:sz w:val="18"/>
                <w:szCs w:val="18"/>
                <w:lang w:bidi="ar"/>
              </w:rPr>
              <w:t>/512MB</w:t>
            </w:r>
            <w:r>
              <w:rPr>
                <w:rFonts w:ascii="宋体" w:hAnsi="宋体" w:cs="Calibri"/>
                <w:color w:val="000000"/>
                <w:kern w:val="0"/>
                <w:sz w:val="18"/>
                <w:szCs w:val="18"/>
                <w:lang w:bidi="ar"/>
              </w:rPr>
              <w:br w:type="textWrapping"/>
            </w:r>
            <w:r>
              <w:rPr>
                <w:rStyle w:val="65"/>
                <w:rFonts w:hint="default"/>
                <w:sz w:val="18"/>
                <w:szCs w:val="18"/>
                <w:lang w:bidi="ar"/>
              </w:rPr>
              <w:t>硬盘：</w:t>
            </w:r>
            <w:r>
              <w:rPr>
                <w:rFonts w:ascii="宋体" w:hAnsi="宋体" w:cs="Calibri"/>
                <w:color w:val="000000"/>
                <w:kern w:val="0"/>
                <w:sz w:val="18"/>
                <w:szCs w:val="18"/>
                <w:lang w:bidi="ar"/>
              </w:rPr>
              <w:t>≥500GB SATA3</w:t>
            </w:r>
            <w:r>
              <w:rPr>
                <w:rStyle w:val="65"/>
                <w:rFonts w:hint="default"/>
                <w:sz w:val="18"/>
                <w:szCs w:val="18"/>
                <w:lang w:bidi="ar"/>
              </w:rPr>
              <w:t>；</w:t>
            </w:r>
            <w:r>
              <w:rPr>
                <w:rFonts w:ascii="宋体" w:hAnsi="宋体" w:cs="Calibri"/>
                <w:color w:val="000000"/>
                <w:kern w:val="0"/>
                <w:sz w:val="18"/>
                <w:szCs w:val="18"/>
                <w:lang w:bidi="ar"/>
              </w:rPr>
              <w:br w:type="textWrapping"/>
            </w:r>
            <w:r>
              <w:rPr>
                <w:rStyle w:val="65"/>
                <w:rFonts w:hint="default"/>
                <w:sz w:val="18"/>
                <w:szCs w:val="18"/>
                <w:lang w:bidi="ar"/>
              </w:rPr>
              <w:t>键鼠：标准键盘，光电鼠标；</w:t>
            </w:r>
            <w:r>
              <w:rPr>
                <w:rFonts w:ascii="宋体" w:hAnsi="宋体" w:cs="Calibri"/>
                <w:color w:val="000000"/>
                <w:kern w:val="0"/>
                <w:sz w:val="18"/>
                <w:szCs w:val="18"/>
                <w:lang w:bidi="ar"/>
              </w:rPr>
              <w:br w:type="textWrapping"/>
            </w:r>
            <w:r>
              <w:rPr>
                <w:rStyle w:val="65"/>
                <w:rFonts w:hint="default"/>
                <w:sz w:val="18"/>
                <w:szCs w:val="18"/>
                <w:lang w:bidi="ar"/>
              </w:rPr>
              <w:t>显示器：</w:t>
            </w:r>
            <w:r>
              <w:rPr>
                <w:rFonts w:ascii="宋体" w:hAnsi="宋体" w:cs="Calibri"/>
                <w:color w:val="000000"/>
                <w:kern w:val="0"/>
                <w:sz w:val="18"/>
                <w:szCs w:val="18"/>
                <w:lang w:bidi="ar"/>
              </w:rPr>
              <w:t>≥19</w:t>
            </w:r>
            <w:r>
              <w:rPr>
                <w:rStyle w:val="65"/>
                <w:rFonts w:hint="default"/>
                <w:sz w:val="18"/>
                <w:szCs w:val="18"/>
                <w:lang w:bidi="ar"/>
              </w:rPr>
              <w:t>英寸宽屏液晶显示器；</w:t>
            </w:r>
            <w:r>
              <w:rPr>
                <w:rFonts w:ascii="宋体" w:hAnsi="宋体" w:cs="Calibri"/>
                <w:color w:val="000000"/>
                <w:kern w:val="0"/>
                <w:sz w:val="18"/>
                <w:szCs w:val="18"/>
                <w:lang w:bidi="ar"/>
              </w:rPr>
              <w:br w:type="textWrapping"/>
            </w:r>
            <w:r>
              <w:rPr>
                <w:rStyle w:val="65"/>
                <w:rFonts w:hint="default"/>
                <w:sz w:val="18"/>
                <w:szCs w:val="18"/>
                <w:lang w:bidi="ar"/>
              </w:rPr>
              <w:t>接口：前置</w:t>
            </w:r>
            <w:r>
              <w:rPr>
                <w:rFonts w:ascii="宋体" w:hAnsi="宋体" w:cs="Calibri"/>
                <w:color w:val="000000"/>
                <w:kern w:val="0"/>
                <w:sz w:val="18"/>
                <w:szCs w:val="18"/>
                <w:lang w:bidi="ar"/>
              </w:rPr>
              <w:t>USB≥4</w:t>
            </w:r>
            <w:r>
              <w:rPr>
                <w:rStyle w:val="65"/>
                <w:rFonts w:hint="default"/>
                <w:sz w:val="18"/>
                <w:szCs w:val="18"/>
                <w:lang w:bidi="ar"/>
              </w:rPr>
              <w:t>、</w:t>
            </w:r>
            <w:r>
              <w:rPr>
                <w:rFonts w:ascii="宋体" w:hAnsi="宋体" w:cs="Calibri"/>
                <w:color w:val="000000"/>
                <w:kern w:val="0"/>
                <w:sz w:val="18"/>
                <w:szCs w:val="18"/>
                <w:lang w:bidi="ar"/>
              </w:rPr>
              <w:t>VGA</w:t>
            </w:r>
            <w:r>
              <w:rPr>
                <w:rStyle w:val="65"/>
                <w:rFonts w:hint="default"/>
                <w:sz w:val="18"/>
                <w:szCs w:val="18"/>
                <w:lang w:bidi="ar"/>
              </w:rPr>
              <w:t>输出、标准</w:t>
            </w:r>
            <w:r>
              <w:rPr>
                <w:rFonts w:ascii="宋体" w:hAnsi="宋体" w:cs="Calibri"/>
                <w:color w:val="000000"/>
                <w:kern w:val="0"/>
                <w:sz w:val="18"/>
                <w:szCs w:val="18"/>
                <w:lang w:bidi="ar"/>
              </w:rPr>
              <w:t>3.5</w:t>
            </w:r>
            <w:r>
              <w:rPr>
                <w:rStyle w:val="65"/>
                <w:rFonts w:hint="default"/>
                <w:sz w:val="18"/>
                <w:szCs w:val="18"/>
                <w:lang w:bidi="ar"/>
              </w:rPr>
              <w:t>音频输入输出、</w:t>
            </w:r>
            <w:r>
              <w:rPr>
                <w:rFonts w:ascii="宋体" w:hAnsi="宋体" w:cs="Calibri"/>
                <w:color w:val="000000"/>
                <w:kern w:val="0"/>
                <w:sz w:val="18"/>
                <w:szCs w:val="18"/>
                <w:lang w:bidi="ar"/>
              </w:rPr>
              <w:t>RJ45</w:t>
            </w:r>
            <w:r>
              <w:rPr>
                <w:rStyle w:val="65"/>
                <w:rFonts w:hint="default"/>
                <w:sz w:val="18"/>
                <w:szCs w:val="18"/>
                <w:lang w:bidi="ar"/>
              </w:rPr>
              <w:t>；</w:t>
            </w:r>
            <w:r>
              <w:rPr>
                <w:rFonts w:ascii="宋体" w:hAnsi="宋体" w:cs="Calibri"/>
                <w:color w:val="000000"/>
                <w:kern w:val="0"/>
                <w:sz w:val="18"/>
                <w:szCs w:val="18"/>
                <w:lang w:bidi="ar"/>
              </w:rPr>
              <w:br w:type="textWrapping"/>
            </w:r>
            <w:r>
              <w:rPr>
                <w:rFonts w:ascii="宋体" w:hAnsi="宋体" w:cs="Calibri"/>
                <w:color w:val="000000"/>
                <w:kern w:val="0"/>
                <w:sz w:val="18"/>
                <w:szCs w:val="18"/>
                <w:lang w:bidi="ar"/>
              </w:rPr>
              <w:t>BIOS</w:t>
            </w:r>
            <w:r>
              <w:rPr>
                <w:rStyle w:val="65"/>
                <w:rFonts w:hint="default"/>
                <w:sz w:val="18"/>
                <w:szCs w:val="18"/>
                <w:lang w:bidi="ar"/>
              </w:rPr>
              <w:t>开机显示厂家服务信息并预装</w:t>
            </w:r>
            <w:r>
              <w:rPr>
                <w:rFonts w:ascii="宋体" w:hAnsi="宋体" w:cs="Calibri"/>
                <w:color w:val="000000"/>
                <w:kern w:val="0"/>
                <w:sz w:val="18"/>
                <w:szCs w:val="18"/>
                <w:lang w:bidi="ar"/>
              </w:rPr>
              <w:t>Windows xp</w:t>
            </w:r>
            <w:r>
              <w:rPr>
                <w:rStyle w:val="65"/>
                <w:rFonts w:hint="default"/>
                <w:sz w:val="18"/>
                <w:szCs w:val="18"/>
                <w:lang w:bidi="ar"/>
              </w:rPr>
              <w:t>及以上操作系统；</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台</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等线"/>
                <w:color w:val="000000"/>
                <w:sz w:val="18"/>
                <w:szCs w:val="18"/>
              </w:rPr>
            </w:pPr>
            <w:r>
              <w:rPr>
                <w:rFonts w:ascii="宋体" w:hAnsi="宋体" w:cs="等线"/>
                <w:color w:val="000000"/>
                <w:kern w:val="0"/>
                <w:sz w:val="18"/>
                <w:szCs w:val="18"/>
                <w:lang w:bidi="ar"/>
              </w:rPr>
              <w:t>1</w:t>
            </w:r>
          </w:p>
        </w:tc>
      </w:tr>
      <w:tr>
        <w:tblPrEx>
          <w:tblCellMar>
            <w:top w:w="0" w:type="dxa"/>
            <w:left w:w="0" w:type="dxa"/>
            <w:bottom w:w="0" w:type="dxa"/>
            <w:right w:w="0" w:type="dxa"/>
          </w:tblCellMar>
        </w:tblPrEx>
        <w:trPr>
          <w:trHeight w:val="2265" w:hRule="atLeast"/>
        </w:trPr>
        <w:tc>
          <w:tcPr>
            <w:tcW w:w="37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控制系统</w:t>
            </w:r>
          </w:p>
        </w:tc>
        <w:tc>
          <w:tcPr>
            <w:tcW w:w="694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Style w:val="65"/>
                <w:rFonts w:hint="default"/>
                <w:sz w:val="18"/>
                <w:szCs w:val="18"/>
                <w:lang w:bidi="ar"/>
              </w:rPr>
            </w:pPr>
            <w:r>
              <w:rPr>
                <w:rFonts w:ascii="宋体" w:hAnsi="宋体" w:cs="Calibri"/>
                <w:color w:val="000000"/>
                <w:kern w:val="0"/>
                <w:sz w:val="18"/>
                <w:szCs w:val="18"/>
                <w:lang w:bidi="ar"/>
              </w:rPr>
              <w:t>1</w:t>
            </w:r>
            <w:r>
              <w:rPr>
                <w:rStyle w:val="65"/>
                <w:rFonts w:hint="default"/>
                <w:sz w:val="18"/>
                <w:szCs w:val="18"/>
                <w:lang w:bidi="ar"/>
              </w:rPr>
              <w:t>、单卡支持</w:t>
            </w:r>
            <w:r>
              <w:rPr>
                <w:rFonts w:ascii="宋体" w:hAnsi="宋体" w:cs="Calibri"/>
                <w:color w:val="000000"/>
                <w:kern w:val="0"/>
                <w:sz w:val="18"/>
                <w:szCs w:val="18"/>
                <w:lang w:bidi="ar"/>
              </w:rPr>
              <w:t xml:space="preserve">32 </w:t>
            </w:r>
            <w:r>
              <w:rPr>
                <w:rStyle w:val="65"/>
                <w:rFonts w:hint="default"/>
                <w:sz w:val="18"/>
                <w:szCs w:val="18"/>
                <w:lang w:bidi="ar"/>
              </w:rPr>
              <w:t>组</w:t>
            </w:r>
            <w:r>
              <w:rPr>
                <w:rFonts w:ascii="宋体" w:hAnsi="宋体" w:cs="Calibri"/>
                <w:color w:val="000000"/>
                <w:kern w:val="0"/>
                <w:sz w:val="18"/>
                <w:szCs w:val="18"/>
                <w:lang w:bidi="ar"/>
              </w:rPr>
              <w:t xml:space="preserve">RGB </w:t>
            </w:r>
            <w:r>
              <w:rPr>
                <w:rStyle w:val="65"/>
                <w:rFonts w:hint="default"/>
                <w:sz w:val="18"/>
                <w:szCs w:val="18"/>
                <w:lang w:bidi="ar"/>
              </w:rPr>
              <w:t>信号并行输出</w:t>
            </w:r>
            <w:r>
              <w:rPr>
                <w:rFonts w:ascii="宋体" w:hAnsi="宋体" w:cs="Calibri"/>
                <w:color w:val="000000"/>
                <w:kern w:val="0"/>
                <w:sz w:val="18"/>
                <w:szCs w:val="18"/>
                <w:lang w:bidi="ar"/>
              </w:rPr>
              <w:br w:type="textWrapping"/>
            </w:r>
            <w:r>
              <w:rPr>
                <w:rFonts w:ascii="宋体" w:hAnsi="宋体" w:cs="Calibri"/>
                <w:color w:val="000000"/>
                <w:kern w:val="0"/>
                <w:sz w:val="18"/>
                <w:szCs w:val="18"/>
                <w:lang w:bidi="ar"/>
              </w:rPr>
              <w:t xml:space="preserve">2 </w:t>
            </w:r>
            <w:r>
              <w:rPr>
                <w:rStyle w:val="65"/>
                <w:rFonts w:hint="default"/>
                <w:sz w:val="18"/>
                <w:szCs w:val="18"/>
                <w:lang w:bidi="ar"/>
              </w:rPr>
              <w:t>、单卡最大带载</w:t>
            </w:r>
            <w:r>
              <w:rPr>
                <w:rFonts w:ascii="宋体" w:hAnsi="宋体" w:cs="Calibri"/>
                <w:color w:val="000000"/>
                <w:kern w:val="0"/>
                <w:sz w:val="18"/>
                <w:szCs w:val="18"/>
                <w:lang w:bidi="ar"/>
              </w:rPr>
              <w:t xml:space="preserve">512×512 </w:t>
            </w:r>
            <w:r>
              <w:rPr>
                <w:rStyle w:val="65"/>
                <w:rFonts w:hint="default"/>
                <w:sz w:val="18"/>
                <w:szCs w:val="18"/>
                <w:lang w:bidi="ar"/>
              </w:rPr>
              <w:t>像素点</w:t>
            </w:r>
            <w:r>
              <w:rPr>
                <w:rFonts w:ascii="宋体" w:hAnsi="宋体" w:cs="Calibri"/>
                <w:color w:val="000000"/>
                <w:kern w:val="0"/>
                <w:sz w:val="18"/>
                <w:szCs w:val="18"/>
                <w:lang w:bidi="ar"/>
              </w:rPr>
              <w:br w:type="textWrapping"/>
            </w:r>
            <w:r>
              <w:rPr>
                <w:rFonts w:ascii="宋体" w:hAnsi="宋体" w:cs="Calibri"/>
                <w:color w:val="000000"/>
                <w:kern w:val="0"/>
                <w:sz w:val="18"/>
                <w:szCs w:val="18"/>
                <w:lang w:bidi="ar"/>
              </w:rPr>
              <w:t>3</w:t>
            </w:r>
            <w:r>
              <w:rPr>
                <w:rStyle w:val="65"/>
                <w:rFonts w:hint="default"/>
                <w:sz w:val="18"/>
                <w:szCs w:val="18"/>
                <w:lang w:bidi="ar"/>
              </w:rPr>
              <w:t>、支持色度、亮度一体化逐点校正</w:t>
            </w:r>
            <w:r>
              <w:rPr>
                <w:rFonts w:ascii="宋体" w:hAnsi="宋体" w:cs="Calibri"/>
                <w:color w:val="000000"/>
                <w:kern w:val="0"/>
                <w:sz w:val="18"/>
                <w:szCs w:val="18"/>
                <w:lang w:bidi="ar"/>
              </w:rPr>
              <w:br w:type="textWrapping"/>
            </w:r>
            <w:r>
              <w:rPr>
                <w:rFonts w:ascii="宋体" w:hAnsi="宋体" w:cs="Calibri"/>
                <w:color w:val="000000"/>
                <w:kern w:val="0"/>
                <w:sz w:val="18"/>
                <w:szCs w:val="18"/>
                <w:lang w:bidi="ar"/>
              </w:rPr>
              <w:t>4</w:t>
            </w:r>
            <w:r>
              <w:rPr>
                <w:rStyle w:val="65"/>
                <w:rFonts w:hint="default"/>
                <w:sz w:val="18"/>
                <w:szCs w:val="18"/>
                <w:lang w:bidi="ar"/>
              </w:rPr>
              <w:t>、支持网线检测</w:t>
            </w:r>
            <w:r>
              <w:rPr>
                <w:rFonts w:ascii="宋体" w:hAnsi="宋体" w:cs="Calibri"/>
                <w:color w:val="000000"/>
                <w:kern w:val="0"/>
                <w:sz w:val="18"/>
                <w:szCs w:val="18"/>
                <w:lang w:bidi="ar"/>
              </w:rPr>
              <w:br w:type="textWrapping"/>
            </w:r>
            <w:r>
              <w:rPr>
                <w:rFonts w:ascii="宋体" w:hAnsi="宋体" w:cs="Calibri"/>
                <w:color w:val="000000"/>
                <w:kern w:val="0"/>
                <w:sz w:val="18"/>
                <w:szCs w:val="18"/>
                <w:lang w:bidi="ar"/>
              </w:rPr>
              <w:t>5</w:t>
            </w:r>
            <w:r>
              <w:rPr>
                <w:rStyle w:val="65"/>
                <w:rFonts w:hint="default"/>
                <w:sz w:val="18"/>
                <w:szCs w:val="18"/>
                <w:lang w:bidi="ar"/>
              </w:rPr>
              <w:t>、快速升级和快速发送校正系数</w:t>
            </w:r>
            <w:r>
              <w:rPr>
                <w:rFonts w:ascii="宋体" w:hAnsi="宋体" w:cs="Calibri"/>
                <w:color w:val="000000"/>
                <w:kern w:val="0"/>
                <w:sz w:val="18"/>
                <w:szCs w:val="18"/>
                <w:lang w:bidi="ar"/>
              </w:rPr>
              <w:br w:type="textWrapping"/>
            </w:r>
            <w:r>
              <w:rPr>
                <w:rFonts w:ascii="宋体" w:hAnsi="宋体" w:cs="Calibri"/>
                <w:color w:val="000000"/>
                <w:kern w:val="0"/>
                <w:sz w:val="18"/>
                <w:szCs w:val="18"/>
                <w:lang w:bidi="ar"/>
              </w:rPr>
              <w:t xml:space="preserve">6 </w:t>
            </w:r>
            <w:r>
              <w:rPr>
                <w:rStyle w:val="65"/>
                <w:rFonts w:hint="default"/>
                <w:sz w:val="18"/>
                <w:szCs w:val="18"/>
                <w:lang w:bidi="ar"/>
              </w:rPr>
              <w:t>、支持低亮高灰以及色温调节</w:t>
            </w:r>
            <w:r>
              <w:rPr>
                <w:rFonts w:ascii="宋体" w:hAnsi="宋体" w:cs="Calibri"/>
                <w:color w:val="000000"/>
                <w:kern w:val="0"/>
                <w:sz w:val="18"/>
                <w:szCs w:val="18"/>
                <w:lang w:bidi="ar"/>
              </w:rPr>
              <w:br w:type="textWrapping"/>
            </w:r>
            <w:r>
              <w:rPr>
                <w:rStyle w:val="65"/>
                <w:rFonts w:hint="default"/>
                <w:sz w:val="18"/>
                <w:szCs w:val="18"/>
                <w:lang w:bidi="ar"/>
              </w:rPr>
              <w:t>7、提供厂家售后服务承诺书和项目授权书；</w:t>
            </w:r>
          </w:p>
          <w:p>
            <w:pPr>
              <w:widowControl/>
              <w:jc w:val="left"/>
              <w:textAlignment w:val="center"/>
              <w:rPr>
                <w:rFonts w:ascii="宋体" w:hAnsi="宋体" w:cs="Calibri"/>
                <w:color w:val="000000"/>
                <w:sz w:val="18"/>
                <w:szCs w:val="18"/>
              </w:rPr>
            </w:pPr>
            <w:r>
              <w:rPr>
                <w:rStyle w:val="65"/>
                <w:rFonts w:hint="default"/>
                <w:sz w:val="18"/>
                <w:szCs w:val="18"/>
                <w:lang w:bidi="ar"/>
              </w:rPr>
              <w:t>8、为保证信号传输的稳定性，接收卡需支持一帧延迟，发送端到显示端延迟达到一帧</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套</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等线"/>
                <w:color w:val="000000"/>
                <w:sz w:val="18"/>
                <w:szCs w:val="18"/>
              </w:rPr>
            </w:pPr>
            <w:r>
              <w:rPr>
                <w:rFonts w:ascii="宋体" w:hAnsi="宋体" w:cs="等线"/>
                <w:color w:val="000000"/>
                <w:kern w:val="0"/>
                <w:sz w:val="18"/>
                <w:szCs w:val="18"/>
                <w:lang w:bidi="ar"/>
              </w:rPr>
              <w:t>5</w:t>
            </w:r>
          </w:p>
        </w:tc>
      </w:tr>
      <w:tr>
        <w:tblPrEx>
          <w:tblCellMar>
            <w:top w:w="0" w:type="dxa"/>
            <w:left w:w="0" w:type="dxa"/>
            <w:bottom w:w="0" w:type="dxa"/>
            <w:right w:w="0" w:type="dxa"/>
          </w:tblCellMar>
        </w:tblPrEx>
        <w:trPr>
          <w:trHeight w:val="240" w:hRule="atLeast"/>
        </w:trPr>
        <w:tc>
          <w:tcPr>
            <w:tcW w:w="37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信号线</w:t>
            </w:r>
          </w:p>
        </w:tc>
        <w:tc>
          <w:tcPr>
            <w:tcW w:w="694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国标六类网线</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根</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等线"/>
                <w:color w:val="000000"/>
                <w:sz w:val="18"/>
                <w:szCs w:val="18"/>
              </w:rPr>
            </w:pPr>
            <w:r>
              <w:rPr>
                <w:rFonts w:ascii="宋体" w:hAnsi="宋体" w:cs="等线"/>
                <w:color w:val="000000"/>
                <w:kern w:val="0"/>
                <w:sz w:val="18"/>
                <w:szCs w:val="18"/>
                <w:lang w:bidi="ar"/>
              </w:rPr>
              <w:t>22</w:t>
            </w:r>
          </w:p>
        </w:tc>
      </w:tr>
      <w:tr>
        <w:tblPrEx>
          <w:tblCellMar>
            <w:top w:w="0" w:type="dxa"/>
            <w:left w:w="0" w:type="dxa"/>
            <w:bottom w:w="0" w:type="dxa"/>
            <w:right w:w="0" w:type="dxa"/>
          </w:tblCellMar>
        </w:tblPrEx>
        <w:trPr>
          <w:trHeight w:val="240" w:hRule="atLeast"/>
        </w:trPr>
        <w:tc>
          <w:tcPr>
            <w:tcW w:w="37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电源线</w:t>
            </w:r>
          </w:p>
        </w:tc>
        <w:tc>
          <w:tcPr>
            <w:tcW w:w="694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国标1.5mm2</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米</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等线"/>
                <w:color w:val="000000"/>
                <w:sz w:val="18"/>
                <w:szCs w:val="18"/>
              </w:rPr>
            </w:pPr>
            <w:r>
              <w:rPr>
                <w:rFonts w:ascii="宋体" w:hAnsi="宋体" w:cs="等线"/>
                <w:color w:val="000000"/>
                <w:kern w:val="0"/>
                <w:sz w:val="18"/>
                <w:szCs w:val="18"/>
                <w:lang w:bidi="ar"/>
              </w:rPr>
              <w:t>30</w:t>
            </w:r>
          </w:p>
        </w:tc>
      </w:tr>
      <w:tr>
        <w:tblPrEx>
          <w:tblCellMar>
            <w:top w:w="0" w:type="dxa"/>
            <w:left w:w="0" w:type="dxa"/>
            <w:bottom w:w="0" w:type="dxa"/>
            <w:right w:w="0" w:type="dxa"/>
          </w:tblCellMar>
        </w:tblPrEx>
        <w:trPr>
          <w:trHeight w:val="1700" w:hRule="atLeast"/>
        </w:trPr>
        <w:tc>
          <w:tcPr>
            <w:tcW w:w="37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视频拼接器</w:t>
            </w:r>
          </w:p>
        </w:tc>
        <w:tc>
          <w:tcPr>
            <w:tcW w:w="694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Calibri"/>
                <w:color w:val="000000"/>
                <w:sz w:val="18"/>
                <w:szCs w:val="18"/>
              </w:rPr>
            </w:pPr>
            <w:r>
              <w:rPr>
                <w:rFonts w:ascii="宋体" w:hAnsi="宋体" w:cs="Calibri"/>
                <w:color w:val="000000"/>
                <w:kern w:val="0"/>
                <w:sz w:val="18"/>
                <w:szCs w:val="18"/>
                <w:lang w:bidi="ar"/>
              </w:rPr>
              <w:t>•</w:t>
            </w:r>
            <w:r>
              <w:rPr>
                <w:rStyle w:val="65"/>
                <w:rFonts w:hint="default"/>
                <w:sz w:val="18"/>
                <w:szCs w:val="18"/>
                <w:lang w:bidi="ar"/>
              </w:rPr>
              <w:t>支持配置备份和恢复，备份信息可下载保存备份，断电记忆功能，无需担心配置丟失</w:t>
            </w:r>
            <w:r>
              <w:rPr>
                <w:rFonts w:ascii="宋体" w:hAnsi="宋体" w:cs="Calibri"/>
                <w:color w:val="000000"/>
                <w:kern w:val="0"/>
                <w:sz w:val="18"/>
                <w:szCs w:val="18"/>
                <w:lang w:bidi="ar"/>
              </w:rPr>
              <w:br w:type="textWrapping"/>
            </w:r>
            <w:r>
              <w:rPr>
                <w:rFonts w:ascii="宋体" w:hAnsi="宋体" w:cs="Calibri"/>
                <w:color w:val="000000"/>
                <w:kern w:val="0"/>
                <w:sz w:val="18"/>
                <w:szCs w:val="18"/>
                <w:lang w:bidi="ar"/>
              </w:rPr>
              <w:t>•</w:t>
            </w:r>
            <w:r>
              <w:rPr>
                <w:rStyle w:val="65"/>
                <w:rFonts w:hint="default"/>
                <w:sz w:val="18"/>
                <w:szCs w:val="18"/>
                <w:lang w:bidi="ar"/>
              </w:rPr>
              <w:t>支持设备主机高温报警和智能风扇调节</w:t>
            </w:r>
            <w:r>
              <w:rPr>
                <w:rFonts w:ascii="宋体" w:hAnsi="宋体" w:cs="Calibri"/>
                <w:color w:val="000000"/>
                <w:kern w:val="0"/>
                <w:sz w:val="18"/>
                <w:szCs w:val="18"/>
                <w:lang w:bidi="ar"/>
              </w:rPr>
              <w:br w:type="textWrapping"/>
            </w:r>
            <w:r>
              <w:rPr>
                <w:rFonts w:ascii="宋体" w:hAnsi="宋体" w:cs="Calibri"/>
                <w:color w:val="000000"/>
                <w:kern w:val="0"/>
                <w:sz w:val="18"/>
                <w:szCs w:val="18"/>
                <w:lang w:bidi="ar"/>
              </w:rPr>
              <w:t>•</w:t>
            </w:r>
            <w:r>
              <w:rPr>
                <w:rStyle w:val="65"/>
                <w:rFonts w:hint="default"/>
                <w:sz w:val="18"/>
                <w:szCs w:val="18"/>
                <w:lang w:bidi="ar"/>
              </w:rPr>
              <w:t>支持设备在现场使用期限的授权管理</w:t>
            </w:r>
            <w:r>
              <w:rPr>
                <w:rFonts w:ascii="宋体" w:hAnsi="宋体" w:cs="Calibri"/>
                <w:color w:val="000000"/>
                <w:kern w:val="0"/>
                <w:sz w:val="18"/>
                <w:szCs w:val="18"/>
                <w:lang w:bidi="ar"/>
              </w:rPr>
              <w:br w:type="textWrapping"/>
            </w:r>
            <w:r>
              <w:rPr>
                <w:rStyle w:val="65"/>
                <w:rFonts w:hint="default"/>
                <w:sz w:val="18"/>
                <w:szCs w:val="18"/>
                <w:lang w:bidi="ar"/>
              </w:rPr>
              <w:t>为防止其他人员误操作的现象发生，拼接器可支持具备用户权限管理功能，支持用户分级、分权管理，各司其职，可以为不同的操作人员设置不同权限。</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套</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等线"/>
                <w:color w:val="000000"/>
                <w:sz w:val="18"/>
                <w:szCs w:val="18"/>
              </w:rPr>
            </w:pPr>
            <w:r>
              <w:rPr>
                <w:rFonts w:ascii="宋体" w:hAnsi="宋体" w:cs="等线"/>
                <w:color w:val="000000"/>
                <w:kern w:val="0"/>
                <w:sz w:val="18"/>
                <w:szCs w:val="18"/>
                <w:lang w:bidi="ar"/>
              </w:rPr>
              <w:t>16</w:t>
            </w:r>
          </w:p>
        </w:tc>
      </w:tr>
      <w:tr>
        <w:tblPrEx>
          <w:tblCellMar>
            <w:top w:w="0" w:type="dxa"/>
            <w:left w:w="0" w:type="dxa"/>
            <w:bottom w:w="0" w:type="dxa"/>
            <w:right w:w="0" w:type="dxa"/>
          </w:tblCellMar>
        </w:tblPrEx>
        <w:trPr>
          <w:trHeight w:val="1245" w:hRule="atLeast"/>
        </w:trPr>
        <w:tc>
          <w:tcPr>
            <w:tcW w:w="37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7</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配电柜</w:t>
            </w:r>
          </w:p>
        </w:tc>
        <w:tc>
          <w:tcPr>
            <w:tcW w:w="694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Calibri"/>
                <w:color w:val="000000"/>
                <w:sz w:val="18"/>
                <w:szCs w:val="18"/>
              </w:rPr>
            </w:pPr>
            <w:r>
              <w:rPr>
                <w:rFonts w:ascii="宋体" w:hAnsi="宋体" w:cs="Calibri"/>
                <w:color w:val="000000"/>
                <w:kern w:val="0"/>
                <w:sz w:val="18"/>
                <w:szCs w:val="18"/>
                <w:lang w:bidi="ar"/>
              </w:rPr>
              <w:t>1</w:t>
            </w:r>
            <w:r>
              <w:rPr>
                <w:rStyle w:val="65"/>
                <w:rFonts w:hint="default"/>
                <w:sz w:val="18"/>
                <w:szCs w:val="18"/>
                <w:lang w:bidi="ar"/>
              </w:rPr>
              <w:t>、具备手动控制设备供电的开启和关闭。</w:t>
            </w:r>
            <w:r>
              <w:rPr>
                <w:rFonts w:ascii="宋体" w:hAnsi="宋体" w:cs="Calibri"/>
                <w:color w:val="000000"/>
                <w:kern w:val="0"/>
                <w:sz w:val="18"/>
                <w:szCs w:val="18"/>
                <w:lang w:bidi="ar"/>
              </w:rPr>
              <w:br w:type="textWrapping"/>
            </w:r>
            <w:r>
              <w:rPr>
                <w:rFonts w:ascii="宋体" w:hAnsi="宋体" w:cs="Calibri"/>
                <w:color w:val="000000"/>
                <w:kern w:val="0"/>
                <w:sz w:val="18"/>
                <w:szCs w:val="18"/>
                <w:lang w:bidi="ar"/>
              </w:rPr>
              <w:t>2</w:t>
            </w:r>
            <w:r>
              <w:rPr>
                <w:rStyle w:val="65"/>
                <w:rFonts w:hint="default"/>
                <w:sz w:val="18"/>
                <w:szCs w:val="18"/>
                <w:lang w:bidi="ar"/>
              </w:rPr>
              <w:t>、多组回路输出，每组可独立控制；标配为手动控制，可添加多种控制方式；</w:t>
            </w:r>
            <w:r>
              <w:rPr>
                <w:rFonts w:ascii="宋体" w:hAnsi="宋体" w:cs="Calibri"/>
                <w:color w:val="000000"/>
                <w:kern w:val="0"/>
                <w:sz w:val="18"/>
                <w:szCs w:val="18"/>
                <w:lang w:bidi="ar"/>
              </w:rPr>
              <w:br w:type="textWrapping"/>
            </w:r>
            <w:r>
              <w:rPr>
                <w:rFonts w:ascii="宋体" w:hAnsi="宋体" w:cs="Calibri"/>
                <w:color w:val="000000"/>
                <w:kern w:val="0"/>
                <w:sz w:val="18"/>
                <w:szCs w:val="18"/>
                <w:lang w:bidi="ar"/>
              </w:rPr>
              <w:t>3</w:t>
            </w:r>
            <w:r>
              <w:rPr>
                <w:rStyle w:val="65"/>
                <w:rFonts w:hint="default"/>
                <w:sz w:val="18"/>
                <w:szCs w:val="18"/>
                <w:lang w:bidi="ar"/>
              </w:rPr>
              <w:t>、系统采用三相五线制供电</w:t>
            </w:r>
            <w:r>
              <w:rPr>
                <w:rFonts w:ascii="宋体" w:hAnsi="宋体" w:cs="Calibri"/>
                <w:color w:val="000000"/>
                <w:kern w:val="0"/>
                <w:sz w:val="18"/>
                <w:szCs w:val="18"/>
                <w:lang w:bidi="ar"/>
              </w:rPr>
              <w:t>,</w:t>
            </w:r>
            <w:r>
              <w:rPr>
                <w:rStyle w:val="65"/>
                <w:rFonts w:hint="default"/>
                <w:sz w:val="18"/>
                <w:szCs w:val="18"/>
                <w:lang w:bidi="ar"/>
              </w:rPr>
              <w:t>控制箱工业</w:t>
            </w:r>
            <w:r>
              <w:rPr>
                <w:rFonts w:ascii="宋体" w:hAnsi="宋体" w:cs="Calibri"/>
                <w:color w:val="000000"/>
                <w:kern w:val="0"/>
                <w:sz w:val="18"/>
                <w:szCs w:val="18"/>
                <w:lang w:bidi="ar"/>
              </w:rPr>
              <w:t>PLC</w:t>
            </w:r>
            <w:r>
              <w:rPr>
                <w:rStyle w:val="65"/>
                <w:rFonts w:hint="default"/>
                <w:sz w:val="18"/>
                <w:szCs w:val="18"/>
                <w:lang w:bidi="ar"/>
              </w:rPr>
              <w:t>系统控制，为了降低电网的瞬间启动电流，具有延时通断电功能，具有过热、过湿、过压、过流、短路等保护装置；</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套</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等线"/>
                <w:color w:val="000000"/>
                <w:sz w:val="18"/>
                <w:szCs w:val="18"/>
              </w:rPr>
            </w:pPr>
            <w:r>
              <w:rPr>
                <w:rFonts w:ascii="宋体" w:hAnsi="宋体" w:cs="等线"/>
                <w:color w:val="000000"/>
                <w:kern w:val="0"/>
                <w:sz w:val="18"/>
                <w:szCs w:val="18"/>
                <w:lang w:bidi="ar"/>
              </w:rPr>
              <w:t>1</w:t>
            </w:r>
          </w:p>
        </w:tc>
      </w:tr>
      <w:tr>
        <w:tblPrEx>
          <w:tblCellMar>
            <w:top w:w="0" w:type="dxa"/>
            <w:left w:w="0" w:type="dxa"/>
            <w:bottom w:w="0" w:type="dxa"/>
            <w:right w:w="0" w:type="dxa"/>
          </w:tblCellMar>
        </w:tblPrEx>
        <w:trPr>
          <w:trHeight w:val="240" w:hRule="atLeast"/>
        </w:trPr>
        <w:tc>
          <w:tcPr>
            <w:tcW w:w="9675" w:type="dxa"/>
            <w:gridSpan w:val="5"/>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二、扩声系统（本地/远程）</w:t>
            </w:r>
          </w:p>
        </w:tc>
      </w:tr>
      <w:tr>
        <w:tblPrEx>
          <w:tblCellMar>
            <w:top w:w="0" w:type="dxa"/>
            <w:left w:w="0" w:type="dxa"/>
            <w:bottom w:w="0" w:type="dxa"/>
            <w:right w:w="0" w:type="dxa"/>
          </w:tblCellMar>
        </w:tblPrEx>
        <w:trPr>
          <w:trHeight w:val="26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专业功放</w:t>
            </w:r>
          </w:p>
        </w:tc>
        <w:tc>
          <w:tcPr>
            <w:tcW w:w="694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输出功率:8Ω----2x650W；4Ω----2x850W；桥接8Ω----1550W</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频率响应:20Hz-20KHz</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输入方式：卡龙母平衡输入，6.35插座输入</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输出方式：音箱接线柱，音箱卡龙</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功能：适合各种场合的声音放大传输，对扬声器有保护电路，电源软启动，搞保真，声音清晰，人声表现力强</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信噪比:&gt;90dB</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谐波失真:&lt;0.05%</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通道串音:&lt;-70dB</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输出阻抗:4-16Ω</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机箱规格：2U</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1 </w:t>
            </w:r>
          </w:p>
        </w:tc>
      </w:tr>
      <w:tr>
        <w:tblPrEx>
          <w:tblCellMar>
            <w:top w:w="0" w:type="dxa"/>
            <w:left w:w="0" w:type="dxa"/>
            <w:bottom w:w="0" w:type="dxa"/>
            <w:right w:w="0" w:type="dxa"/>
          </w:tblCellMar>
        </w:tblPrEx>
        <w:trPr>
          <w:trHeight w:val="2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专业音箱（含支架BY-01B）</w:t>
            </w:r>
          </w:p>
        </w:tc>
        <w:tc>
          <w:tcPr>
            <w:tcW w:w="694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频率响应:65Hz~22KHz(±3dB)</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单元数量:LF:1x10"(2"voice coil),HF:1x1"(1.75"voice coil)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承受功率:200W</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灵敏度:96dB</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最大声压级:118dB</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标称阻抗:8 ohms</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指向性:90°Hx40°V</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分频点：2KHz</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箱体板材 ： Birch plywood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连接插座 ： 2xNeutrik NL4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2 </w:t>
            </w:r>
          </w:p>
        </w:tc>
      </w:tr>
      <w:tr>
        <w:tblPrEx>
          <w:tblCellMar>
            <w:top w:w="0" w:type="dxa"/>
            <w:left w:w="0" w:type="dxa"/>
            <w:bottom w:w="0" w:type="dxa"/>
            <w:right w:w="0" w:type="dxa"/>
          </w:tblCellMar>
        </w:tblPrEx>
        <w:trPr>
          <w:trHeight w:val="26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专业功放</w:t>
            </w:r>
          </w:p>
        </w:tc>
        <w:tc>
          <w:tcPr>
            <w:tcW w:w="694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输出功率:8Ω----2x350W；4Ω----2x550W；桥接8Ω----850W</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频率响应:20Hz-20KHz</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输入方式：卡龙母平衡输入，6.35插座输入</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输出方式：音箱接线柱，音箱卡龙</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功能：适合各种场合的声音放大传输，对扬声器有保护电路，电源软启动，搞保真，声音清晰，人声表现力强</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信噪比:&gt;90dB</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谐波失真:&lt;0.05%</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通道串音:&lt;-70dB</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输出阻抗:4-16Ω</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机箱规格：2U</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2 </w:t>
            </w:r>
          </w:p>
        </w:tc>
      </w:tr>
      <w:tr>
        <w:tblPrEx>
          <w:tblCellMar>
            <w:top w:w="0" w:type="dxa"/>
            <w:left w:w="0" w:type="dxa"/>
            <w:bottom w:w="0" w:type="dxa"/>
            <w:right w:w="0" w:type="dxa"/>
          </w:tblCellMar>
        </w:tblPrEx>
        <w:trPr>
          <w:trHeight w:val="2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专业音箱（含支架BY-01B）</w:t>
            </w:r>
          </w:p>
        </w:tc>
        <w:tc>
          <w:tcPr>
            <w:tcW w:w="694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频率响应：65Hz~22KHz(±3dB)</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单元数量：LF:1x8"(2"voice coil),HF:1x1"(1.75"voice coil)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承受功率：150W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灵敏度:95dB</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最大声压级:115dB</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标称阻抗:8 ohms</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指向性:90°Hx40°V</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分频点：2KHz</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箱体板材：Birch plywood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连接插座：2xNeutrik NL4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4 </w:t>
            </w:r>
          </w:p>
        </w:tc>
      </w:tr>
      <w:tr>
        <w:tblPrEx>
          <w:tblCellMar>
            <w:top w:w="0" w:type="dxa"/>
            <w:left w:w="0" w:type="dxa"/>
            <w:bottom w:w="0" w:type="dxa"/>
            <w:right w:w="0" w:type="dxa"/>
          </w:tblCellMar>
        </w:tblPrEx>
        <w:trPr>
          <w:trHeight w:val="28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调音台</w:t>
            </w:r>
          </w:p>
        </w:tc>
        <w:tc>
          <w:tcPr>
            <w:tcW w:w="694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8路平衡式话筒输入及2路立体声输入</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高品质、低噪音的话筒输入</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低噪音的前置放大，具有强大的抗干扰能力</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话筒提供优质的+48V幻像电源</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配备高档调音台才具有的信号输入点</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中频扫频的三段均衡, MF频段的范围是从140Hz到3kHz</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三组AUX辅助输出可选择为推子前推子后</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内置DSP数字效果器</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4组母线</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电路板采用双面SMT贴片技术，使性能稳定可靠</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100MM行程高分析度推子</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MP3播放器带USB输入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1 </w:t>
            </w:r>
          </w:p>
        </w:tc>
      </w:tr>
      <w:tr>
        <w:tblPrEx>
          <w:tblCellMar>
            <w:top w:w="0" w:type="dxa"/>
            <w:left w:w="0" w:type="dxa"/>
            <w:bottom w:w="0" w:type="dxa"/>
            <w:right w:w="0" w:type="dxa"/>
          </w:tblCellMar>
        </w:tblPrEx>
        <w:trPr>
          <w:trHeight w:val="129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抑制器</w:t>
            </w:r>
          </w:p>
        </w:tc>
        <w:tc>
          <w:tcPr>
            <w:tcW w:w="694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输出电压：输出幻象48V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输入电压：AC220V/50Hz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输出电流：6.5mA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话筒连接匹配：幻象和非幻象供电话筒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话筒连接方式：不少于5路卡龙母插座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外接输入连接：不少于5路话筒卡龙公、线路莲花单声道，效果单声道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输出连接：卡龙平衡、线路莲花单声道，效果单声道</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功能：不少于1路外接输入移频手动切换，5路话筒移频手动切换，5路话筒幻象供电选择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功率：15W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开关/指示：船型开关，面板电源指示灯，移频切换指示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1 </w:t>
            </w:r>
          </w:p>
        </w:tc>
      </w:tr>
      <w:tr>
        <w:tblPrEx>
          <w:tblCellMar>
            <w:top w:w="0" w:type="dxa"/>
            <w:left w:w="0" w:type="dxa"/>
            <w:bottom w:w="0" w:type="dxa"/>
            <w:right w:w="0" w:type="dxa"/>
          </w:tblCellMar>
        </w:tblPrEx>
        <w:trPr>
          <w:trHeight w:val="6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7</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音频处理器</w:t>
            </w:r>
          </w:p>
        </w:tc>
        <w:tc>
          <w:tcPr>
            <w:tcW w:w="694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8路平衡式话筒\线路输入，采用裸线接口端子；</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8路平衡式输出，采用裸线接口端子；</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120db的 A/D与D/A转换， 最高可达96kHz/48K采样率；高速DSP处理芯片 DSP处理内核</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输入源：输入方式可切换平衡话筒或线路，采用凤凰插接口；</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通道拷贝、粘贴、联控功能、DSP音频处理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输入每通道：前级放大、信号发生器、扩展器、压缩器、5段参量均衡、自动增益、AM自动混音功能；</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输出每通道：音箱管理器（31段参量均衡器、延时器、分频器、高低通滤波器、限幅器）；</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内置Dante网络传输模块、AFC自适应反馈消除；</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兼容多方平台控制管理，支持windows系统、iOS系统（iPAD、Iphone)以及Andriod系统；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Enternet多用途数据传输及控制端口，可以支持实时管理单台及多台设备；</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直观形象、简洁易懂的图形化软件控制界面，为客户带来快捷、实时的操作体验；</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设备无需光盘，自带安装软件，一台设备对于一个软件版本，解决因为安装光盘丢失以及多个软件版本混乱引起的烦恼；</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可扩展USB接口，不仅可以实现设备升级功能，还可以实现USB录音与播音的功能；</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全功能矩阵混音功能，不单单是混音和自动混音功能，还具备混音分量控制功能；</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配置RS485接口、标准以太网控制接口、8通道可编程GPIO控制接口（可自定义输入输出）；</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支持平板界面操作控制；</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支持场景预设功能；直观、图形化软件控制界面，可工作在XP/Windows7、8、10等系统环境下。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1 </w:t>
            </w:r>
          </w:p>
        </w:tc>
      </w:tr>
      <w:tr>
        <w:tblPrEx>
          <w:tblCellMar>
            <w:top w:w="0" w:type="dxa"/>
            <w:left w:w="0" w:type="dxa"/>
            <w:bottom w:w="0" w:type="dxa"/>
            <w:right w:w="0" w:type="dxa"/>
          </w:tblCellMar>
        </w:tblPrEx>
        <w:trPr>
          <w:trHeight w:val="3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无线话筒</w:t>
            </w:r>
          </w:p>
        </w:tc>
        <w:tc>
          <w:tcPr>
            <w:tcW w:w="694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采用世界先进的DPLL数字锁相环多信道频率合成技术及杂讯自动控制技术(带导频)；</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使用UHF550MHz～980MHz频段，避免干扰频率；</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全新节能模式设置，全自动EQ控制功能，自动校正音色全自动开关机模式自动红外线对频系统，全自动扫描；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真分集式接收电路，保证有效距离内不断迅，消除死角；使用高增益天线，有效开阔使5、采用最新型的高频声表面滤波器，最大限度地滤除带外干扰信号；</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采用二次变频的高频电路设计，具有极高的灵敏度；</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调制方式： 宽带FM</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信道数目： 200</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信道间隔： 250kHz</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动态范围： 100dB</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音频频率响应：20Hz～20kHz (±3dB)</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综合信噪比： ＞105dB</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综合失真： ≤0.5%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1 </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9</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话筒呼叫控制嵌入软件</w:t>
            </w:r>
          </w:p>
        </w:tc>
        <w:tc>
          <w:tcPr>
            <w:tcW w:w="694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话筒呼叫控制嵌入软件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1 </w:t>
            </w:r>
          </w:p>
        </w:tc>
      </w:tr>
      <w:tr>
        <w:tblPrEx>
          <w:tblCellMar>
            <w:top w:w="0" w:type="dxa"/>
            <w:left w:w="0" w:type="dxa"/>
            <w:bottom w:w="0" w:type="dxa"/>
            <w:right w:w="0" w:type="dxa"/>
          </w:tblCellMar>
        </w:tblPrEx>
        <w:trPr>
          <w:trHeight w:val="240" w:hRule="atLeast"/>
        </w:trPr>
        <w:tc>
          <w:tcPr>
            <w:tcW w:w="9675" w:type="dxa"/>
            <w:gridSpan w:val="5"/>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三、大厅指挥系统</w:t>
            </w:r>
          </w:p>
        </w:tc>
      </w:tr>
      <w:tr>
        <w:tblPrEx>
          <w:tblCellMar>
            <w:top w:w="0" w:type="dxa"/>
            <w:left w:w="0" w:type="dxa"/>
            <w:bottom w:w="0" w:type="dxa"/>
            <w:right w:w="0" w:type="dxa"/>
          </w:tblCellMar>
        </w:tblPrEx>
        <w:trPr>
          <w:trHeight w:val="33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指挥系统主机</w:t>
            </w:r>
          </w:p>
        </w:tc>
        <w:tc>
          <w:tcPr>
            <w:tcW w:w="694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4.3英寸真彩色触摸屏，内嵌式Linux智能控制系统，采用数字阵列集成电路技术，低功耗、高保真、极稳定；中/英文操作界面切换功能。</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主机具有摄像跟踪、会议讨论、表决功能,可触摸设置不少于6种会议模式、AUX音量调节、单元喇叭音量调节、单元编号、系统高频补偿调节、视像跟踪设置和倒计时设置等。</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发言人数限制(可自由设定1-9支)、可全开放。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会议系统主机可设置不少于七种发言模式：“主席专用”模式、“自由”模式、“限制”模式、“轮替”模式、“申请”模式、“声控”模式；“倒计时”模式；。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自动关机(A. Off)：即是可以选择麦克风发言完毕后是否在45秒内自动关闭。（会场声压低于40dB时才触发）。</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开机自检功能,连接状态不正常时主机产生锋鸣。</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断电智能记忆功能，可记忆程序运行状态。</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内置电话偶合器可用来召开远程电话会议。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具有4路8芯接口，可连接120席单元，可无限增加电源扩展功能。</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系统单元采用T型接法，即使系统中某支话筒出故障也不会导致系统死机和瘫痪，确保系统能高效正常使用，具有RS485接口，可进行远程控制及远程协助</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通过触摸屏触摸可控制菜单功能、音量调节、电话输入和总音量输出</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具有不少于1路TCP/IP网口接口，连接网络分线盒同步传输音频和控制信号。</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具有不少于1组光纤音频接口。</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★具有不少于1路Dante接口，音频可扩展至整个Dante系统。</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★具有不少于1路5V消防联动警报接口，此接口为扩展接口，可用于消防警报连接端口。</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★具有USB录播功能，可对会议进行录音，并能播放U盘存贮的音频文件。</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具有电脑USB声卡播放功能，可同步播放电脑播放的音乐。</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具有WIFI控制功能，配合WIFI接收器，可通过手机APP控制主控机。</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支持单元复位功能</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具有DATA网络控制接口，控制网线可延长至1000米连接管理会议。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支持RS232中控控制，且具有双向收发码功能，与中控系统实现完美配合。</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多元化会场布控功能，连接电脑可进行模拟现场会议情景布图，可随时点击开启或关闭所有的列席话筒。</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智能自动EQ调节功能，系统开启不同数量的话筒时，总音量输出的声压保持不变。</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高频补偿调节功能，当系统话筒连接数量过多时，可针对发言者的声音特点进行高音补偿调节，直至达到完美的效果。</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不少于内置4进2出标清AV视频信号自动切换矩阵和和4进1出高清HDMI视频信号自动无缝切换矩阵。</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连接摄像机可实现摄像跟踪功能</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单机多达512个摄像机位置自动跟踪控制点。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兼容性极强，支持多种摄像球控制协议。（Pelco_P 、Pelco-D波特率9600、VISCA波特率9600）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支持三种摄像机控制接口。（RS232、RS422和RS485）。</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RS232端口可外接PC设置结合加密型软件同步联动操作，可实现计算机管理功能</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脱离电脑时，可通过主控机面板触摸屏或手机APP进行摄像位置预设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具一组AUX音频讯号输入端子，可外接CD播放机等音源输入设备。</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具3组音频讯号输出端子，可外接录音或音响设备。</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频率响应：40HZ～16KHZ</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总谐波失真：0.1％@1kHz</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信噪比：&gt;96dB</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输出负载：&lt;1KΩ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1 </w:t>
            </w:r>
          </w:p>
        </w:tc>
      </w:tr>
      <w:tr>
        <w:tblPrEx>
          <w:tblCellMar>
            <w:top w:w="0" w:type="dxa"/>
            <w:left w:w="0" w:type="dxa"/>
            <w:bottom w:w="0" w:type="dxa"/>
            <w:right w:w="0"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全数字指挥系统音频传输内嵌软件</w:t>
            </w:r>
          </w:p>
        </w:tc>
        <w:tc>
          <w:tcPr>
            <w:tcW w:w="694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指系统主机音频管理软件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1 </w:t>
            </w:r>
          </w:p>
        </w:tc>
      </w:tr>
      <w:tr>
        <w:tblPrEx>
          <w:tblCellMar>
            <w:top w:w="0" w:type="dxa"/>
            <w:left w:w="0" w:type="dxa"/>
            <w:bottom w:w="0" w:type="dxa"/>
            <w:right w:w="0" w:type="dxa"/>
          </w:tblCellMar>
        </w:tblPrEx>
        <w:trPr>
          <w:trHeight w:val="28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主席单元</w:t>
            </w:r>
          </w:p>
        </w:tc>
        <w:tc>
          <w:tcPr>
            <w:tcW w:w="694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麦克风具有发言键与指示灯，可控制/指示本机状态</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单指向性，具防气爆音功能，配有防风防护罩</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系统中主席单元不受限制功能的限制，具主席优先控制按键，可启动系统提示音提醒出席人员注意，可设永久终止或暂停终止所有发言代表麦克风的发言状态</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系统中主席单元数量不受限制，并可置于回路中任意位置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可绕式电容麦克风杆，并具有发言指示光环</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单元由系统主机供电，输入电压18V属安全范围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单元采用8芯线“T”型连接</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可具有自动视像跟踪功能</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频率响应：50-16kHz</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灵敏度：-42dB±2dB</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液晶显示，简、繁、英三种语言可选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1 </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主席控制内嵌软件</w:t>
            </w:r>
          </w:p>
        </w:tc>
        <w:tc>
          <w:tcPr>
            <w:tcW w:w="694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主席控制内嵌软件(与指挥系统主机配套)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1 </w:t>
            </w:r>
          </w:p>
        </w:tc>
      </w:tr>
      <w:tr>
        <w:tblPrEx>
          <w:tblCellMar>
            <w:top w:w="0" w:type="dxa"/>
            <w:left w:w="0" w:type="dxa"/>
            <w:bottom w:w="0" w:type="dxa"/>
            <w:right w:w="0" w:type="dxa"/>
          </w:tblCellMar>
        </w:tblPrEx>
        <w:trPr>
          <w:trHeight w:val="21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代表单元</w:t>
            </w:r>
          </w:p>
        </w:tc>
        <w:tc>
          <w:tcPr>
            <w:tcW w:w="694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麦克风具有发言键与指示灯，可控制/指示本机状态</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单指向性，具防气爆音功能，配有防风防护罩</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可绕式电容麦克风杆，并具有发言指示光环</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单元由系统主机供电，输入电压18V属安全范围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单元采用8芯线“T”型连接</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可具有自动视像跟踪功能</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频率响应：50-16kHz</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灵敏度：-42dB±2dB</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液晶显示，简、繁、英三种语言可选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17 </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手拉手代表控制内嵌软件</w:t>
            </w:r>
          </w:p>
        </w:tc>
        <w:tc>
          <w:tcPr>
            <w:tcW w:w="694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手拉手代表控制内嵌软件(与指挥系统主机配套)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17 </w:t>
            </w:r>
          </w:p>
        </w:tc>
      </w:tr>
      <w:tr>
        <w:tblPrEx>
          <w:tblCellMar>
            <w:top w:w="0" w:type="dxa"/>
            <w:left w:w="0" w:type="dxa"/>
            <w:bottom w:w="0" w:type="dxa"/>
            <w:right w:w="0"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7</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连接线</w:t>
            </w:r>
          </w:p>
        </w:tc>
        <w:tc>
          <w:tcPr>
            <w:tcW w:w="694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20米8芯数字手拉手会议专用电缆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5 </w:t>
            </w:r>
          </w:p>
        </w:tc>
      </w:tr>
      <w:tr>
        <w:tblPrEx>
          <w:tblCellMar>
            <w:top w:w="0" w:type="dxa"/>
            <w:left w:w="0" w:type="dxa"/>
            <w:bottom w:w="0" w:type="dxa"/>
            <w:right w:w="0"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插座</w:t>
            </w:r>
          </w:p>
        </w:tc>
        <w:tc>
          <w:tcPr>
            <w:tcW w:w="69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8芯专用地插盒：一进三出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5 </w:t>
            </w:r>
          </w:p>
        </w:tc>
      </w:tr>
      <w:tr>
        <w:tblPrEx>
          <w:tblCellMar>
            <w:top w:w="0" w:type="dxa"/>
            <w:left w:w="0" w:type="dxa"/>
            <w:bottom w:w="0" w:type="dxa"/>
            <w:right w:w="0" w:type="dxa"/>
          </w:tblCellMar>
        </w:tblPrEx>
        <w:trPr>
          <w:trHeight w:val="407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9</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指挥系统主机</w:t>
            </w:r>
          </w:p>
        </w:tc>
        <w:tc>
          <w:tcPr>
            <w:tcW w:w="694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4.3英寸真彩色触摸屏，内嵌式Linux智能控制系统，采用数字阵列集成电路技术，低功耗、高保真、极稳定；中/英文操作界面切换功能。</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主机具有摄像跟踪、会议讨论、表决功能,可触摸设置不少于6种会议模式、AUX音量调节、单元喇叭音量调节、单元编号、系统高频补偿调节、视像跟踪设置和倒计时设置等。</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发言人数限制(可自由设定1-9支)、可全开放。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会议系统主机可设置不少于七种发言模式：“主席专用”模式、“自由”模式、“限制”模式、“轮替”模式、“申请”模式、“声控”模式；“倒计时”模式；。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自动关机(A. Off)：即是可以选择麦克风发言完毕后是否在45秒内自动关闭。（会场声压低于40dB时才触发）。</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开机自检功能,连接状态不正常时主机产生锋鸣。</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断电智能记忆功能，可记忆程序运行状态。</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内置电话偶合器可用来召开远程电话会议。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具有4路8芯接口，可连接120席单元，可无限增加电源扩展功能。</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系统单元采用T型接法，即使系统中某支话筒出故障也不会导致系统死机和瘫痪，确保系统能高效正常使用，具有RS485接口，可进行远程控制及远程协助</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通过触摸屏触摸可控制菜单功能、音量调节、电话输入和总音量输出</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具有不少于1路TCP/IP网口接口，连接网络分线盒同步传输音频和控制信号。</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具有不少于1组光纤音频接口。</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具有不少于1路Dante接口，音频可扩展至整个Dante系统。</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具有不少于1路5V消防联动警报接口，此接口为扩展接口，可用于消防警报连接端口。</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具有USB录播功能，可对会议进行录音，并能播放U盘存贮的音频文件。</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具有电脑USB声卡播放功能，可同步播放电脑播放的音乐。</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具有WIFI控制功能，配合WIFI接收器，可通过手机APP控制主控机。</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支持单元复位功能</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具有DATA网络控制接口，控制网线可延长至1000米连接管理会议。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支持RS232中控控制，且具有双向收发码功能，与中控系统实现完美配合。</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多元化会场布控功能，连接电脑可进行模拟现场会议情景布图，可随时点击开启或关闭所有的列席话筒。</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智能自动EQ调节功能，系统开启不同数量的话筒时，总音量输出的声压保持不变。</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高频补偿调节功能，当系统话筒连接数量过多时，可针对发言者的声音特点进行高音补偿调节，直至达到完美的效果。</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不少于内置4进2出标清AV视频信号自动切换矩阵和和4进1出高清HDMI视频信号自动无缝切换矩阵。</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连接摄像机可实现摄像跟踪功能</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单机多达512个摄像机位置自动跟踪控制点。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兼容性极强，支持多种摄像球控制协议。（Pelco_P 、Pelco-D波特率9600、VISCA波特率9600）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支持三种摄像机控制接口。（RS232、RS422和RS485）。</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RS232端口可外接PC设置结合加密型软件同步联动操作，可实现计算机管理功能</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脱离电脑时，可通过主控机面板触摸屏或手机APP进行摄像位置预设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具一组AUX音频讯号输入端子，可外接CD播放机等音源输入设备。</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具3组音频讯号输出端子，可外接录音或音响设备。</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频率响应：40HZ～16KHZ</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总谐波失真：0.1％@1kHz</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信噪比：&gt;96dB</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输出负载：&lt;1KΩ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1 </w:t>
            </w:r>
          </w:p>
        </w:tc>
      </w:tr>
      <w:tr>
        <w:tblPrEx>
          <w:tblCellMar>
            <w:top w:w="0" w:type="dxa"/>
            <w:left w:w="0" w:type="dxa"/>
            <w:bottom w:w="0" w:type="dxa"/>
            <w:right w:w="0"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全数字指挥系统音频传输内嵌软件</w:t>
            </w:r>
          </w:p>
        </w:tc>
        <w:tc>
          <w:tcPr>
            <w:tcW w:w="694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指系统主机音频管理软件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1 </w:t>
            </w:r>
          </w:p>
        </w:tc>
      </w:tr>
      <w:tr>
        <w:tblPrEx>
          <w:tblCellMar>
            <w:top w:w="0" w:type="dxa"/>
            <w:left w:w="0" w:type="dxa"/>
            <w:bottom w:w="0" w:type="dxa"/>
            <w:right w:w="0" w:type="dxa"/>
          </w:tblCellMar>
        </w:tblPrEx>
        <w:trPr>
          <w:trHeight w:val="240" w:hRule="atLeast"/>
        </w:trPr>
        <w:tc>
          <w:tcPr>
            <w:tcW w:w="9675" w:type="dxa"/>
            <w:gridSpan w:val="5"/>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四、信号处理及中控</w:t>
            </w:r>
          </w:p>
        </w:tc>
      </w:tr>
      <w:tr>
        <w:tblPrEx>
          <w:tblCellMar>
            <w:top w:w="0" w:type="dxa"/>
            <w:left w:w="0" w:type="dxa"/>
            <w:bottom w:w="0" w:type="dxa"/>
            <w:right w:w="0" w:type="dxa"/>
          </w:tblCellMar>
        </w:tblPrEx>
        <w:trPr>
          <w:trHeight w:val="217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等线"/>
                <w:color w:val="000000"/>
                <w:sz w:val="18"/>
                <w:szCs w:val="18"/>
              </w:rPr>
            </w:pPr>
            <w:r>
              <w:rPr>
                <w:rFonts w:ascii="宋体" w:hAnsi="宋体" w:cs="等线"/>
                <w:color w:val="000000"/>
                <w:kern w:val="0"/>
                <w:sz w:val="18"/>
                <w:szCs w:val="18"/>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等线"/>
                <w:color w:val="000000"/>
                <w:sz w:val="18"/>
                <w:szCs w:val="18"/>
              </w:rPr>
            </w:pPr>
            <w:r>
              <w:rPr>
                <w:rFonts w:ascii="宋体" w:hAnsi="宋体" w:cs="等线"/>
                <w:color w:val="000000"/>
                <w:kern w:val="0"/>
                <w:sz w:val="18"/>
                <w:szCs w:val="18"/>
                <w:lang w:bidi="ar"/>
              </w:rPr>
              <w:t>分布式综合管理平台</w:t>
            </w:r>
          </w:p>
        </w:tc>
        <w:tc>
          <w:tcPr>
            <w:tcW w:w="694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云服务系统软件中实现集成管理，整体音视频交互所见即所得管理，实时数据库以及后台数据库构成</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采用托拽式控制，实时图像可通过多点触摸放大和缩小。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系统集成应用可通过内附的云网络通讯开发包API和网络控制协议进行支持</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支持C/S和B/S架构，提供IPAD，ANDORID及PC平台软件，提供基于TCP/IP协议的SDK和HTTP的SDK；</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音视频设备管理，具有大屏开窗、叠加功能、漫游功能、信号切换、KVM切换、音频切换；(附省级或国家级带有CMA及CAL标识的电子信息产品质量监督院出具的检测报告证明复印件并加盖制造商公章）</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IT设备管理及数据采集；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★需支持会议预约系统（制造商须具国家版权局颁发的会议预约查询系统软件著作权证书并附复印件加盖制造商公章）；</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需支持信息发布系统（制造商须具国家版权局颁发的信息发布展示系统软件著作权证书并附复印件加盖制造商公章）；</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需支持视频会议和网络视频流媒体管理；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需支持BA楼控系统管理；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应具有监控视频系统管理，可调用监控摄像头视频信号及控制；</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消防、安防系统管理；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支持IP电话系统包；</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支持智能语音识别实现图像上墙，切换，音量控制和环境控制；</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支持内置GIS地图及高分8K上墙；</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字幕OSD上墙；</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网络摄像机云台，缩放及预置位调用；</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具有信号源触摸手势滑动推送至虚拟墙功能；</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具有信号源检索功能；</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具有摄像头云台控制功能；</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具有数据备份功能；</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具有场景导航功能</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制造商须具国家版权局颁发的可视化逻辑设计软件著作权证书(附复印件并加盖制造商公章)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等线"/>
                <w:color w:val="000000"/>
                <w:sz w:val="18"/>
                <w:szCs w:val="18"/>
              </w:rPr>
            </w:pPr>
            <w:r>
              <w:rPr>
                <w:rFonts w:ascii="宋体" w:hAnsi="宋体" w:cs="等线"/>
                <w:color w:val="000000"/>
                <w:kern w:val="0"/>
                <w:sz w:val="18"/>
                <w:szCs w:val="18"/>
                <w:lang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等线"/>
                <w:color w:val="000000"/>
                <w:sz w:val="18"/>
                <w:szCs w:val="18"/>
              </w:rPr>
            </w:pPr>
            <w:r>
              <w:rPr>
                <w:rFonts w:ascii="宋体" w:hAnsi="宋体" w:cs="等线"/>
                <w:color w:val="000000"/>
                <w:kern w:val="0"/>
                <w:sz w:val="18"/>
                <w:szCs w:val="18"/>
                <w:lang w:bidi="ar"/>
              </w:rPr>
              <w:t xml:space="preserve">1 </w:t>
            </w:r>
          </w:p>
        </w:tc>
      </w:tr>
      <w:tr>
        <w:tblPrEx>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等线"/>
                <w:color w:val="000000"/>
                <w:sz w:val="18"/>
                <w:szCs w:val="18"/>
              </w:rPr>
            </w:pPr>
            <w:r>
              <w:rPr>
                <w:rFonts w:ascii="宋体" w:hAnsi="宋体" w:cs="等线"/>
                <w:color w:val="000000"/>
                <w:kern w:val="0"/>
                <w:sz w:val="18"/>
                <w:szCs w:val="18"/>
                <w:lang w:bidi="ar"/>
              </w:rPr>
              <w:t>2</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等线"/>
                <w:color w:val="000000"/>
                <w:sz w:val="18"/>
                <w:szCs w:val="18"/>
              </w:rPr>
            </w:pPr>
            <w:r>
              <w:rPr>
                <w:rFonts w:ascii="宋体" w:hAnsi="宋体" w:cs="等线"/>
                <w:color w:val="000000"/>
                <w:kern w:val="0"/>
                <w:sz w:val="18"/>
                <w:szCs w:val="18"/>
                <w:lang w:bidi="ar"/>
              </w:rPr>
              <w:t>可视化系统软件</w:t>
            </w:r>
          </w:p>
        </w:tc>
        <w:tc>
          <w:tcPr>
            <w:tcW w:w="694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定制化的图形界面；</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视频回放及拖拽控制；</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应急预案及处理控制；</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信息发布及预约信息；</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云平台远程管理；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照明控制；</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资产管理及报表；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等线"/>
                <w:color w:val="000000"/>
                <w:sz w:val="18"/>
                <w:szCs w:val="18"/>
              </w:rPr>
            </w:pPr>
            <w:r>
              <w:rPr>
                <w:rFonts w:ascii="宋体" w:hAnsi="宋体" w:cs="等线"/>
                <w:color w:val="000000"/>
                <w:kern w:val="0"/>
                <w:sz w:val="18"/>
                <w:szCs w:val="18"/>
                <w:lang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等线"/>
                <w:color w:val="000000"/>
                <w:sz w:val="18"/>
                <w:szCs w:val="18"/>
              </w:rPr>
            </w:pPr>
            <w:r>
              <w:rPr>
                <w:rFonts w:ascii="宋体" w:hAnsi="宋体" w:cs="等线"/>
                <w:color w:val="000000"/>
                <w:kern w:val="0"/>
                <w:sz w:val="18"/>
                <w:szCs w:val="18"/>
                <w:lang w:bidi="ar"/>
              </w:rPr>
              <w:t xml:space="preserve">1 </w:t>
            </w:r>
          </w:p>
        </w:tc>
      </w:tr>
      <w:tr>
        <w:tblPrEx>
          <w:tblCellMar>
            <w:top w:w="0" w:type="dxa"/>
            <w:left w:w="0" w:type="dxa"/>
            <w:bottom w:w="0" w:type="dxa"/>
            <w:right w:w="0" w:type="dxa"/>
          </w:tblCellMar>
        </w:tblPrEx>
        <w:trPr>
          <w:trHeight w:val="67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等线"/>
                <w:color w:val="000000"/>
                <w:sz w:val="18"/>
                <w:szCs w:val="18"/>
              </w:rPr>
            </w:pPr>
            <w:r>
              <w:rPr>
                <w:rFonts w:ascii="宋体" w:hAnsi="宋体" w:cs="等线"/>
                <w:color w:val="000000"/>
                <w:kern w:val="0"/>
                <w:sz w:val="18"/>
                <w:szCs w:val="18"/>
                <w:lang w:bidi="ar"/>
              </w:rPr>
              <w:t>3</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等线"/>
                <w:color w:val="000000"/>
                <w:sz w:val="18"/>
                <w:szCs w:val="18"/>
              </w:rPr>
            </w:pPr>
            <w:r>
              <w:rPr>
                <w:rFonts w:ascii="宋体" w:hAnsi="宋体" w:cs="等线"/>
                <w:color w:val="000000"/>
                <w:kern w:val="0"/>
                <w:sz w:val="18"/>
                <w:szCs w:val="18"/>
                <w:lang w:bidi="ar"/>
              </w:rPr>
              <w:t>分布式输入节点</w:t>
            </w:r>
          </w:p>
        </w:tc>
        <w:tc>
          <w:tcPr>
            <w:tcW w:w="694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auto"/>
                <w:kern w:val="0"/>
                <w:sz w:val="18"/>
                <w:szCs w:val="18"/>
                <w:u w:val="none"/>
                <w:lang w:bidi="ar"/>
              </w:rPr>
              <w:fldChar w:fldCharType="begin"/>
            </w:r>
            <w:r>
              <w:rPr>
                <w:rFonts w:hint="eastAsia" w:ascii="宋体" w:hAnsi="宋体" w:cs="宋体"/>
                <w:color w:val="auto"/>
                <w:kern w:val="0"/>
                <w:sz w:val="18"/>
                <w:szCs w:val="18"/>
                <w:u w:val="none"/>
                <w:lang w:bidi="ar"/>
              </w:rPr>
              <w:instrText xml:space="preserve"> HYPERLINK ""</w:instrText>
            </w:r>
            <w:r>
              <w:rPr>
                <w:rFonts w:hint="eastAsia" w:ascii="宋体" w:hAnsi="宋体" w:cs="宋体"/>
                <w:color w:val="auto"/>
                <w:kern w:val="0"/>
                <w:sz w:val="18"/>
                <w:szCs w:val="18"/>
                <w:u w:val="none"/>
                <w:lang w:bidi="ar"/>
              </w:rPr>
              <w:fldChar w:fldCharType="separate"/>
            </w:r>
            <w:r>
              <w:rPr>
                <w:rStyle w:val="28"/>
                <w:rFonts w:hint="eastAsia" w:ascii="宋体" w:hAnsi="宋体" w:cs="宋体"/>
                <w:color w:val="auto"/>
                <w:sz w:val="18"/>
                <w:szCs w:val="18"/>
                <w:u w:val="none"/>
              </w:rPr>
              <w:t>全网络相连，包括音频，视频，控制信号，自带POE供电RJ45接口；</w:t>
            </w:r>
            <w:r>
              <w:rPr>
                <w:rStyle w:val="28"/>
                <w:rFonts w:hint="eastAsia" w:ascii="宋体" w:hAnsi="宋体" w:cs="宋体"/>
                <w:color w:val="auto"/>
                <w:sz w:val="18"/>
                <w:szCs w:val="18"/>
                <w:u w:val="none"/>
              </w:rPr>
              <w:br w:type="textWrapping"/>
            </w:r>
            <w:r>
              <w:rPr>
                <w:rStyle w:val="28"/>
                <w:rFonts w:hint="eastAsia" w:ascii="宋体" w:hAnsi="宋体" w:cs="宋体"/>
                <w:color w:val="auto"/>
                <w:sz w:val="18"/>
                <w:szCs w:val="18"/>
                <w:u w:val="none"/>
              </w:rPr>
              <w:t>采用分布式设计，无中心单元，降低系统运行风险，减少维护成本；</w:t>
            </w:r>
            <w:r>
              <w:rPr>
                <w:rStyle w:val="28"/>
                <w:rFonts w:hint="eastAsia" w:ascii="宋体" w:hAnsi="宋体" w:cs="宋体"/>
                <w:color w:val="auto"/>
                <w:sz w:val="18"/>
                <w:szCs w:val="18"/>
                <w:u w:val="none"/>
              </w:rPr>
              <w:br w:type="textWrapping"/>
            </w:r>
            <w:r>
              <w:rPr>
                <w:rStyle w:val="28"/>
                <w:rFonts w:hint="eastAsia" w:ascii="宋体" w:hAnsi="宋体" w:cs="宋体"/>
                <w:color w:val="auto"/>
                <w:sz w:val="18"/>
                <w:szCs w:val="18"/>
                <w:u w:val="none"/>
              </w:rPr>
              <w:t>单个分布式输入单元，支持HDMI，YPbPr、DVI、VGA、网络、SDI、音频输入， 支持两个USB接口输入（附省级或国家级电子信息产品质量监督院出具的检测报告证明复印件并加盖制造商公章）</w:t>
            </w:r>
            <w:r>
              <w:rPr>
                <w:rStyle w:val="28"/>
                <w:rFonts w:hint="eastAsia" w:ascii="宋体" w:hAnsi="宋体" w:cs="宋体"/>
                <w:color w:val="auto"/>
                <w:sz w:val="18"/>
                <w:szCs w:val="18"/>
                <w:u w:val="none"/>
              </w:rPr>
              <w:br w:type="textWrapping"/>
            </w:r>
            <w:r>
              <w:rPr>
                <w:rStyle w:val="28"/>
                <w:rFonts w:hint="eastAsia" w:ascii="宋体" w:hAnsi="宋体" w:cs="宋体"/>
                <w:color w:val="auto"/>
                <w:sz w:val="18"/>
                <w:szCs w:val="18"/>
                <w:u w:val="none"/>
              </w:rPr>
              <w:t>★单个分布式输入单元具有一路串口、一路红外、一路IO信号及路NET口；（附省级或国家级电子信息产品质量监督院出具的检测报告证明复印件并加盖制造商公章）</w:t>
            </w:r>
            <w:r>
              <w:rPr>
                <w:rStyle w:val="28"/>
                <w:rFonts w:hint="eastAsia" w:ascii="宋体" w:hAnsi="宋体" w:cs="宋体"/>
                <w:color w:val="auto"/>
                <w:sz w:val="18"/>
                <w:szCs w:val="18"/>
                <w:u w:val="none"/>
              </w:rPr>
              <w:br w:type="textWrapping"/>
            </w:r>
            <w:r>
              <w:rPr>
                <w:rStyle w:val="28"/>
                <w:rFonts w:hint="eastAsia" w:ascii="宋体" w:hAnsi="宋体" w:cs="宋体"/>
                <w:color w:val="auto"/>
                <w:sz w:val="18"/>
                <w:szCs w:val="18"/>
                <w:u w:val="none"/>
              </w:rPr>
              <w:t>支持4k H.265码流输入，4k@60P输出，兼容2K H.264输入；支持4K@30P HDMI输入并编码。</w:t>
            </w:r>
            <w:r>
              <w:rPr>
                <w:rStyle w:val="28"/>
                <w:rFonts w:hint="eastAsia" w:ascii="宋体" w:hAnsi="宋体" w:cs="宋体"/>
                <w:color w:val="auto"/>
                <w:sz w:val="18"/>
                <w:szCs w:val="18"/>
                <w:u w:val="none"/>
              </w:rPr>
              <w:br w:type="textWrapping"/>
            </w:r>
            <w:r>
              <w:rPr>
                <w:rStyle w:val="28"/>
                <w:rFonts w:hint="eastAsia" w:ascii="宋体" w:hAnsi="宋体" w:cs="宋体"/>
                <w:color w:val="auto"/>
                <w:sz w:val="18"/>
                <w:szCs w:val="18"/>
                <w:u w:val="none"/>
              </w:rPr>
              <w:t>双网络备份，双网口备份机制，实现双物理网络实时备份；</w:t>
            </w:r>
            <w:r>
              <w:rPr>
                <w:rStyle w:val="28"/>
                <w:rFonts w:hint="eastAsia" w:ascii="宋体" w:hAnsi="宋体" w:cs="宋体"/>
                <w:color w:val="auto"/>
                <w:sz w:val="18"/>
                <w:szCs w:val="18"/>
                <w:u w:val="none"/>
              </w:rPr>
              <w:br w:type="textWrapping"/>
            </w:r>
            <w:r>
              <w:rPr>
                <w:rStyle w:val="28"/>
                <w:rFonts w:hint="eastAsia" w:ascii="宋体" w:hAnsi="宋体" w:cs="宋体"/>
                <w:color w:val="auto"/>
                <w:sz w:val="18"/>
                <w:szCs w:val="18"/>
                <w:u w:val="none"/>
              </w:rPr>
              <w:t>每个单元均带有IO端口，做输出使用时可以提供5V电压做弱电控制配合接触器可以控制大电流设备，也可以做输入使用，与各种传感器连接；</w:t>
            </w:r>
            <w:r>
              <w:rPr>
                <w:rStyle w:val="28"/>
                <w:rFonts w:hint="eastAsia" w:ascii="宋体" w:hAnsi="宋体" w:cs="宋体"/>
                <w:color w:val="auto"/>
                <w:sz w:val="18"/>
                <w:szCs w:val="18"/>
                <w:u w:val="none"/>
              </w:rPr>
              <w:br w:type="textWrapping"/>
            </w:r>
            <w:r>
              <w:rPr>
                <w:rStyle w:val="28"/>
                <w:rFonts w:hint="eastAsia" w:ascii="宋体" w:hAnsi="宋体" w:cs="宋体"/>
                <w:color w:val="auto"/>
                <w:sz w:val="18"/>
                <w:szCs w:val="18"/>
                <w:u w:val="none"/>
              </w:rPr>
              <w:t>每个输入单元均采用强大性能的逻辑处理芯片以及数据流编解码芯片，保证系统运行的流畅性，音视频传输的无损化；</w:t>
            </w:r>
            <w:r>
              <w:rPr>
                <w:rStyle w:val="28"/>
                <w:rFonts w:hint="eastAsia" w:ascii="宋体" w:hAnsi="宋体" w:cs="宋体"/>
                <w:color w:val="auto"/>
                <w:sz w:val="18"/>
                <w:szCs w:val="18"/>
                <w:u w:val="none"/>
              </w:rPr>
              <w:br w:type="textWrapping"/>
            </w:r>
            <w:r>
              <w:rPr>
                <w:rStyle w:val="28"/>
                <w:rFonts w:hint="eastAsia" w:ascii="宋体" w:hAnsi="宋体" w:cs="宋体"/>
                <w:color w:val="auto"/>
                <w:sz w:val="18"/>
                <w:szCs w:val="18"/>
                <w:u w:val="none"/>
              </w:rPr>
              <w:t>分布式输入单元已经对输入信号进行了高画质编码并数据流化，可以实现整系统的录播功能；</w:t>
            </w:r>
            <w:r>
              <w:rPr>
                <w:rStyle w:val="28"/>
                <w:rFonts w:hint="eastAsia" w:ascii="宋体" w:hAnsi="宋体" w:cs="宋体"/>
                <w:color w:val="auto"/>
                <w:sz w:val="18"/>
                <w:szCs w:val="18"/>
                <w:u w:val="none"/>
              </w:rPr>
              <w:br w:type="textWrapping"/>
            </w:r>
            <w:r>
              <w:rPr>
                <w:rStyle w:val="28"/>
                <w:rFonts w:hint="eastAsia" w:ascii="宋体" w:hAnsi="宋体" w:cs="宋体"/>
                <w:color w:val="auto"/>
                <w:sz w:val="18"/>
                <w:szCs w:val="18"/>
                <w:u w:val="none"/>
              </w:rPr>
              <w:t xml:space="preserve">完美的可视化操作，配合定制APP,在iPad，ANDORID，PC上能看到每个输入节点的视频，系统具有双流监看功能。   </w:t>
            </w:r>
            <w:r>
              <w:rPr>
                <w:rStyle w:val="28"/>
                <w:rFonts w:hint="eastAsia" w:ascii="宋体" w:hAnsi="宋体" w:cs="宋体"/>
                <w:color w:val="auto"/>
                <w:sz w:val="18"/>
                <w:szCs w:val="18"/>
                <w:u w:val="none"/>
              </w:rPr>
              <w:br w:type="textWrapping"/>
            </w:r>
            <w:r>
              <w:rPr>
                <w:rStyle w:val="28"/>
                <w:rFonts w:hint="eastAsia" w:ascii="宋体" w:hAnsi="宋体" w:cs="宋体"/>
                <w:color w:val="auto"/>
                <w:sz w:val="18"/>
                <w:szCs w:val="18"/>
                <w:u w:val="none"/>
              </w:rPr>
              <w:t>带USB*2接口，支持无线键盘鼠标实现KVM功能（定制），还支持外接移动硬盘进行数据存储</w:t>
            </w:r>
            <w:r>
              <w:rPr>
                <w:rStyle w:val="28"/>
                <w:rFonts w:hint="eastAsia" w:ascii="宋体" w:hAnsi="宋体" w:cs="宋体"/>
                <w:color w:val="auto"/>
                <w:sz w:val="18"/>
                <w:szCs w:val="18"/>
                <w:u w:val="none"/>
              </w:rPr>
              <w:br w:type="textWrapping"/>
            </w:r>
            <w:r>
              <w:rPr>
                <w:rStyle w:val="28"/>
                <w:rFonts w:hint="eastAsia" w:ascii="宋体" w:hAnsi="宋体" w:cs="宋体"/>
                <w:color w:val="auto"/>
                <w:sz w:val="18"/>
                <w:szCs w:val="18"/>
                <w:u w:val="none"/>
              </w:rPr>
              <w:t>具有3C认证证书(附复印件加盖制造商公章)</w:t>
            </w:r>
            <w:r>
              <w:rPr>
                <w:rStyle w:val="28"/>
                <w:rFonts w:hint="eastAsia" w:ascii="宋体" w:hAnsi="宋体" w:cs="宋体"/>
                <w:color w:val="auto"/>
                <w:sz w:val="18"/>
                <w:szCs w:val="18"/>
                <w:u w:val="none"/>
              </w:rPr>
              <w:br w:type="textWrapping"/>
            </w:r>
            <w:r>
              <w:rPr>
                <w:rStyle w:val="28"/>
                <w:rFonts w:hint="eastAsia" w:ascii="宋体" w:hAnsi="宋体" w:cs="宋体"/>
                <w:color w:val="auto"/>
                <w:sz w:val="18"/>
                <w:szCs w:val="18"/>
                <w:u w:val="none"/>
              </w:rPr>
              <w:t>制造商应具有武器装备质量管理体系认证证书、全国质量检验稳定合格产品证书、信息安全管理体系认证证书、全国产品和服务质量诚信示范企业证书、高新企业证书(附复印件加盖制造商公章)</w:t>
            </w:r>
            <w:r>
              <w:rPr>
                <w:rFonts w:hint="eastAsia" w:ascii="宋体" w:hAnsi="宋体" w:cs="宋体"/>
                <w:color w:val="auto"/>
                <w:kern w:val="0"/>
                <w:sz w:val="18"/>
                <w:szCs w:val="18"/>
                <w:u w:val="none"/>
                <w:lang w:bidi="ar"/>
              </w:rPr>
              <w:fldChar w:fldCharType="end"/>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等线"/>
                <w:color w:val="000000"/>
                <w:sz w:val="18"/>
                <w:szCs w:val="18"/>
              </w:rPr>
            </w:pPr>
            <w:r>
              <w:rPr>
                <w:rFonts w:ascii="宋体" w:hAnsi="宋体" w:cs="等线"/>
                <w:color w:val="000000"/>
                <w:kern w:val="0"/>
                <w:sz w:val="18"/>
                <w:szCs w:val="18"/>
                <w:lang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等线"/>
                <w:color w:val="000000"/>
                <w:sz w:val="18"/>
                <w:szCs w:val="18"/>
              </w:rPr>
            </w:pPr>
            <w:r>
              <w:rPr>
                <w:rFonts w:ascii="宋体" w:hAnsi="宋体" w:cs="等线"/>
                <w:color w:val="000000"/>
                <w:kern w:val="0"/>
                <w:sz w:val="18"/>
                <w:szCs w:val="18"/>
                <w:lang w:bidi="ar"/>
              </w:rPr>
              <w:t xml:space="preserve">31 </w:t>
            </w:r>
          </w:p>
        </w:tc>
      </w:tr>
      <w:tr>
        <w:tblPrEx>
          <w:tblCellMar>
            <w:top w:w="0" w:type="dxa"/>
            <w:left w:w="0" w:type="dxa"/>
            <w:bottom w:w="0" w:type="dxa"/>
            <w:right w:w="0" w:type="dxa"/>
          </w:tblCellMar>
        </w:tblPrEx>
        <w:trPr>
          <w:trHeight w:val="6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等线"/>
                <w:color w:val="000000"/>
                <w:sz w:val="18"/>
                <w:szCs w:val="18"/>
              </w:rPr>
            </w:pPr>
            <w:r>
              <w:rPr>
                <w:rFonts w:ascii="宋体" w:hAnsi="宋体" w:cs="等线"/>
                <w:color w:val="000000"/>
                <w:kern w:val="0"/>
                <w:sz w:val="18"/>
                <w:szCs w:val="18"/>
                <w:lang w:bidi="ar"/>
              </w:rPr>
              <w:t>4</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等线"/>
                <w:color w:val="000000"/>
                <w:sz w:val="18"/>
                <w:szCs w:val="18"/>
              </w:rPr>
            </w:pPr>
            <w:r>
              <w:rPr>
                <w:rFonts w:ascii="宋体" w:hAnsi="宋体" w:cs="等线"/>
                <w:color w:val="000000"/>
                <w:kern w:val="0"/>
                <w:sz w:val="18"/>
                <w:szCs w:val="18"/>
                <w:lang w:bidi="ar"/>
              </w:rPr>
              <w:t>分布式输出节点</w:t>
            </w:r>
          </w:p>
        </w:tc>
        <w:tc>
          <w:tcPr>
            <w:tcW w:w="694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全网络相连，包括音频，视频，控制信号，自带POE供电RJ45接口；</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采用分布式设计，无中心单元，降低系统运行风险，减少维护成本；</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单个分布式输出单元，支持HDMI，YPbPr、DVI、VGA、网络、SDI、音频输出，支持两个USB接口输出（附省级或国家级电子信息产品质量监督院出具的检测报告证明复印件并加盖制造商公章）</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单个分布式输出单元具有一路串口、一路红外、一路IO信号及路NET口；（附省级或国家级电子信息产品质量监督院出具的检测报告证明复印件并加盖制造商公章）</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支持4k H.265码流输入，4k@60P输出，兼容2K H.264输入；支持4K@30P HDMI输入并编码。</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双网络备份，双网口备份机制，实现双物理网络实时备份；</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每个单元均带有IO端口，做输出使用时可以提供5V电压做弱电控制配合接触器可以控制大电流设备，也可以做输入使用，与各种传感器连接；</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每个输入单元均采用强大性能的逻辑处理芯片以及数据流编解码芯片，保证系统运行的流畅性，音视频传输的无损化；</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分布式输入单元已经对输入信号进行了高画质编码并数据流化，可以实现整系统的录播功能；</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实现拼接处理器功能，可叠加、漫游、跨屏、单屏开64个窗口。</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完美的可视化操作，配合定制APP,在iPad，ANDORID，PC上能看到每个输入节点的视频，系统具有双流监看功能。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支持通过语音识别，实现图像缩放，切换和移动；</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带USB*2接口，其中一个可以外接无线键盘鼠标实现KVM功能，另外一个外接硬盘进行图像录像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具有3C认证证书、武器装备质量管理体系认证证书、全国质量检验稳定合格产品证书、信息安全管理体系认证证书、全国产品和服务质量诚信示范企业证书、高新企业证书(附复印件加盖制造商公章)(附复印件加盖制造商公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等线"/>
                <w:color w:val="000000"/>
                <w:sz w:val="18"/>
                <w:szCs w:val="18"/>
              </w:rPr>
            </w:pPr>
            <w:r>
              <w:rPr>
                <w:rFonts w:ascii="宋体" w:hAnsi="宋体" w:cs="等线"/>
                <w:color w:val="000000"/>
                <w:kern w:val="0"/>
                <w:sz w:val="18"/>
                <w:szCs w:val="18"/>
                <w:lang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等线"/>
                <w:color w:val="000000"/>
                <w:sz w:val="18"/>
                <w:szCs w:val="18"/>
              </w:rPr>
            </w:pPr>
            <w:r>
              <w:rPr>
                <w:rFonts w:ascii="宋体" w:hAnsi="宋体" w:cs="等线"/>
                <w:color w:val="000000"/>
                <w:kern w:val="0"/>
                <w:sz w:val="18"/>
                <w:szCs w:val="18"/>
                <w:lang w:bidi="ar"/>
              </w:rPr>
              <w:t xml:space="preserve">32 </w:t>
            </w:r>
          </w:p>
        </w:tc>
      </w:tr>
      <w:tr>
        <w:tblPrEx>
          <w:tblCellMar>
            <w:top w:w="0" w:type="dxa"/>
            <w:left w:w="0" w:type="dxa"/>
            <w:bottom w:w="0" w:type="dxa"/>
            <w:right w:w="0" w:type="dxa"/>
          </w:tblCellMar>
        </w:tblPrEx>
        <w:trPr>
          <w:trHeight w:val="6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等线"/>
                <w:color w:val="000000"/>
                <w:sz w:val="18"/>
                <w:szCs w:val="18"/>
              </w:rPr>
            </w:pPr>
            <w:r>
              <w:rPr>
                <w:rFonts w:ascii="宋体" w:hAnsi="宋体" w:cs="等线"/>
                <w:color w:val="000000"/>
                <w:kern w:val="0"/>
                <w:sz w:val="18"/>
                <w:szCs w:val="18"/>
                <w:lang w:bidi="ar"/>
              </w:rPr>
              <w:t>5</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等线"/>
                <w:color w:val="000000"/>
                <w:sz w:val="18"/>
                <w:szCs w:val="18"/>
              </w:rPr>
            </w:pPr>
            <w:r>
              <w:rPr>
                <w:rFonts w:ascii="宋体" w:hAnsi="宋体" w:cs="等线"/>
                <w:color w:val="000000"/>
                <w:kern w:val="0"/>
                <w:sz w:val="18"/>
                <w:szCs w:val="18"/>
                <w:lang w:bidi="ar"/>
              </w:rPr>
              <w:t>网络中控</w:t>
            </w:r>
          </w:p>
        </w:tc>
        <w:tc>
          <w:tcPr>
            <w:tcW w:w="694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ARM11 1GHZ CPU，1G内存，2G Flash闪存；</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ARM11 1GHZ CPU，1G内存，2G Flash闪存；</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支持SSL加密技术、A-Control技术；支持SNMP，内置防火墙；</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内置WEB SERVER，兼容KNX EIB成员的产品，支持楼控协议MODBUS，BACNET等；</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支持浏览器B/S模式控制，支持IPAD、ANDROID C/S控制模式；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支持模块及COMPILER+语言编程方式，使系统更加智能、方便、稳定；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支持 OA OUTLOOK会议预约，FLASH、虚拟仿真二次接口编程；</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支持受控设备双向实时状态反馈功能及WIFI视频回放；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A-NET、A-NET2双总线技术, 可扩充达1024个网络设备</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至少8路RS-232/485串行接口（带有CMA及CAL标识的检测报告证明复印件证明并加盖制造商公章）</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8路红外接口、8路弱电继电器接口、8路数字输I/O接口（带有CMA及CAL标识的检测报告证明复印件证明并加盖制造商公章）</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接触电流&lt;3.5mA（带有CMA及CAL标识的检测报告证明复印件证明并加盖制造商公章）</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1500V交流情况下至少1min无飞弧无击穿（带有CMA及CAL标识的检测报告证明复印件证明并加盖制造商公章）</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1个USB通用编程接口（带有CMA及CAL标识的检测报告证明复印件证明并加盖制造商公章）</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支持系统自动云诊断、云备份、云恢复；</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1个网络通用编程接口，可通过交换机实现远端至少256台PC的开关机管理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具有高新企业证书、3C、CE、ROHS、集中控制十大品牌证书、全国产品和服务质量诚信示范企业证书、全国质量检验稳定合格产品证书、信息安全管理体系认证证书(附复印件加盖制造商公章)(附复印件加盖制造商公章)</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★制造商应提供可视化界面设计软件著作权证书(附复印件并加盖制造商公章)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等线"/>
                <w:color w:val="000000"/>
                <w:sz w:val="18"/>
                <w:szCs w:val="18"/>
              </w:rPr>
            </w:pPr>
            <w:r>
              <w:rPr>
                <w:rFonts w:ascii="宋体" w:hAnsi="宋体" w:cs="等线"/>
                <w:color w:val="000000"/>
                <w:kern w:val="0"/>
                <w:sz w:val="18"/>
                <w:szCs w:val="18"/>
                <w:lang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等线"/>
                <w:color w:val="000000"/>
                <w:sz w:val="18"/>
                <w:szCs w:val="18"/>
              </w:rPr>
            </w:pPr>
            <w:r>
              <w:rPr>
                <w:rFonts w:ascii="宋体" w:hAnsi="宋体" w:cs="等线"/>
                <w:color w:val="000000"/>
                <w:kern w:val="0"/>
                <w:sz w:val="18"/>
                <w:szCs w:val="18"/>
                <w:lang w:bidi="ar"/>
              </w:rPr>
              <w:t xml:space="preserve">1 </w:t>
            </w:r>
          </w:p>
        </w:tc>
      </w:tr>
      <w:tr>
        <w:tblPrEx>
          <w:tblCellMar>
            <w:top w:w="0" w:type="dxa"/>
            <w:left w:w="0" w:type="dxa"/>
            <w:bottom w:w="0" w:type="dxa"/>
            <w:right w:w="0"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等线"/>
                <w:color w:val="000000"/>
                <w:sz w:val="18"/>
                <w:szCs w:val="18"/>
              </w:rPr>
            </w:pPr>
            <w:r>
              <w:rPr>
                <w:rFonts w:ascii="宋体" w:hAnsi="宋体" w:cs="等线"/>
                <w:color w:val="000000"/>
                <w:kern w:val="0"/>
                <w:sz w:val="18"/>
                <w:szCs w:val="18"/>
                <w:lang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等线"/>
                <w:color w:val="000000"/>
                <w:sz w:val="18"/>
                <w:szCs w:val="18"/>
              </w:rPr>
            </w:pPr>
            <w:r>
              <w:rPr>
                <w:rFonts w:ascii="宋体" w:hAnsi="宋体" w:cs="等线"/>
                <w:color w:val="000000"/>
                <w:kern w:val="0"/>
                <w:sz w:val="18"/>
                <w:szCs w:val="18"/>
                <w:lang w:bidi="ar"/>
              </w:rPr>
              <w:t>分布式中控系统逻辑处理内嵌软件</w:t>
            </w:r>
          </w:p>
        </w:tc>
        <w:tc>
          <w:tcPr>
            <w:tcW w:w="694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全面对接中控主机编程，实现各种动作的功能；</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兼容所有电气信号，进行相应的转换；</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自定义lua模块编程，实现更个性化的逻辑功能；</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特殊模块可以组合，适应更复杂的逻辑场景；</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提供计算机软件著作权登记证书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等线"/>
                <w:color w:val="000000"/>
                <w:sz w:val="18"/>
                <w:szCs w:val="18"/>
              </w:rPr>
            </w:pPr>
            <w:r>
              <w:rPr>
                <w:rFonts w:ascii="宋体" w:hAnsi="宋体" w:cs="等线"/>
                <w:color w:val="000000"/>
                <w:kern w:val="0"/>
                <w:sz w:val="18"/>
                <w:szCs w:val="18"/>
                <w:lang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等线"/>
                <w:color w:val="000000"/>
                <w:sz w:val="18"/>
                <w:szCs w:val="18"/>
              </w:rPr>
            </w:pPr>
            <w:r>
              <w:rPr>
                <w:rFonts w:ascii="宋体" w:hAnsi="宋体" w:cs="等线"/>
                <w:color w:val="000000"/>
                <w:kern w:val="0"/>
                <w:sz w:val="18"/>
                <w:szCs w:val="18"/>
                <w:lang w:bidi="ar"/>
              </w:rPr>
              <w:t xml:space="preserve">1 </w:t>
            </w:r>
          </w:p>
        </w:tc>
      </w:tr>
      <w:tr>
        <w:tblPrEx>
          <w:tblCellMar>
            <w:top w:w="0" w:type="dxa"/>
            <w:left w:w="0" w:type="dxa"/>
            <w:bottom w:w="0" w:type="dxa"/>
            <w:right w:w="0" w:type="dxa"/>
          </w:tblCellMar>
        </w:tblPrEx>
        <w:trPr>
          <w:trHeight w:val="38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等线"/>
                <w:color w:val="000000"/>
                <w:sz w:val="18"/>
                <w:szCs w:val="18"/>
              </w:rPr>
            </w:pPr>
            <w:r>
              <w:rPr>
                <w:rFonts w:ascii="宋体" w:hAnsi="宋体" w:cs="等线"/>
                <w:color w:val="000000"/>
                <w:kern w:val="0"/>
                <w:sz w:val="18"/>
                <w:szCs w:val="18"/>
                <w:lang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等线"/>
                <w:color w:val="000000"/>
                <w:sz w:val="18"/>
                <w:szCs w:val="18"/>
              </w:rPr>
            </w:pPr>
            <w:r>
              <w:rPr>
                <w:rFonts w:ascii="宋体" w:hAnsi="宋体" w:cs="等线"/>
                <w:color w:val="000000"/>
                <w:kern w:val="0"/>
                <w:sz w:val="18"/>
                <w:szCs w:val="18"/>
                <w:lang w:bidi="ar"/>
              </w:rPr>
              <w:t>控制器</w:t>
            </w:r>
          </w:p>
        </w:tc>
        <w:tc>
          <w:tcPr>
            <w:tcW w:w="694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8通道电源开关，最大电流值16A，单路最大负载3200W；</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提供1路A-NET网络控制接口，PCI-8通过A-NET与可编程控制主机通讯；</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提供1路RS-485接口，可实现通过独立PC机控制，可同时对多台PCI-8实现通信控制；</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节点走线可实现下走线，侧走线等多种出线方式，美观大方；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可由多媒体控制系统的DC24V或AC100-240V两种供电模式；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8路独立节点控制接口，每路都有常开，常闭两种接口选择；</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指示全面，支持POWER电源指示，ID网络连接指示，接收数据指示；</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ID CODE可调节网络ID，实现与可编程控制主机A-NET网络通讯；</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内置光电隔离模块，可保障负载和主机安全可靠；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自带A-NET和RS-232通讯协议；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能通过机身的按键自由控制。</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具备手动强制开关，可脱离主机手动控制，紧急情况下可以手动控制继电器的开关，很好的保护其他的设备。</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协议兼容：兼容目前市面上用得网络协议；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ID选择:旋转的ID切换设置网络ID身份代码；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等线"/>
                <w:color w:val="000000"/>
                <w:sz w:val="18"/>
                <w:szCs w:val="18"/>
              </w:rPr>
            </w:pPr>
            <w:r>
              <w:rPr>
                <w:rFonts w:ascii="宋体" w:hAnsi="宋体" w:cs="等线"/>
                <w:color w:val="000000"/>
                <w:kern w:val="0"/>
                <w:sz w:val="18"/>
                <w:szCs w:val="18"/>
                <w:lang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等线"/>
                <w:color w:val="000000"/>
                <w:sz w:val="18"/>
                <w:szCs w:val="18"/>
              </w:rPr>
            </w:pPr>
            <w:r>
              <w:rPr>
                <w:rFonts w:ascii="宋体" w:hAnsi="宋体" w:cs="等线"/>
                <w:color w:val="000000"/>
                <w:kern w:val="0"/>
                <w:sz w:val="18"/>
                <w:szCs w:val="18"/>
                <w:lang w:bidi="ar"/>
              </w:rPr>
              <w:t xml:space="preserve">2 </w:t>
            </w:r>
          </w:p>
        </w:tc>
      </w:tr>
      <w:tr>
        <w:tblPrEx>
          <w:tblCellMar>
            <w:top w:w="0" w:type="dxa"/>
            <w:left w:w="0" w:type="dxa"/>
            <w:bottom w:w="0" w:type="dxa"/>
            <w:right w:w="0"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等线"/>
                <w:color w:val="000000"/>
                <w:sz w:val="18"/>
                <w:szCs w:val="18"/>
              </w:rPr>
            </w:pPr>
            <w:r>
              <w:rPr>
                <w:rFonts w:ascii="宋体" w:hAnsi="宋体" w:cs="等线"/>
                <w:color w:val="000000"/>
                <w:kern w:val="0"/>
                <w:sz w:val="18"/>
                <w:szCs w:val="18"/>
                <w:lang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等线"/>
                <w:color w:val="000000"/>
                <w:sz w:val="18"/>
                <w:szCs w:val="18"/>
              </w:rPr>
            </w:pPr>
            <w:r>
              <w:rPr>
                <w:rFonts w:ascii="宋体" w:hAnsi="宋体" w:cs="等线"/>
                <w:color w:val="000000"/>
                <w:kern w:val="0"/>
                <w:sz w:val="18"/>
                <w:szCs w:val="18"/>
                <w:lang w:bidi="ar"/>
              </w:rPr>
              <w:t>音量控制器</w:t>
            </w:r>
          </w:p>
        </w:tc>
        <w:tc>
          <w:tcPr>
            <w:tcW w:w="694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数码控制4声道声音衰减器，每个声道有独立的音量、高音、低音和静音设置。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可提供完整的系统音频控制而无需红外线控制集成接收器。选择你的混音器、前置功放和功放，然后增加一个调音模块完成一个系统。</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在某些应用中，高低音独立控制甚至可以省去一个图形等化器。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等线"/>
                <w:color w:val="000000"/>
                <w:sz w:val="18"/>
                <w:szCs w:val="18"/>
              </w:rPr>
            </w:pPr>
            <w:r>
              <w:rPr>
                <w:rFonts w:ascii="宋体" w:hAnsi="宋体" w:cs="等线"/>
                <w:color w:val="000000"/>
                <w:kern w:val="0"/>
                <w:sz w:val="18"/>
                <w:szCs w:val="18"/>
                <w:lang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等线"/>
                <w:color w:val="000000"/>
                <w:sz w:val="18"/>
                <w:szCs w:val="18"/>
              </w:rPr>
            </w:pPr>
            <w:r>
              <w:rPr>
                <w:rFonts w:ascii="宋体" w:hAnsi="宋体" w:cs="等线"/>
                <w:color w:val="000000"/>
                <w:kern w:val="0"/>
                <w:sz w:val="18"/>
                <w:szCs w:val="18"/>
                <w:lang w:bidi="ar"/>
              </w:rPr>
              <w:t xml:space="preserve">2 </w:t>
            </w:r>
          </w:p>
        </w:tc>
      </w:tr>
      <w:tr>
        <w:tblPrEx>
          <w:tblCellMar>
            <w:top w:w="0" w:type="dxa"/>
            <w:left w:w="0" w:type="dxa"/>
            <w:bottom w:w="0" w:type="dxa"/>
            <w:right w:w="0" w:type="dxa"/>
          </w:tblCellMar>
        </w:tblPrEx>
        <w:trPr>
          <w:trHeight w:val="31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等线"/>
                <w:color w:val="000000"/>
                <w:sz w:val="18"/>
                <w:szCs w:val="18"/>
              </w:rPr>
            </w:pPr>
            <w:r>
              <w:rPr>
                <w:rFonts w:ascii="宋体" w:hAnsi="宋体" w:cs="等线"/>
                <w:color w:val="000000"/>
                <w:kern w:val="0"/>
                <w:sz w:val="18"/>
                <w:szCs w:val="18"/>
                <w:lang w:bidi="ar"/>
              </w:rPr>
              <w:t>9</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等线"/>
                <w:color w:val="000000"/>
                <w:sz w:val="18"/>
                <w:szCs w:val="18"/>
              </w:rPr>
            </w:pPr>
            <w:r>
              <w:rPr>
                <w:rFonts w:ascii="宋体" w:hAnsi="宋体" w:cs="等线"/>
                <w:color w:val="000000"/>
                <w:kern w:val="0"/>
                <w:sz w:val="18"/>
                <w:szCs w:val="18"/>
                <w:lang w:bidi="ar"/>
              </w:rPr>
              <w:t>10英寸彩色触摸屏</w:t>
            </w:r>
          </w:p>
        </w:tc>
        <w:tc>
          <w:tcPr>
            <w:tcW w:w="694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10英寸16:9屏幕显示；</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1280x800 IPS全视角触控屏幕；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Cortex A9/ATOM 处理器，1G RAM的硬件组合，支持1080P硬件解码，3D效果快速流畅播放高清影视视频；</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LAN以太网络通讯；</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视频回放功能；</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支持有线控制方式；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支持嵌墙、挂墙安装方式；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外置电源适配器功率AC100-240V，输出12V 3A；</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嵌入式操作系统；</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开放式的可编程控制平台Visual Panel Studio™、人性化的操作界面和强大的交互式控制逻辑结构。</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★E-CLUSTER云平台服务，动态IP实现远程控制；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等线"/>
                <w:color w:val="000000"/>
                <w:sz w:val="18"/>
                <w:szCs w:val="18"/>
              </w:rPr>
            </w:pPr>
            <w:r>
              <w:rPr>
                <w:rFonts w:ascii="宋体" w:hAnsi="宋体" w:cs="等线"/>
                <w:color w:val="000000"/>
                <w:kern w:val="0"/>
                <w:sz w:val="18"/>
                <w:szCs w:val="18"/>
                <w:lang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等线"/>
                <w:color w:val="000000"/>
                <w:sz w:val="18"/>
                <w:szCs w:val="18"/>
              </w:rPr>
            </w:pPr>
            <w:r>
              <w:rPr>
                <w:rFonts w:ascii="宋体" w:hAnsi="宋体" w:cs="等线"/>
                <w:color w:val="000000"/>
                <w:kern w:val="0"/>
                <w:sz w:val="18"/>
                <w:szCs w:val="18"/>
                <w:lang w:bidi="ar"/>
              </w:rPr>
              <w:t xml:space="preserve">2 </w:t>
            </w:r>
          </w:p>
        </w:tc>
      </w:tr>
      <w:tr>
        <w:tblPrEx>
          <w:tblCellMar>
            <w:top w:w="0" w:type="dxa"/>
            <w:left w:w="0" w:type="dxa"/>
            <w:bottom w:w="0" w:type="dxa"/>
            <w:right w:w="0"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等线"/>
                <w:color w:val="000000"/>
                <w:sz w:val="18"/>
                <w:szCs w:val="18"/>
              </w:rPr>
            </w:pPr>
            <w:r>
              <w:rPr>
                <w:rFonts w:ascii="宋体" w:hAnsi="宋体" w:cs="等线"/>
                <w:color w:val="000000"/>
                <w:kern w:val="0"/>
                <w:sz w:val="18"/>
                <w:szCs w:val="18"/>
                <w:lang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等线"/>
                <w:color w:val="000000"/>
                <w:sz w:val="18"/>
                <w:szCs w:val="18"/>
              </w:rPr>
            </w:pPr>
            <w:r>
              <w:rPr>
                <w:rFonts w:ascii="宋体" w:hAnsi="宋体" w:cs="等线"/>
                <w:color w:val="000000"/>
                <w:kern w:val="0"/>
                <w:sz w:val="18"/>
                <w:szCs w:val="18"/>
                <w:lang w:bidi="ar"/>
              </w:rPr>
              <w:t>支架</w:t>
            </w:r>
          </w:p>
        </w:tc>
        <w:tc>
          <w:tcPr>
            <w:tcW w:w="694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固定分布式设备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等线"/>
                <w:color w:val="000000"/>
                <w:sz w:val="18"/>
                <w:szCs w:val="18"/>
              </w:rPr>
            </w:pPr>
            <w:r>
              <w:rPr>
                <w:rFonts w:ascii="宋体" w:hAnsi="宋体" w:cs="等线"/>
                <w:color w:val="000000"/>
                <w:kern w:val="0"/>
                <w:sz w:val="18"/>
                <w:szCs w:val="18"/>
                <w:lang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等线"/>
                <w:color w:val="000000"/>
                <w:sz w:val="18"/>
                <w:szCs w:val="18"/>
              </w:rPr>
            </w:pPr>
            <w:r>
              <w:rPr>
                <w:rFonts w:ascii="宋体" w:hAnsi="宋体" w:cs="等线"/>
                <w:color w:val="000000"/>
                <w:kern w:val="0"/>
                <w:sz w:val="18"/>
                <w:szCs w:val="18"/>
                <w:lang w:bidi="ar"/>
              </w:rPr>
              <w:t xml:space="preserve">16 </w:t>
            </w:r>
          </w:p>
        </w:tc>
      </w:tr>
      <w:tr>
        <w:tblPrEx>
          <w:tblCellMar>
            <w:top w:w="0" w:type="dxa"/>
            <w:left w:w="0" w:type="dxa"/>
            <w:bottom w:w="0" w:type="dxa"/>
            <w:right w:w="0" w:type="dxa"/>
          </w:tblCellMar>
        </w:tblPrEx>
        <w:trPr>
          <w:trHeight w:val="21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11</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平板  8.4英寸平板电脑</w:t>
            </w:r>
          </w:p>
        </w:tc>
        <w:tc>
          <w:tcPr>
            <w:tcW w:w="694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材质/工艺U形天线加金属机身设计；</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正面2.5D玻璃.翻新类型全新.网络连接WiFi版</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续航时间以实际使用环境为准.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其他接口支持USB Type-C转3.5mm耳机孔.</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连接方式WiFi功能；蓝牙功能.</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扬声器2个.</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特性指纹导航、学生模式、护眼模式、游戏模式.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处理器海思麒麟960.核心数量八核.显示芯片Mali G71 MP8.存储容量64GB.运行内存4GB.</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1 </w:t>
            </w:r>
          </w:p>
        </w:tc>
      </w:tr>
      <w:tr>
        <w:tblPrEx>
          <w:tblCellMar>
            <w:top w:w="0" w:type="dxa"/>
            <w:left w:w="0" w:type="dxa"/>
            <w:bottom w:w="0" w:type="dxa"/>
            <w:right w:w="0" w:type="dxa"/>
          </w:tblCellMar>
        </w:tblPrEx>
        <w:trPr>
          <w:trHeight w:val="26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无线接入点AP</w:t>
            </w:r>
          </w:p>
        </w:tc>
        <w:tc>
          <w:tcPr>
            <w:tcW w:w="69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吸顶式AP</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最高传输速率1766Mbps</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覆盖范围2.4GHz频段：450Mbps(2.4G-1)+450Mbps(2.4G-2)</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5GHz频段(11AC)：433Mbps(5G-1)+433Mbps(5G-2)</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频率范围双频（2.4GHz，5GHz）</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网络接口1个10/100/1000M RJ45接口（LAN1/PoE）</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1个10/100/1000M RJ45接口（LAN2）</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其它接口1个Reset按钮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1个FAT/FIT模式拨动开关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网络管理FIT AP模式：由TP-LINK 无线控制器(AC)统一管理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FAT AP模式：独立web页面管理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r>
      <w:tr>
        <w:tblPrEx>
          <w:tblCellMar>
            <w:top w:w="0" w:type="dxa"/>
            <w:left w:w="0" w:type="dxa"/>
            <w:bottom w:w="0" w:type="dxa"/>
            <w:right w:w="0"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13</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无线控制器AC</w:t>
            </w:r>
          </w:p>
        </w:tc>
        <w:tc>
          <w:tcPr>
            <w:tcW w:w="694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无线AC控制器</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工作频段：2.4G，5G</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供电方式：DC供电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1 </w:t>
            </w:r>
          </w:p>
        </w:tc>
      </w:tr>
      <w:tr>
        <w:tblPrEx>
          <w:tblCellMar>
            <w:top w:w="0" w:type="dxa"/>
            <w:left w:w="0" w:type="dxa"/>
            <w:bottom w:w="0" w:type="dxa"/>
            <w:right w:w="0" w:type="dxa"/>
          </w:tblCellMar>
        </w:tblPrEx>
        <w:trPr>
          <w:trHeight w:val="69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14</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交换机</w:t>
            </w:r>
          </w:p>
        </w:tc>
        <w:tc>
          <w:tcPr>
            <w:tcW w:w="694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产品类型 POE交换机，千兆以太网交换机，企业级交换机</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应用层级 三层</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传输速率 10/100/1000Mbps</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交换方式 存储-转发</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背板带宽 598Gbps/5.98Tbps</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包转发率 252Mpps</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MAC地址表 32K</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端口结构 非模块化</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端口数量 28个</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端口描述 48个10/100/1000Base-T自适应以太网端口（PoE+），4个万兆SFP+口</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扩展模块 1个扩展卡槽：2端口万兆SFP+接口板卡，2端口万兆电接口板卡，2端口QSFP+堆叠接口板</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堆叠功能 可堆叠</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VLAN 支持基于端口的VLAN，支持基于MAC的VLAN，基于协议的VLAN，基于IP子网的VLAN，支持QinQ，灵活QinQ，支持VLAN Mapping，支持Voice VLAN，支持GVRP</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QOS 支持L2（Layer 2）~L4（Layer 4）包过滤功能，提供基于源MAC地址、目的MAC地址、源IP(IPv4/IPv6)地址、目的IP(IPv4/IPv6)地址、TCP/UDP端口号、VLAN的流分类，支持时间段（Time Range）ACL，支持入方向和出方向的双向ACL策略，支持基于VLAN下发ACL，支持对端口接收报文的速率和发送报文的速率进行限制，最小粒度为8Kbps，支持报文重定向，支持报文的802.1p和DSCP优先级重新标记，支持CAR（Committed Access Rate）功能，每个端口支持8个输出队列，CPU口支持48个队列，支持灵活的队列调度算法，可以同时基于端口和队列进行设置，支持SP、WRR、WFQ、SP+WRR、WDRR五种模式，支持WRED</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组播管理 支持IGMP Snooping v1/v2/v3，MLD Snooping v1/v2，支持PIM Snooping，支持MLD Proxy，支持组播VLAN，支持PIM SM PIM DM，支持MSDP，支持双向PIM</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网络管理 支持XModem/FTP/TFTP加载升级，支持命令行接口（CLI），Telnet，Console口进行配置，支持SNMPv1/v2/v3，WEB网管，支持RMON （Remote Monitoring）告警、事件、历史记录，支持iMC智能管理中心，支持系统日志，分级告警，调试信息输出，支持NTP，支持电源的告警功能，温度告警，支持Ping、Tracert，支持VCT（Virtual Cable Test）电缆检测功能，支持DLDP（Device Link Detection Protocol）单向链路检测协议，支持LLDP，支持Loopback-detection 端口环回检测</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安全管理 支持用户分级管理和口令保护，支持802.1X认证/集中式MAC地址认证，支持Guest VLAN，支持RADIUS认证，支持SSH 2.0，支持端口隔离，支持端口安全，支持PORTAL认证，支持EAD，可支持DHCP Snooping，防止欺骗的DHCP服务器，支持动态ARP检测，防止中间人攻击和ARP拒绝服务，支持BPDU guard， Root guard，支持uRPF(单播反向路径检测)，杜绝IP源地址欺骗，防范病毒和攻击，支持IP/Port/MAC的绑定功能，支持MD5密文认证，支持PKI（Public Key Infrastructure，公钥基础设施），支持CPU防护功能纠错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2 </w:t>
            </w:r>
          </w:p>
        </w:tc>
      </w:tr>
      <w:tr>
        <w:tblPrEx>
          <w:tblCellMar>
            <w:top w:w="0" w:type="dxa"/>
            <w:left w:w="0" w:type="dxa"/>
            <w:bottom w:w="0" w:type="dxa"/>
            <w:right w:w="0" w:type="dxa"/>
          </w:tblCellMar>
        </w:tblPrEx>
        <w:trPr>
          <w:trHeight w:val="69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15</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高清摄像头</w:t>
            </w:r>
          </w:p>
        </w:tc>
        <w:tc>
          <w:tcPr>
            <w:tcW w:w="694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全高清图像：采用1/2.8英寸207万像素高品质图像传感器，最大分辨率可达1920x1080，输出帧率高达60帧/秒。</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多种光学变倍镜头：具有5X、10X、12X、20X、30X等多种光学变倍镜头选择，镜头具有83.7°无畸变宽视角。</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领先的自动聚焦技术：先进的自动聚焦算法使得镜头快速、准确、稳定地完成自动聚焦。</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低噪声高信噪比：低噪声CMOS有效地保证了摄像机视频的超高信噪比。采用先进的2D、3D降噪技术，进一步降低了噪声，同时又能确保图像清晰度。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多种视频输出接口：支持DVI、HDMI、3G-SDI、USB3.0、USB2.0、有线LAN、无线LAN接口（5GWiFi模块）、HB-BASE等多种接口可选，支持至少任意三种高清接口同时输出，SDI支持在1080P60格式下传输100米。</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多种音视频压缩标准：支持H.265/H.264视频压缩，支持AAC、MP3、G.711A音频压缩；支持高达1920x1080分辨率60帧/秒压缩；</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音频输入接口：支持8000、16000、32000、44100、48000采样频率，支持AAC、MP3、G.711A音频编码</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多种网络协议：支持ONVIF、GB/T28181、RTSP、RTMP协议；支持RTMP推送模式，轻松链接流媒体服务器(Wowza、FMS)；支持RTP组播模式，支持网络全命令VISCA控制协议。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控制接口：RS485、RS232；RS232支持级联，方便工程安装使用。</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多种控制协议：支持VISCA、PELCO-D、PELCO-P协议，支持自动识别协议。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超级静音云台：采用高精度步进电机以及精密电机驱动控制器，确保云台低速运行平稳，并且无噪声。</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低功耗休眠功能：支持低功耗休眠/唤醒，休眠时功耗低于400mW。</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多预置位：支持多达255个预置位(遥控器设置调用为10个)。</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多种遥控器：用户可以根据所使用的环境条件，选择红外遥控器或无线遥控器。2.4G无线遥控器不受角度、距离、红外干扰影响。支持遥控器信号透传功能，方便后端设备使用。</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应用场所多：远程教育、教学录播、会议系统、远程培训、远程医疗、庭审系统、应急指挥系统系统等。</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检测报告：提供国家广电有效检测报告，有软著证书。</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厂商认证：通过ISO9001、ISO14001质量管理体系认证,高新技术企业证书，外观设计专利证书，实用新型专利证书等,提供产品CE、FCC、ROHS认证证书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3 </w:t>
            </w:r>
          </w:p>
        </w:tc>
      </w:tr>
      <w:tr>
        <w:tblPrEx>
          <w:tblCellMar>
            <w:top w:w="0" w:type="dxa"/>
            <w:left w:w="0" w:type="dxa"/>
            <w:bottom w:w="0" w:type="dxa"/>
            <w:right w:w="0" w:type="dxa"/>
          </w:tblCellMar>
        </w:tblPrEx>
        <w:trPr>
          <w:trHeight w:val="26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16</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控制键盘</w:t>
            </w:r>
          </w:p>
        </w:tc>
        <w:tc>
          <w:tcPr>
            <w:tcW w:w="694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采用RS485、RS422、RS232多种接口控制信号，最多可接255个摄像机。</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支持PELCO-D、PELCO-P、VISCA控制协议。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金属壳体，电脑键盘按键设计。</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采用三维控制杆，对摄像机变速调控。</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可控制摄像机转动、变焦、光圈、聚焦及摄像机其它参数设置。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液晶中英文显示，实时显示解码器和矩阵的工作状态。</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具有按键声音提示功能。</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独特的控制码学习功能，可以让客户自行修改控制码指令。</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RS485总线上的任何设备，可以单独设置不一样的协议、波特率。</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RS422通讯接口具有短路过流保护自动恢复功能。</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最长通信距离达1200M（0.5MM 双绞线）。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1 </w:t>
            </w:r>
          </w:p>
        </w:tc>
      </w:tr>
      <w:tr>
        <w:tblPrEx>
          <w:tblCellMar>
            <w:top w:w="0" w:type="dxa"/>
            <w:left w:w="0" w:type="dxa"/>
            <w:bottom w:w="0" w:type="dxa"/>
            <w:right w:w="0" w:type="dxa"/>
          </w:tblCellMar>
        </w:tblPrEx>
        <w:trPr>
          <w:trHeight w:val="240" w:hRule="atLeast"/>
        </w:trPr>
        <w:tc>
          <w:tcPr>
            <w:tcW w:w="9675" w:type="dxa"/>
            <w:gridSpan w:val="5"/>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五、AV系统辅助配件</w:t>
            </w:r>
          </w:p>
        </w:tc>
      </w:tr>
      <w:tr>
        <w:tblPrEx>
          <w:tblCellMar>
            <w:top w:w="0" w:type="dxa"/>
            <w:left w:w="0" w:type="dxa"/>
            <w:bottom w:w="0" w:type="dxa"/>
            <w:right w:w="0"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设备机柜</w:t>
            </w:r>
          </w:p>
        </w:tc>
        <w:tc>
          <w:tcPr>
            <w:tcW w:w="69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42U网络服务器机柜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2 </w:t>
            </w:r>
          </w:p>
        </w:tc>
      </w:tr>
      <w:tr>
        <w:tblPrEx>
          <w:tblCellMar>
            <w:top w:w="0" w:type="dxa"/>
            <w:left w:w="0" w:type="dxa"/>
            <w:bottom w:w="0" w:type="dxa"/>
            <w:right w:w="0" w:type="dxa"/>
          </w:tblCellMar>
        </w:tblPrEx>
        <w:trPr>
          <w:trHeight w:val="2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时序电源</w:t>
            </w:r>
          </w:p>
        </w:tc>
        <w:tc>
          <w:tcPr>
            <w:tcW w:w="694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输入电压：AC220V/50Hz</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输出功率：每路插座最大输出电流10A</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交流电压指示表</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多媒体电源插座</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输入方式：3*2.5平方交流电源线，不带插头，与空气开关连接</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输出方式：8路电源输出，标准通用三芯插座</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功能：打开时由前级到后级逐个顺序启动，关闭时由后级到前级逐个顺序关闭，每路之间动作时间1.5秒</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开关/指示：船型开关，面板电源指示灯，每路通电后指示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4 </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桌面集成桌插</w:t>
            </w:r>
          </w:p>
        </w:tc>
        <w:tc>
          <w:tcPr>
            <w:tcW w:w="694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免焊线弹起式办公会议桌面接线盒</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黑色面板（短线对插型）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4 </w:t>
            </w:r>
          </w:p>
        </w:tc>
      </w:tr>
      <w:tr>
        <w:tblPrEx>
          <w:tblCellMar>
            <w:top w:w="0" w:type="dxa"/>
            <w:left w:w="0" w:type="dxa"/>
            <w:bottom w:w="0" w:type="dxa"/>
            <w:right w:w="0"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G音频连接线</w:t>
            </w:r>
          </w:p>
        </w:tc>
        <w:tc>
          <w:tcPr>
            <w:tcW w:w="694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卡侬公母音频线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20 </w:t>
            </w:r>
          </w:p>
        </w:tc>
      </w:tr>
      <w:tr>
        <w:tblPrEx>
          <w:tblCellMar>
            <w:top w:w="0" w:type="dxa"/>
            <w:left w:w="0" w:type="dxa"/>
            <w:bottom w:w="0" w:type="dxa"/>
            <w:right w:w="0"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F音频连接线</w:t>
            </w:r>
          </w:p>
        </w:tc>
        <w:tc>
          <w:tcPr>
            <w:tcW w:w="694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莲花音频线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2 </w:t>
            </w:r>
          </w:p>
        </w:tc>
      </w:tr>
      <w:tr>
        <w:tblPrEx>
          <w:tblCellMar>
            <w:top w:w="0" w:type="dxa"/>
            <w:left w:w="0" w:type="dxa"/>
            <w:bottom w:w="0" w:type="dxa"/>
            <w:right w:w="0"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K音频连接线</w:t>
            </w:r>
          </w:p>
        </w:tc>
        <w:tc>
          <w:tcPr>
            <w:tcW w:w="694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3.5转莲花音频线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2 </w:t>
            </w:r>
          </w:p>
        </w:tc>
      </w:tr>
      <w:tr>
        <w:tblPrEx>
          <w:tblCellMar>
            <w:top w:w="0" w:type="dxa"/>
            <w:left w:w="0" w:type="dxa"/>
            <w:bottom w:w="0" w:type="dxa"/>
            <w:right w:w="0"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7</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P音频连接线</w:t>
            </w:r>
          </w:p>
        </w:tc>
        <w:tc>
          <w:tcPr>
            <w:tcW w:w="694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3.5转卡侬音频线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2 </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Cat.6 FTP 屏蔽千兆网线</w:t>
            </w:r>
          </w:p>
        </w:tc>
        <w:tc>
          <w:tcPr>
            <w:tcW w:w="694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国标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7 </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9</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Cat.6 FTP 屏蔽配线架 24口</w:t>
            </w:r>
          </w:p>
        </w:tc>
        <w:tc>
          <w:tcPr>
            <w:tcW w:w="694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国标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2 </w:t>
            </w:r>
          </w:p>
        </w:tc>
      </w:tr>
      <w:tr>
        <w:tblPrEx>
          <w:tblCellMar>
            <w:top w:w="0" w:type="dxa"/>
            <w:left w:w="0" w:type="dxa"/>
            <w:bottom w:w="0" w:type="dxa"/>
            <w:right w:w="0"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Cat.6 FTP 屏蔽模块 RJ45 白色</w:t>
            </w:r>
          </w:p>
        </w:tc>
        <w:tc>
          <w:tcPr>
            <w:tcW w:w="694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国标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32 </w:t>
            </w:r>
          </w:p>
        </w:tc>
      </w:tr>
      <w:tr>
        <w:tblPrEx>
          <w:tblCellMar>
            <w:top w:w="0" w:type="dxa"/>
            <w:left w:w="0" w:type="dxa"/>
            <w:bottom w:w="0" w:type="dxa"/>
            <w:right w:w="0"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11</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Cat.6 FTP 屏蔽跳线 RJ45~RJ45 3米</w:t>
            </w:r>
          </w:p>
        </w:tc>
        <w:tc>
          <w:tcPr>
            <w:tcW w:w="694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国标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64 </w:t>
            </w:r>
          </w:p>
        </w:tc>
      </w:tr>
      <w:tr>
        <w:tblPrEx>
          <w:tblCellMar>
            <w:top w:w="0" w:type="dxa"/>
            <w:left w:w="0" w:type="dxa"/>
            <w:bottom w:w="0" w:type="dxa"/>
            <w:right w:w="0"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等线"/>
                <w:color w:val="000000"/>
                <w:sz w:val="18"/>
                <w:szCs w:val="18"/>
              </w:rPr>
            </w:pPr>
            <w:r>
              <w:rPr>
                <w:rFonts w:ascii="宋体" w:hAnsi="宋体" w:cs="等线"/>
                <w:color w:val="000000"/>
                <w:kern w:val="0"/>
                <w:sz w:val="18"/>
                <w:szCs w:val="18"/>
                <w:lang w:bidi="ar"/>
              </w:rPr>
              <w:t>86型RJ45配套面板 白色</w:t>
            </w:r>
          </w:p>
        </w:tc>
        <w:tc>
          <w:tcPr>
            <w:tcW w:w="694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双口86型信息面板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20 </w:t>
            </w:r>
          </w:p>
        </w:tc>
      </w:tr>
      <w:tr>
        <w:tblPrEx>
          <w:tblCellMar>
            <w:top w:w="0" w:type="dxa"/>
            <w:left w:w="0" w:type="dxa"/>
            <w:bottom w:w="0" w:type="dxa"/>
            <w:right w:w="0"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等线"/>
                <w:color w:val="000000"/>
                <w:sz w:val="18"/>
                <w:szCs w:val="18"/>
              </w:rPr>
            </w:pPr>
            <w:r>
              <w:rPr>
                <w:rFonts w:ascii="宋体" w:hAnsi="宋体" w:cs="等线"/>
                <w:color w:val="000000"/>
                <w:kern w:val="0"/>
                <w:sz w:val="18"/>
                <w:szCs w:val="18"/>
                <w:lang w:bidi="ar"/>
              </w:rPr>
              <w:t>1U金属理线器</w:t>
            </w:r>
          </w:p>
        </w:tc>
        <w:tc>
          <w:tcPr>
            <w:tcW w:w="694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1U翻转盖理线架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4 </w:t>
            </w:r>
          </w:p>
        </w:tc>
      </w:tr>
      <w:tr>
        <w:tblPrEx>
          <w:tblCellMar>
            <w:top w:w="0" w:type="dxa"/>
            <w:left w:w="0" w:type="dxa"/>
            <w:bottom w:w="0" w:type="dxa"/>
            <w:right w:w="0"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等线"/>
                <w:color w:val="000000"/>
                <w:sz w:val="18"/>
                <w:szCs w:val="18"/>
              </w:rPr>
            </w:pPr>
            <w:r>
              <w:rPr>
                <w:rFonts w:ascii="宋体" w:hAnsi="宋体" w:cs="等线"/>
                <w:color w:val="000000"/>
                <w:kern w:val="0"/>
                <w:sz w:val="18"/>
                <w:szCs w:val="18"/>
                <w:lang w:bidi="ar"/>
              </w:rPr>
              <w:t>200芯 无氧铜专业音箱线</w:t>
            </w:r>
          </w:p>
        </w:tc>
        <w:tc>
          <w:tcPr>
            <w:tcW w:w="694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200芯 无氧铜专业音箱线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200</w:t>
            </w:r>
          </w:p>
        </w:tc>
      </w:tr>
      <w:tr>
        <w:tblPrEx>
          <w:tblCellMar>
            <w:top w:w="0" w:type="dxa"/>
            <w:left w:w="0" w:type="dxa"/>
            <w:bottom w:w="0" w:type="dxa"/>
            <w:right w:w="0"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等线"/>
                <w:color w:val="000000"/>
                <w:sz w:val="18"/>
                <w:szCs w:val="18"/>
              </w:rPr>
            </w:pPr>
            <w:r>
              <w:rPr>
                <w:rFonts w:ascii="宋体" w:hAnsi="宋体" w:cs="等线"/>
                <w:color w:val="000000"/>
                <w:kern w:val="0"/>
                <w:sz w:val="18"/>
                <w:szCs w:val="18"/>
                <w:lang w:bidi="ar"/>
              </w:rPr>
              <w:t>HDMI 3米线材 V2.0版本高清</w:t>
            </w:r>
          </w:p>
        </w:tc>
        <w:tc>
          <w:tcPr>
            <w:tcW w:w="694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3米V2.0版本高清HDMI连接线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w:t>
            </w:r>
          </w:p>
        </w:tc>
      </w:tr>
      <w:tr>
        <w:tblPrEx>
          <w:tblCellMar>
            <w:top w:w="0" w:type="dxa"/>
            <w:left w:w="0" w:type="dxa"/>
            <w:bottom w:w="0" w:type="dxa"/>
            <w:right w:w="0"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等线"/>
                <w:color w:val="000000"/>
                <w:sz w:val="18"/>
                <w:szCs w:val="18"/>
              </w:rPr>
            </w:pPr>
            <w:r>
              <w:rPr>
                <w:rFonts w:ascii="宋体" w:hAnsi="宋体" w:cs="等线"/>
                <w:color w:val="000000"/>
                <w:kern w:val="0"/>
                <w:sz w:val="18"/>
                <w:szCs w:val="18"/>
                <w:lang w:bidi="ar"/>
              </w:rPr>
              <w:t>HDMI 15米线材 V2.0版本高清</w:t>
            </w:r>
          </w:p>
        </w:tc>
        <w:tc>
          <w:tcPr>
            <w:tcW w:w="694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15米V2.0版本高清HDMI连接线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w:t>
            </w:r>
          </w:p>
        </w:tc>
      </w:tr>
      <w:tr>
        <w:tblPrEx>
          <w:tblCellMar>
            <w:top w:w="0" w:type="dxa"/>
            <w:left w:w="0" w:type="dxa"/>
            <w:bottom w:w="0" w:type="dxa"/>
            <w:right w:w="0"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等线"/>
                <w:color w:val="000000"/>
                <w:sz w:val="18"/>
                <w:szCs w:val="18"/>
              </w:rPr>
            </w:pPr>
            <w:r>
              <w:rPr>
                <w:rFonts w:ascii="宋体" w:hAnsi="宋体" w:cs="等线"/>
                <w:color w:val="000000"/>
                <w:kern w:val="0"/>
                <w:sz w:val="18"/>
                <w:szCs w:val="18"/>
                <w:lang w:bidi="ar"/>
              </w:rPr>
              <w:t>D型信号配线架 16口 1U</w:t>
            </w:r>
          </w:p>
        </w:tc>
        <w:tc>
          <w:tcPr>
            <w:tcW w:w="694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D型信号网线配线架16口 1U</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r>
      <w:tr>
        <w:tblPrEx>
          <w:tblCellMar>
            <w:top w:w="0" w:type="dxa"/>
            <w:left w:w="0" w:type="dxa"/>
            <w:bottom w:w="0" w:type="dxa"/>
            <w:right w:w="0"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等线"/>
                <w:color w:val="000000"/>
                <w:sz w:val="18"/>
                <w:szCs w:val="18"/>
              </w:rPr>
            </w:pPr>
            <w:r>
              <w:rPr>
                <w:rFonts w:ascii="宋体" w:hAnsi="宋体" w:cs="等线"/>
                <w:color w:val="000000"/>
                <w:kern w:val="0"/>
                <w:sz w:val="18"/>
                <w:szCs w:val="18"/>
                <w:lang w:bidi="ar"/>
              </w:rPr>
              <w:t>D型86面板</w:t>
            </w:r>
          </w:p>
        </w:tc>
        <w:tc>
          <w:tcPr>
            <w:tcW w:w="694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D型模块底座86面板信息盒：AV、卡侬、RCA、网络、HDMI</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12</w:t>
            </w:r>
          </w:p>
        </w:tc>
      </w:tr>
      <w:tr>
        <w:tblPrEx>
          <w:tblCellMar>
            <w:top w:w="0" w:type="dxa"/>
            <w:left w:w="0" w:type="dxa"/>
            <w:bottom w:w="0" w:type="dxa"/>
            <w:right w:w="0"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等线"/>
                <w:color w:val="000000"/>
                <w:sz w:val="18"/>
                <w:szCs w:val="18"/>
              </w:rPr>
            </w:pPr>
            <w:r>
              <w:rPr>
                <w:rFonts w:ascii="宋体" w:hAnsi="宋体" w:cs="等线"/>
                <w:color w:val="000000"/>
                <w:kern w:val="0"/>
                <w:sz w:val="18"/>
                <w:szCs w:val="18"/>
                <w:lang w:bidi="ar"/>
              </w:rPr>
              <w:t>D型 SpeakON 插座</w:t>
            </w:r>
          </w:p>
        </w:tc>
        <w:tc>
          <w:tcPr>
            <w:tcW w:w="694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电器五孔插座、网线插座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w:t>
            </w:r>
          </w:p>
        </w:tc>
      </w:tr>
      <w:tr>
        <w:tblPrEx>
          <w:tblCellMar>
            <w:top w:w="0" w:type="dxa"/>
            <w:left w:w="0" w:type="dxa"/>
            <w:bottom w:w="0" w:type="dxa"/>
            <w:right w:w="0"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等线"/>
                <w:color w:val="000000"/>
                <w:sz w:val="18"/>
                <w:szCs w:val="18"/>
              </w:rPr>
            </w:pPr>
            <w:r>
              <w:rPr>
                <w:rFonts w:ascii="宋体" w:hAnsi="宋体" w:cs="等线"/>
                <w:color w:val="000000"/>
                <w:kern w:val="0"/>
                <w:sz w:val="18"/>
                <w:szCs w:val="18"/>
                <w:lang w:bidi="ar"/>
              </w:rPr>
              <w:t>D型 HDMI插座</w:t>
            </w:r>
          </w:p>
        </w:tc>
        <w:tc>
          <w:tcPr>
            <w:tcW w:w="694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HDMI2.0高清模块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w:t>
            </w:r>
          </w:p>
        </w:tc>
      </w:tr>
      <w:tr>
        <w:tblPrEx>
          <w:tblCellMar>
            <w:top w:w="0" w:type="dxa"/>
            <w:left w:w="0" w:type="dxa"/>
            <w:bottom w:w="0" w:type="dxa"/>
            <w:right w:w="0" w:type="dxa"/>
          </w:tblCellMar>
        </w:tblPrEx>
        <w:trPr>
          <w:trHeight w:val="240" w:hRule="atLeast"/>
        </w:trPr>
        <w:tc>
          <w:tcPr>
            <w:tcW w:w="9675" w:type="dxa"/>
            <w:gridSpan w:val="5"/>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六、不间断电源</w:t>
            </w:r>
          </w:p>
        </w:tc>
      </w:tr>
      <w:tr>
        <w:tblPrEx>
          <w:tblCellMar>
            <w:top w:w="0" w:type="dxa"/>
            <w:left w:w="0" w:type="dxa"/>
            <w:bottom w:w="0" w:type="dxa"/>
            <w:right w:w="0" w:type="dxa"/>
          </w:tblCellMar>
        </w:tblPrEx>
        <w:trPr>
          <w:trHeight w:val="3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20KVA UPS主机（消控室用）</w:t>
            </w:r>
          </w:p>
        </w:tc>
        <w:tc>
          <w:tcPr>
            <w:tcW w:w="694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额定容量 20KVA/16KW</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输入配线 三相四线＋地线</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电压范围 210~475V</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频率范围 46~64Hz50/60HZ自适应</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输入功因 &gt;0.99</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电压范围 220×（1±1%）VAC</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频率范围 市电模式：(46~54)Hz/(56~64)Hz(与输入市电频率同步); 电池模式：(50×(±0.1%)Hz/60(±0.1%)Hz</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电流峰值比 3：1</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额定功率因数 0.8</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超载能力 Load&lt;105%,长期运行;105%&lt;Load≤125%&gt;1min;125%&lt;Load≤150%&gt;30sec</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效率 upto90%</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转换时间 零中断</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电池电压 192VDC</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r>
      <w:tr>
        <w:tblPrEx>
          <w:tblCellMar>
            <w:top w:w="0" w:type="dxa"/>
            <w:left w:w="0" w:type="dxa"/>
            <w:bottom w:w="0" w:type="dxa"/>
            <w:right w:w="0" w:type="dxa"/>
          </w:tblCellMar>
        </w:tblPrEx>
        <w:trPr>
          <w:trHeight w:val="3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1小时后备延时 12V-65AH</w:t>
            </w:r>
          </w:p>
        </w:tc>
        <w:tc>
          <w:tcPr>
            <w:tcW w:w="694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额定容量 1kVA/0.8kW</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输入电压 (165~300)VAC</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输入频率 (40~60)Hz(软件可调)</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输出电压 220×(1±2％)VAC</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输出频率 与输入同步〔市电模式〕，当市电频率超出(46~54)Hz范围时，输出频率为50×(1±0.2%)Hz 50×(1±0.2%)Hz〔电池模式〕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输出波形 正弦波</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备用时间（满载/半载） &gt;5'/14</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电池形式 阀控式铅蓄电池</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外接电池标称电压 内置12V7AH电池 36VDC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转换时间 零中断</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超载能力 110％－150％维持30秒钟后输出转为旁路，150%以上维持300ms</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通讯界面 RS-232 + Intelligent Slot</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操作环境 温度 0℃～40℃  湿度 20％～90％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32</w:t>
            </w:r>
          </w:p>
        </w:tc>
      </w:tr>
      <w:tr>
        <w:tblPrEx>
          <w:tblCellMar>
            <w:top w:w="0" w:type="dxa"/>
            <w:left w:w="0" w:type="dxa"/>
            <w:bottom w:w="0" w:type="dxa"/>
            <w:right w:w="0"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电池柜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UPS不间断电源定制化加厚蓄电池柜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r>
      <w:tr>
        <w:tblPrEx>
          <w:tblCellMar>
            <w:top w:w="0" w:type="dxa"/>
            <w:left w:w="0" w:type="dxa"/>
            <w:bottom w:w="0" w:type="dxa"/>
            <w:right w:w="0"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电池连接线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国产优质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UPS输入输出电缆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国产优质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50</w:t>
            </w:r>
          </w:p>
        </w:tc>
      </w:tr>
      <w:tr>
        <w:tblPrEx>
          <w:tblCellMar>
            <w:top w:w="0" w:type="dxa"/>
            <w:left w:w="0" w:type="dxa"/>
            <w:bottom w:w="0" w:type="dxa"/>
            <w:right w:w="0" w:type="dxa"/>
          </w:tblCellMar>
        </w:tblPrEx>
        <w:trPr>
          <w:trHeight w:val="240" w:hRule="atLeast"/>
        </w:trPr>
        <w:tc>
          <w:tcPr>
            <w:tcW w:w="9675" w:type="dxa"/>
            <w:gridSpan w:val="5"/>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七、人面识别门禁系统</w:t>
            </w:r>
          </w:p>
        </w:tc>
      </w:tr>
      <w:tr>
        <w:tblPrEx>
          <w:tblCellMar>
            <w:top w:w="0" w:type="dxa"/>
            <w:left w:w="0" w:type="dxa"/>
            <w:bottom w:w="0" w:type="dxa"/>
            <w:right w:w="0" w:type="dxa"/>
          </w:tblCellMar>
        </w:tblPrEx>
        <w:trPr>
          <w:trHeight w:val="2880" w:hRule="atLeast"/>
        </w:trPr>
        <w:tc>
          <w:tcPr>
            <w:tcW w:w="37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等线"/>
                <w:color w:val="000000"/>
                <w:sz w:val="18"/>
                <w:szCs w:val="18"/>
              </w:rPr>
            </w:pPr>
            <w:r>
              <w:rPr>
                <w:rFonts w:ascii="宋体" w:hAnsi="宋体" w:cs="等线"/>
                <w:color w:val="000000"/>
                <w:kern w:val="0"/>
                <w:sz w:val="18"/>
                <w:szCs w:val="18"/>
                <w:lang w:bidi="ar"/>
              </w:rPr>
              <w:t>1</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等线"/>
                <w:color w:val="000000"/>
                <w:sz w:val="18"/>
                <w:szCs w:val="18"/>
              </w:rPr>
            </w:pPr>
            <w:r>
              <w:rPr>
                <w:rFonts w:ascii="宋体" w:hAnsi="宋体" w:cs="等线"/>
                <w:color w:val="000000"/>
                <w:kern w:val="0"/>
                <w:sz w:val="18"/>
                <w:szCs w:val="18"/>
                <w:lang w:bidi="ar"/>
              </w:rPr>
              <w:t>人面识别主机 8000人面识别库 一体机</w:t>
            </w:r>
          </w:p>
        </w:tc>
        <w:tc>
          <w:tcPr>
            <w:tcW w:w="694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等线"/>
                <w:color w:val="000000"/>
                <w:sz w:val="18"/>
                <w:szCs w:val="18"/>
              </w:rPr>
            </w:pPr>
            <w:r>
              <w:rPr>
                <w:rFonts w:ascii="宋体" w:hAnsi="宋体" w:cs="等线"/>
                <w:color w:val="000000"/>
                <w:kern w:val="0"/>
                <w:sz w:val="18"/>
                <w:szCs w:val="18"/>
                <w:lang w:bidi="ar"/>
              </w:rPr>
              <w:t>（1）动态人脸识别</w:t>
            </w:r>
            <w:r>
              <w:rPr>
                <w:rFonts w:ascii="宋体" w:hAnsi="宋体" w:cs="等线"/>
                <w:color w:val="000000"/>
                <w:kern w:val="0"/>
                <w:sz w:val="18"/>
                <w:szCs w:val="18"/>
                <w:lang w:bidi="ar"/>
              </w:rPr>
              <w:br w:type="textWrapping"/>
            </w:r>
            <w:r>
              <w:rPr>
                <w:rFonts w:ascii="宋体" w:hAnsi="宋体" w:cs="等线"/>
                <w:color w:val="000000"/>
                <w:kern w:val="0"/>
                <w:sz w:val="18"/>
                <w:szCs w:val="18"/>
                <w:lang w:bidi="ar"/>
              </w:rPr>
              <w:t>产品能够实时抓拍通关者人脸并与人脸库做比对，比对成功后会在显示屏上显示比中结果。</w:t>
            </w:r>
            <w:r>
              <w:rPr>
                <w:rFonts w:ascii="宋体" w:hAnsi="宋体" w:cs="等线"/>
                <w:color w:val="000000"/>
                <w:kern w:val="0"/>
                <w:sz w:val="18"/>
                <w:szCs w:val="18"/>
                <w:lang w:bidi="ar"/>
              </w:rPr>
              <w:br w:type="textWrapping"/>
            </w:r>
            <w:r>
              <w:rPr>
                <w:rFonts w:ascii="宋体" w:hAnsi="宋体" w:cs="等线"/>
                <w:color w:val="000000"/>
                <w:kern w:val="0"/>
                <w:sz w:val="18"/>
                <w:szCs w:val="18"/>
                <w:lang w:bidi="ar"/>
              </w:rPr>
              <w:t>（2）人证核验</w:t>
            </w:r>
            <w:r>
              <w:rPr>
                <w:rFonts w:ascii="宋体" w:hAnsi="宋体" w:cs="等线"/>
                <w:color w:val="000000"/>
                <w:kern w:val="0"/>
                <w:sz w:val="18"/>
                <w:szCs w:val="18"/>
                <w:lang w:bidi="ar"/>
              </w:rPr>
              <w:br w:type="textWrapping"/>
            </w:r>
            <w:r>
              <w:rPr>
                <w:rFonts w:ascii="宋体" w:hAnsi="宋体" w:cs="等线"/>
                <w:color w:val="000000"/>
                <w:kern w:val="0"/>
                <w:sz w:val="18"/>
                <w:szCs w:val="18"/>
                <w:lang w:bidi="ar"/>
              </w:rPr>
              <w:t>产品可以通过读卡器读取身份证或IC卡中通关者证件照，与摄像头抓拍的照片做人脸1：1比对；</w:t>
            </w:r>
            <w:r>
              <w:rPr>
                <w:rFonts w:ascii="宋体" w:hAnsi="宋体" w:cs="等线"/>
                <w:color w:val="000000"/>
                <w:kern w:val="0"/>
                <w:sz w:val="18"/>
                <w:szCs w:val="18"/>
                <w:lang w:bidi="ar"/>
              </w:rPr>
              <w:br w:type="textWrapping"/>
            </w:r>
            <w:r>
              <w:rPr>
                <w:rFonts w:ascii="宋体" w:hAnsi="宋体" w:cs="等线"/>
                <w:color w:val="000000"/>
                <w:kern w:val="0"/>
                <w:sz w:val="18"/>
                <w:szCs w:val="18"/>
                <w:lang w:bidi="ar"/>
              </w:rPr>
              <w:t>（3）人员通行记录管理</w:t>
            </w:r>
            <w:r>
              <w:rPr>
                <w:rFonts w:ascii="宋体" w:hAnsi="宋体" w:cs="等线"/>
                <w:color w:val="000000"/>
                <w:kern w:val="0"/>
                <w:sz w:val="18"/>
                <w:szCs w:val="18"/>
                <w:lang w:bidi="ar"/>
              </w:rPr>
              <w:br w:type="textWrapping"/>
            </w:r>
            <w:r>
              <w:rPr>
                <w:rFonts w:ascii="宋体" w:hAnsi="宋体" w:cs="等线"/>
                <w:color w:val="000000"/>
                <w:kern w:val="0"/>
                <w:sz w:val="18"/>
                <w:szCs w:val="18"/>
                <w:lang w:bidi="ar"/>
              </w:rPr>
              <w:t>产品可以保存人员通行记录信息，所记录的信息能够发给后台管理平台供用户进行查询统计；</w:t>
            </w:r>
            <w:r>
              <w:rPr>
                <w:rFonts w:ascii="宋体" w:hAnsi="宋体" w:cs="等线"/>
                <w:color w:val="000000"/>
                <w:kern w:val="0"/>
                <w:sz w:val="18"/>
                <w:szCs w:val="18"/>
                <w:lang w:bidi="ar"/>
              </w:rPr>
              <w:br w:type="textWrapping"/>
            </w:r>
            <w:r>
              <w:rPr>
                <w:rFonts w:ascii="宋体" w:hAnsi="宋体" w:cs="等线"/>
                <w:color w:val="000000"/>
                <w:kern w:val="0"/>
                <w:sz w:val="18"/>
                <w:szCs w:val="18"/>
                <w:lang w:bidi="ar"/>
              </w:rPr>
              <w:t>（4）人脸库管理</w:t>
            </w:r>
            <w:r>
              <w:rPr>
                <w:rFonts w:ascii="宋体" w:hAnsi="宋体" w:cs="等线"/>
                <w:color w:val="000000"/>
                <w:kern w:val="0"/>
                <w:sz w:val="18"/>
                <w:szCs w:val="18"/>
                <w:lang w:bidi="ar"/>
              </w:rPr>
              <w:br w:type="textWrapping"/>
            </w:r>
            <w:r>
              <w:rPr>
                <w:rFonts w:ascii="宋体" w:hAnsi="宋体" w:cs="等线"/>
                <w:color w:val="000000"/>
                <w:kern w:val="0"/>
                <w:sz w:val="18"/>
                <w:szCs w:val="18"/>
                <w:lang w:bidi="ar"/>
              </w:rPr>
              <w:t>用户可在产品的后台管理软件的人脸库中新增、修改、删除容许通行的人脸照片，人脸库的更新数据会自动同步至设备；</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等线"/>
                <w:color w:val="000000"/>
                <w:sz w:val="18"/>
                <w:szCs w:val="18"/>
              </w:rPr>
            </w:pPr>
            <w:r>
              <w:rPr>
                <w:rFonts w:ascii="宋体" w:hAnsi="宋体" w:cs="等线"/>
                <w:color w:val="000000"/>
                <w:kern w:val="0"/>
                <w:sz w:val="18"/>
                <w:szCs w:val="18"/>
                <w:lang w:bidi="ar"/>
              </w:rPr>
              <w:t>台</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bottom"/>
          </w:tcPr>
          <w:p>
            <w:pPr>
              <w:widowControl/>
              <w:jc w:val="center"/>
              <w:textAlignment w:val="bottom"/>
              <w:rPr>
                <w:rFonts w:ascii="宋体" w:hAnsi="宋体" w:cs="等线"/>
                <w:color w:val="000000"/>
                <w:sz w:val="18"/>
                <w:szCs w:val="18"/>
              </w:rPr>
            </w:pPr>
            <w:r>
              <w:rPr>
                <w:rFonts w:ascii="宋体" w:hAnsi="宋体" w:cs="等线"/>
                <w:color w:val="000000"/>
                <w:kern w:val="0"/>
                <w:sz w:val="18"/>
                <w:szCs w:val="18"/>
                <w:lang w:bidi="ar"/>
              </w:rPr>
              <w:t>4</w:t>
            </w:r>
          </w:p>
        </w:tc>
      </w:tr>
      <w:tr>
        <w:tblPrEx>
          <w:tblCellMar>
            <w:top w:w="0" w:type="dxa"/>
            <w:left w:w="0" w:type="dxa"/>
            <w:bottom w:w="0" w:type="dxa"/>
            <w:right w:w="0" w:type="dxa"/>
          </w:tblCellMar>
        </w:tblPrEx>
        <w:trPr>
          <w:trHeight w:val="240" w:hRule="atLeast"/>
        </w:trPr>
        <w:tc>
          <w:tcPr>
            <w:tcW w:w="37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等线"/>
                <w:color w:val="000000"/>
                <w:sz w:val="18"/>
                <w:szCs w:val="18"/>
              </w:rPr>
            </w:pPr>
            <w:r>
              <w:rPr>
                <w:rFonts w:ascii="宋体" w:hAnsi="宋体" w:cs="等线"/>
                <w:color w:val="000000"/>
                <w:kern w:val="0"/>
                <w:sz w:val="18"/>
                <w:szCs w:val="18"/>
                <w:lang w:bidi="ar"/>
              </w:rPr>
              <w:t>2</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等线"/>
                <w:color w:val="000000"/>
                <w:sz w:val="18"/>
                <w:szCs w:val="18"/>
              </w:rPr>
            </w:pPr>
            <w:r>
              <w:rPr>
                <w:rFonts w:ascii="宋体" w:hAnsi="宋体" w:cs="等线"/>
                <w:color w:val="000000"/>
                <w:kern w:val="0"/>
                <w:sz w:val="18"/>
                <w:szCs w:val="18"/>
                <w:lang w:bidi="ar"/>
              </w:rPr>
              <w:t>电源模块</w:t>
            </w:r>
          </w:p>
        </w:tc>
        <w:tc>
          <w:tcPr>
            <w:tcW w:w="694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等线"/>
                <w:color w:val="000000"/>
                <w:sz w:val="18"/>
                <w:szCs w:val="18"/>
              </w:rPr>
            </w:pPr>
            <w:r>
              <w:rPr>
                <w:rFonts w:ascii="宋体" w:hAnsi="宋体" w:cs="等线"/>
                <w:color w:val="000000"/>
                <w:kern w:val="0"/>
                <w:sz w:val="18"/>
                <w:szCs w:val="18"/>
                <w:lang w:bidi="ar"/>
              </w:rPr>
              <w:t>人面识别机配套电源</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等线"/>
                <w:color w:val="000000"/>
                <w:sz w:val="18"/>
                <w:szCs w:val="18"/>
              </w:rPr>
            </w:pPr>
            <w:r>
              <w:rPr>
                <w:rFonts w:ascii="宋体" w:hAnsi="宋体" w:cs="等线"/>
                <w:color w:val="000000"/>
                <w:kern w:val="0"/>
                <w:sz w:val="18"/>
                <w:szCs w:val="18"/>
                <w:lang w:bidi="ar"/>
              </w:rPr>
              <w:t>台</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bottom"/>
          </w:tcPr>
          <w:p>
            <w:pPr>
              <w:widowControl/>
              <w:jc w:val="center"/>
              <w:textAlignment w:val="bottom"/>
              <w:rPr>
                <w:rFonts w:ascii="宋体" w:hAnsi="宋体" w:cs="等线"/>
                <w:color w:val="000000"/>
                <w:sz w:val="18"/>
                <w:szCs w:val="18"/>
              </w:rPr>
            </w:pPr>
            <w:r>
              <w:rPr>
                <w:rFonts w:ascii="宋体" w:hAnsi="宋体" w:cs="等线"/>
                <w:color w:val="000000"/>
                <w:kern w:val="0"/>
                <w:sz w:val="18"/>
                <w:szCs w:val="18"/>
                <w:lang w:bidi="ar"/>
              </w:rPr>
              <w:t>4</w:t>
            </w:r>
          </w:p>
        </w:tc>
      </w:tr>
    </w:tbl>
    <w:p>
      <w:pPr>
        <w:adjustRightInd w:val="0"/>
        <w:snapToGrid w:val="0"/>
        <w:spacing w:line="450" w:lineRule="exact"/>
        <w:jc w:val="center"/>
        <w:rPr>
          <w:b/>
          <w:sz w:val="36"/>
          <w:szCs w:val="36"/>
        </w:rPr>
      </w:pPr>
      <w:r>
        <w:rPr>
          <w:rFonts w:hint="eastAsia"/>
          <w:b/>
          <w:sz w:val="36"/>
          <w:szCs w:val="36"/>
        </w:rPr>
        <w:t>多功能会议厅采购清单</w:t>
      </w:r>
    </w:p>
    <w:tbl>
      <w:tblPr>
        <w:tblStyle w:val="24"/>
        <w:tblW w:w="9675" w:type="dxa"/>
        <w:tblInd w:w="0" w:type="dxa"/>
        <w:tblLayout w:type="autofit"/>
        <w:tblCellMar>
          <w:top w:w="0" w:type="dxa"/>
          <w:left w:w="0" w:type="dxa"/>
          <w:bottom w:w="0" w:type="dxa"/>
          <w:right w:w="0" w:type="dxa"/>
        </w:tblCellMar>
      </w:tblPr>
      <w:tblGrid>
        <w:gridCol w:w="312"/>
        <w:gridCol w:w="2460"/>
        <w:gridCol w:w="5615"/>
        <w:gridCol w:w="447"/>
        <w:gridCol w:w="841"/>
      </w:tblGrid>
      <w:tr>
        <w:tblPrEx>
          <w:tblCellMar>
            <w:top w:w="0" w:type="dxa"/>
            <w:left w:w="0" w:type="dxa"/>
            <w:bottom w:w="0" w:type="dxa"/>
            <w:right w:w="0" w:type="dxa"/>
          </w:tblCellMar>
        </w:tblPrEx>
        <w:trPr>
          <w:trHeight w:val="480" w:hRule="atLeast"/>
        </w:trPr>
        <w:tc>
          <w:tcPr>
            <w:tcW w:w="33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序号</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产品名称</w:t>
            </w:r>
          </w:p>
        </w:tc>
        <w:tc>
          <w:tcPr>
            <w:tcW w:w="62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规格型号</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单位</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数量</w:t>
            </w:r>
          </w:p>
        </w:tc>
      </w:tr>
      <w:tr>
        <w:tblPrEx>
          <w:tblCellMar>
            <w:top w:w="0" w:type="dxa"/>
            <w:left w:w="0" w:type="dxa"/>
            <w:bottom w:w="0" w:type="dxa"/>
            <w:right w:w="0" w:type="dxa"/>
          </w:tblCellMar>
        </w:tblPrEx>
        <w:trPr>
          <w:trHeight w:val="240" w:hRule="atLeast"/>
        </w:trPr>
        <w:tc>
          <w:tcPr>
            <w:tcW w:w="9675" w:type="dxa"/>
            <w:gridSpan w:val="5"/>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一、大屏</w:t>
            </w:r>
          </w:p>
        </w:tc>
      </w:tr>
      <w:tr>
        <w:tblPrEx>
          <w:tblCellMar>
            <w:top w:w="0" w:type="dxa"/>
            <w:left w:w="0" w:type="dxa"/>
            <w:bottom w:w="0" w:type="dxa"/>
            <w:right w:w="0" w:type="dxa"/>
          </w:tblCellMar>
        </w:tblPrEx>
        <w:trPr>
          <w:trHeight w:val="2655" w:hRule="atLeast"/>
        </w:trPr>
        <w:tc>
          <w:tcPr>
            <w:tcW w:w="33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全彩色LED显示屏，4.80m× 2.1m</w:t>
            </w:r>
          </w:p>
        </w:tc>
        <w:tc>
          <w:tcPr>
            <w:tcW w:w="62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等线"/>
                <w:color w:val="000000"/>
                <w:sz w:val="18"/>
                <w:szCs w:val="18"/>
              </w:rPr>
            </w:pPr>
            <w:r>
              <w:rPr>
                <w:rFonts w:ascii="宋体" w:hAnsi="宋体" w:cs="等线"/>
                <w:color w:val="000000"/>
                <w:kern w:val="0"/>
                <w:sz w:val="18"/>
                <w:szCs w:val="18"/>
                <w:lang w:bidi="ar"/>
              </w:rPr>
              <w:t>像素密度  360000Dots/㎡  像数点间距 ≤1.667mm   像数点间距 1.666mm    单元板分辨率 192*96=18432Dots</w:t>
            </w:r>
            <w:r>
              <w:rPr>
                <w:rFonts w:ascii="宋体" w:hAnsi="宋体" w:cs="等线"/>
                <w:color w:val="000000"/>
                <w:kern w:val="0"/>
                <w:sz w:val="18"/>
                <w:szCs w:val="18"/>
                <w:lang w:bidi="ar"/>
              </w:rPr>
              <w:br w:type="textWrapping"/>
            </w:r>
            <w:r>
              <w:rPr>
                <w:rFonts w:ascii="宋体" w:hAnsi="宋体" w:cs="等线"/>
                <w:color w:val="000000"/>
                <w:kern w:val="0"/>
                <w:sz w:val="18"/>
                <w:szCs w:val="18"/>
                <w:lang w:bidi="ar"/>
              </w:rPr>
              <w:t>为保证产品的稳定使用，产品可靠性试验要求：本次所投LED显示屏达到平均无故障时间（MTBF）m</w:t>
            </w:r>
            <w:r>
              <w:rPr>
                <w:rStyle w:val="66"/>
                <w:rFonts w:ascii="Cambria Math" w:hAnsi="Cambria Math" w:cs="Cambria Math"/>
                <w:sz w:val="18"/>
                <w:szCs w:val="18"/>
                <w:lang w:bidi="ar"/>
              </w:rPr>
              <w:t>₁</w:t>
            </w:r>
            <w:r>
              <w:rPr>
                <w:rFonts w:ascii="宋体" w:hAnsi="宋体" w:cs="等线"/>
                <w:color w:val="000000"/>
                <w:kern w:val="0"/>
                <w:sz w:val="18"/>
                <w:szCs w:val="18"/>
                <w:lang w:bidi="ar"/>
              </w:rPr>
              <w:t>≥10000h ；</w:t>
            </w:r>
            <w:r>
              <w:rPr>
                <w:rStyle w:val="65"/>
                <w:rFonts w:hint="default"/>
                <w:sz w:val="18"/>
                <w:szCs w:val="18"/>
                <w:lang w:bidi="ar"/>
              </w:rPr>
              <w:t>为保证产品在不同环境使用</w:t>
            </w:r>
            <w:r>
              <w:rPr>
                <w:rFonts w:ascii="宋体" w:hAnsi="宋体" w:cs="Calibri"/>
                <w:color w:val="000000"/>
                <w:kern w:val="0"/>
                <w:sz w:val="18"/>
                <w:szCs w:val="18"/>
                <w:lang w:bidi="ar"/>
              </w:rPr>
              <w:t>,</w:t>
            </w:r>
            <w:r>
              <w:rPr>
                <w:rStyle w:val="65"/>
                <w:rFonts w:hint="default"/>
                <w:sz w:val="18"/>
                <w:szCs w:val="18"/>
                <w:lang w:bidi="ar"/>
              </w:rPr>
              <w:t>本次所投</w:t>
            </w:r>
            <w:r>
              <w:rPr>
                <w:rFonts w:ascii="宋体" w:hAnsi="宋体" w:cs="Calibri"/>
                <w:color w:val="000000"/>
                <w:kern w:val="0"/>
                <w:sz w:val="18"/>
                <w:szCs w:val="18"/>
                <w:lang w:bidi="ar"/>
              </w:rPr>
              <w:t>LED</w:t>
            </w:r>
            <w:r>
              <w:rPr>
                <w:rStyle w:val="65"/>
                <w:rFonts w:hint="default"/>
                <w:sz w:val="18"/>
                <w:szCs w:val="18"/>
                <w:lang w:bidi="ar"/>
              </w:rPr>
              <w:t>显示屏通过低温</w:t>
            </w:r>
            <w:r>
              <w:rPr>
                <w:rFonts w:ascii="宋体" w:hAnsi="宋体" w:cs="Calibri"/>
                <w:color w:val="000000"/>
                <w:kern w:val="0"/>
                <w:sz w:val="18"/>
                <w:szCs w:val="18"/>
                <w:lang w:bidi="ar"/>
              </w:rPr>
              <w:t>-40</w:t>
            </w:r>
            <w:r>
              <w:rPr>
                <w:rStyle w:val="65"/>
                <w:rFonts w:hint="default"/>
                <w:sz w:val="18"/>
                <w:szCs w:val="18"/>
                <w:lang w:bidi="ar"/>
              </w:rPr>
              <w:t>℃</w:t>
            </w:r>
            <w:r>
              <w:rPr>
                <w:rFonts w:ascii="宋体" w:hAnsi="宋体" w:cs="Calibri"/>
                <w:color w:val="000000"/>
                <w:kern w:val="0"/>
                <w:sz w:val="18"/>
                <w:szCs w:val="18"/>
                <w:lang w:bidi="ar"/>
              </w:rPr>
              <w:t>-</w:t>
            </w:r>
            <w:r>
              <w:rPr>
                <w:rStyle w:val="65"/>
                <w:rFonts w:hint="default"/>
                <w:sz w:val="18"/>
                <w:szCs w:val="18"/>
                <w:lang w:bidi="ar"/>
              </w:rPr>
              <w:t>高温</w:t>
            </w:r>
            <w:r>
              <w:rPr>
                <w:rFonts w:ascii="宋体" w:hAnsi="宋体" w:cs="Calibri"/>
                <w:color w:val="000000"/>
                <w:kern w:val="0"/>
                <w:sz w:val="18"/>
                <w:szCs w:val="18"/>
                <w:lang w:bidi="ar"/>
              </w:rPr>
              <w:t>100</w:t>
            </w:r>
            <w:r>
              <w:rPr>
                <w:rStyle w:val="65"/>
                <w:rFonts w:hint="default"/>
                <w:sz w:val="18"/>
                <w:szCs w:val="18"/>
                <w:lang w:bidi="ar"/>
              </w:rPr>
              <w:t>℃实验室循环冷热冲击并检测通过；提供由第三方权威机构出具的检测报告；</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平方米</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等线"/>
                <w:color w:val="000000"/>
                <w:sz w:val="18"/>
                <w:szCs w:val="18"/>
              </w:rPr>
            </w:pPr>
            <w:r>
              <w:rPr>
                <w:rFonts w:ascii="宋体" w:hAnsi="宋体" w:cs="等线"/>
                <w:color w:val="000000"/>
                <w:kern w:val="0"/>
                <w:sz w:val="18"/>
                <w:szCs w:val="18"/>
                <w:lang w:bidi="ar"/>
              </w:rPr>
              <w:t xml:space="preserve">10.08 </w:t>
            </w:r>
          </w:p>
        </w:tc>
      </w:tr>
      <w:tr>
        <w:tblPrEx>
          <w:tblCellMar>
            <w:top w:w="0" w:type="dxa"/>
            <w:left w:w="0" w:type="dxa"/>
            <w:bottom w:w="0" w:type="dxa"/>
            <w:right w:w="0" w:type="dxa"/>
          </w:tblCellMar>
        </w:tblPrEx>
        <w:trPr>
          <w:trHeight w:val="1305" w:hRule="atLeast"/>
        </w:trPr>
        <w:tc>
          <w:tcPr>
            <w:tcW w:w="33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屏幕控制电脑，带HDMI一体机</w:t>
            </w:r>
          </w:p>
        </w:tc>
        <w:tc>
          <w:tcPr>
            <w:tcW w:w="62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等线"/>
                <w:color w:val="000000"/>
                <w:sz w:val="18"/>
                <w:szCs w:val="18"/>
              </w:rPr>
            </w:pPr>
            <w:r>
              <w:rPr>
                <w:rFonts w:ascii="宋体" w:hAnsi="宋体" w:cs="等线"/>
                <w:color w:val="000000"/>
                <w:kern w:val="0"/>
                <w:sz w:val="18"/>
                <w:szCs w:val="18"/>
                <w:lang w:bidi="ar"/>
              </w:rPr>
              <w:t>CPU：Intel 酷睿 i5处理器或其他同性能及以上产品；</w:t>
            </w:r>
            <w:r>
              <w:rPr>
                <w:rFonts w:ascii="宋体" w:hAnsi="宋体" w:cs="等线"/>
                <w:color w:val="000000"/>
                <w:kern w:val="0"/>
                <w:sz w:val="18"/>
                <w:szCs w:val="18"/>
                <w:lang w:bidi="ar"/>
              </w:rPr>
              <w:br w:type="textWrapping"/>
            </w:r>
            <w:r>
              <w:rPr>
                <w:rFonts w:ascii="宋体" w:hAnsi="宋体" w:cs="等线"/>
                <w:color w:val="000000"/>
                <w:kern w:val="0"/>
                <w:sz w:val="18"/>
                <w:szCs w:val="18"/>
                <w:lang w:bidi="ar"/>
              </w:rPr>
              <w:t>内存：≥4GB DDR3；</w:t>
            </w:r>
            <w:r>
              <w:rPr>
                <w:rFonts w:ascii="宋体" w:hAnsi="宋体" w:cs="等线"/>
                <w:color w:val="000000"/>
                <w:kern w:val="0"/>
                <w:sz w:val="18"/>
                <w:szCs w:val="18"/>
                <w:lang w:bidi="ar"/>
              </w:rPr>
              <w:br w:type="textWrapping"/>
            </w:r>
            <w:r>
              <w:rPr>
                <w:rFonts w:ascii="宋体" w:hAnsi="宋体" w:cs="等线"/>
                <w:color w:val="000000"/>
                <w:kern w:val="0"/>
                <w:sz w:val="18"/>
                <w:szCs w:val="18"/>
                <w:lang w:bidi="ar"/>
              </w:rPr>
              <w:t>主板：集成声卡、10/100M/1000M网卡；</w:t>
            </w:r>
            <w:r>
              <w:rPr>
                <w:rFonts w:ascii="宋体" w:hAnsi="宋体" w:cs="等线"/>
                <w:color w:val="000000"/>
                <w:kern w:val="0"/>
                <w:sz w:val="18"/>
                <w:szCs w:val="18"/>
                <w:lang w:bidi="ar"/>
              </w:rPr>
              <w:br w:type="textWrapping"/>
            </w:r>
            <w:r>
              <w:rPr>
                <w:rFonts w:ascii="宋体" w:hAnsi="宋体" w:cs="等线"/>
                <w:color w:val="000000"/>
                <w:kern w:val="0"/>
                <w:sz w:val="18"/>
                <w:szCs w:val="18"/>
                <w:lang w:bidi="ar"/>
              </w:rPr>
              <w:t>光驱：DVD</w:t>
            </w:r>
            <w:r>
              <w:rPr>
                <w:rFonts w:ascii="宋体" w:hAnsi="宋体" w:cs="等线"/>
                <w:color w:val="000000"/>
                <w:kern w:val="0"/>
                <w:sz w:val="18"/>
                <w:szCs w:val="18"/>
                <w:lang w:bidi="ar"/>
              </w:rPr>
              <w:br w:type="textWrapping"/>
            </w:r>
            <w:r>
              <w:rPr>
                <w:rFonts w:ascii="宋体" w:hAnsi="宋体" w:cs="等线"/>
                <w:color w:val="000000"/>
                <w:kern w:val="0"/>
                <w:sz w:val="18"/>
                <w:szCs w:val="18"/>
                <w:lang w:bidi="ar"/>
              </w:rPr>
              <w:t>显卡：独立显卡/512MB</w:t>
            </w:r>
            <w:r>
              <w:rPr>
                <w:rFonts w:ascii="宋体" w:hAnsi="宋体" w:cs="等线"/>
                <w:color w:val="000000"/>
                <w:kern w:val="0"/>
                <w:sz w:val="18"/>
                <w:szCs w:val="18"/>
                <w:lang w:bidi="ar"/>
              </w:rPr>
              <w:br w:type="textWrapping"/>
            </w:r>
            <w:r>
              <w:rPr>
                <w:rFonts w:ascii="宋体" w:hAnsi="宋体" w:cs="等线"/>
                <w:color w:val="000000"/>
                <w:kern w:val="0"/>
                <w:sz w:val="18"/>
                <w:szCs w:val="18"/>
                <w:lang w:bidi="ar"/>
              </w:rPr>
              <w:t>硬盘：≥500GB SATA3；</w:t>
            </w:r>
            <w:r>
              <w:rPr>
                <w:rFonts w:ascii="宋体" w:hAnsi="宋体" w:cs="等线"/>
                <w:color w:val="000000"/>
                <w:kern w:val="0"/>
                <w:sz w:val="18"/>
                <w:szCs w:val="18"/>
                <w:lang w:bidi="ar"/>
              </w:rPr>
              <w:br w:type="textWrapping"/>
            </w:r>
            <w:r>
              <w:rPr>
                <w:rFonts w:ascii="宋体" w:hAnsi="宋体" w:cs="等线"/>
                <w:color w:val="000000"/>
                <w:kern w:val="0"/>
                <w:sz w:val="18"/>
                <w:szCs w:val="18"/>
                <w:lang w:bidi="ar"/>
              </w:rPr>
              <w:t>键鼠：标准键盘，光电鼠标；</w:t>
            </w:r>
            <w:r>
              <w:rPr>
                <w:rFonts w:ascii="宋体" w:hAnsi="宋体" w:cs="等线"/>
                <w:color w:val="000000"/>
                <w:kern w:val="0"/>
                <w:sz w:val="18"/>
                <w:szCs w:val="18"/>
                <w:lang w:bidi="ar"/>
              </w:rPr>
              <w:br w:type="textWrapping"/>
            </w:r>
            <w:r>
              <w:rPr>
                <w:rFonts w:ascii="宋体" w:hAnsi="宋体" w:cs="等线"/>
                <w:color w:val="000000"/>
                <w:kern w:val="0"/>
                <w:sz w:val="18"/>
                <w:szCs w:val="18"/>
                <w:lang w:bidi="ar"/>
              </w:rPr>
              <w:t>显示器：≥19英寸宽屏液晶显示器；</w:t>
            </w:r>
            <w:r>
              <w:rPr>
                <w:rFonts w:ascii="宋体" w:hAnsi="宋体" w:cs="等线"/>
                <w:color w:val="000000"/>
                <w:kern w:val="0"/>
                <w:sz w:val="18"/>
                <w:szCs w:val="18"/>
                <w:lang w:bidi="ar"/>
              </w:rPr>
              <w:br w:type="textWrapping"/>
            </w:r>
            <w:r>
              <w:rPr>
                <w:rFonts w:ascii="宋体" w:hAnsi="宋体" w:cs="等线"/>
                <w:color w:val="000000"/>
                <w:kern w:val="0"/>
                <w:sz w:val="18"/>
                <w:szCs w:val="18"/>
                <w:lang w:bidi="ar"/>
              </w:rPr>
              <w:t>接口：前置USB≥4、VGA输出、标准3.5音频输入输出、RJ45；</w:t>
            </w:r>
            <w:r>
              <w:rPr>
                <w:rFonts w:ascii="宋体" w:hAnsi="宋体" w:cs="等线"/>
                <w:color w:val="000000"/>
                <w:kern w:val="0"/>
                <w:sz w:val="18"/>
                <w:szCs w:val="18"/>
                <w:lang w:bidi="ar"/>
              </w:rPr>
              <w:br w:type="textWrapping"/>
            </w:r>
            <w:r>
              <w:rPr>
                <w:rFonts w:ascii="宋体" w:hAnsi="宋体" w:cs="等线"/>
                <w:color w:val="000000"/>
                <w:kern w:val="0"/>
                <w:sz w:val="18"/>
                <w:szCs w:val="18"/>
                <w:lang w:bidi="ar"/>
              </w:rPr>
              <w:t>BIOS开机显示厂家服务信息并预装Windows xp及以上操作系统；</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台</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等线"/>
                <w:color w:val="000000"/>
                <w:sz w:val="18"/>
                <w:szCs w:val="18"/>
              </w:rPr>
            </w:pPr>
            <w:r>
              <w:rPr>
                <w:rFonts w:ascii="宋体" w:hAnsi="宋体" w:cs="等线"/>
                <w:color w:val="000000"/>
                <w:kern w:val="0"/>
                <w:sz w:val="18"/>
                <w:szCs w:val="18"/>
                <w:lang w:bidi="ar"/>
              </w:rPr>
              <w:t xml:space="preserve">1.00 </w:t>
            </w:r>
          </w:p>
        </w:tc>
      </w:tr>
      <w:tr>
        <w:tblPrEx>
          <w:tblCellMar>
            <w:top w:w="0" w:type="dxa"/>
            <w:left w:w="0" w:type="dxa"/>
            <w:bottom w:w="0" w:type="dxa"/>
            <w:right w:w="0" w:type="dxa"/>
          </w:tblCellMar>
        </w:tblPrEx>
        <w:trPr>
          <w:trHeight w:val="1680" w:hRule="atLeast"/>
        </w:trPr>
        <w:tc>
          <w:tcPr>
            <w:tcW w:w="33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控制系统</w:t>
            </w:r>
          </w:p>
        </w:tc>
        <w:tc>
          <w:tcPr>
            <w:tcW w:w="62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等线"/>
                <w:color w:val="000000"/>
                <w:sz w:val="18"/>
                <w:szCs w:val="18"/>
              </w:rPr>
            </w:pPr>
            <w:r>
              <w:rPr>
                <w:rFonts w:ascii="宋体" w:hAnsi="宋体" w:cs="等线"/>
                <w:color w:val="000000"/>
                <w:kern w:val="0"/>
                <w:sz w:val="18"/>
                <w:szCs w:val="18"/>
                <w:lang w:bidi="ar"/>
              </w:rPr>
              <w:t>1、单卡支持32 组RGB 信号并行输出</w:t>
            </w:r>
            <w:r>
              <w:rPr>
                <w:rFonts w:ascii="宋体" w:hAnsi="宋体" w:cs="等线"/>
                <w:color w:val="000000"/>
                <w:kern w:val="0"/>
                <w:sz w:val="18"/>
                <w:szCs w:val="18"/>
                <w:lang w:bidi="ar"/>
              </w:rPr>
              <w:br w:type="textWrapping"/>
            </w:r>
            <w:r>
              <w:rPr>
                <w:rFonts w:ascii="宋体" w:hAnsi="宋体" w:cs="等线"/>
                <w:color w:val="000000"/>
                <w:kern w:val="0"/>
                <w:sz w:val="18"/>
                <w:szCs w:val="18"/>
                <w:lang w:bidi="ar"/>
              </w:rPr>
              <w:t>2 、单卡最大带载512×512 像素点</w:t>
            </w:r>
            <w:r>
              <w:rPr>
                <w:rFonts w:ascii="宋体" w:hAnsi="宋体" w:cs="等线"/>
                <w:color w:val="000000"/>
                <w:kern w:val="0"/>
                <w:sz w:val="18"/>
                <w:szCs w:val="18"/>
                <w:lang w:bidi="ar"/>
              </w:rPr>
              <w:br w:type="textWrapping"/>
            </w:r>
            <w:r>
              <w:rPr>
                <w:rFonts w:ascii="宋体" w:hAnsi="宋体" w:cs="等线"/>
                <w:color w:val="000000"/>
                <w:kern w:val="0"/>
                <w:sz w:val="18"/>
                <w:szCs w:val="18"/>
                <w:lang w:bidi="ar"/>
              </w:rPr>
              <w:t>3、支持色度、亮度一体化逐点校正</w:t>
            </w:r>
            <w:r>
              <w:rPr>
                <w:rFonts w:ascii="宋体" w:hAnsi="宋体" w:cs="等线"/>
                <w:color w:val="000000"/>
                <w:kern w:val="0"/>
                <w:sz w:val="18"/>
                <w:szCs w:val="18"/>
                <w:lang w:bidi="ar"/>
              </w:rPr>
              <w:br w:type="textWrapping"/>
            </w:r>
            <w:r>
              <w:rPr>
                <w:rFonts w:ascii="宋体" w:hAnsi="宋体" w:cs="等线"/>
                <w:color w:val="000000"/>
                <w:kern w:val="0"/>
                <w:sz w:val="18"/>
                <w:szCs w:val="18"/>
                <w:lang w:bidi="ar"/>
              </w:rPr>
              <w:t>4、支持网线检测</w:t>
            </w:r>
            <w:r>
              <w:rPr>
                <w:rFonts w:ascii="宋体" w:hAnsi="宋体" w:cs="等线"/>
                <w:color w:val="000000"/>
                <w:kern w:val="0"/>
                <w:sz w:val="18"/>
                <w:szCs w:val="18"/>
                <w:lang w:bidi="ar"/>
              </w:rPr>
              <w:br w:type="textWrapping"/>
            </w:r>
            <w:r>
              <w:rPr>
                <w:rFonts w:ascii="宋体" w:hAnsi="宋体" w:cs="等线"/>
                <w:color w:val="000000"/>
                <w:kern w:val="0"/>
                <w:sz w:val="18"/>
                <w:szCs w:val="18"/>
                <w:lang w:bidi="ar"/>
              </w:rPr>
              <w:t>5、 快速升级和快速发送校正系数</w:t>
            </w:r>
            <w:r>
              <w:rPr>
                <w:rFonts w:ascii="宋体" w:hAnsi="宋体" w:cs="等线"/>
                <w:color w:val="000000"/>
                <w:kern w:val="0"/>
                <w:sz w:val="18"/>
                <w:szCs w:val="18"/>
                <w:lang w:bidi="ar"/>
              </w:rPr>
              <w:br w:type="textWrapping"/>
            </w:r>
            <w:r>
              <w:rPr>
                <w:rFonts w:ascii="宋体" w:hAnsi="宋体" w:cs="等线"/>
                <w:color w:val="000000"/>
                <w:kern w:val="0"/>
                <w:sz w:val="18"/>
                <w:szCs w:val="18"/>
                <w:lang w:bidi="ar"/>
              </w:rPr>
              <w:t>6 、支持低亮高灰以及色温调节</w:t>
            </w:r>
            <w:r>
              <w:rPr>
                <w:rFonts w:ascii="宋体" w:hAnsi="宋体" w:cs="等线"/>
                <w:color w:val="000000"/>
                <w:kern w:val="0"/>
                <w:sz w:val="18"/>
                <w:szCs w:val="18"/>
                <w:lang w:bidi="ar"/>
              </w:rPr>
              <w:br w:type="textWrapping"/>
            </w:r>
            <w:r>
              <w:rPr>
                <w:rFonts w:hint="eastAsia" w:ascii="宋体" w:hAnsi="宋体" w:cs="等线"/>
                <w:color w:val="000000"/>
                <w:kern w:val="0"/>
                <w:sz w:val="18"/>
                <w:szCs w:val="18"/>
                <w:lang w:bidi="ar"/>
              </w:rPr>
              <w:t>7、</w:t>
            </w:r>
            <w:r>
              <w:rPr>
                <w:rFonts w:ascii="宋体" w:hAnsi="宋体" w:cs="等线"/>
                <w:color w:val="000000"/>
                <w:kern w:val="0"/>
                <w:sz w:val="18"/>
                <w:szCs w:val="18"/>
                <w:lang w:bidi="ar"/>
              </w:rPr>
              <w:t>提供厂家售后服务承诺书和项目授权书；</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套</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等线"/>
                <w:color w:val="000000"/>
                <w:sz w:val="18"/>
                <w:szCs w:val="18"/>
              </w:rPr>
            </w:pPr>
            <w:r>
              <w:rPr>
                <w:rFonts w:ascii="宋体" w:hAnsi="宋体" w:cs="等线"/>
                <w:color w:val="000000"/>
                <w:kern w:val="0"/>
                <w:sz w:val="18"/>
                <w:szCs w:val="18"/>
                <w:lang w:bidi="ar"/>
              </w:rPr>
              <w:t xml:space="preserve">4.00 </w:t>
            </w:r>
          </w:p>
        </w:tc>
      </w:tr>
      <w:tr>
        <w:tblPrEx>
          <w:tblCellMar>
            <w:top w:w="0" w:type="dxa"/>
            <w:left w:w="0" w:type="dxa"/>
            <w:bottom w:w="0" w:type="dxa"/>
            <w:right w:w="0" w:type="dxa"/>
          </w:tblCellMar>
        </w:tblPrEx>
        <w:trPr>
          <w:trHeight w:val="240" w:hRule="atLeast"/>
        </w:trPr>
        <w:tc>
          <w:tcPr>
            <w:tcW w:w="33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信号线</w:t>
            </w:r>
          </w:p>
        </w:tc>
        <w:tc>
          <w:tcPr>
            <w:tcW w:w="62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国标六类网线</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根</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等线"/>
                <w:color w:val="000000"/>
                <w:sz w:val="18"/>
                <w:szCs w:val="18"/>
              </w:rPr>
            </w:pPr>
            <w:r>
              <w:rPr>
                <w:rFonts w:ascii="宋体" w:hAnsi="宋体" w:cs="等线"/>
                <w:color w:val="000000"/>
                <w:kern w:val="0"/>
                <w:sz w:val="18"/>
                <w:szCs w:val="18"/>
                <w:lang w:bidi="ar"/>
              </w:rPr>
              <w:t xml:space="preserve">18.00 </w:t>
            </w:r>
          </w:p>
        </w:tc>
      </w:tr>
      <w:tr>
        <w:tblPrEx>
          <w:tblCellMar>
            <w:top w:w="0" w:type="dxa"/>
            <w:left w:w="0" w:type="dxa"/>
            <w:bottom w:w="0" w:type="dxa"/>
            <w:right w:w="0" w:type="dxa"/>
          </w:tblCellMar>
        </w:tblPrEx>
        <w:trPr>
          <w:trHeight w:val="240" w:hRule="atLeast"/>
        </w:trPr>
        <w:tc>
          <w:tcPr>
            <w:tcW w:w="33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电源线</w:t>
            </w:r>
          </w:p>
        </w:tc>
        <w:tc>
          <w:tcPr>
            <w:tcW w:w="62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国标1.5mm2</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米</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等线"/>
                <w:color w:val="000000"/>
                <w:sz w:val="18"/>
                <w:szCs w:val="18"/>
              </w:rPr>
            </w:pPr>
            <w:r>
              <w:rPr>
                <w:rFonts w:ascii="宋体" w:hAnsi="宋体" w:cs="等线"/>
                <w:color w:val="000000"/>
                <w:kern w:val="0"/>
                <w:sz w:val="18"/>
                <w:szCs w:val="18"/>
                <w:lang w:bidi="ar"/>
              </w:rPr>
              <w:t xml:space="preserve">30.00 </w:t>
            </w:r>
          </w:p>
        </w:tc>
      </w:tr>
      <w:tr>
        <w:tblPrEx>
          <w:tblCellMar>
            <w:top w:w="0" w:type="dxa"/>
            <w:left w:w="0" w:type="dxa"/>
            <w:bottom w:w="0" w:type="dxa"/>
            <w:right w:w="0" w:type="dxa"/>
          </w:tblCellMar>
        </w:tblPrEx>
        <w:trPr>
          <w:trHeight w:val="2160" w:hRule="atLeast"/>
        </w:trPr>
        <w:tc>
          <w:tcPr>
            <w:tcW w:w="33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视频拼接器</w:t>
            </w:r>
          </w:p>
        </w:tc>
        <w:tc>
          <w:tcPr>
            <w:tcW w:w="62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等线"/>
                <w:color w:val="000000"/>
                <w:sz w:val="18"/>
                <w:szCs w:val="18"/>
              </w:rPr>
            </w:pPr>
            <w:r>
              <w:rPr>
                <w:rFonts w:ascii="宋体" w:hAnsi="宋体" w:cs="等线"/>
                <w:color w:val="000000"/>
                <w:kern w:val="0"/>
                <w:sz w:val="18"/>
                <w:szCs w:val="18"/>
                <w:lang w:bidi="ar"/>
              </w:rPr>
              <w:t>1.具备丰富的视频信号接口，支持SDI、HDMI、DVI等高清数字接口，多路信号间无缝切换；</w:t>
            </w:r>
            <w:r>
              <w:rPr>
                <w:rFonts w:ascii="宋体" w:hAnsi="宋体" w:cs="等线"/>
                <w:color w:val="000000"/>
                <w:kern w:val="0"/>
                <w:sz w:val="18"/>
                <w:szCs w:val="18"/>
                <w:lang w:bidi="ar"/>
              </w:rPr>
              <w:br w:type="textWrapping"/>
            </w:r>
            <w:r>
              <w:rPr>
                <w:rFonts w:ascii="宋体" w:hAnsi="宋体" w:cs="等线"/>
                <w:color w:val="000000"/>
                <w:kern w:val="0"/>
                <w:sz w:val="18"/>
                <w:szCs w:val="18"/>
                <w:lang w:bidi="ar"/>
              </w:rPr>
              <w:t>2.支持广播级缩放及多画面显示。</w:t>
            </w:r>
            <w:r>
              <w:rPr>
                <w:rFonts w:ascii="宋体" w:hAnsi="宋体" w:cs="等线"/>
                <w:color w:val="000000"/>
                <w:kern w:val="0"/>
                <w:sz w:val="18"/>
                <w:szCs w:val="18"/>
                <w:lang w:bidi="ar"/>
              </w:rPr>
              <w:br w:type="textWrapping"/>
            </w:r>
            <w:r>
              <w:rPr>
                <w:rFonts w:ascii="宋体" w:hAnsi="宋体" w:cs="等线"/>
                <w:color w:val="000000"/>
                <w:kern w:val="0"/>
                <w:sz w:val="18"/>
                <w:szCs w:val="18"/>
                <w:lang w:bidi="ar"/>
              </w:rPr>
              <w:t>3.具备6个千兆网口输出，单机可支持最宽8192像素，或最高8192像素的LED显示屏。</w:t>
            </w:r>
            <w:r>
              <w:rPr>
                <w:rFonts w:ascii="宋体" w:hAnsi="宋体" w:cs="等线"/>
                <w:color w:val="000000"/>
                <w:kern w:val="0"/>
                <w:sz w:val="18"/>
                <w:szCs w:val="18"/>
                <w:lang w:bidi="ar"/>
              </w:rPr>
              <w:br w:type="textWrapping"/>
            </w:r>
            <w:r>
              <w:rPr>
                <w:rFonts w:ascii="宋体" w:hAnsi="宋体" w:cs="等线"/>
                <w:color w:val="000000"/>
                <w:kern w:val="0"/>
                <w:sz w:val="18"/>
                <w:szCs w:val="18"/>
                <w:lang w:bidi="ar"/>
              </w:rPr>
              <w:t>4.最大输入分辨率1920*1200@60Hz，支持分辨率任意设置；</w:t>
            </w:r>
            <w:r>
              <w:rPr>
                <w:rFonts w:ascii="宋体" w:hAnsi="宋体" w:cs="等线"/>
                <w:color w:val="000000"/>
                <w:kern w:val="0"/>
                <w:sz w:val="18"/>
                <w:szCs w:val="18"/>
                <w:lang w:bidi="ar"/>
              </w:rPr>
              <w:br w:type="textWrapping"/>
            </w:r>
            <w:r>
              <w:rPr>
                <w:rFonts w:ascii="宋体" w:hAnsi="宋体" w:cs="等线"/>
                <w:color w:val="000000"/>
                <w:kern w:val="0"/>
                <w:sz w:val="18"/>
                <w:szCs w:val="18"/>
                <w:lang w:bidi="ar"/>
              </w:rPr>
              <w:t>5.支持丰富的数字信号接口，包括1路SDI，1路HDMI，2路DVI；</w:t>
            </w:r>
            <w:r>
              <w:rPr>
                <w:rFonts w:ascii="宋体" w:hAnsi="宋体" w:cs="等线"/>
                <w:color w:val="000000"/>
                <w:kern w:val="0"/>
                <w:sz w:val="18"/>
                <w:szCs w:val="18"/>
                <w:lang w:bidi="ar"/>
              </w:rPr>
              <w:br w:type="textWrapping"/>
            </w:r>
            <w:r>
              <w:rPr>
                <w:rFonts w:ascii="宋体" w:hAnsi="宋体" w:cs="等线"/>
                <w:color w:val="000000"/>
                <w:kern w:val="0"/>
                <w:sz w:val="18"/>
                <w:szCs w:val="18"/>
                <w:lang w:bidi="ar"/>
              </w:rPr>
              <w:t>6.最大带载390万像素，最宽可达8192点，或最高可达8192点；</w:t>
            </w:r>
            <w:r>
              <w:rPr>
                <w:rFonts w:ascii="宋体" w:hAnsi="宋体" w:cs="等线"/>
                <w:color w:val="000000"/>
                <w:kern w:val="0"/>
                <w:sz w:val="18"/>
                <w:szCs w:val="18"/>
                <w:lang w:bidi="ar"/>
              </w:rPr>
              <w:br w:type="textWrapping"/>
            </w:r>
            <w:r>
              <w:rPr>
                <w:rFonts w:ascii="宋体" w:hAnsi="宋体" w:cs="等线"/>
                <w:color w:val="000000"/>
                <w:kern w:val="0"/>
                <w:sz w:val="18"/>
                <w:szCs w:val="18"/>
                <w:lang w:bidi="ar"/>
              </w:rPr>
              <w:t>★设备通过3C认证、ROHS并可提供相应证书。</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套</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等线"/>
                <w:color w:val="000000"/>
                <w:sz w:val="18"/>
                <w:szCs w:val="18"/>
              </w:rPr>
            </w:pPr>
            <w:r>
              <w:rPr>
                <w:rFonts w:ascii="宋体" w:hAnsi="宋体" w:cs="等线"/>
                <w:color w:val="000000"/>
                <w:kern w:val="0"/>
                <w:sz w:val="18"/>
                <w:szCs w:val="18"/>
                <w:lang w:bidi="ar"/>
              </w:rPr>
              <w:t xml:space="preserve">8.00 </w:t>
            </w:r>
          </w:p>
        </w:tc>
      </w:tr>
      <w:tr>
        <w:tblPrEx>
          <w:tblCellMar>
            <w:top w:w="0" w:type="dxa"/>
            <w:left w:w="0" w:type="dxa"/>
            <w:bottom w:w="0" w:type="dxa"/>
            <w:right w:w="0" w:type="dxa"/>
          </w:tblCellMar>
        </w:tblPrEx>
        <w:trPr>
          <w:trHeight w:val="1440" w:hRule="atLeast"/>
        </w:trPr>
        <w:tc>
          <w:tcPr>
            <w:tcW w:w="33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7</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配电柜</w:t>
            </w:r>
          </w:p>
        </w:tc>
        <w:tc>
          <w:tcPr>
            <w:tcW w:w="62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等线"/>
                <w:color w:val="000000"/>
                <w:sz w:val="18"/>
                <w:szCs w:val="18"/>
              </w:rPr>
            </w:pPr>
            <w:r>
              <w:rPr>
                <w:rFonts w:ascii="宋体" w:hAnsi="宋体" w:cs="等线"/>
                <w:color w:val="000000"/>
                <w:kern w:val="0"/>
                <w:sz w:val="18"/>
                <w:szCs w:val="18"/>
                <w:lang w:bidi="ar"/>
              </w:rPr>
              <w:t>1、具备手动控制设备供电的开启和关闭。</w:t>
            </w:r>
            <w:r>
              <w:rPr>
                <w:rFonts w:ascii="宋体" w:hAnsi="宋体" w:cs="等线"/>
                <w:color w:val="000000"/>
                <w:kern w:val="0"/>
                <w:sz w:val="18"/>
                <w:szCs w:val="18"/>
                <w:lang w:bidi="ar"/>
              </w:rPr>
              <w:br w:type="textWrapping"/>
            </w:r>
            <w:r>
              <w:rPr>
                <w:rFonts w:ascii="宋体" w:hAnsi="宋体" w:cs="等线"/>
                <w:color w:val="000000"/>
                <w:kern w:val="0"/>
                <w:sz w:val="18"/>
                <w:szCs w:val="18"/>
                <w:lang w:bidi="ar"/>
              </w:rPr>
              <w:t>2、多组回路输出，每组可独立控制；标配为手动控制，可添加多种控制方式；</w:t>
            </w:r>
            <w:r>
              <w:rPr>
                <w:rFonts w:ascii="宋体" w:hAnsi="宋体" w:cs="等线"/>
                <w:color w:val="000000"/>
                <w:kern w:val="0"/>
                <w:sz w:val="18"/>
                <w:szCs w:val="18"/>
                <w:lang w:bidi="ar"/>
              </w:rPr>
              <w:br w:type="textWrapping"/>
            </w:r>
            <w:r>
              <w:rPr>
                <w:rFonts w:ascii="宋体" w:hAnsi="宋体" w:cs="等线"/>
                <w:color w:val="000000"/>
                <w:kern w:val="0"/>
                <w:sz w:val="18"/>
                <w:szCs w:val="18"/>
                <w:lang w:bidi="ar"/>
              </w:rPr>
              <w:t>3、系统采用三相五线制供电,控制箱工业PLC系统控制，为了降低电网的瞬间启动电流，具有延时通断电功能，具有过热、过湿、过压、过流、短路等保护装置；</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套</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等线"/>
                <w:color w:val="000000"/>
                <w:sz w:val="18"/>
                <w:szCs w:val="18"/>
              </w:rPr>
            </w:pPr>
            <w:r>
              <w:rPr>
                <w:rFonts w:ascii="宋体" w:hAnsi="宋体" w:cs="等线"/>
                <w:color w:val="000000"/>
                <w:kern w:val="0"/>
                <w:sz w:val="18"/>
                <w:szCs w:val="18"/>
                <w:lang w:bidi="ar"/>
              </w:rPr>
              <w:t xml:space="preserve">1.00 </w:t>
            </w:r>
          </w:p>
        </w:tc>
      </w:tr>
      <w:tr>
        <w:tblPrEx>
          <w:tblCellMar>
            <w:top w:w="0" w:type="dxa"/>
            <w:left w:w="0" w:type="dxa"/>
            <w:bottom w:w="0" w:type="dxa"/>
            <w:right w:w="0" w:type="dxa"/>
          </w:tblCellMar>
        </w:tblPrEx>
        <w:trPr>
          <w:trHeight w:val="240" w:hRule="atLeast"/>
        </w:trPr>
        <w:tc>
          <w:tcPr>
            <w:tcW w:w="9675" w:type="dxa"/>
            <w:gridSpan w:val="5"/>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二、音频录播扩声系统（本地/远程）</w:t>
            </w:r>
          </w:p>
        </w:tc>
      </w:tr>
      <w:tr>
        <w:tblPrEx>
          <w:tblCellMar>
            <w:top w:w="0" w:type="dxa"/>
            <w:left w:w="0" w:type="dxa"/>
            <w:bottom w:w="0" w:type="dxa"/>
            <w:right w:w="0" w:type="dxa"/>
          </w:tblCellMar>
        </w:tblPrEx>
        <w:trPr>
          <w:trHeight w:val="7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等线"/>
                <w:color w:val="000000"/>
                <w:sz w:val="18"/>
                <w:szCs w:val="18"/>
              </w:rPr>
            </w:pPr>
            <w:r>
              <w:rPr>
                <w:rFonts w:ascii="宋体" w:hAnsi="宋体" w:cs="等线"/>
                <w:color w:val="000000"/>
                <w:kern w:val="0"/>
                <w:sz w:val="18"/>
                <w:szCs w:val="18"/>
                <w:lang w:bidi="ar"/>
              </w:rPr>
              <w:t>1</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等线"/>
                <w:color w:val="000000"/>
                <w:sz w:val="18"/>
                <w:szCs w:val="18"/>
              </w:rPr>
            </w:pPr>
            <w:r>
              <w:rPr>
                <w:rFonts w:ascii="宋体" w:hAnsi="宋体" w:cs="等线"/>
                <w:color w:val="000000"/>
                <w:kern w:val="0"/>
                <w:sz w:val="18"/>
                <w:szCs w:val="18"/>
                <w:lang w:bidi="ar"/>
              </w:rPr>
              <w:t>专业功放</w:t>
            </w:r>
          </w:p>
        </w:tc>
        <w:tc>
          <w:tcPr>
            <w:tcW w:w="62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输出功率:8Ω----2x350W；4Ω----2x550W；桥接8Ω----850W</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频率响应:20Hz-20KHz</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输入方式：卡龙母平衡输入，6.35插座输入</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输出方式：音箱接线柱，音箱卡龙</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功能：适合各种场合的声音放大传输，对扬声器有保护电路，电源软启动，搞保真，声音清晰，人声表现力强</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信噪比:&gt;90dB</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谐波失真:&lt;0.05%</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通道串音:&lt;-70dB</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输出阻抗:4-16Ω</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机箱规格：2U</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等线"/>
                <w:color w:val="000000"/>
                <w:sz w:val="18"/>
                <w:szCs w:val="18"/>
              </w:rPr>
            </w:pPr>
            <w:r>
              <w:rPr>
                <w:rFonts w:ascii="宋体" w:hAnsi="宋体" w:cs="等线"/>
                <w:color w:val="000000"/>
                <w:kern w:val="0"/>
                <w:sz w:val="18"/>
                <w:szCs w:val="18"/>
                <w:lang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等线"/>
                <w:color w:val="000000"/>
                <w:sz w:val="18"/>
                <w:szCs w:val="18"/>
              </w:rPr>
            </w:pPr>
            <w:r>
              <w:rPr>
                <w:rFonts w:ascii="宋体" w:hAnsi="宋体" w:cs="等线"/>
                <w:color w:val="000000"/>
                <w:kern w:val="0"/>
                <w:sz w:val="18"/>
                <w:szCs w:val="18"/>
                <w:lang w:bidi="ar"/>
              </w:rPr>
              <w:t xml:space="preserve">1.00 </w:t>
            </w:r>
          </w:p>
        </w:tc>
      </w:tr>
      <w:tr>
        <w:tblPrEx>
          <w:tblCellMar>
            <w:top w:w="0" w:type="dxa"/>
            <w:left w:w="0" w:type="dxa"/>
            <w:bottom w:w="0" w:type="dxa"/>
            <w:right w:w="0"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等线"/>
                <w:color w:val="000000"/>
                <w:sz w:val="18"/>
                <w:szCs w:val="18"/>
              </w:rPr>
            </w:pPr>
            <w:r>
              <w:rPr>
                <w:rFonts w:ascii="宋体" w:hAnsi="宋体" w:cs="等线"/>
                <w:color w:val="000000"/>
                <w:kern w:val="0"/>
                <w:sz w:val="18"/>
                <w:szCs w:val="18"/>
                <w:lang w:bidi="ar"/>
              </w:rPr>
              <w:t>2</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等线"/>
                <w:color w:val="000000"/>
                <w:sz w:val="18"/>
                <w:szCs w:val="18"/>
              </w:rPr>
            </w:pPr>
            <w:r>
              <w:rPr>
                <w:rFonts w:ascii="宋体" w:hAnsi="宋体" w:cs="等线"/>
                <w:color w:val="000000"/>
                <w:kern w:val="0"/>
                <w:sz w:val="18"/>
                <w:szCs w:val="18"/>
                <w:lang w:bidi="ar"/>
              </w:rPr>
              <w:t>录音器</w:t>
            </w:r>
          </w:p>
        </w:tc>
        <w:tc>
          <w:tcPr>
            <w:tcW w:w="62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存储容量  32GB</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录音功能  WAV，MP3</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电池类型  锂电池</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供电时间  210小时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等线"/>
                <w:color w:val="000000"/>
                <w:sz w:val="18"/>
                <w:szCs w:val="18"/>
              </w:rPr>
            </w:pPr>
            <w:r>
              <w:rPr>
                <w:rFonts w:ascii="宋体" w:hAnsi="宋体" w:cs="等线"/>
                <w:color w:val="000000"/>
                <w:kern w:val="0"/>
                <w:sz w:val="18"/>
                <w:szCs w:val="18"/>
                <w:lang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等线"/>
                <w:color w:val="000000"/>
                <w:sz w:val="18"/>
                <w:szCs w:val="18"/>
              </w:rPr>
            </w:pPr>
            <w:r>
              <w:rPr>
                <w:rFonts w:ascii="宋体" w:hAnsi="宋体" w:cs="等线"/>
                <w:color w:val="000000"/>
                <w:kern w:val="0"/>
                <w:sz w:val="18"/>
                <w:szCs w:val="18"/>
                <w:lang w:bidi="ar"/>
              </w:rPr>
              <w:t xml:space="preserve">1.00 </w:t>
            </w:r>
          </w:p>
        </w:tc>
      </w:tr>
      <w:tr>
        <w:tblPrEx>
          <w:tblCellMar>
            <w:top w:w="0" w:type="dxa"/>
            <w:left w:w="0" w:type="dxa"/>
            <w:bottom w:w="0" w:type="dxa"/>
            <w:right w:w="0" w:type="dxa"/>
          </w:tblCellMar>
        </w:tblPrEx>
        <w:trPr>
          <w:trHeight w:val="2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等线"/>
                <w:color w:val="000000"/>
                <w:sz w:val="18"/>
                <w:szCs w:val="18"/>
              </w:rPr>
            </w:pPr>
            <w:r>
              <w:rPr>
                <w:rFonts w:ascii="宋体" w:hAnsi="宋体" w:cs="等线"/>
                <w:color w:val="000000"/>
                <w:kern w:val="0"/>
                <w:sz w:val="18"/>
                <w:szCs w:val="18"/>
                <w:lang w:bidi="ar"/>
              </w:rPr>
              <w:t>2</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等线"/>
                <w:color w:val="000000"/>
                <w:sz w:val="18"/>
                <w:szCs w:val="18"/>
              </w:rPr>
            </w:pPr>
            <w:r>
              <w:rPr>
                <w:rFonts w:ascii="宋体" w:hAnsi="宋体" w:cs="等线"/>
                <w:color w:val="000000"/>
                <w:kern w:val="0"/>
                <w:sz w:val="18"/>
                <w:szCs w:val="18"/>
                <w:lang w:bidi="ar"/>
              </w:rPr>
              <w:t>专业音箱（含支架BY-01B）</w:t>
            </w:r>
          </w:p>
        </w:tc>
        <w:tc>
          <w:tcPr>
            <w:tcW w:w="62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频率响应：65Hz~22KHz(±3dB)</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单元数量：LF:1x8"(2"voice coil),HF:1x1"(1.75"voice coil)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承受功率：150W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灵敏度:95dB</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最大声压级:115dB</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标称阻抗:8 ohms</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指向性:90°Hx40°V</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分频点：2KHz</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箱体板材：Birch plywood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连接插座：2xNeutrik NL4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等线"/>
                <w:color w:val="000000"/>
                <w:sz w:val="18"/>
                <w:szCs w:val="18"/>
              </w:rPr>
            </w:pPr>
            <w:r>
              <w:rPr>
                <w:rFonts w:ascii="宋体" w:hAnsi="宋体" w:cs="等线"/>
                <w:color w:val="000000"/>
                <w:kern w:val="0"/>
                <w:sz w:val="18"/>
                <w:szCs w:val="18"/>
                <w:lang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等线"/>
                <w:color w:val="000000"/>
                <w:sz w:val="18"/>
                <w:szCs w:val="18"/>
              </w:rPr>
            </w:pPr>
            <w:r>
              <w:rPr>
                <w:rFonts w:ascii="宋体" w:hAnsi="宋体" w:cs="等线"/>
                <w:color w:val="000000"/>
                <w:kern w:val="0"/>
                <w:sz w:val="18"/>
                <w:szCs w:val="18"/>
                <w:lang w:bidi="ar"/>
              </w:rPr>
              <w:t xml:space="preserve">2.00 </w:t>
            </w:r>
          </w:p>
        </w:tc>
      </w:tr>
      <w:tr>
        <w:tblPrEx>
          <w:tblCellMar>
            <w:top w:w="0" w:type="dxa"/>
            <w:left w:w="0" w:type="dxa"/>
            <w:bottom w:w="0" w:type="dxa"/>
            <w:right w:w="0" w:type="dxa"/>
          </w:tblCellMar>
        </w:tblPrEx>
        <w:trPr>
          <w:trHeight w:val="2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等线"/>
                <w:color w:val="000000"/>
                <w:sz w:val="18"/>
                <w:szCs w:val="18"/>
              </w:rPr>
            </w:pPr>
            <w:r>
              <w:rPr>
                <w:rFonts w:ascii="宋体" w:hAnsi="宋体" w:cs="等线"/>
                <w:color w:val="000000"/>
                <w:kern w:val="0"/>
                <w:sz w:val="18"/>
                <w:szCs w:val="18"/>
                <w:lang w:bidi="ar"/>
              </w:rPr>
              <w:t>3</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等线"/>
                <w:color w:val="000000"/>
                <w:sz w:val="18"/>
                <w:szCs w:val="18"/>
              </w:rPr>
            </w:pPr>
            <w:r>
              <w:rPr>
                <w:rFonts w:ascii="宋体" w:hAnsi="宋体" w:cs="等线"/>
                <w:color w:val="000000"/>
                <w:kern w:val="0"/>
                <w:sz w:val="18"/>
                <w:szCs w:val="18"/>
                <w:lang w:bidi="ar"/>
              </w:rPr>
              <w:t>专业音箱（含支架BY-01B）</w:t>
            </w:r>
          </w:p>
        </w:tc>
        <w:tc>
          <w:tcPr>
            <w:tcW w:w="62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频率响应：65Hz~22KHz(±3dB)</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单元数量：LF:1x8"(2"voice coil),HF:1x1"(1.75"voice coil)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承受功率：150W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灵敏度:95dB</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最大声压级:115dB</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标称阻抗:8 ohms</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指向性:90°Hx40°V</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分频点：2KHz</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箱体板材：Birch plywood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连接插座：2xNeutrik NL4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等线"/>
                <w:color w:val="000000"/>
                <w:sz w:val="18"/>
                <w:szCs w:val="18"/>
              </w:rPr>
            </w:pPr>
            <w:r>
              <w:rPr>
                <w:rFonts w:ascii="宋体" w:hAnsi="宋体" w:cs="等线"/>
                <w:color w:val="000000"/>
                <w:kern w:val="0"/>
                <w:sz w:val="18"/>
                <w:szCs w:val="18"/>
                <w:lang w:bidi="ar"/>
              </w:rPr>
              <w:t>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等线"/>
                <w:color w:val="000000"/>
                <w:sz w:val="18"/>
                <w:szCs w:val="18"/>
              </w:rPr>
            </w:pPr>
            <w:r>
              <w:rPr>
                <w:rFonts w:ascii="宋体" w:hAnsi="宋体" w:cs="等线"/>
                <w:color w:val="000000"/>
                <w:kern w:val="0"/>
                <w:sz w:val="18"/>
                <w:szCs w:val="18"/>
                <w:lang w:bidi="ar"/>
              </w:rPr>
              <w:t xml:space="preserve">4.00 </w:t>
            </w:r>
          </w:p>
        </w:tc>
      </w:tr>
      <w:tr>
        <w:tblPrEx>
          <w:tblCellMar>
            <w:top w:w="0" w:type="dxa"/>
            <w:left w:w="0" w:type="dxa"/>
            <w:bottom w:w="0" w:type="dxa"/>
            <w:right w:w="0" w:type="dxa"/>
          </w:tblCellMar>
        </w:tblPrEx>
        <w:trPr>
          <w:trHeight w:val="28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等线"/>
                <w:color w:val="000000"/>
                <w:sz w:val="18"/>
                <w:szCs w:val="18"/>
              </w:rPr>
            </w:pPr>
            <w:r>
              <w:rPr>
                <w:rFonts w:ascii="宋体" w:hAnsi="宋体" w:cs="等线"/>
                <w:color w:val="000000"/>
                <w:kern w:val="0"/>
                <w:sz w:val="18"/>
                <w:szCs w:val="18"/>
                <w:lang w:bidi="ar"/>
              </w:rPr>
              <w:t>4</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等线"/>
                <w:color w:val="000000"/>
                <w:sz w:val="18"/>
                <w:szCs w:val="18"/>
              </w:rPr>
            </w:pPr>
            <w:r>
              <w:rPr>
                <w:rFonts w:ascii="宋体" w:hAnsi="宋体" w:cs="等线"/>
                <w:color w:val="000000"/>
                <w:kern w:val="0"/>
                <w:sz w:val="18"/>
                <w:szCs w:val="18"/>
                <w:lang w:bidi="ar"/>
              </w:rPr>
              <w:t>调音台</w:t>
            </w:r>
          </w:p>
        </w:tc>
        <w:tc>
          <w:tcPr>
            <w:tcW w:w="62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8路平衡式话筒输入及2路立体声输入</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高品质、低噪音的话筒输入</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低噪音的前置放大，具有强大的抗干扰能力</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话筒提供优质的+48V幻像电源</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配备高档调音台才具有的信号输入点</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中频扫频的三段均衡, MF频段的范围是从140Hz到3kHz</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三组AUX辅助输出可选择为推子前推子后</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内置DSP数字效果器</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4组母线</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电路板采用双面SMT贴片技术，使性能稳定可靠</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100MM行程高分析度推子</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MP3播放器带USB输入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等线"/>
                <w:color w:val="000000"/>
                <w:sz w:val="18"/>
                <w:szCs w:val="18"/>
              </w:rPr>
            </w:pPr>
            <w:r>
              <w:rPr>
                <w:rFonts w:ascii="宋体" w:hAnsi="宋体" w:cs="等线"/>
                <w:color w:val="000000"/>
                <w:kern w:val="0"/>
                <w:sz w:val="18"/>
                <w:szCs w:val="18"/>
                <w:lang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等线"/>
                <w:color w:val="000000"/>
                <w:sz w:val="18"/>
                <w:szCs w:val="18"/>
              </w:rPr>
            </w:pPr>
            <w:r>
              <w:rPr>
                <w:rFonts w:ascii="宋体" w:hAnsi="宋体" w:cs="等线"/>
                <w:color w:val="000000"/>
                <w:kern w:val="0"/>
                <w:sz w:val="18"/>
                <w:szCs w:val="18"/>
                <w:lang w:bidi="ar"/>
              </w:rPr>
              <w:t xml:space="preserve">1.00 </w:t>
            </w:r>
          </w:p>
        </w:tc>
      </w:tr>
      <w:tr>
        <w:tblPrEx>
          <w:tblCellMar>
            <w:top w:w="0" w:type="dxa"/>
            <w:left w:w="0" w:type="dxa"/>
            <w:bottom w:w="0" w:type="dxa"/>
            <w:right w:w="0" w:type="dxa"/>
          </w:tblCellMar>
        </w:tblPrEx>
        <w:trPr>
          <w:trHeight w:val="28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等线"/>
                <w:color w:val="000000"/>
                <w:sz w:val="18"/>
                <w:szCs w:val="18"/>
              </w:rPr>
            </w:pPr>
            <w:r>
              <w:rPr>
                <w:rFonts w:ascii="宋体" w:hAnsi="宋体" w:cs="等线"/>
                <w:color w:val="000000"/>
                <w:kern w:val="0"/>
                <w:sz w:val="18"/>
                <w:szCs w:val="18"/>
                <w:lang w:bidi="ar"/>
              </w:rPr>
              <w:t>5</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等线"/>
                <w:color w:val="000000"/>
                <w:sz w:val="18"/>
                <w:szCs w:val="18"/>
              </w:rPr>
            </w:pPr>
            <w:r>
              <w:rPr>
                <w:rFonts w:ascii="宋体" w:hAnsi="宋体" w:cs="等线"/>
                <w:color w:val="000000"/>
                <w:kern w:val="0"/>
                <w:sz w:val="18"/>
                <w:szCs w:val="18"/>
                <w:lang w:bidi="ar"/>
              </w:rPr>
              <w:t>抑制器</w:t>
            </w:r>
          </w:p>
        </w:tc>
        <w:tc>
          <w:tcPr>
            <w:tcW w:w="62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输出电压：输出幻象48V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输入电压：AC220V/50Hz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输出电流：6.5mA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话筒连接匹配：幻象和非幻象供电话筒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话筒连接方式：不少于5路卡龙母插座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外接输入连接：不少于5路话筒卡龙公、线路莲花单声道，效果单声道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输出连接：卡龙平衡、线路莲花单声道，效果单声道</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功能：不少于1路外接输入移频手动切换，5路话筒移频手动切换，5路话筒幻象供电选择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功率：15W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开关/指示：船型开关，面板电源指示灯，移频切换指示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提供3C及第三方检测报告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等线"/>
                <w:color w:val="000000"/>
                <w:sz w:val="18"/>
                <w:szCs w:val="18"/>
              </w:rPr>
            </w:pPr>
            <w:r>
              <w:rPr>
                <w:rFonts w:ascii="宋体" w:hAnsi="宋体" w:cs="等线"/>
                <w:color w:val="000000"/>
                <w:kern w:val="0"/>
                <w:sz w:val="18"/>
                <w:szCs w:val="18"/>
                <w:lang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等线"/>
                <w:color w:val="000000"/>
                <w:sz w:val="18"/>
                <w:szCs w:val="18"/>
              </w:rPr>
            </w:pPr>
            <w:r>
              <w:rPr>
                <w:rFonts w:ascii="宋体" w:hAnsi="宋体" w:cs="等线"/>
                <w:color w:val="000000"/>
                <w:kern w:val="0"/>
                <w:sz w:val="18"/>
                <w:szCs w:val="18"/>
                <w:lang w:bidi="ar"/>
              </w:rPr>
              <w:t xml:space="preserve">1.00 </w:t>
            </w:r>
          </w:p>
        </w:tc>
      </w:tr>
      <w:tr>
        <w:tblPrEx>
          <w:tblCellMar>
            <w:top w:w="0" w:type="dxa"/>
            <w:left w:w="0" w:type="dxa"/>
            <w:bottom w:w="0" w:type="dxa"/>
            <w:right w:w="0" w:type="dxa"/>
          </w:tblCellMar>
        </w:tblPrEx>
        <w:trPr>
          <w:trHeight w:val="6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等线"/>
                <w:color w:val="000000"/>
                <w:sz w:val="18"/>
                <w:szCs w:val="18"/>
              </w:rPr>
            </w:pPr>
            <w:r>
              <w:rPr>
                <w:rFonts w:ascii="宋体" w:hAnsi="宋体" w:cs="等线"/>
                <w:color w:val="000000"/>
                <w:kern w:val="0"/>
                <w:sz w:val="18"/>
                <w:szCs w:val="18"/>
                <w:lang w:bidi="ar"/>
              </w:rPr>
              <w:t>6</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等线"/>
                <w:color w:val="000000"/>
                <w:sz w:val="18"/>
                <w:szCs w:val="18"/>
              </w:rPr>
            </w:pPr>
            <w:r>
              <w:rPr>
                <w:rFonts w:ascii="宋体" w:hAnsi="宋体" w:cs="等线"/>
                <w:color w:val="000000"/>
                <w:kern w:val="0"/>
                <w:sz w:val="18"/>
                <w:szCs w:val="18"/>
                <w:lang w:bidi="ar"/>
              </w:rPr>
              <w:t>音频处理器</w:t>
            </w:r>
          </w:p>
        </w:tc>
        <w:tc>
          <w:tcPr>
            <w:tcW w:w="62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8路平衡式话筒\线路输入，采用裸线接口端子；</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8路平衡式输出，采用裸线接口端子；</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120db的 A/D与D/A转换， 最高可达96kHz/48K采样率；高速DSP处理芯片 DSP处理内核</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输入源：输入方式可切换平衡话筒或线路，采用凤凰插接口；</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通道拷贝、粘贴、联控功能、DSP音频处理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输入每通道：前级放大、信号发生器、扩展器、压缩器、5段参量均衡、自动增益、AM自动混音功能；</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输出每通道：音箱管理器（31段参量均衡器、延时器、分频器、高低通滤波器、限幅器）；</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内置Dante网络传输模块、AFC自适应反馈消除；</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兼容多方平台控制管理，支持windows系统、iOS系统（iPAD、Iphone)以及Andriod系统；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Enternet多用途数据传输及控制端口，可以支持实时管理单台及多台设备；</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直观形象、简洁易懂的图形化软件控制界面，为客户带来快捷、实时的操作体验；</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设备无需光盘，自带安装软件，一台设备对于一个软件版本，解决因为安装光盘丢失以及多个软件版本混乱引起的烦恼；</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可扩展USB接口，不仅可以实现设备升级功能，还可以实现USB录音与播音的功能；</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全功能矩阵混音功能，不单单是混音和自动混音功能，还具备混音分量控制功能；</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配置RS485接口、标准以太网控制接口、8通道可编程GPIO控制接口（可自定义输入输出）；</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支持平板界面操作控制；</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支持场景预设功能；直观、图形化软件控制界面，可工作在XP/Windows7、8、10等系统环境下。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等线"/>
                <w:color w:val="000000"/>
                <w:sz w:val="18"/>
                <w:szCs w:val="18"/>
              </w:rPr>
            </w:pPr>
            <w:r>
              <w:rPr>
                <w:rFonts w:ascii="宋体" w:hAnsi="宋体" w:cs="等线"/>
                <w:color w:val="000000"/>
                <w:kern w:val="0"/>
                <w:sz w:val="18"/>
                <w:szCs w:val="18"/>
                <w:lang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等线"/>
                <w:color w:val="000000"/>
                <w:sz w:val="18"/>
                <w:szCs w:val="18"/>
              </w:rPr>
            </w:pPr>
            <w:r>
              <w:rPr>
                <w:rFonts w:ascii="宋体" w:hAnsi="宋体" w:cs="等线"/>
                <w:color w:val="000000"/>
                <w:kern w:val="0"/>
                <w:sz w:val="18"/>
                <w:szCs w:val="18"/>
                <w:lang w:bidi="ar"/>
              </w:rPr>
              <w:t xml:space="preserve">1.00 </w:t>
            </w:r>
          </w:p>
        </w:tc>
      </w:tr>
      <w:tr>
        <w:tblPrEx>
          <w:tblCellMar>
            <w:top w:w="0" w:type="dxa"/>
            <w:left w:w="0" w:type="dxa"/>
            <w:bottom w:w="0" w:type="dxa"/>
            <w:right w:w="0" w:type="dxa"/>
          </w:tblCellMar>
        </w:tblPrEx>
        <w:trPr>
          <w:trHeight w:val="38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等线"/>
                <w:color w:val="000000"/>
                <w:sz w:val="18"/>
                <w:szCs w:val="18"/>
              </w:rPr>
            </w:pPr>
            <w:r>
              <w:rPr>
                <w:rFonts w:ascii="宋体" w:hAnsi="宋体" w:cs="等线"/>
                <w:color w:val="000000"/>
                <w:kern w:val="0"/>
                <w:sz w:val="18"/>
                <w:szCs w:val="18"/>
                <w:lang w:bidi="ar"/>
              </w:rPr>
              <w:t>7</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等线"/>
                <w:color w:val="000000"/>
                <w:sz w:val="18"/>
                <w:szCs w:val="18"/>
              </w:rPr>
            </w:pPr>
            <w:r>
              <w:rPr>
                <w:rFonts w:ascii="宋体" w:hAnsi="宋体" w:cs="等线"/>
                <w:color w:val="000000"/>
                <w:kern w:val="0"/>
                <w:sz w:val="18"/>
                <w:szCs w:val="18"/>
                <w:lang w:bidi="ar"/>
              </w:rPr>
              <w:t>无线话筒</w:t>
            </w:r>
          </w:p>
        </w:tc>
        <w:tc>
          <w:tcPr>
            <w:tcW w:w="62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采用世界先进的DPLL数字锁相环多信道频率合成技术及杂讯自动控制技术(带导频)；</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使用UHF550MHz～980MHz频段，避免干扰频率；</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全新节能模式设置，全自动EQ控制功能，自动校正音色全自动开关机模式自动红外线对频系统，全自动扫描；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真分集式接收电路，保证有效距离内不断迅，消除死角；使用高增益天线，有效开阔使5、采用最新型的高频声表面滤波器，最大限度地滤除带外干扰信号；</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采用二次变频的高频电路设计，具有极高的灵敏度；</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调制方式： 宽带FM</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信道数目： 200</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信道间隔： 250kHz</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动态范围： 100dB</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音频频率响应：20Hz～20kHz (±3dB)</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综合信噪比： ＞105dB</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综合失真： ≤0.5%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等线"/>
                <w:color w:val="000000"/>
                <w:sz w:val="18"/>
                <w:szCs w:val="18"/>
              </w:rPr>
            </w:pPr>
            <w:r>
              <w:rPr>
                <w:rFonts w:ascii="宋体" w:hAnsi="宋体" w:cs="等线"/>
                <w:color w:val="000000"/>
                <w:kern w:val="0"/>
                <w:sz w:val="18"/>
                <w:szCs w:val="18"/>
                <w:lang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等线"/>
                <w:color w:val="000000"/>
                <w:sz w:val="18"/>
                <w:szCs w:val="18"/>
              </w:rPr>
            </w:pPr>
            <w:r>
              <w:rPr>
                <w:rFonts w:ascii="宋体" w:hAnsi="宋体" w:cs="等线"/>
                <w:color w:val="000000"/>
                <w:kern w:val="0"/>
                <w:sz w:val="18"/>
                <w:szCs w:val="18"/>
                <w:lang w:bidi="ar"/>
              </w:rPr>
              <w:t xml:space="preserve">1.00 </w:t>
            </w:r>
          </w:p>
        </w:tc>
      </w:tr>
      <w:tr>
        <w:tblPrEx>
          <w:tblCellMar>
            <w:top w:w="0" w:type="dxa"/>
            <w:left w:w="0" w:type="dxa"/>
            <w:bottom w:w="0" w:type="dxa"/>
            <w:right w:w="0" w:type="dxa"/>
          </w:tblCellMar>
        </w:tblPrEx>
        <w:trPr>
          <w:trHeight w:val="240" w:hRule="atLeast"/>
        </w:trPr>
        <w:tc>
          <w:tcPr>
            <w:tcW w:w="9675" w:type="dxa"/>
            <w:gridSpan w:val="5"/>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三、视频（录转播）会议系统</w:t>
            </w:r>
          </w:p>
        </w:tc>
      </w:tr>
      <w:tr>
        <w:tblPrEx>
          <w:tblCellMar>
            <w:top w:w="0" w:type="dxa"/>
            <w:left w:w="0" w:type="dxa"/>
            <w:bottom w:w="0" w:type="dxa"/>
            <w:right w:w="0" w:type="dxa"/>
          </w:tblCellMar>
        </w:tblPrEx>
        <w:trPr>
          <w:trHeight w:val="9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等线"/>
                <w:color w:val="000000"/>
                <w:sz w:val="18"/>
                <w:szCs w:val="18"/>
              </w:rPr>
            </w:pPr>
            <w:r>
              <w:rPr>
                <w:rFonts w:ascii="宋体" w:hAnsi="宋体" w:cs="等线"/>
                <w:color w:val="000000"/>
                <w:kern w:val="0"/>
                <w:sz w:val="18"/>
                <w:szCs w:val="18"/>
                <w:lang w:bidi="ar"/>
              </w:rPr>
              <w:t>1</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等线"/>
                <w:color w:val="000000"/>
                <w:sz w:val="18"/>
                <w:szCs w:val="18"/>
              </w:rPr>
            </w:pPr>
            <w:r>
              <w:rPr>
                <w:rFonts w:ascii="宋体" w:hAnsi="宋体" w:cs="等线"/>
                <w:color w:val="000000"/>
                <w:kern w:val="0"/>
                <w:sz w:val="18"/>
                <w:szCs w:val="18"/>
                <w:lang w:bidi="ar"/>
              </w:rPr>
              <w:t>视频会议终端</w:t>
            </w:r>
          </w:p>
        </w:tc>
        <w:tc>
          <w:tcPr>
            <w:tcW w:w="62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兼容性好，支持</w:t>
            </w:r>
            <w:r>
              <w:rPr>
                <w:rFonts w:ascii="宋体" w:hAnsi="宋体" w:cs="等线"/>
                <w:color w:val="000000"/>
                <w:kern w:val="0"/>
                <w:sz w:val="18"/>
                <w:szCs w:val="18"/>
                <w:lang w:bidi="ar"/>
              </w:rPr>
              <w:t>H.323/SIP</w:t>
            </w:r>
            <w:r>
              <w:rPr>
                <w:rFonts w:hint="eastAsia" w:ascii="宋体" w:hAnsi="宋体" w:cs="宋体"/>
                <w:color w:val="000000"/>
                <w:kern w:val="0"/>
                <w:sz w:val="18"/>
                <w:szCs w:val="18"/>
                <w:lang w:bidi="ar"/>
              </w:rPr>
              <w:t>双协议栈，可以与业界标准终端、</w:t>
            </w:r>
            <w:r>
              <w:rPr>
                <w:rFonts w:ascii="宋体" w:hAnsi="宋体" w:cs="等线"/>
                <w:color w:val="000000"/>
                <w:kern w:val="0"/>
                <w:sz w:val="18"/>
                <w:szCs w:val="18"/>
                <w:lang w:bidi="ar"/>
              </w:rPr>
              <w:t>MCU</w:t>
            </w:r>
            <w:r>
              <w:rPr>
                <w:rFonts w:hint="eastAsia" w:ascii="宋体" w:hAnsi="宋体" w:cs="宋体"/>
                <w:color w:val="000000"/>
                <w:kern w:val="0"/>
                <w:sz w:val="18"/>
                <w:szCs w:val="18"/>
                <w:lang w:bidi="ar"/>
              </w:rPr>
              <w:t>、</w:t>
            </w:r>
            <w:r>
              <w:rPr>
                <w:rFonts w:ascii="宋体" w:hAnsi="宋体" w:cs="等线"/>
                <w:color w:val="000000"/>
                <w:kern w:val="0"/>
                <w:sz w:val="18"/>
                <w:szCs w:val="18"/>
                <w:lang w:bidi="ar"/>
              </w:rPr>
              <w:t>GK</w:t>
            </w:r>
            <w:r>
              <w:rPr>
                <w:rFonts w:hint="eastAsia" w:ascii="宋体" w:hAnsi="宋体" w:cs="宋体"/>
                <w:color w:val="000000"/>
                <w:kern w:val="0"/>
                <w:sz w:val="18"/>
                <w:szCs w:val="18"/>
                <w:lang w:bidi="ar"/>
              </w:rPr>
              <w:t>等实现互连互通，方便客户的扩容及升级改造；丰富的接口配置，充分考虑各种使用场景，兼容市场主流音视频输入、输出设备，实现快速部署，减少后续修改布线。</w:t>
            </w:r>
            <w:r>
              <w:rPr>
                <w:rFonts w:ascii="宋体" w:hAnsi="宋体" w:cs="等线"/>
                <w:color w:val="000000"/>
                <w:kern w:val="0"/>
                <w:sz w:val="18"/>
                <w:szCs w:val="18"/>
                <w:lang w:bidi="ar"/>
              </w:rPr>
              <w:br w:type="textWrapping"/>
            </w:r>
            <w:r>
              <w:rPr>
                <w:rFonts w:hint="eastAsia" w:ascii="宋体" w:hAnsi="宋体" w:cs="宋体"/>
                <w:color w:val="000000"/>
                <w:kern w:val="0"/>
                <w:sz w:val="18"/>
                <w:szCs w:val="18"/>
                <w:lang w:bidi="ar"/>
              </w:rPr>
              <w:t>优异的性能，提供极致的用户体验。内置高性能数字信号处理芯片，视频最高支持到主流和辅流双路</w:t>
            </w:r>
            <w:r>
              <w:rPr>
                <w:rFonts w:ascii="宋体" w:hAnsi="宋体" w:cs="等线"/>
                <w:color w:val="000000"/>
                <w:kern w:val="0"/>
                <w:sz w:val="18"/>
                <w:szCs w:val="18"/>
                <w:lang w:bidi="ar"/>
              </w:rPr>
              <w:t>1080P60</w:t>
            </w:r>
            <w:r>
              <w:rPr>
                <w:rFonts w:hint="eastAsia" w:ascii="宋体" w:hAnsi="宋体" w:cs="宋体"/>
                <w:color w:val="000000"/>
                <w:kern w:val="0"/>
                <w:sz w:val="18"/>
                <w:szCs w:val="18"/>
                <w:lang w:bidi="ar"/>
              </w:rPr>
              <w:t>同时编解码（可选），提供单显、双显以及丰富的视频窗口布局，提升了用户体验；语音支持</w:t>
            </w:r>
            <w:r>
              <w:rPr>
                <w:rFonts w:ascii="宋体" w:hAnsi="宋体" w:cs="等线"/>
                <w:color w:val="000000"/>
                <w:kern w:val="0"/>
                <w:sz w:val="18"/>
                <w:szCs w:val="18"/>
                <w:lang w:bidi="ar"/>
              </w:rPr>
              <w:t>AAC-LD</w:t>
            </w:r>
            <w:r>
              <w:rPr>
                <w:rFonts w:hint="eastAsia" w:ascii="宋体" w:hAnsi="宋体" w:cs="宋体"/>
                <w:color w:val="000000"/>
                <w:kern w:val="0"/>
                <w:sz w:val="18"/>
                <w:szCs w:val="18"/>
                <w:lang w:bidi="ar"/>
              </w:rPr>
              <w:t>宽频编解码，运用优化算法实现回声抵消、噪音抑制及自动增益控制，从而保证高保真、低延时的音频传输；</w:t>
            </w:r>
            <w:r>
              <w:rPr>
                <w:rFonts w:ascii="宋体" w:hAnsi="宋体" w:cs="等线"/>
                <w:color w:val="000000"/>
                <w:kern w:val="0"/>
                <w:sz w:val="18"/>
                <w:szCs w:val="18"/>
                <w:lang w:bidi="ar"/>
              </w:rPr>
              <w:t>QoS</w:t>
            </w:r>
            <w:r>
              <w:rPr>
                <w:rFonts w:hint="eastAsia" w:ascii="宋体" w:hAnsi="宋体" w:cs="宋体"/>
                <w:color w:val="000000"/>
                <w:kern w:val="0"/>
                <w:sz w:val="18"/>
                <w:szCs w:val="18"/>
                <w:lang w:bidi="ar"/>
              </w:rPr>
              <w:t>设置及独特的媒体纠错</w:t>
            </w:r>
            <w:r>
              <w:rPr>
                <w:rFonts w:ascii="宋体" w:hAnsi="宋体" w:cs="等线"/>
                <w:color w:val="000000"/>
                <w:kern w:val="0"/>
                <w:sz w:val="18"/>
                <w:szCs w:val="18"/>
                <w:lang w:bidi="ar"/>
              </w:rPr>
              <w:t>MEC</w:t>
            </w:r>
            <w:r>
              <w:rPr>
                <w:rFonts w:hint="eastAsia" w:ascii="宋体" w:hAnsi="宋体" w:cs="宋体"/>
                <w:color w:val="000000"/>
                <w:kern w:val="0"/>
                <w:sz w:val="18"/>
                <w:szCs w:val="18"/>
                <w:lang w:bidi="ar"/>
              </w:rPr>
              <w:t>（</w:t>
            </w:r>
            <w:r>
              <w:rPr>
                <w:rFonts w:ascii="宋体" w:hAnsi="宋体" w:cs="等线"/>
                <w:color w:val="000000"/>
                <w:kern w:val="0"/>
                <w:sz w:val="18"/>
                <w:szCs w:val="18"/>
                <w:lang w:bidi="ar"/>
              </w:rPr>
              <w:t>Media Error Correction</w:t>
            </w:r>
            <w:r>
              <w:rPr>
                <w:rFonts w:hint="eastAsia" w:ascii="宋体" w:hAnsi="宋体" w:cs="宋体"/>
                <w:color w:val="000000"/>
                <w:kern w:val="0"/>
                <w:sz w:val="18"/>
                <w:szCs w:val="18"/>
                <w:lang w:bidi="ar"/>
              </w:rPr>
              <w:t>）技术，在高误码率的情况下，依然能保证流畅的音视频效果（网络劣化下，优先确保音频质量）。高品质</w:t>
            </w:r>
            <w:r>
              <w:rPr>
                <w:rFonts w:ascii="宋体" w:hAnsi="宋体" w:cs="等线"/>
                <w:color w:val="000000"/>
                <w:kern w:val="0"/>
                <w:sz w:val="18"/>
                <w:szCs w:val="18"/>
                <w:lang w:bidi="ar"/>
              </w:rPr>
              <w:t>360</w:t>
            </w:r>
            <w:r>
              <w:rPr>
                <w:rFonts w:hint="eastAsia" w:ascii="宋体" w:hAnsi="宋体" w:cs="宋体"/>
                <w:color w:val="000000"/>
                <w:kern w:val="0"/>
                <w:sz w:val="18"/>
                <w:szCs w:val="18"/>
                <w:lang w:bidi="ar"/>
              </w:rPr>
              <w:t>度全向数字麦克风阵列，专业级音效。</w:t>
            </w:r>
            <w:r>
              <w:rPr>
                <w:rFonts w:ascii="宋体" w:hAnsi="宋体" w:cs="等线"/>
                <w:color w:val="000000"/>
                <w:kern w:val="0"/>
                <w:sz w:val="18"/>
                <w:szCs w:val="18"/>
                <w:lang w:bidi="ar"/>
              </w:rPr>
              <w:br w:type="textWrapping"/>
            </w:r>
            <w:r>
              <w:rPr>
                <w:rFonts w:hint="eastAsia" w:ascii="宋体" w:hAnsi="宋体" w:cs="宋体"/>
                <w:color w:val="000000"/>
                <w:kern w:val="0"/>
                <w:sz w:val="18"/>
                <w:szCs w:val="18"/>
                <w:lang w:bidi="ar"/>
              </w:rPr>
              <w:t>人性化的设计，方便用户的操作与维护。采用一体化高集成度（集成摄像机）的结构设计，外观简洁时尚，提供配套支架，支持墙壁安装及吊顶安装；内置重力感应传感器，吊装模式图像自动翻转；扁平化界面（</w:t>
            </w:r>
            <w:r>
              <w:rPr>
                <w:rFonts w:ascii="宋体" w:hAnsi="宋体" w:cs="等线"/>
                <w:color w:val="000000"/>
                <w:kern w:val="0"/>
                <w:sz w:val="18"/>
                <w:szCs w:val="18"/>
                <w:lang w:bidi="ar"/>
              </w:rPr>
              <w:t>UI</w:t>
            </w:r>
            <w:r>
              <w:rPr>
                <w:rFonts w:hint="eastAsia" w:ascii="宋体" w:hAnsi="宋体" w:cs="宋体"/>
                <w:color w:val="000000"/>
                <w:kern w:val="0"/>
                <w:sz w:val="18"/>
                <w:szCs w:val="18"/>
                <w:lang w:bidi="ar"/>
              </w:rPr>
              <w:t>）风格设计，使用者易于上手操作；遥控器集成部分功能按钮，常用功能一键可达，方便实用；</w:t>
            </w:r>
            <w:r>
              <w:rPr>
                <w:rFonts w:ascii="宋体" w:hAnsi="宋体" w:cs="等线"/>
                <w:color w:val="000000"/>
                <w:kern w:val="0"/>
                <w:sz w:val="18"/>
                <w:szCs w:val="18"/>
                <w:lang w:bidi="ar"/>
              </w:rPr>
              <w:t>U</w:t>
            </w:r>
            <w:r>
              <w:rPr>
                <w:rFonts w:hint="eastAsia" w:ascii="宋体" w:hAnsi="宋体" w:cs="宋体"/>
                <w:color w:val="000000"/>
                <w:kern w:val="0"/>
                <w:sz w:val="18"/>
                <w:szCs w:val="18"/>
                <w:lang w:bidi="ar"/>
              </w:rPr>
              <w:t>盘、网页等多种升级方式，易于后期维护与系统升级；</w:t>
            </w:r>
            <w:r>
              <w:rPr>
                <w:rFonts w:ascii="宋体" w:hAnsi="宋体" w:cs="等线"/>
                <w:color w:val="000000"/>
                <w:kern w:val="0"/>
                <w:sz w:val="18"/>
                <w:szCs w:val="18"/>
                <w:lang w:bidi="ar"/>
              </w:rPr>
              <w:br w:type="textWrapping"/>
            </w:r>
            <w:r>
              <w:rPr>
                <w:rFonts w:hint="eastAsia" w:ascii="宋体" w:hAnsi="宋体" w:cs="宋体"/>
                <w:color w:val="000000"/>
                <w:kern w:val="0"/>
                <w:sz w:val="18"/>
                <w:szCs w:val="18"/>
                <w:lang w:bidi="ar"/>
              </w:rPr>
              <w:t>多重安全机制，充分保证传输内容的安全性。系统采用</w:t>
            </w:r>
            <w:r>
              <w:rPr>
                <w:rFonts w:ascii="宋体" w:hAnsi="宋体" w:cs="等线"/>
                <w:color w:val="000000"/>
                <w:kern w:val="0"/>
                <w:sz w:val="18"/>
                <w:szCs w:val="18"/>
                <w:lang w:bidi="ar"/>
              </w:rPr>
              <w:t>AES</w:t>
            </w:r>
            <w:r>
              <w:rPr>
                <w:rFonts w:hint="eastAsia" w:ascii="宋体" w:hAnsi="宋体" w:cs="宋体"/>
                <w:color w:val="000000"/>
                <w:kern w:val="0"/>
                <w:sz w:val="18"/>
                <w:szCs w:val="18"/>
                <w:lang w:bidi="ar"/>
              </w:rPr>
              <w:t>媒体加密技术；用户证书，密码保护，</w:t>
            </w:r>
            <w:r>
              <w:rPr>
                <w:rFonts w:ascii="宋体" w:hAnsi="宋体" w:cs="等线"/>
                <w:color w:val="000000"/>
                <w:kern w:val="0"/>
                <w:sz w:val="18"/>
                <w:szCs w:val="18"/>
                <w:lang w:bidi="ar"/>
              </w:rPr>
              <w:t>HTTPS</w:t>
            </w:r>
            <w:r>
              <w:rPr>
                <w:rFonts w:hint="eastAsia" w:ascii="宋体" w:hAnsi="宋体" w:cs="宋体"/>
                <w:color w:val="000000"/>
                <w:kern w:val="0"/>
                <w:sz w:val="18"/>
                <w:szCs w:val="18"/>
                <w:lang w:bidi="ar"/>
              </w:rPr>
              <w:t>安全链接等加密措施保障系统安全运行；支持</w:t>
            </w:r>
            <w:r>
              <w:rPr>
                <w:rFonts w:ascii="宋体" w:hAnsi="宋体" w:cs="等线"/>
                <w:color w:val="000000"/>
                <w:kern w:val="0"/>
                <w:sz w:val="18"/>
                <w:szCs w:val="18"/>
                <w:lang w:bidi="ar"/>
              </w:rPr>
              <w:t>H.460</w:t>
            </w:r>
            <w:r>
              <w:rPr>
                <w:rFonts w:hint="eastAsia" w:ascii="宋体" w:hAnsi="宋体" w:cs="宋体"/>
                <w:color w:val="000000"/>
                <w:kern w:val="0"/>
                <w:sz w:val="18"/>
                <w:szCs w:val="18"/>
                <w:lang w:bidi="ar"/>
              </w:rPr>
              <w:t>、</w:t>
            </w:r>
            <w:r>
              <w:rPr>
                <w:rFonts w:ascii="宋体" w:hAnsi="宋体" w:cs="等线"/>
                <w:color w:val="000000"/>
                <w:kern w:val="0"/>
                <w:sz w:val="18"/>
                <w:szCs w:val="18"/>
                <w:lang w:bidi="ar"/>
              </w:rPr>
              <w:t>NAT</w:t>
            </w:r>
            <w:r>
              <w:rPr>
                <w:rFonts w:hint="eastAsia" w:ascii="宋体" w:hAnsi="宋体" w:cs="宋体"/>
                <w:color w:val="000000"/>
                <w:kern w:val="0"/>
                <w:sz w:val="18"/>
                <w:szCs w:val="18"/>
                <w:lang w:bidi="ar"/>
              </w:rPr>
              <w:t>和可配置端口范围，可实现防火墙穿越。</w:t>
            </w:r>
            <w:r>
              <w:rPr>
                <w:rFonts w:ascii="宋体" w:hAnsi="宋体" w:cs="等线"/>
                <w:color w:val="000000"/>
                <w:kern w:val="0"/>
                <w:sz w:val="18"/>
                <w:szCs w:val="18"/>
                <w:lang w:bidi="ar"/>
              </w:rPr>
              <w:br w:type="textWrapping"/>
            </w:r>
            <w:r>
              <w:rPr>
                <w:rFonts w:hint="eastAsia" w:ascii="宋体" w:hAnsi="宋体" w:cs="宋体"/>
                <w:color w:val="000000"/>
                <w:kern w:val="0"/>
                <w:sz w:val="18"/>
                <w:szCs w:val="18"/>
                <w:lang w:bidi="ar"/>
              </w:rPr>
              <w:t>提供</w:t>
            </w:r>
            <w:r>
              <w:rPr>
                <w:rFonts w:ascii="宋体" w:hAnsi="宋体" w:cs="等线"/>
                <w:color w:val="000000"/>
                <w:kern w:val="0"/>
                <w:sz w:val="18"/>
                <w:szCs w:val="18"/>
                <w:lang w:bidi="ar"/>
              </w:rPr>
              <w:t>EMC</w:t>
            </w:r>
            <w:r>
              <w:rPr>
                <w:rFonts w:hint="eastAsia" w:ascii="宋体" w:hAnsi="宋体" w:cs="宋体"/>
                <w:color w:val="000000"/>
                <w:kern w:val="0"/>
                <w:sz w:val="18"/>
                <w:szCs w:val="18"/>
                <w:lang w:bidi="ar"/>
              </w:rPr>
              <w:t>描述报告和雷击测试报告</w:t>
            </w:r>
            <w:r>
              <w:rPr>
                <w:rFonts w:ascii="宋体" w:hAnsi="宋体" w:cs="等线"/>
                <w:color w:val="000000"/>
                <w:kern w:val="0"/>
                <w:sz w:val="18"/>
                <w:szCs w:val="18"/>
                <w:lang w:bidi="ar"/>
              </w:rPr>
              <w:br w:type="textWrapping"/>
            </w:r>
            <w:r>
              <w:rPr>
                <w:rFonts w:hint="eastAsia" w:ascii="宋体" w:hAnsi="宋体" w:cs="宋体"/>
                <w:color w:val="000000"/>
                <w:kern w:val="0"/>
                <w:sz w:val="18"/>
                <w:szCs w:val="18"/>
                <w:lang w:bidi="ar"/>
              </w:rPr>
              <w:t>具有国家强制性产品</w:t>
            </w:r>
            <w:r>
              <w:rPr>
                <w:rFonts w:ascii="宋体" w:hAnsi="宋体" w:cs="等线"/>
                <w:color w:val="000000"/>
                <w:kern w:val="0"/>
                <w:sz w:val="18"/>
                <w:szCs w:val="18"/>
                <w:lang w:bidi="ar"/>
              </w:rPr>
              <w:t>3C</w:t>
            </w:r>
            <w:r>
              <w:rPr>
                <w:rFonts w:hint="eastAsia" w:ascii="宋体" w:hAnsi="宋体" w:cs="宋体"/>
                <w:color w:val="000000"/>
                <w:kern w:val="0"/>
                <w:sz w:val="18"/>
                <w:szCs w:val="18"/>
                <w:lang w:bidi="ar"/>
              </w:rPr>
              <w:t>认证和产品描述报告</w:t>
            </w:r>
            <w:r>
              <w:rPr>
                <w:rFonts w:ascii="宋体" w:hAnsi="宋体" w:cs="等线"/>
                <w:color w:val="000000"/>
                <w:kern w:val="0"/>
                <w:sz w:val="18"/>
                <w:szCs w:val="18"/>
                <w:lang w:bidi="ar"/>
              </w:rPr>
              <w:br w:type="textWrapping"/>
            </w:r>
            <w:r>
              <w:rPr>
                <w:rFonts w:hint="eastAsia" w:ascii="宋体" w:hAnsi="宋体" w:cs="宋体"/>
                <w:color w:val="000000"/>
                <w:kern w:val="0"/>
                <w:sz w:val="18"/>
                <w:szCs w:val="18"/>
                <w:lang w:bidi="ar"/>
              </w:rPr>
              <w:t>电信设备进网许可证和进网检测报告、</w:t>
            </w:r>
            <w:r>
              <w:rPr>
                <w:rFonts w:ascii="宋体" w:hAnsi="宋体" w:cs="等线"/>
                <w:color w:val="000000"/>
                <w:kern w:val="0"/>
                <w:sz w:val="18"/>
                <w:szCs w:val="18"/>
                <w:lang w:bidi="ar"/>
              </w:rPr>
              <w:t>ROSH</w:t>
            </w:r>
            <w:r>
              <w:rPr>
                <w:rFonts w:hint="eastAsia" w:ascii="宋体" w:hAnsi="宋体" w:cs="宋体"/>
                <w:color w:val="000000"/>
                <w:kern w:val="0"/>
                <w:sz w:val="18"/>
                <w:szCs w:val="18"/>
                <w:lang w:bidi="ar"/>
              </w:rPr>
              <w:t>报告</w:t>
            </w:r>
            <w:r>
              <w:rPr>
                <w:rFonts w:ascii="宋体" w:hAnsi="宋体" w:cs="等线"/>
                <w:color w:val="000000"/>
                <w:kern w:val="0"/>
                <w:sz w:val="18"/>
                <w:szCs w:val="18"/>
                <w:lang w:bidi="ar"/>
              </w:rPr>
              <w:br w:type="textWrapping"/>
            </w:r>
            <w:r>
              <w:rPr>
                <w:rFonts w:hint="eastAsia" w:ascii="宋体" w:hAnsi="宋体" w:cs="宋体"/>
                <w:color w:val="000000"/>
                <w:kern w:val="0"/>
                <w:sz w:val="18"/>
                <w:szCs w:val="18"/>
                <w:lang w:bidi="ar"/>
              </w:rPr>
              <w:t>生产厂商是国家高新技术企业</w:t>
            </w:r>
            <w:r>
              <w:rPr>
                <w:rFonts w:ascii="宋体" w:hAnsi="宋体" w:cs="等线"/>
                <w:color w:val="000000"/>
                <w:kern w:val="0"/>
                <w:sz w:val="18"/>
                <w:szCs w:val="18"/>
                <w:lang w:bidi="ar"/>
              </w:rPr>
              <w:br w:type="textWrapping"/>
            </w:r>
            <w:r>
              <w:rPr>
                <w:rFonts w:hint="eastAsia" w:ascii="宋体" w:hAnsi="宋体" w:cs="宋体"/>
                <w:color w:val="000000"/>
                <w:kern w:val="0"/>
                <w:sz w:val="18"/>
                <w:szCs w:val="18"/>
                <w:lang w:bidi="ar"/>
              </w:rPr>
              <w:t>内置</w:t>
            </w:r>
            <w:r>
              <w:rPr>
                <w:rFonts w:ascii="宋体" w:hAnsi="宋体" w:cs="等线"/>
                <w:color w:val="000000"/>
                <w:kern w:val="0"/>
                <w:sz w:val="18"/>
                <w:szCs w:val="18"/>
                <w:lang w:bidi="ar"/>
              </w:rPr>
              <w:t>MCU</w:t>
            </w:r>
            <w:r>
              <w:rPr>
                <w:rFonts w:hint="eastAsia" w:ascii="宋体" w:hAnsi="宋体" w:cs="宋体"/>
                <w:color w:val="000000"/>
                <w:kern w:val="0"/>
                <w:sz w:val="18"/>
                <w:szCs w:val="18"/>
                <w:lang w:bidi="ar"/>
              </w:rPr>
              <w:t>，支持配置为</w:t>
            </w:r>
            <w:r>
              <w:rPr>
                <w:rFonts w:ascii="宋体" w:hAnsi="宋体" w:cs="等线"/>
                <w:color w:val="000000"/>
                <w:kern w:val="0"/>
                <w:sz w:val="18"/>
                <w:szCs w:val="18"/>
                <w:lang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等线"/>
                <w:color w:val="000000"/>
                <w:sz w:val="18"/>
                <w:szCs w:val="18"/>
              </w:rPr>
            </w:pPr>
            <w:r>
              <w:rPr>
                <w:rFonts w:ascii="宋体" w:hAnsi="宋体" w:cs="等线"/>
                <w:color w:val="000000"/>
                <w:kern w:val="0"/>
                <w:sz w:val="18"/>
                <w:szCs w:val="18"/>
                <w:lang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等线"/>
                <w:color w:val="000000"/>
                <w:sz w:val="18"/>
                <w:szCs w:val="18"/>
              </w:rPr>
            </w:pPr>
            <w:r>
              <w:rPr>
                <w:rFonts w:ascii="宋体" w:hAnsi="宋体" w:cs="等线"/>
                <w:color w:val="000000"/>
                <w:kern w:val="0"/>
                <w:sz w:val="18"/>
                <w:szCs w:val="18"/>
                <w:lang w:bidi="ar"/>
              </w:rPr>
              <w:t xml:space="preserve">1.00 </w:t>
            </w:r>
          </w:p>
        </w:tc>
      </w:tr>
      <w:tr>
        <w:tblPrEx>
          <w:tblCellMar>
            <w:top w:w="0" w:type="dxa"/>
            <w:left w:w="0" w:type="dxa"/>
            <w:bottom w:w="0" w:type="dxa"/>
            <w:right w:w="0" w:type="dxa"/>
          </w:tblCellMar>
        </w:tblPrEx>
        <w:trPr>
          <w:trHeight w:val="48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等线"/>
                <w:color w:val="000000"/>
                <w:sz w:val="18"/>
                <w:szCs w:val="18"/>
              </w:rPr>
            </w:pPr>
            <w:r>
              <w:rPr>
                <w:rFonts w:ascii="宋体" w:hAnsi="宋体" w:cs="等线"/>
                <w:color w:val="000000"/>
                <w:kern w:val="0"/>
                <w:sz w:val="18"/>
                <w:szCs w:val="18"/>
                <w:lang w:bidi="ar"/>
              </w:rPr>
              <w:t>2</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等线"/>
                <w:color w:val="000000"/>
                <w:sz w:val="18"/>
                <w:szCs w:val="18"/>
              </w:rPr>
            </w:pPr>
            <w:r>
              <w:rPr>
                <w:rFonts w:ascii="宋体" w:hAnsi="宋体" w:cs="等线"/>
                <w:color w:val="000000"/>
                <w:kern w:val="0"/>
                <w:sz w:val="18"/>
                <w:szCs w:val="18"/>
                <w:lang w:bidi="ar"/>
              </w:rPr>
              <w:t>高清摄像头</w:t>
            </w:r>
          </w:p>
        </w:tc>
        <w:tc>
          <w:tcPr>
            <w:tcW w:w="62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全高清图像：采用</w:t>
            </w:r>
            <w:r>
              <w:rPr>
                <w:rFonts w:ascii="宋体" w:hAnsi="宋体" w:cs="等线"/>
                <w:color w:val="000000"/>
                <w:kern w:val="0"/>
                <w:sz w:val="18"/>
                <w:szCs w:val="18"/>
                <w:lang w:bidi="ar"/>
              </w:rPr>
              <w:t>1/2.8</w:t>
            </w:r>
            <w:r>
              <w:rPr>
                <w:rFonts w:hint="eastAsia" w:ascii="宋体" w:hAnsi="宋体" w:cs="宋体"/>
                <w:color w:val="000000"/>
                <w:kern w:val="0"/>
                <w:sz w:val="18"/>
                <w:szCs w:val="18"/>
                <w:lang w:bidi="ar"/>
              </w:rPr>
              <w:t>英寸</w:t>
            </w:r>
            <w:r>
              <w:rPr>
                <w:rFonts w:ascii="宋体" w:hAnsi="宋体" w:cs="等线"/>
                <w:color w:val="000000"/>
                <w:kern w:val="0"/>
                <w:sz w:val="18"/>
                <w:szCs w:val="18"/>
                <w:lang w:bidi="ar"/>
              </w:rPr>
              <w:t>207</w:t>
            </w:r>
            <w:r>
              <w:rPr>
                <w:rFonts w:hint="eastAsia" w:ascii="宋体" w:hAnsi="宋体" w:cs="宋体"/>
                <w:color w:val="000000"/>
                <w:kern w:val="0"/>
                <w:sz w:val="18"/>
                <w:szCs w:val="18"/>
                <w:lang w:bidi="ar"/>
              </w:rPr>
              <w:t>万像素高品质图像传感器，最大分辨率可达</w:t>
            </w:r>
            <w:r>
              <w:rPr>
                <w:rFonts w:ascii="宋体" w:hAnsi="宋体" w:cs="等线"/>
                <w:color w:val="000000"/>
                <w:kern w:val="0"/>
                <w:sz w:val="18"/>
                <w:szCs w:val="18"/>
                <w:lang w:bidi="ar"/>
              </w:rPr>
              <w:t>1920x1080</w:t>
            </w:r>
            <w:r>
              <w:rPr>
                <w:rFonts w:hint="eastAsia" w:ascii="宋体" w:hAnsi="宋体" w:cs="宋体"/>
                <w:color w:val="000000"/>
                <w:kern w:val="0"/>
                <w:sz w:val="18"/>
                <w:szCs w:val="18"/>
                <w:lang w:bidi="ar"/>
              </w:rPr>
              <w:t>，输出帧率高达</w:t>
            </w:r>
            <w:r>
              <w:rPr>
                <w:rFonts w:ascii="宋体" w:hAnsi="宋体" w:cs="等线"/>
                <w:color w:val="000000"/>
                <w:kern w:val="0"/>
                <w:sz w:val="18"/>
                <w:szCs w:val="18"/>
                <w:lang w:bidi="ar"/>
              </w:rPr>
              <w:t>60</w:t>
            </w:r>
            <w:r>
              <w:rPr>
                <w:rFonts w:hint="eastAsia" w:ascii="宋体" w:hAnsi="宋体" w:cs="宋体"/>
                <w:color w:val="000000"/>
                <w:kern w:val="0"/>
                <w:sz w:val="18"/>
                <w:szCs w:val="18"/>
                <w:lang w:bidi="ar"/>
              </w:rPr>
              <w:t>帧</w:t>
            </w:r>
            <w:r>
              <w:rPr>
                <w:rFonts w:ascii="宋体" w:hAnsi="宋体" w:cs="等线"/>
                <w:color w:val="000000"/>
                <w:kern w:val="0"/>
                <w:sz w:val="18"/>
                <w:szCs w:val="18"/>
                <w:lang w:bidi="ar"/>
              </w:rPr>
              <w:t>/</w:t>
            </w:r>
            <w:r>
              <w:rPr>
                <w:rFonts w:hint="eastAsia" w:ascii="宋体" w:hAnsi="宋体" w:cs="宋体"/>
                <w:color w:val="000000"/>
                <w:kern w:val="0"/>
                <w:sz w:val="18"/>
                <w:szCs w:val="18"/>
                <w:lang w:bidi="ar"/>
              </w:rPr>
              <w:t>秒。</w:t>
            </w:r>
            <w:r>
              <w:rPr>
                <w:rFonts w:ascii="宋体" w:hAnsi="宋体" w:cs="等线"/>
                <w:color w:val="000000"/>
                <w:kern w:val="0"/>
                <w:sz w:val="18"/>
                <w:szCs w:val="18"/>
                <w:lang w:bidi="ar"/>
              </w:rPr>
              <w:br w:type="textWrapping"/>
            </w:r>
            <w:r>
              <w:rPr>
                <w:rFonts w:hint="eastAsia" w:ascii="宋体" w:hAnsi="宋体" w:cs="宋体"/>
                <w:color w:val="000000"/>
                <w:kern w:val="0"/>
                <w:sz w:val="18"/>
                <w:szCs w:val="18"/>
                <w:lang w:bidi="ar"/>
              </w:rPr>
              <w:t>多种光学变倍镜头：具有</w:t>
            </w:r>
            <w:r>
              <w:rPr>
                <w:rFonts w:ascii="宋体" w:hAnsi="宋体" w:cs="等线"/>
                <w:color w:val="000000"/>
                <w:kern w:val="0"/>
                <w:sz w:val="18"/>
                <w:szCs w:val="18"/>
                <w:lang w:bidi="ar"/>
              </w:rPr>
              <w:t>5X</w:t>
            </w:r>
            <w:r>
              <w:rPr>
                <w:rFonts w:hint="eastAsia" w:ascii="宋体" w:hAnsi="宋体" w:cs="宋体"/>
                <w:color w:val="000000"/>
                <w:kern w:val="0"/>
                <w:sz w:val="18"/>
                <w:szCs w:val="18"/>
                <w:lang w:bidi="ar"/>
              </w:rPr>
              <w:t>、</w:t>
            </w:r>
            <w:r>
              <w:rPr>
                <w:rFonts w:ascii="宋体" w:hAnsi="宋体" w:cs="等线"/>
                <w:color w:val="000000"/>
                <w:kern w:val="0"/>
                <w:sz w:val="18"/>
                <w:szCs w:val="18"/>
                <w:lang w:bidi="ar"/>
              </w:rPr>
              <w:t>10X</w:t>
            </w:r>
            <w:r>
              <w:rPr>
                <w:rFonts w:hint="eastAsia" w:ascii="宋体" w:hAnsi="宋体" w:cs="宋体"/>
                <w:color w:val="000000"/>
                <w:kern w:val="0"/>
                <w:sz w:val="18"/>
                <w:szCs w:val="18"/>
                <w:lang w:bidi="ar"/>
              </w:rPr>
              <w:t>、</w:t>
            </w:r>
            <w:r>
              <w:rPr>
                <w:rFonts w:ascii="宋体" w:hAnsi="宋体" w:cs="等线"/>
                <w:color w:val="000000"/>
                <w:kern w:val="0"/>
                <w:sz w:val="18"/>
                <w:szCs w:val="18"/>
                <w:lang w:bidi="ar"/>
              </w:rPr>
              <w:t>12X</w:t>
            </w:r>
            <w:r>
              <w:rPr>
                <w:rFonts w:hint="eastAsia" w:ascii="宋体" w:hAnsi="宋体" w:cs="宋体"/>
                <w:color w:val="000000"/>
                <w:kern w:val="0"/>
                <w:sz w:val="18"/>
                <w:szCs w:val="18"/>
                <w:lang w:bidi="ar"/>
              </w:rPr>
              <w:t>、</w:t>
            </w:r>
            <w:r>
              <w:rPr>
                <w:rFonts w:ascii="宋体" w:hAnsi="宋体" w:cs="等线"/>
                <w:color w:val="000000"/>
                <w:kern w:val="0"/>
                <w:sz w:val="18"/>
                <w:szCs w:val="18"/>
                <w:lang w:bidi="ar"/>
              </w:rPr>
              <w:t>20X</w:t>
            </w:r>
            <w:r>
              <w:rPr>
                <w:rFonts w:hint="eastAsia" w:ascii="宋体" w:hAnsi="宋体" w:cs="宋体"/>
                <w:color w:val="000000"/>
                <w:kern w:val="0"/>
                <w:sz w:val="18"/>
                <w:szCs w:val="18"/>
                <w:lang w:bidi="ar"/>
              </w:rPr>
              <w:t>、</w:t>
            </w:r>
            <w:r>
              <w:rPr>
                <w:rFonts w:ascii="宋体" w:hAnsi="宋体" w:cs="等线"/>
                <w:color w:val="000000"/>
                <w:kern w:val="0"/>
                <w:sz w:val="18"/>
                <w:szCs w:val="18"/>
                <w:lang w:bidi="ar"/>
              </w:rPr>
              <w:t>30X</w:t>
            </w:r>
            <w:r>
              <w:rPr>
                <w:rFonts w:hint="eastAsia" w:ascii="宋体" w:hAnsi="宋体" w:cs="宋体"/>
                <w:color w:val="000000"/>
                <w:kern w:val="0"/>
                <w:sz w:val="18"/>
                <w:szCs w:val="18"/>
                <w:lang w:bidi="ar"/>
              </w:rPr>
              <w:t>等多种光学变倍镜头选择，镜头具有</w:t>
            </w:r>
            <w:r>
              <w:rPr>
                <w:rFonts w:ascii="宋体" w:hAnsi="宋体" w:cs="等线"/>
                <w:color w:val="000000"/>
                <w:kern w:val="0"/>
                <w:sz w:val="18"/>
                <w:szCs w:val="18"/>
                <w:lang w:bidi="ar"/>
              </w:rPr>
              <w:t>83.7°</w:t>
            </w:r>
            <w:r>
              <w:rPr>
                <w:rFonts w:hint="eastAsia" w:ascii="宋体" w:hAnsi="宋体" w:cs="宋体"/>
                <w:color w:val="000000"/>
                <w:kern w:val="0"/>
                <w:sz w:val="18"/>
                <w:szCs w:val="18"/>
                <w:lang w:bidi="ar"/>
              </w:rPr>
              <w:t>无畸变宽视角。</w:t>
            </w:r>
            <w:r>
              <w:rPr>
                <w:rFonts w:ascii="宋体" w:hAnsi="宋体" w:cs="等线"/>
                <w:color w:val="000000"/>
                <w:kern w:val="0"/>
                <w:sz w:val="18"/>
                <w:szCs w:val="18"/>
                <w:lang w:bidi="ar"/>
              </w:rPr>
              <w:br w:type="textWrapping"/>
            </w:r>
            <w:r>
              <w:rPr>
                <w:rFonts w:hint="eastAsia" w:ascii="宋体" w:hAnsi="宋体" w:cs="宋体"/>
                <w:color w:val="000000"/>
                <w:kern w:val="0"/>
                <w:sz w:val="18"/>
                <w:szCs w:val="18"/>
                <w:lang w:bidi="ar"/>
              </w:rPr>
              <w:t>领先的自动聚焦技术：先进的自动聚焦算法使得镜头快速、准确、稳定地完成自动聚焦。</w:t>
            </w:r>
            <w:r>
              <w:rPr>
                <w:rFonts w:ascii="宋体" w:hAnsi="宋体" w:cs="等线"/>
                <w:color w:val="000000"/>
                <w:kern w:val="0"/>
                <w:sz w:val="18"/>
                <w:szCs w:val="18"/>
                <w:lang w:bidi="ar"/>
              </w:rPr>
              <w:br w:type="textWrapping"/>
            </w:r>
            <w:r>
              <w:rPr>
                <w:rFonts w:hint="eastAsia" w:ascii="宋体" w:hAnsi="宋体" w:cs="宋体"/>
                <w:color w:val="000000"/>
                <w:kern w:val="0"/>
                <w:sz w:val="18"/>
                <w:szCs w:val="18"/>
                <w:lang w:bidi="ar"/>
              </w:rPr>
              <w:t>低噪声高信噪比：低噪声</w:t>
            </w:r>
            <w:r>
              <w:rPr>
                <w:rFonts w:ascii="宋体" w:hAnsi="宋体" w:cs="等线"/>
                <w:color w:val="000000"/>
                <w:kern w:val="0"/>
                <w:sz w:val="18"/>
                <w:szCs w:val="18"/>
                <w:lang w:bidi="ar"/>
              </w:rPr>
              <w:t>CMOS</w:t>
            </w:r>
            <w:r>
              <w:rPr>
                <w:rFonts w:hint="eastAsia" w:ascii="宋体" w:hAnsi="宋体" w:cs="宋体"/>
                <w:color w:val="000000"/>
                <w:kern w:val="0"/>
                <w:sz w:val="18"/>
                <w:szCs w:val="18"/>
                <w:lang w:bidi="ar"/>
              </w:rPr>
              <w:t>有效地保证了摄像机视频的超高信噪比。采用先进的</w:t>
            </w:r>
            <w:r>
              <w:rPr>
                <w:rFonts w:ascii="宋体" w:hAnsi="宋体" w:cs="等线"/>
                <w:color w:val="000000"/>
                <w:kern w:val="0"/>
                <w:sz w:val="18"/>
                <w:szCs w:val="18"/>
                <w:lang w:bidi="ar"/>
              </w:rPr>
              <w:t>2D</w:t>
            </w:r>
            <w:r>
              <w:rPr>
                <w:rFonts w:hint="eastAsia" w:ascii="宋体" w:hAnsi="宋体" w:cs="宋体"/>
                <w:color w:val="000000"/>
                <w:kern w:val="0"/>
                <w:sz w:val="18"/>
                <w:szCs w:val="18"/>
                <w:lang w:bidi="ar"/>
              </w:rPr>
              <w:t>、</w:t>
            </w:r>
            <w:r>
              <w:rPr>
                <w:rFonts w:ascii="宋体" w:hAnsi="宋体" w:cs="等线"/>
                <w:color w:val="000000"/>
                <w:kern w:val="0"/>
                <w:sz w:val="18"/>
                <w:szCs w:val="18"/>
                <w:lang w:bidi="ar"/>
              </w:rPr>
              <w:t>3D</w:t>
            </w:r>
            <w:r>
              <w:rPr>
                <w:rFonts w:hint="eastAsia" w:ascii="宋体" w:hAnsi="宋体" w:cs="宋体"/>
                <w:color w:val="000000"/>
                <w:kern w:val="0"/>
                <w:sz w:val="18"/>
                <w:szCs w:val="18"/>
                <w:lang w:bidi="ar"/>
              </w:rPr>
              <w:t>降噪技术，进一步降低了噪声，同时又能确保图像清晰度。</w:t>
            </w:r>
            <w:r>
              <w:rPr>
                <w:rFonts w:ascii="宋体" w:hAnsi="宋体" w:cs="等线"/>
                <w:color w:val="000000"/>
                <w:kern w:val="0"/>
                <w:sz w:val="18"/>
                <w:szCs w:val="18"/>
                <w:lang w:bidi="ar"/>
              </w:rPr>
              <w:br w:type="textWrapping"/>
            </w:r>
            <w:r>
              <w:rPr>
                <w:rFonts w:hint="eastAsia" w:ascii="宋体" w:hAnsi="宋体" w:cs="宋体"/>
                <w:color w:val="000000"/>
                <w:kern w:val="0"/>
                <w:sz w:val="18"/>
                <w:szCs w:val="18"/>
                <w:lang w:bidi="ar"/>
              </w:rPr>
              <w:t>多种视频输出接口：支持</w:t>
            </w:r>
            <w:r>
              <w:rPr>
                <w:rFonts w:ascii="宋体" w:hAnsi="宋体" w:cs="等线"/>
                <w:color w:val="000000"/>
                <w:kern w:val="0"/>
                <w:sz w:val="18"/>
                <w:szCs w:val="18"/>
                <w:lang w:bidi="ar"/>
              </w:rPr>
              <w:t>DVI</w:t>
            </w:r>
            <w:r>
              <w:rPr>
                <w:rFonts w:hint="eastAsia" w:ascii="宋体" w:hAnsi="宋体" w:cs="宋体"/>
                <w:color w:val="000000"/>
                <w:kern w:val="0"/>
                <w:sz w:val="18"/>
                <w:szCs w:val="18"/>
                <w:lang w:bidi="ar"/>
              </w:rPr>
              <w:t>、</w:t>
            </w:r>
            <w:r>
              <w:rPr>
                <w:rFonts w:ascii="宋体" w:hAnsi="宋体" w:cs="等线"/>
                <w:color w:val="000000"/>
                <w:kern w:val="0"/>
                <w:sz w:val="18"/>
                <w:szCs w:val="18"/>
                <w:lang w:bidi="ar"/>
              </w:rPr>
              <w:t>HDMI</w:t>
            </w:r>
            <w:r>
              <w:rPr>
                <w:rFonts w:hint="eastAsia" w:ascii="宋体" w:hAnsi="宋体" w:cs="宋体"/>
                <w:color w:val="000000"/>
                <w:kern w:val="0"/>
                <w:sz w:val="18"/>
                <w:szCs w:val="18"/>
                <w:lang w:bidi="ar"/>
              </w:rPr>
              <w:t>、</w:t>
            </w:r>
            <w:r>
              <w:rPr>
                <w:rFonts w:ascii="宋体" w:hAnsi="宋体" w:cs="等线"/>
                <w:color w:val="000000"/>
                <w:kern w:val="0"/>
                <w:sz w:val="18"/>
                <w:szCs w:val="18"/>
                <w:lang w:bidi="ar"/>
              </w:rPr>
              <w:t>3G-SDI</w:t>
            </w:r>
            <w:r>
              <w:rPr>
                <w:rFonts w:hint="eastAsia" w:ascii="宋体" w:hAnsi="宋体" w:cs="宋体"/>
                <w:color w:val="000000"/>
                <w:kern w:val="0"/>
                <w:sz w:val="18"/>
                <w:szCs w:val="18"/>
                <w:lang w:bidi="ar"/>
              </w:rPr>
              <w:t>、</w:t>
            </w:r>
            <w:r>
              <w:rPr>
                <w:rFonts w:ascii="宋体" w:hAnsi="宋体" w:cs="等线"/>
                <w:color w:val="000000"/>
                <w:kern w:val="0"/>
                <w:sz w:val="18"/>
                <w:szCs w:val="18"/>
                <w:lang w:bidi="ar"/>
              </w:rPr>
              <w:t>USB3.0</w:t>
            </w:r>
            <w:r>
              <w:rPr>
                <w:rFonts w:hint="eastAsia" w:ascii="宋体" w:hAnsi="宋体" w:cs="宋体"/>
                <w:color w:val="000000"/>
                <w:kern w:val="0"/>
                <w:sz w:val="18"/>
                <w:szCs w:val="18"/>
                <w:lang w:bidi="ar"/>
              </w:rPr>
              <w:t>、</w:t>
            </w:r>
            <w:r>
              <w:rPr>
                <w:rFonts w:ascii="宋体" w:hAnsi="宋体" w:cs="等线"/>
                <w:color w:val="000000"/>
                <w:kern w:val="0"/>
                <w:sz w:val="18"/>
                <w:szCs w:val="18"/>
                <w:lang w:bidi="ar"/>
              </w:rPr>
              <w:t>USB2.0</w:t>
            </w:r>
            <w:r>
              <w:rPr>
                <w:rFonts w:hint="eastAsia" w:ascii="宋体" w:hAnsi="宋体" w:cs="宋体"/>
                <w:color w:val="000000"/>
                <w:kern w:val="0"/>
                <w:sz w:val="18"/>
                <w:szCs w:val="18"/>
                <w:lang w:bidi="ar"/>
              </w:rPr>
              <w:t>、有线</w:t>
            </w:r>
            <w:r>
              <w:rPr>
                <w:rFonts w:ascii="宋体" w:hAnsi="宋体" w:cs="等线"/>
                <w:color w:val="000000"/>
                <w:kern w:val="0"/>
                <w:sz w:val="18"/>
                <w:szCs w:val="18"/>
                <w:lang w:bidi="ar"/>
              </w:rPr>
              <w:t>LAN</w:t>
            </w:r>
            <w:r>
              <w:rPr>
                <w:rFonts w:hint="eastAsia" w:ascii="宋体" w:hAnsi="宋体" w:cs="宋体"/>
                <w:color w:val="000000"/>
                <w:kern w:val="0"/>
                <w:sz w:val="18"/>
                <w:szCs w:val="18"/>
                <w:lang w:bidi="ar"/>
              </w:rPr>
              <w:t>、无线</w:t>
            </w:r>
            <w:r>
              <w:rPr>
                <w:rFonts w:ascii="宋体" w:hAnsi="宋体" w:cs="等线"/>
                <w:color w:val="000000"/>
                <w:kern w:val="0"/>
                <w:sz w:val="18"/>
                <w:szCs w:val="18"/>
                <w:lang w:bidi="ar"/>
              </w:rPr>
              <w:t>LAN</w:t>
            </w:r>
            <w:r>
              <w:rPr>
                <w:rFonts w:hint="eastAsia" w:ascii="宋体" w:hAnsi="宋体" w:cs="宋体"/>
                <w:color w:val="000000"/>
                <w:kern w:val="0"/>
                <w:sz w:val="18"/>
                <w:szCs w:val="18"/>
                <w:lang w:bidi="ar"/>
              </w:rPr>
              <w:t>接口（</w:t>
            </w:r>
            <w:r>
              <w:rPr>
                <w:rFonts w:ascii="宋体" w:hAnsi="宋体" w:cs="等线"/>
                <w:color w:val="000000"/>
                <w:kern w:val="0"/>
                <w:sz w:val="18"/>
                <w:szCs w:val="18"/>
                <w:lang w:bidi="ar"/>
              </w:rPr>
              <w:t>5GWiFi</w:t>
            </w:r>
            <w:r>
              <w:rPr>
                <w:rFonts w:hint="eastAsia" w:ascii="宋体" w:hAnsi="宋体" w:cs="宋体"/>
                <w:color w:val="000000"/>
                <w:kern w:val="0"/>
                <w:sz w:val="18"/>
                <w:szCs w:val="18"/>
                <w:lang w:bidi="ar"/>
              </w:rPr>
              <w:t>模块）、</w:t>
            </w:r>
            <w:r>
              <w:rPr>
                <w:rFonts w:ascii="宋体" w:hAnsi="宋体" w:cs="等线"/>
                <w:color w:val="000000"/>
                <w:kern w:val="0"/>
                <w:sz w:val="18"/>
                <w:szCs w:val="18"/>
                <w:lang w:bidi="ar"/>
              </w:rPr>
              <w:t>HB-BASE</w:t>
            </w:r>
            <w:r>
              <w:rPr>
                <w:rFonts w:hint="eastAsia" w:ascii="宋体" w:hAnsi="宋体" w:cs="宋体"/>
                <w:color w:val="000000"/>
                <w:kern w:val="0"/>
                <w:sz w:val="18"/>
                <w:szCs w:val="18"/>
                <w:lang w:bidi="ar"/>
              </w:rPr>
              <w:t>等多种接口可选，支持至少任意三种高清接口同时输出，</w:t>
            </w:r>
            <w:r>
              <w:rPr>
                <w:rFonts w:ascii="宋体" w:hAnsi="宋体" w:cs="等线"/>
                <w:color w:val="000000"/>
                <w:kern w:val="0"/>
                <w:sz w:val="18"/>
                <w:szCs w:val="18"/>
                <w:lang w:bidi="ar"/>
              </w:rPr>
              <w:t>SDI</w:t>
            </w:r>
            <w:r>
              <w:rPr>
                <w:rFonts w:hint="eastAsia" w:ascii="宋体" w:hAnsi="宋体" w:cs="宋体"/>
                <w:color w:val="000000"/>
                <w:kern w:val="0"/>
                <w:sz w:val="18"/>
                <w:szCs w:val="18"/>
                <w:lang w:bidi="ar"/>
              </w:rPr>
              <w:t>支持在</w:t>
            </w:r>
            <w:r>
              <w:rPr>
                <w:rFonts w:ascii="宋体" w:hAnsi="宋体" w:cs="等线"/>
                <w:color w:val="000000"/>
                <w:kern w:val="0"/>
                <w:sz w:val="18"/>
                <w:szCs w:val="18"/>
                <w:lang w:bidi="ar"/>
              </w:rPr>
              <w:t>1080P60</w:t>
            </w:r>
            <w:r>
              <w:rPr>
                <w:rFonts w:hint="eastAsia" w:ascii="宋体" w:hAnsi="宋体" w:cs="宋体"/>
                <w:color w:val="000000"/>
                <w:kern w:val="0"/>
                <w:sz w:val="18"/>
                <w:szCs w:val="18"/>
                <w:lang w:bidi="ar"/>
              </w:rPr>
              <w:t>格式下传输</w:t>
            </w:r>
            <w:r>
              <w:rPr>
                <w:rFonts w:ascii="宋体" w:hAnsi="宋体" w:cs="等线"/>
                <w:color w:val="000000"/>
                <w:kern w:val="0"/>
                <w:sz w:val="18"/>
                <w:szCs w:val="18"/>
                <w:lang w:bidi="ar"/>
              </w:rPr>
              <w:t>100</w:t>
            </w:r>
            <w:r>
              <w:rPr>
                <w:rFonts w:hint="eastAsia" w:ascii="宋体" w:hAnsi="宋体" w:cs="宋体"/>
                <w:color w:val="000000"/>
                <w:kern w:val="0"/>
                <w:sz w:val="18"/>
                <w:szCs w:val="18"/>
                <w:lang w:bidi="ar"/>
              </w:rPr>
              <w:t>米。</w:t>
            </w:r>
            <w:r>
              <w:rPr>
                <w:rFonts w:ascii="宋体" w:hAnsi="宋体" w:cs="等线"/>
                <w:color w:val="000000"/>
                <w:kern w:val="0"/>
                <w:sz w:val="18"/>
                <w:szCs w:val="18"/>
                <w:lang w:bidi="ar"/>
              </w:rPr>
              <w:br w:type="textWrapping"/>
            </w:r>
            <w:r>
              <w:rPr>
                <w:rFonts w:hint="eastAsia" w:ascii="宋体" w:hAnsi="宋体" w:cs="宋体"/>
                <w:color w:val="000000"/>
                <w:kern w:val="0"/>
                <w:sz w:val="18"/>
                <w:szCs w:val="18"/>
                <w:lang w:bidi="ar"/>
              </w:rPr>
              <w:t>多种音视频压缩标准：支持</w:t>
            </w:r>
            <w:r>
              <w:rPr>
                <w:rFonts w:ascii="宋体" w:hAnsi="宋体" w:cs="等线"/>
                <w:color w:val="000000"/>
                <w:kern w:val="0"/>
                <w:sz w:val="18"/>
                <w:szCs w:val="18"/>
                <w:lang w:bidi="ar"/>
              </w:rPr>
              <w:t>H.265/H.264</w:t>
            </w:r>
            <w:r>
              <w:rPr>
                <w:rFonts w:hint="eastAsia" w:ascii="宋体" w:hAnsi="宋体" w:cs="宋体"/>
                <w:color w:val="000000"/>
                <w:kern w:val="0"/>
                <w:sz w:val="18"/>
                <w:szCs w:val="18"/>
                <w:lang w:bidi="ar"/>
              </w:rPr>
              <w:t>视频压缩，支持</w:t>
            </w:r>
            <w:r>
              <w:rPr>
                <w:rFonts w:ascii="宋体" w:hAnsi="宋体" w:cs="等线"/>
                <w:color w:val="000000"/>
                <w:kern w:val="0"/>
                <w:sz w:val="18"/>
                <w:szCs w:val="18"/>
                <w:lang w:bidi="ar"/>
              </w:rPr>
              <w:t>AAC</w:t>
            </w:r>
            <w:r>
              <w:rPr>
                <w:rFonts w:hint="eastAsia" w:ascii="宋体" w:hAnsi="宋体" w:cs="宋体"/>
                <w:color w:val="000000"/>
                <w:kern w:val="0"/>
                <w:sz w:val="18"/>
                <w:szCs w:val="18"/>
                <w:lang w:bidi="ar"/>
              </w:rPr>
              <w:t>、</w:t>
            </w:r>
            <w:r>
              <w:rPr>
                <w:rFonts w:ascii="宋体" w:hAnsi="宋体" w:cs="等线"/>
                <w:color w:val="000000"/>
                <w:kern w:val="0"/>
                <w:sz w:val="18"/>
                <w:szCs w:val="18"/>
                <w:lang w:bidi="ar"/>
              </w:rPr>
              <w:t>MP3</w:t>
            </w:r>
            <w:r>
              <w:rPr>
                <w:rFonts w:hint="eastAsia" w:ascii="宋体" w:hAnsi="宋体" w:cs="宋体"/>
                <w:color w:val="000000"/>
                <w:kern w:val="0"/>
                <w:sz w:val="18"/>
                <w:szCs w:val="18"/>
                <w:lang w:bidi="ar"/>
              </w:rPr>
              <w:t>、</w:t>
            </w:r>
            <w:r>
              <w:rPr>
                <w:rFonts w:ascii="宋体" w:hAnsi="宋体" w:cs="等线"/>
                <w:color w:val="000000"/>
                <w:kern w:val="0"/>
                <w:sz w:val="18"/>
                <w:szCs w:val="18"/>
                <w:lang w:bidi="ar"/>
              </w:rPr>
              <w:t>G.711A</w:t>
            </w:r>
            <w:r>
              <w:rPr>
                <w:rFonts w:hint="eastAsia" w:ascii="宋体" w:hAnsi="宋体" w:cs="宋体"/>
                <w:color w:val="000000"/>
                <w:kern w:val="0"/>
                <w:sz w:val="18"/>
                <w:szCs w:val="18"/>
                <w:lang w:bidi="ar"/>
              </w:rPr>
              <w:t>音频压缩；支持高达</w:t>
            </w:r>
            <w:r>
              <w:rPr>
                <w:rFonts w:ascii="宋体" w:hAnsi="宋体" w:cs="等线"/>
                <w:color w:val="000000"/>
                <w:kern w:val="0"/>
                <w:sz w:val="18"/>
                <w:szCs w:val="18"/>
                <w:lang w:bidi="ar"/>
              </w:rPr>
              <w:t>1920x1080</w:t>
            </w:r>
            <w:r>
              <w:rPr>
                <w:rFonts w:hint="eastAsia" w:ascii="宋体" w:hAnsi="宋体" w:cs="宋体"/>
                <w:color w:val="000000"/>
                <w:kern w:val="0"/>
                <w:sz w:val="18"/>
                <w:szCs w:val="18"/>
                <w:lang w:bidi="ar"/>
              </w:rPr>
              <w:t>分辨率</w:t>
            </w:r>
            <w:r>
              <w:rPr>
                <w:rFonts w:ascii="宋体" w:hAnsi="宋体" w:cs="等线"/>
                <w:color w:val="000000"/>
                <w:kern w:val="0"/>
                <w:sz w:val="18"/>
                <w:szCs w:val="18"/>
                <w:lang w:bidi="ar"/>
              </w:rPr>
              <w:t>60</w:t>
            </w:r>
            <w:r>
              <w:rPr>
                <w:rFonts w:hint="eastAsia" w:ascii="宋体" w:hAnsi="宋体" w:cs="宋体"/>
                <w:color w:val="000000"/>
                <w:kern w:val="0"/>
                <w:sz w:val="18"/>
                <w:szCs w:val="18"/>
                <w:lang w:bidi="ar"/>
              </w:rPr>
              <w:t>帧</w:t>
            </w:r>
            <w:r>
              <w:rPr>
                <w:rFonts w:ascii="宋体" w:hAnsi="宋体" w:cs="等线"/>
                <w:color w:val="000000"/>
                <w:kern w:val="0"/>
                <w:sz w:val="18"/>
                <w:szCs w:val="18"/>
                <w:lang w:bidi="ar"/>
              </w:rPr>
              <w:t>/</w:t>
            </w:r>
            <w:r>
              <w:rPr>
                <w:rFonts w:hint="eastAsia" w:ascii="宋体" w:hAnsi="宋体" w:cs="宋体"/>
                <w:color w:val="000000"/>
                <w:kern w:val="0"/>
                <w:sz w:val="18"/>
                <w:szCs w:val="18"/>
                <w:lang w:bidi="ar"/>
              </w:rPr>
              <w:t>秒压缩；</w:t>
            </w:r>
            <w:r>
              <w:rPr>
                <w:rFonts w:ascii="宋体" w:hAnsi="宋体" w:cs="等线"/>
                <w:color w:val="000000"/>
                <w:kern w:val="0"/>
                <w:sz w:val="18"/>
                <w:szCs w:val="18"/>
                <w:lang w:bidi="ar"/>
              </w:rPr>
              <w:br w:type="textWrapping"/>
            </w:r>
            <w:r>
              <w:rPr>
                <w:rFonts w:hint="eastAsia" w:ascii="宋体" w:hAnsi="宋体" w:cs="宋体"/>
                <w:color w:val="000000"/>
                <w:kern w:val="0"/>
                <w:sz w:val="18"/>
                <w:szCs w:val="18"/>
                <w:lang w:bidi="ar"/>
              </w:rPr>
              <w:t>音频输入接口：支持</w:t>
            </w:r>
            <w:r>
              <w:rPr>
                <w:rFonts w:ascii="宋体" w:hAnsi="宋体" w:cs="等线"/>
                <w:color w:val="000000"/>
                <w:kern w:val="0"/>
                <w:sz w:val="18"/>
                <w:szCs w:val="18"/>
                <w:lang w:bidi="ar"/>
              </w:rPr>
              <w:t>8000</w:t>
            </w:r>
            <w:r>
              <w:rPr>
                <w:rFonts w:hint="eastAsia" w:ascii="宋体" w:hAnsi="宋体" w:cs="宋体"/>
                <w:color w:val="000000"/>
                <w:kern w:val="0"/>
                <w:sz w:val="18"/>
                <w:szCs w:val="18"/>
                <w:lang w:bidi="ar"/>
              </w:rPr>
              <w:t>、</w:t>
            </w:r>
            <w:r>
              <w:rPr>
                <w:rFonts w:ascii="宋体" w:hAnsi="宋体" w:cs="等线"/>
                <w:color w:val="000000"/>
                <w:kern w:val="0"/>
                <w:sz w:val="18"/>
                <w:szCs w:val="18"/>
                <w:lang w:bidi="ar"/>
              </w:rPr>
              <w:t>16000</w:t>
            </w:r>
            <w:r>
              <w:rPr>
                <w:rFonts w:hint="eastAsia" w:ascii="宋体" w:hAnsi="宋体" w:cs="宋体"/>
                <w:color w:val="000000"/>
                <w:kern w:val="0"/>
                <w:sz w:val="18"/>
                <w:szCs w:val="18"/>
                <w:lang w:bidi="ar"/>
              </w:rPr>
              <w:t>、</w:t>
            </w:r>
            <w:r>
              <w:rPr>
                <w:rFonts w:ascii="宋体" w:hAnsi="宋体" w:cs="等线"/>
                <w:color w:val="000000"/>
                <w:kern w:val="0"/>
                <w:sz w:val="18"/>
                <w:szCs w:val="18"/>
                <w:lang w:bidi="ar"/>
              </w:rPr>
              <w:t>32000</w:t>
            </w:r>
            <w:r>
              <w:rPr>
                <w:rFonts w:hint="eastAsia" w:ascii="宋体" w:hAnsi="宋体" w:cs="宋体"/>
                <w:color w:val="000000"/>
                <w:kern w:val="0"/>
                <w:sz w:val="18"/>
                <w:szCs w:val="18"/>
                <w:lang w:bidi="ar"/>
              </w:rPr>
              <w:t>、</w:t>
            </w:r>
            <w:r>
              <w:rPr>
                <w:rFonts w:ascii="宋体" w:hAnsi="宋体" w:cs="等线"/>
                <w:color w:val="000000"/>
                <w:kern w:val="0"/>
                <w:sz w:val="18"/>
                <w:szCs w:val="18"/>
                <w:lang w:bidi="ar"/>
              </w:rPr>
              <w:t>44100</w:t>
            </w:r>
            <w:r>
              <w:rPr>
                <w:rFonts w:hint="eastAsia" w:ascii="宋体" w:hAnsi="宋体" w:cs="宋体"/>
                <w:color w:val="000000"/>
                <w:kern w:val="0"/>
                <w:sz w:val="18"/>
                <w:szCs w:val="18"/>
                <w:lang w:bidi="ar"/>
              </w:rPr>
              <w:t>、</w:t>
            </w:r>
            <w:r>
              <w:rPr>
                <w:rFonts w:ascii="宋体" w:hAnsi="宋体" w:cs="等线"/>
                <w:color w:val="000000"/>
                <w:kern w:val="0"/>
                <w:sz w:val="18"/>
                <w:szCs w:val="18"/>
                <w:lang w:bidi="ar"/>
              </w:rPr>
              <w:t>48000</w:t>
            </w:r>
            <w:r>
              <w:rPr>
                <w:rFonts w:hint="eastAsia" w:ascii="宋体" w:hAnsi="宋体" w:cs="宋体"/>
                <w:color w:val="000000"/>
                <w:kern w:val="0"/>
                <w:sz w:val="18"/>
                <w:szCs w:val="18"/>
                <w:lang w:bidi="ar"/>
              </w:rPr>
              <w:t>采样频率，支持</w:t>
            </w:r>
            <w:r>
              <w:rPr>
                <w:rFonts w:ascii="宋体" w:hAnsi="宋体" w:cs="等线"/>
                <w:color w:val="000000"/>
                <w:kern w:val="0"/>
                <w:sz w:val="18"/>
                <w:szCs w:val="18"/>
                <w:lang w:bidi="ar"/>
              </w:rPr>
              <w:t>AAC</w:t>
            </w:r>
            <w:r>
              <w:rPr>
                <w:rFonts w:hint="eastAsia" w:ascii="宋体" w:hAnsi="宋体" w:cs="宋体"/>
                <w:color w:val="000000"/>
                <w:kern w:val="0"/>
                <w:sz w:val="18"/>
                <w:szCs w:val="18"/>
                <w:lang w:bidi="ar"/>
              </w:rPr>
              <w:t>、</w:t>
            </w:r>
            <w:r>
              <w:rPr>
                <w:rFonts w:ascii="宋体" w:hAnsi="宋体" w:cs="等线"/>
                <w:color w:val="000000"/>
                <w:kern w:val="0"/>
                <w:sz w:val="18"/>
                <w:szCs w:val="18"/>
                <w:lang w:bidi="ar"/>
              </w:rPr>
              <w:t>MP3</w:t>
            </w:r>
            <w:r>
              <w:rPr>
                <w:rFonts w:hint="eastAsia" w:ascii="宋体" w:hAnsi="宋体" w:cs="宋体"/>
                <w:color w:val="000000"/>
                <w:kern w:val="0"/>
                <w:sz w:val="18"/>
                <w:szCs w:val="18"/>
                <w:lang w:bidi="ar"/>
              </w:rPr>
              <w:t>、</w:t>
            </w:r>
            <w:r>
              <w:rPr>
                <w:rFonts w:ascii="宋体" w:hAnsi="宋体" w:cs="等线"/>
                <w:color w:val="000000"/>
                <w:kern w:val="0"/>
                <w:sz w:val="18"/>
                <w:szCs w:val="18"/>
                <w:lang w:bidi="ar"/>
              </w:rPr>
              <w:t>G.711A</w:t>
            </w:r>
            <w:r>
              <w:rPr>
                <w:rFonts w:hint="eastAsia" w:ascii="宋体" w:hAnsi="宋体" w:cs="宋体"/>
                <w:color w:val="000000"/>
                <w:kern w:val="0"/>
                <w:sz w:val="18"/>
                <w:szCs w:val="18"/>
                <w:lang w:bidi="ar"/>
              </w:rPr>
              <w:t>音频编码</w:t>
            </w:r>
            <w:r>
              <w:rPr>
                <w:rFonts w:ascii="宋体" w:hAnsi="宋体" w:cs="等线"/>
                <w:color w:val="000000"/>
                <w:kern w:val="0"/>
                <w:sz w:val="18"/>
                <w:szCs w:val="18"/>
                <w:lang w:bidi="ar"/>
              </w:rPr>
              <w:br w:type="textWrapping"/>
            </w:r>
            <w:r>
              <w:rPr>
                <w:rFonts w:hint="eastAsia" w:ascii="宋体" w:hAnsi="宋体" w:cs="宋体"/>
                <w:color w:val="000000"/>
                <w:kern w:val="0"/>
                <w:sz w:val="18"/>
                <w:szCs w:val="18"/>
                <w:lang w:bidi="ar"/>
              </w:rPr>
              <w:t>多种网络协议：支持</w:t>
            </w:r>
            <w:r>
              <w:rPr>
                <w:rFonts w:ascii="宋体" w:hAnsi="宋体" w:cs="等线"/>
                <w:color w:val="000000"/>
                <w:kern w:val="0"/>
                <w:sz w:val="18"/>
                <w:szCs w:val="18"/>
                <w:lang w:bidi="ar"/>
              </w:rPr>
              <w:t>ONVIF</w:t>
            </w:r>
            <w:r>
              <w:rPr>
                <w:rFonts w:hint="eastAsia" w:ascii="宋体" w:hAnsi="宋体" w:cs="宋体"/>
                <w:color w:val="000000"/>
                <w:kern w:val="0"/>
                <w:sz w:val="18"/>
                <w:szCs w:val="18"/>
                <w:lang w:bidi="ar"/>
              </w:rPr>
              <w:t>、</w:t>
            </w:r>
            <w:r>
              <w:rPr>
                <w:rFonts w:ascii="宋体" w:hAnsi="宋体" w:cs="等线"/>
                <w:color w:val="000000"/>
                <w:kern w:val="0"/>
                <w:sz w:val="18"/>
                <w:szCs w:val="18"/>
                <w:lang w:bidi="ar"/>
              </w:rPr>
              <w:t>GB/T28181</w:t>
            </w:r>
            <w:r>
              <w:rPr>
                <w:rFonts w:hint="eastAsia" w:ascii="宋体" w:hAnsi="宋体" w:cs="宋体"/>
                <w:color w:val="000000"/>
                <w:kern w:val="0"/>
                <w:sz w:val="18"/>
                <w:szCs w:val="18"/>
                <w:lang w:bidi="ar"/>
              </w:rPr>
              <w:t>、</w:t>
            </w:r>
            <w:r>
              <w:rPr>
                <w:rFonts w:ascii="宋体" w:hAnsi="宋体" w:cs="等线"/>
                <w:color w:val="000000"/>
                <w:kern w:val="0"/>
                <w:sz w:val="18"/>
                <w:szCs w:val="18"/>
                <w:lang w:bidi="ar"/>
              </w:rPr>
              <w:t>RTSP</w:t>
            </w:r>
            <w:r>
              <w:rPr>
                <w:rFonts w:hint="eastAsia" w:ascii="宋体" w:hAnsi="宋体" w:cs="宋体"/>
                <w:color w:val="000000"/>
                <w:kern w:val="0"/>
                <w:sz w:val="18"/>
                <w:szCs w:val="18"/>
                <w:lang w:bidi="ar"/>
              </w:rPr>
              <w:t>、</w:t>
            </w:r>
            <w:r>
              <w:rPr>
                <w:rFonts w:ascii="宋体" w:hAnsi="宋体" w:cs="等线"/>
                <w:color w:val="000000"/>
                <w:kern w:val="0"/>
                <w:sz w:val="18"/>
                <w:szCs w:val="18"/>
                <w:lang w:bidi="ar"/>
              </w:rPr>
              <w:t>RTMP</w:t>
            </w:r>
            <w:r>
              <w:rPr>
                <w:rFonts w:hint="eastAsia" w:ascii="宋体" w:hAnsi="宋体" w:cs="宋体"/>
                <w:color w:val="000000"/>
                <w:kern w:val="0"/>
                <w:sz w:val="18"/>
                <w:szCs w:val="18"/>
                <w:lang w:bidi="ar"/>
              </w:rPr>
              <w:t>协议；支持</w:t>
            </w:r>
            <w:r>
              <w:rPr>
                <w:rFonts w:ascii="宋体" w:hAnsi="宋体" w:cs="等线"/>
                <w:color w:val="000000"/>
                <w:kern w:val="0"/>
                <w:sz w:val="18"/>
                <w:szCs w:val="18"/>
                <w:lang w:bidi="ar"/>
              </w:rPr>
              <w:t>RTMP</w:t>
            </w:r>
            <w:r>
              <w:rPr>
                <w:rFonts w:hint="eastAsia" w:ascii="宋体" w:hAnsi="宋体" w:cs="宋体"/>
                <w:color w:val="000000"/>
                <w:kern w:val="0"/>
                <w:sz w:val="18"/>
                <w:szCs w:val="18"/>
                <w:lang w:bidi="ar"/>
              </w:rPr>
              <w:t>推送模式，轻松链接流媒体服务器</w:t>
            </w:r>
            <w:r>
              <w:rPr>
                <w:rFonts w:ascii="宋体" w:hAnsi="宋体" w:cs="等线"/>
                <w:color w:val="000000"/>
                <w:kern w:val="0"/>
                <w:sz w:val="18"/>
                <w:szCs w:val="18"/>
                <w:lang w:bidi="ar"/>
              </w:rPr>
              <w:t>(Wowza</w:t>
            </w:r>
            <w:r>
              <w:rPr>
                <w:rFonts w:hint="eastAsia" w:ascii="宋体" w:hAnsi="宋体" w:cs="宋体"/>
                <w:color w:val="000000"/>
                <w:kern w:val="0"/>
                <w:sz w:val="18"/>
                <w:szCs w:val="18"/>
                <w:lang w:bidi="ar"/>
              </w:rPr>
              <w:t>、</w:t>
            </w:r>
            <w:r>
              <w:rPr>
                <w:rFonts w:ascii="宋体" w:hAnsi="宋体" w:cs="等线"/>
                <w:color w:val="000000"/>
                <w:kern w:val="0"/>
                <w:sz w:val="18"/>
                <w:szCs w:val="18"/>
                <w:lang w:bidi="ar"/>
              </w:rPr>
              <w:t>FMS)</w:t>
            </w:r>
            <w:r>
              <w:rPr>
                <w:rFonts w:hint="eastAsia" w:ascii="宋体" w:hAnsi="宋体" w:cs="宋体"/>
                <w:color w:val="000000"/>
                <w:kern w:val="0"/>
                <w:sz w:val="18"/>
                <w:szCs w:val="18"/>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等线"/>
                <w:color w:val="000000"/>
                <w:sz w:val="18"/>
                <w:szCs w:val="18"/>
              </w:rPr>
            </w:pPr>
            <w:r>
              <w:rPr>
                <w:rFonts w:ascii="宋体" w:hAnsi="宋体" w:cs="等线"/>
                <w:color w:val="000000"/>
                <w:kern w:val="0"/>
                <w:sz w:val="18"/>
                <w:szCs w:val="18"/>
                <w:lang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等线"/>
                <w:color w:val="000000"/>
                <w:sz w:val="18"/>
                <w:szCs w:val="18"/>
              </w:rPr>
            </w:pPr>
            <w:r>
              <w:rPr>
                <w:rFonts w:ascii="宋体" w:hAnsi="宋体" w:cs="等线"/>
                <w:color w:val="000000"/>
                <w:kern w:val="0"/>
                <w:sz w:val="18"/>
                <w:szCs w:val="18"/>
                <w:lang w:bidi="ar"/>
              </w:rPr>
              <w:t xml:space="preserve">4.00 </w:t>
            </w:r>
          </w:p>
        </w:tc>
      </w:tr>
      <w:tr>
        <w:tblPrEx>
          <w:tblCellMar>
            <w:top w:w="0" w:type="dxa"/>
            <w:left w:w="0" w:type="dxa"/>
            <w:bottom w:w="0" w:type="dxa"/>
            <w:right w:w="0" w:type="dxa"/>
          </w:tblCellMar>
        </w:tblPrEx>
        <w:trPr>
          <w:trHeight w:val="17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等线"/>
                <w:color w:val="000000"/>
                <w:sz w:val="18"/>
                <w:szCs w:val="18"/>
              </w:rPr>
            </w:pPr>
            <w:r>
              <w:rPr>
                <w:rFonts w:ascii="宋体" w:hAnsi="宋体" w:cs="等线"/>
                <w:color w:val="000000"/>
                <w:kern w:val="0"/>
                <w:sz w:val="18"/>
                <w:szCs w:val="18"/>
                <w:lang w:bidi="ar"/>
              </w:rPr>
              <w:t>3</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等线"/>
                <w:color w:val="000000"/>
                <w:sz w:val="18"/>
                <w:szCs w:val="18"/>
              </w:rPr>
            </w:pPr>
            <w:r>
              <w:rPr>
                <w:rFonts w:ascii="宋体" w:hAnsi="宋体" w:cs="等线"/>
                <w:color w:val="000000"/>
                <w:kern w:val="0"/>
                <w:sz w:val="18"/>
                <w:szCs w:val="18"/>
                <w:lang w:bidi="ar"/>
              </w:rPr>
              <w:t>控制键盘</w:t>
            </w:r>
          </w:p>
        </w:tc>
        <w:tc>
          <w:tcPr>
            <w:tcW w:w="62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采用</w:t>
            </w:r>
            <w:r>
              <w:rPr>
                <w:rFonts w:ascii="宋体" w:hAnsi="宋体" w:cs="等线"/>
                <w:color w:val="000000"/>
                <w:kern w:val="0"/>
                <w:sz w:val="18"/>
                <w:szCs w:val="18"/>
                <w:lang w:bidi="ar"/>
              </w:rPr>
              <w:t>RS485</w:t>
            </w:r>
            <w:r>
              <w:rPr>
                <w:rFonts w:hint="eastAsia" w:ascii="宋体" w:hAnsi="宋体" w:cs="宋体"/>
                <w:color w:val="000000"/>
                <w:kern w:val="0"/>
                <w:sz w:val="18"/>
                <w:szCs w:val="18"/>
                <w:lang w:bidi="ar"/>
              </w:rPr>
              <w:t>、</w:t>
            </w:r>
            <w:r>
              <w:rPr>
                <w:rFonts w:ascii="宋体" w:hAnsi="宋体" w:cs="等线"/>
                <w:color w:val="000000"/>
                <w:kern w:val="0"/>
                <w:sz w:val="18"/>
                <w:szCs w:val="18"/>
                <w:lang w:bidi="ar"/>
              </w:rPr>
              <w:t>RS422</w:t>
            </w:r>
            <w:r>
              <w:rPr>
                <w:rFonts w:hint="eastAsia" w:ascii="宋体" w:hAnsi="宋体" w:cs="宋体"/>
                <w:color w:val="000000"/>
                <w:kern w:val="0"/>
                <w:sz w:val="18"/>
                <w:szCs w:val="18"/>
                <w:lang w:bidi="ar"/>
              </w:rPr>
              <w:t>、</w:t>
            </w:r>
            <w:r>
              <w:rPr>
                <w:rFonts w:ascii="宋体" w:hAnsi="宋体" w:cs="等线"/>
                <w:color w:val="000000"/>
                <w:kern w:val="0"/>
                <w:sz w:val="18"/>
                <w:szCs w:val="18"/>
                <w:lang w:bidi="ar"/>
              </w:rPr>
              <w:t>RS232</w:t>
            </w:r>
            <w:r>
              <w:rPr>
                <w:rFonts w:hint="eastAsia" w:ascii="宋体" w:hAnsi="宋体" w:cs="宋体"/>
                <w:color w:val="000000"/>
                <w:kern w:val="0"/>
                <w:sz w:val="18"/>
                <w:szCs w:val="18"/>
                <w:lang w:bidi="ar"/>
              </w:rPr>
              <w:t>多种接口控制信号，最多可接</w:t>
            </w:r>
            <w:r>
              <w:rPr>
                <w:rFonts w:ascii="宋体" w:hAnsi="宋体" w:cs="等线"/>
                <w:color w:val="000000"/>
                <w:kern w:val="0"/>
                <w:sz w:val="18"/>
                <w:szCs w:val="18"/>
                <w:lang w:bidi="ar"/>
              </w:rPr>
              <w:t>255</w:t>
            </w:r>
            <w:r>
              <w:rPr>
                <w:rFonts w:hint="eastAsia" w:ascii="宋体" w:hAnsi="宋体" w:cs="宋体"/>
                <w:color w:val="000000"/>
                <w:kern w:val="0"/>
                <w:sz w:val="18"/>
                <w:szCs w:val="18"/>
                <w:lang w:bidi="ar"/>
              </w:rPr>
              <w:t>个摄像机。</w:t>
            </w:r>
            <w:r>
              <w:rPr>
                <w:rFonts w:ascii="宋体" w:hAnsi="宋体" w:cs="等线"/>
                <w:color w:val="000000"/>
                <w:kern w:val="0"/>
                <w:sz w:val="18"/>
                <w:szCs w:val="18"/>
                <w:lang w:bidi="ar"/>
              </w:rPr>
              <w:br w:type="textWrapping"/>
            </w:r>
            <w:r>
              <w:rPr>
                <w:rFonts w:hint="eastAsia" w:ascii="宋体" w:hAnsi="宋体" w:cs="宋体"/>
                <w:color w:val="000000"/>
                <w:kern w:val="0"/>
                <w:sz w:val="18"/>
                <w:szCs w:val="18"/>
                <w:lang w:bidi="ar"/>
              </w:rPr>
              <w:t>支持</w:t>
            </w:r>
            <w:r>
              <w:rPr>
                <w:rFonts w:ascii="宋体" w:hAnsi="宋体" w:cs="等线"/>
                <w:color w:val="000000"/>
                <w:kern w:val="0"/>
                <w:sz w:val="18"/>
                <w:szCs w:val="18"/>
                <w:lang w:bidi="ar"/>
              </w:rPr>
              <w:t>PELCO-D</w:t>
            </w:r>
            <w:r>
              <w:rPr>
                <w:rFonts w:hint="eastAsia" w:ascii="宋体" w:hAnsi="宋体" w:cs="宋体"/>
                <w:color w:val="000000"/>
                <w:kern w:val="0"/>
                <w:sz w:val="18"/>
                <w:szCs w:val="18"/>
                <w:lang w:bidi="ar"/>
              </w:rPr>
              <w:t>、</w:t>
            </w:r>
            <w:r>
              <w:rPr>
                <w:rFonts w:ascii="宋体" w:hAnsi="宋体" w:cs="等线"/>
                <w:color w:val="000000"/>
                <w:kern w:val="0"/>
                <w:sz w:val="18"/>
                <w:szCs w:val="18"/>
                <w:lang w:bidi="ar"/>
              </w:rPr>
              <w:t>PELCO-P</w:t>
            </w:r>
            <w:r>
              <w:rPr>
                <w:rFonts w:hint="eastAsia" w:ascii="宋体" w:hAnsi="宋体" w:cs="宋体"/>
                <w:color w:val="000000"/>
                <w:kern w:val="0"/>
                <w:sz w:val="18"/>
                <w:szCs w:val="18"/>
                <w:lang w:bidi="ar"/>
              </w:rPr>
              <w:t>、</w:t>
            </w:r>
            <w:r>
              <w:rPr>
                <w:rFonts w:ascii="宋体" w:hAnsi="宋体" w:cs="等线"/>
                <w:color w:val="000000"/>
                <w:kern w:val="0"/>
                <w:sz w:val="18"/>
                <w:szCs w:val="18"/>
                <w:lang w:bidi="ar"/>
              </w:rPr>
              <w:t>VISCA</w:t>
            </w:r>
            <w:r>
              <w:rPr>
                <w:rFonts w:hint="eastAsia" w:ascii="宋体" w:hAnsi="宋体" w:cs="宋体"/>
                <w:color w:val="000000"/>
                <w:kern w:val="0"/>
                <w:sz w:val="18"/>
                <w:szCs w:val="18"/>
                <w:lang w:bidi="ar"/>
              </w:rPr>
              <w:t>控制协议。</w:t>
            </w:r>
            <w:r>
              <w:rPr>
                <w:rFonts w:ascii="宋体" w:hAnsi="宋体" w:cs="等线"/>
                <w:color w:val="000000"/>
                <w:kern w:val="0"/>
                <w:sz w:val="18"/>
                <w:szCs w:val="18"/>
                <w:lang w:bidi="ar"/>
              </w:rPr>
              <w:br w:type="textWrapping"/>
            </w:r>
            <w:r>
              <w:rPr>
                <w:rFonts w:hint="eastAsia" w:ascii="宋体" w:hAnsi="宋体" w:cs="宋体"/>
                <w:color w:val="000000"/>
                <w:kern w:val="0"/>
                <w:sz w:val="18"/>
                <w:szCs w:val="18"/>
                <w:lang w:bidi="ar"/>
              </w:rPr>
              <w:t>金属壳体，电脑键盘按键设计。</w:t>
            </w:r>
            <w:r>
              <w:rPr>
                <w:rFonts w:ascii="宋体" w:hAnsi="宋体" w:cs="等线"/>
                <w:color w:val="000000"/>
                <w:kern w:val="0"/>
                <w:sz w:val="18"/>
                <w:szCs w:val="18"/>
                <w:lang w:bidi="ar"/>
              </w:rPr>
              <w:br w:type="textWrapping"/>
            </w:r>
            <w:r>
              <w:rPr>
                <w:rFonts w:hint="eastAsia" w:ascii="宋体" w:hAnsi="宋体" w:cs="宋体"/>
                <w:color w:val="000000"/>
                <w:kern w:val="0"/>
                <w:sz w:val="18"/>
                <w:szCs w:val="18"/>
                <w:lang w:bidi="ar"/>
              </w:rPr>
              <w:t>采用三维控制杆，对摄像机变速调控。</w:t>
            </w:r>
            <w:r>
              <w:rPr>
                <w:rFonts w:ascii="宋体" w:hAnsi="宋体" w:cs="等线"/>
                <w:color w:val="000000"/>
                <w:kern w:val="0"/>
                <w:sz w:val="18"/>
                <w:szCs w:val="18"/>
                <w:lang w:bidi="ar"/>
              </w:rPr>
              <w:br w:type="textWrapping"/>
            </w:r>
            <w:r>
              <w:rPr>
                <w:rFonts w:hint="eastAsia" w:ascii="宋体" w:hAnsi="宋体" w:cs="宋体"/>
                <w:color w:val="000000"/>
                <w:kern w:val="0"/>
                <w:sz w:val="18"/>
                <w:szCs w:val="18"/>
                <w:lang w:bidi="ar"/>
              </w:rPr>
              <w:t>可控制摄像机转动、变焦、光圈、聚焦及摄像机其它参数设置。</w:t>
            </w:r>
            <w:r>
              <w:rPr>
                <w:rFonts w:ascii="宋体" w:hAnsi="宋体" w:cs="等线"/>
                <w:color w:val="000000"/>
                <w:kern w:val="0"/>
                <w:sz w:val="18"/>
                <w:szCs w:val="18"/>
                <w:lang w:bidi="ar"/>
              </w:rPr>
              <w:br w:type="textWrapping"/>
            </w:r>
            <w:r>
              <w:rPr>
                <w:rFonts w:hint="eastAsia" w:ascii="宋体" w:hAnsi="宋体" w:cs="宋体"/>
                <w:color w:val="000000"/>
                <w:kern w:val="0"/>
                <w:sz w:val="18"/>
                <w:szCs w:val="18"/>
                <w:lang w:bidi="ar"/>
              </w:rPr>
              <w:t>液晶中英文显示，实时显示解码器和矩阵的工作状态。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等线"/>
                <w:color w:val="000000"/>
                <w:sz w:val="18"/>
                <w:szCs w:val="18"/>
              </w:rPr>
            </w:pPr>
            <w:r>
              <w:rPr>
                <w:rFonts w:ascii="宋体" w:hAnsi="宋体" w:cs="等线"/>
                <w:color w:val="000000"/>
                <w:kern w:val="0"/>
                <w:sz w:val="18"/>
                <w:szCs w:val="18"/>
                <w:lang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等线"/>
                <w:color w:val="000000"/>
                <w:sz w:val="18"/>
                <w:szCs w:val="18"/>
              </w:rPr>
            </w:pPr>
            <w:r>
              <w:rPr>
                <w:rFonts w:ascii="宋体" w:hAnsi="宋体" w:cs="等线"/>
                <w:color w:val="000000"/>
                <w:kern w:val="0"/>
                <w:sz w:val="18"/>
                <w:szCs w:val="18"/>
                <w:lang w:bidi="ar"/>
              </w:rPr>
              <w:t xml:space="preserve">1.00 </w:t>
            </w:r>
          </w:p>
        </w:tc>
      </w:tr>
      <w:tr>
        <w:tblPrEx>
          <w:tblCellMar>
            <w:top w:w="0" w:type="dxa"/>
            <w:left w:w="0" w:type="dxa"/>
            <w:bottom w:w="0" w:type="dxa"/>
            <w:right w:w="0" w:type="dxa"/>
          </w:tblCellMar>
        </w:tblPrEx>
        <w:trPr>
          <w:trHeight w:val="240" w:hRule="atLeast"/>
        </w:trPr>
        <w:tc>
          <w:tcPr>
            <w:tcW w:w="9675" w:type="dxa"/>
            <w:gridSpan w:val="5"/>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四、信号处理及中控</w:t>
            </w:r>
          </w:p>
        </w:tc>
      </w:tr>
      <w:tr>
        <w:tblPrEx>
          <w:tblCellMar>
            <w:top w:w="0" w:type="dxa"/>
            <w:left w:w="0" w:type="dxa"/>
            <w:bottom w:w="0" w:type="dxa"/>
            <w:right w:w="0" w:type="dxa"/>
          </w:tblCellMar>
        </w:tblPrEx>
        <w:trPr>
          <w:trHeight w:val="6240" w:hRule="atLeast"/>
        </w:trPr>
        <w:tc>
          <w:tcPr>
            <w:tcW w:w="33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等线"/>
                <w:color w:val="000000"/>
                <w:sz w:val="18"/>
                <w:szCs w:val="18"/>
              </w:rPr>
            </w:pPr>
            <w:r>
              <w:rPr>
                <w:rFonts w:ascii="宋体" w:hAnsi="宋体" w:cs="等线"/>
                <w:color w:val="000000"/>
                <w:kern w:val="0"/>
                <w:sz w:val="18"/>
                <w:szCs w:val="18"/>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等线"/>
                <w:color w:val="000000"/>
                <w:sz w:val="18"/>
                <w:szCs w:val="18"/>
              </w:rPr>
            </w:pPr>
            <w:r>
              <w:rPr>
                <w:rFonts w:ascii="宋体" w:hAnsi="宋体" w:cs="等线"/>
                <w:color w:val="000000"/>
                <w:kern w:val="0"/>
                <w:sz w:val="18"/>
                <w:szCs w:val="18"/>
                <w:lang w:bidi="ar"/>
              </w:rPr>
              <w:t>分布式综合管理平台</w:t>
            </w:r>
          </w:p>
        </w:tc>
        <w:tc>
          <w:tcPr>
            <w:tcW w:w="62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云服务系统软件中实现集成管理，整体音视频交互所见即所得管理，实时数据库以及后台数据库构成</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采用托拽式控制，实时图像可通过多点触摸放大和缩小。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系统集成应用可通过内附的云网络通讯开发包API和网络控制协议进行支持</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支持C/S和B/S架构，提供IPAD，ANDORID及PC平台软件，提供基于TCP/IP协议的SDK和HTTP的SDK；</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音视频设备管理，具有大屏开窗、叠加功能、漫游功能、信号切换、KVM切换、音频切换；</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IT设备管理及数据采集；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需支持会议预约系统；</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需支持信息发布系统；</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需支持视频会议和网络视频流媒体管理；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需支持BA楼控系统管理；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应具有监控视频系统管理，可调用监控摄像头视频信号及控制；</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消防、安防系统管理；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支持IP电话系统包；</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支持智能语音识别实现图像上墙，切换，音量控制和环境控制；</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支持内置GIS地图及高分8K上墙；</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字幕OSD上墙；</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网络摄像机云台，缩放及预置位调用；</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具有信号源触摸手势滑动推送至虚拟墙功能；</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具有信号源检索功能；</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具有摄像头云台控制功能；</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具有数据备份功能；</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具有场景导航功能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等线"/>
                <w:color w:val="000000"/>
                <w:sz w:val="18"/>
                <w:szCs w:val="18"/>
              </w:rPr>
            </w:pPr>
            <w:r>
              <w:rPr>
                <w:rFonts w:ascii="宋体" w:hAnsi="宋体" w:cs="等线"/>
                <w:color w:val="000000"/>
                <w:kern w:val="0"/>
                <w:sz w:val="18"/>
                <w:szCs w:val="18"/>
                <w:lang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等线"/>
                <w:color w:val="000000"/>
                <w:sz w:val="18"/>
                <w:szCs w:val="18"/>
              </w:rPr>
            </w:pPr>
            <w:r>
              <w:rPr>
                <w:rFonts w:ascii="宋体" w:hAnsi="宋体" w:cs="等线"/>
                <w:color w:val="000000"/>
                <w:kern w:val="0"/>
                <w:sz w:val="18"/>
                <w:szCs w:val="18"/>
                <w:lang w:bidi="ar"/>
              </w:rPr>
              <w:t xml:space="preserve">1.00 </w:t>
            </w:r>
          </w:p>
        </w:tc>
      </w:tr>
      <w:tr>
        <w:tblPrEx>
          <w:tblCellMar>
            <w:top w:w="0" w:type="dxa"/>
            <w:left w:w="0" w:type="dxa"/>
            <w:bottom w:w="0" w:type="dxa"/>
            <w:right w:w="0" w:type="dxa"/>
          </w:tblCellMar>
        </w:tblPrEx>
        <w:trPr>
          <w:trHeight w:val="1440" w:hRule="atLeast"/>
        </w:trPr>
        <w:tc>
          <w:tcPr>
            <w:tcW w:w="33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等线"/>
                <w:color w:val="000000"/>
                <w:sz w:val="18"/>
                <w:szCs w:val="18"/>
              </w:rPr>
            </w:pPr>
            <w:r>
              <w:rPr>
                <w:rFonts w:ascii="宋体" w:hAnsi="宋体" w:cs="等线"/>
                <w:color w:val="000000"/>
                <w:kern w:val="0"/>
                <w:sz w:val="18"/>
                <w:szCs w:val="18"/>
                <w:lang w:bidi="ar"/>
              </w:rPr>
              <w:t>2</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等线"/>
                <w:color w:val="000000"/>
                <w:sz w:val="18"/>
                <w:szCs w:val="18"/>
              </w:rPr>
            </w:pPr>
            <w:r>
              <w:rPr>
                <w:rFonts w:ascii="宋体" w:hAnsi="宋体" w:cs="等线"/>
                <w:color w:val="000000"/>
                <w:kern w:val="0"/>
                <w:sz w:val="18"/>
                <w:szCs w:val="18"/>
                <w:lang w:bidi="ar"/>
              </w:rPr>
              <w:t>可视化系统软件</w:t>
            </w:r>
          </w:p>
        </w:tc>
        <w:tc>
          <w:tcPr>
            <w:tcW w:w="62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定制化的图形界面；</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视频回放及拖拽控制；</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应急预案及处理控制；</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信息发布及预约信息；</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云照明控制；</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资产管理及报表；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等线"/>
                <w:color w:val="000000"/>
                <w:sz w:val="18"/>
                <w:szCs w:val="18"/>
              </w:rPr>
            </w:pPr>
            <w:r>
              <w:rPr>
                <w:rFonts w:ascii="宋体" w:hAnsi="宋体" w:cs="等线"/>
                <w:color w:val="000000"/>
                <w:kern w:val="0"/>
                <w:sz w:val="18"/>
                <w:szCs w:val="18"/>
                <w:lang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等线"/>
                <w:color w:val="000000"/>
                <w:sz w:val="18"/>
                <w:szCs w:val="18"/>
              </w:rPr>
            </w:pPr>
            <w:r>
              <w:rPr>
                <w:rFonts w:ascii="宋体" w:hAnsi="宋体" w:cs="等线"/>
                <w:color w:val="000000"/>
                <w:kern w:val="0"/>
                <w:sz w:val="18"/>
                <w:szCs w:val="18"/>
                <w:lang w:bidi="ar"/>
              </w:rPr>
              <w:t xml:space="preserve">1.00 </w:t>
            </w:r>
          </w:p>
        </w:tc>
      </w:tr>
      <w:tr>
        <w:tblPrEx>
          <w:tblCellMar>
            <w:top w:w="0" w:type="dxa"/>
            <w:left w:w="0" w:type="dxa"/>
            <w:bottom w:w="0" w:type="dxa"/>
            <w:right w:w="0" w:type="dxa"/>
          </w:tblCellMar>
        </w:tblPrEx>
        <w:trPr>
          <w:trHeight w:val="4560" w:hRule="atLeast"/>
        </w:trPr>
        <w:tc>
          <w:tcPr>
            <w:tcW w:w="33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等线"/>
                <w:color w:val="000000"/>
                <w:sz w:val="18"/>
                <w:szCs w:val="18"/>
              </w:rPr>
            </w:pPr>
            <w:r>
              <w:rPr>
                <w:rFonts w:ascii="宋体" w:hAnsi="宋体" w:cs="等线"/>
                <w:color w:val="000000"/>
                <w:kern w:val="0"/>
                <w:sz w:val="18"/>
                <w:szCs w:val="18"/>
                <w:lang w:bidi="ar"/>
              </w:rPr>
              <w:t>3</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分布式输入节点</w:t>
            </w:r>
          </w:p>
        </w:tc>
        <w:tc>
          <w:tcPr>
            <w:tcW w:w="62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fldChar w:fldCharType="begin"/>
            </w:r>
            <w:r>
              <w:rPr>
                <w:rFonts w:hint="eastAsia" w:ascii="宋体" w:hAnsi="宋体" w:cs="宋体"/>
                <w:color w:val="000000"/>
                <w:kern w:val="0"/>
                <w:sz w:val="18"/>
                <w:szCs w:val="18"/>
                <w:lang w:bidi="ar"/>
              </w:rPr>
              <w:instrText xml:space="preserve"> HYPERLINK ""</w:instrText>
            </w:r>
            <w:r>
              <w:rPr>
                <w:rFonts w:hint="eastAsia" w:ascii="宋体" w:hAnsi="宋体" w:cs="宋体"/>
                <w:color w:val="000000"/>
                <w:kern w:val="0"/>
                <w:sz w:val="18"/>
                <w:szCs w:val="18"/>
                <w:lang w:bidi="ar"/>
              </w:rPr>
              <w:fldChar w:fldCharType="separate"/>
            </w:r>
            <w:r>
              <w:rPr>
                <w:rFonts w:hint="eastAsia" w:ascii="宋体" w:hAnsi="宋体" w:cs="宋体"/>
                <w:color w:val="000000"/>
                <w:kern w:val="0"/>
                <w:sz w:val="18"/>
                <w:szCs w:val="18"/>
                <w:lang w:bidi="ar"/>
              </w:rPr>
              <w:t>全网络相连，包括音频，视频，控制信号，自带POE供电RJ45接口；</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采用分布式设计，无中心单元，降低系统运行风险，减少维护成本；</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单个分布式输入单元，支持HDMI，YPbPr、DVI、VGA、网络、SDI、音频输入， 支持两个USB接口输入</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单个分布式输入单元具有一路串口、一路红外、一路IO信号及路NET口；</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支持4k H.265码流输入，4k@60P输出，兼容2K H.264输入；支持4K@30P HDMI输入并编码。</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双网络备份，双网口备份机制，实现双物理网络实时备份；</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每个单元均带有IO端口，做输出使用时可以提供5V电压做弱电控制配合接触器可以控制大电流设备，也可以做输入使用，与各种传感器连接；</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每个输入单元均采用强大性能的逻辑处理芯片以及数据流编解码芯片，保证系统运行的流畅性，音视频传输的无损化；</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分布式输入单元已经对输入信号进行了高画质编码并数据流化，可以实现整系统的录播功能；</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完美的可视化操作，配合定制APP,在iPad，ANDORID，PC上能看到每个输入节点的视频，系统具有双流监看功能。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带USB*2接口，支持无线键盘鼠标实现KVM功能（定制），还支持外接移动硬盘进行数据存储</w:t>
            </w:r>
            <w:r>
              <w:rPr>
                <w:rFonts w:hint="eastAsia" w:ascii="宋体" w:hAnsi="宋体" w:cs="宋体"/>
                <w:color w:val="000000"/>
                <w:kern w:val="0"/>
                <w:sz w:val="18"/>
                <w:szCs w:val="18"/>
                <w:lang w:bidi="ar"/>
              </w:rPr>
              <w:fldChar w:fldCharType="end"/>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等线"/>
                <w:color w:val="000000"/>
                <w:sz w:val="18"/>
                <w:szCs w:val="18"/>
              </w:rPr>
            </w:pPr>
            <w:r>
              <w:rPr>
                <w:rFonts w:ascii="宋体" w:hAnsi="宋体" w:cs="等线"/>
                <w:color w:val="000000"/>
                <w:kern w:val="0"/>
                <w:sz w:val="18"/>
                <w:szCs w:val="18"/>
                <w:lang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等线"/>
                <w:color w:val="000000"/>
                <w:sz w:val="18"/>
                <w:szCs w:val="18"/>
              </w:rPr>
            </w:pPr>
            <w:r>
              <w:rPr>
                <w:rFonts w:ascii="宋体" w:hAnsi="宋体" w:cs="等线"/>
                <w:color w:val="000000"/>
                <w:kern w:val="0"/>
                <w:sz w:val="18"/>
                <w:szCs w:val="18"/>
                <w:lang w:bidi="ar"/>
              </w:rPr>
              <w:t xml:space="preserve">15.00 </w:t>
            </w:r>
          </w:p>
        </w:tc>
      </w:tr>
      <w:tr>
        <w:tblPrEx>
          <w:tblCellMar>
            <w:top w:w="0" w:type="dxa"/>
            <w:left w:w="0" w:type="dxa"/>
            <w:bottom w:w="0" w:type="dxa"/>
            <w:right w:w="0" w:type="dxa"/>
          </w:tblCellMar>
        </w:tblPrEx>
        <w:trPr>
          <w:trHeight w:val="1579" w:hRule="atLeast"/>
        </w:trPr>
        <w:tc>
          <w:tcPr>
            <w:tcW w:w="33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等线"/>
                <w:color w:val="000000"/>
                <w:sz w:val="18"/>
                <w:szCs w:val="18"/>
              </w:rPr>
            </w:pPr>
            <w:r>
              <w:rPr>
                <w:rFonts w:ascii="宋体" w:hAnsi="宋体" w:cs="等线"/>
                <w:color w:val="000000"/>
                <w:kern w:val="0"/>
                <w:sz w:val="18"/>
                <w:szCs w:val="18"/>
                <w:lang w:bidi="ar"/>
              </w:rPr>
              <w:t>4</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等线"/>
                <w:color w:val="000000"/>
                <w:sz w:val="18"/>
                <w:szCs w:val="18"/>
              </w:rPr>
            </w:pPr>
            <w:r>
              <w:rPr>
                <w:rFonts w:ascii="宋体" w:hAnsi="宋体" w:cs="等线"/>
                <w:color w:val="000000"/>
                <w:kern w:val="0"/>
                <w:sz w:val="18"/>
                <w:szCs w:val="18"/>
                <w:lang w:bidi="ar"/>
              </w:rPr>
              <w:t>分布式输出节点</w:t>
            </w:r>
          </w:p>
        </w:tc>
        <w:tc>
          <w:tcPr>
            <w:tcW w:w="62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全网络相连，包括音频，视频，控制信号，自带POE供电RJ45接口；</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采用分布式设计，无中心单元，降低系统运行风险，减少维护成本；</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单个分布式输出单元，支持HDMI，YPbPr、DVI、VGA、网络、SDI、音频输出，支持两个USB接口输出</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单个分布式输出单元具有一路串口、一路红外、一路IO信号及路NET口；</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支持4k H.265码流输入，4k@60P输出，兼容2K H.264输入；支持4K@30P HDMI输入并编码。</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双网络备份，双网口备份机制，实现双物理网络实时备份；</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每个单元均带有IO端口，做输出使用时可以提供5V电压做弱电控制配合接触器可以控制大电流设备，也可以做输入使用，与各种传感器连接；</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每个输入单元均采用强大性能的逻辑处理芯片以及数据流编解码芯片，保证系统运行的流畅性，音视频传输的无损化；</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分布式输入单元已经对输入信号进行了高画质编码并数据流化，可以实现整系统的录播功能；</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实现拼接处理器功能，可叠加、漫游、跨屏、单屏开64个窗口。</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完美的可视化操作，配合定制APP,在iPad，ANDORID，PC上能看到每个输入节点的视频，系统具有双流监看功能。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支持通过语音识别，实现图像缩放，切换和移动；</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带USB*2接口，其中一个可以外接无线键盘鼠标实现KVM功能，另外一个外接硬盘进行图像录像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等线"/>
                <w:color w:val="000000"/>
                <w:sz w:val="18"/>
                <w:szCs w:val="18"/>
              </w:rPr>
            </w:pPr>
            <w:r>
              <w:rPr>
                <w:rFonts w:ascii="宋体" w:hAnsi="宋体" w:cs="等线"/>
                <w:color w:val="000000"/>
                <w:kern w:val="0"/>
                <w:sz w:val="18"/>
                <w:szCs w:val="18"/>
                <w:lang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等线"/>
                <w:color w:val="000000"/>
                <w:sz w:val="18"/>
                <w:szCs w:val="18"/>
              </w:rPr>
            </w:pPr>
            <w:r>
              <w:rPr>
                <w:rFonts w:ascii="宋体" w:hAnsi="宋体" w:cs="等线"/>
                <w:color w:val="000000"/>
                <w:kern w:val="0"/>
                <w:sz w:val="18"/>
                <w:szCs w:val="18"/>
                <w:lang w:bidi="ar"/>
              </w:rPr>
              <w:t xml:space="preserve">8.00 </w:t>
            </w:r>
          </w:p>
        </w:tc>
      </w:tr>
      <w:tr>
        <w:tblPrEx>
          <w:tblCellMar>
            <w:top w:w="0" w:type="dxa"/>
            <w:left w:w="0" w:type="dxa"/>
            <w:bottom w:w="0" w:type="dxa"/>
            <w:right w:w="0" w:type="dxa"/>
          </w:tblCellMar>
        </w:tblPrEx>
        <w:trPr>
          <w:trHeight w:val="4320" w:hRule="atLeast"/>
        </w:trPr>
        <w:tc>
          <w:tcPr>
            <w:tcW w:w="33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等线"/>
                <w:color w:val="000000"/>
                <w:sz w:val="18"/>
                <w:szCs w:val="18"/>
              </w:rPr>
            </w:pPr>
            <w:r>
              <w:rPr>
                <w:rFonts w:ascii="宋体" w:hAnsi="宋体" w:cs="等线"/>
                <w:color w:val="000000"/>
                <w:kern w:val="0"/>
                <w:sz w:val="18"/>
                <w:szCs w:val="18"/>
                <w:lang w:bidi="ar"/>
              </w:rPr>
              <w:t>5</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等线"/>
                <w:color w:val="000000"/>
                <w:sz w:val="18"/>
                <w:szCs w:val="18"/>
              </w:rPr>
            </w:pPr>
            <w:r>
              <w:rPr>
                <w:rFonts w:ascii="宋体" w:hAnsi="宋体" w:cs="等线"/>
                <w:color w:val="000000"/>
                <w:kern w:val="0"/>
                <w:sz w:val="18"/>
                <w:szCs w:val="18"/>
                <w:lang w:bidi="ar"/>
              </w:rPr>
              <w:t>网络中控</w:t>
            </w:r>
          </w:p>
        </w:tc>
        <w:tc>
          <w:tcPr>
            <w:tcW w:w="62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ARM11 1GHZ CPU，1G内存，2G Flash闪存；</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ARM11 1GHZ CPU，1G内存，2G Flash闪存；</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支持SSL加密技术、A-Control技术；支持SNMP，内置防火墙；</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内置WEB SERVER，兼容KNX EIB成员的产品，支持楼控协议MODBUS，BACNET等；</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支持浏览器B/S模式控制，支持IPAD、ANDROID C/S控制模式；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支持模块及COMPILER+语言编程方式，使系统更加智能、方便、稳定；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支持 OA OUTLOOK会议预约，FLASH、虚拟仿真二次接口编程；</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支持受控设备双向实时状态反馈功能及WIFI视频回放；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A-NET、A-NET2双总线技术, 可扩充达1024个网络设备</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至少8路RS-232/485串行接口</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8路红外接口、8路弱电继电器接口、8路数字输I/O接口</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接触电流&lt;3.5mA</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1500V交流情况下至少1min无飞弧无击穿</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1个USB通用编程接口</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支持系统自动云诊断、云备份、云恢复；</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1个网络通用编程接口，可通过交换机实现远端至少256台PC的开关机管理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等线"/>
                <w:color w:val="000000"/>
                <w:sz w:val="18"/>
                <w:szCs w:val="18"/>
              </w:rPr>
            </w:pPr>
            <w:r>
              <w:rPr>
                <w:rFonts w:ascii="宋体" w:hAnsi="宋体" w:cs="等线"/>
                <w:color w:val="000000"/>
                <w:kern w:val="0"/>
                <w:sz w:val="18"/>
                <w:szCs w:val="18"/>
                <w:lang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等线"/>
                <w:color w:val="000000"/>
                <w:sz w:val="18"/>
                <w:szCs w:val="18"/>
              </w:rPr>
            </w:pPr>
            <w:r>
              <w:rPr>
                <w:rFonts w:ascii="宋体" w:hAnsi="宋体" w:cs="等线"/>
                <w:color w:val="000000"/>
                <w:kern w:val="0"/>
                <w:sz w:val="18"/>
                <w:szCs w:val="18"/>
                <w:lang w:bidi="ar"/>
              </w:rPr>
              <w:t xml:space="preserve">2.00 </w:t>
            </w:r>
          </w:p>
        </w:tc>
      </w:tr>
      <w:tr>
        <w:tblPrEx>
          <w:tblCellMar>
            <w:top w:w="0" w:type="dxa"/>
            <w:left w:w="0" w:type="dxa"/>
            <w:bottom w:w="0" w:type="dxa"/>
            <w:right w:w="0" w:type="dxa"/>
          </w:tblCellMar>
        </w:tblPrEx>
        <w:trPr>
          <w:trHeight w:val="960" w:hRule="atLeast"/>
        </w:trPr>
        <w:tc>
          <w:tcPr>
            <w:tcW w:w="33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等线"/>
                <w:color w:val="000000"/>
                <w:sz w:val="18"/>
                <w:szCs w:val="18"/>
              </w:rPr>
            </w:pPr>
            <w:r>
              <w:rPr>
                <w:rFonts w:ascii="宋体" w:hAnsi="宋体" w:cs="等线"/>
                <w:color w:val="000000"/>
                <w:kern w:val="0"/>
                <w:sz w:val="18"/>
                <w:szCs w:val="18"/>
                <w:lang w:bidi="ar"/>
              </w:rPr>
              <w:t>6</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等线"/>
                <w:color w:val="000000"/>
                <w:sz w:val="18"/>
                <w:szCs w:val="18"/>
              </w:rPr>
            </w:pPr>
            <w:r>
              <w:rPr>
                <w:rFonts w:ascii="宋体" w:hAnsi="宋体" w:cs="等线"/>
                <w:color w:val="000000"/>
                <w:kern w:val="0"/>
                <w:sz w:val="18"/>
                <w:szCs w:val="18"/>
                <w:lang w:bidi="ar"/>
              </w:rPr>
              <w:t>分布式中控系统逻辑处理内嵌软件</w:t>
            </w:r>
          </w:p>
        </w:tc>
        <w:tc>
          <w:tcPr>
            <w:tcW w:w="62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全面对接中控主机编程，实现各种动作的功能；</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兼容所有电气信号，进行相应的转换；</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自定义lua模块编程，实现更个性化的逻辑功能；</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特殊模块可以组合，适应更复杂的逻辑场景；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等线"/>
                <w:color w:val="000000"/>
                <w:sz w:val="18"/>
                <w:szCs w:val="18"/>
              </w:rPr>
            </w:pPr>
            <w:r>
              <w:rPr>
                <w:rFonts w:ascii="宋体" w:hAnsi="宋体" w:cs="等线"/>
                <w:color w:val="000000"/>
                <w:kern w:val="0"/>
                <w:sz w:val="18"/>
                <w:szCs w:val="18"/>
                <w:lang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等线"/>
                <w:color w:val="000000"/>
                <w:sz w:val="18"/>
                <w:szCs w:val="18"/>
              </w:rPr>
            </w:pPr>
            <w:r>
              <w:rPr>
                <w:rFonts w:ascii="宋体" w:hAnsi="宋体" w:cs="等线"/>
                <w:color w:val="000000"/>
                <w:kern w:val="0"/>
                <w:sz w:val="18"/>
                <w:szCs w:val="18"/>
                <w:lang w:bidi="ar"/>
              </w:rPr>
              <w:t xml:space="preserve">2.00 </w:t>
            </w:r>
          </w:p>
        </w:tc>
      </w:tr>
      <w:tr>
        <w:tblPrEx>
          <w:tblCellMar>
            <w:top w:w="0" w:type="dxa"/>
            <w:left w:w="0" w:type="dxa"/>
            <w:bottom w:w="0" w:type="dxa"/>
            <w:right w:w="0" w:type="dxa"/>
          </w:tblCellMar>
        </w:tblPrEx>
        <w:trPr>
          <w:trHeight w:val="4080" w:hRule="atLeast"/>
        </w:trPr>
        <w:tc>
          <w:tcPr>
            <w:tcW w:w="33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等线"/>
                <w:color w:val="000000"/>
                <w:sz w:val="18"/>
                <w:szCs w:val="18"/>
              </w:rPr>
            </w:pPr>
            <w:r>
              <w:rPr>
                <w:rFonts w:ascii="宋体" w:hAnsi="宋体" w:cs="等线"/>
                <w:color w:val="000000"/>
                <w:kern w:val="0"/>
                <w:sz w:val="18"/>
                <w:szCs w:val="18"/>
                <w:lang w:bidi="ar"/>
              </w:rPr>
              <w:t>7</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等线"/>
                <w:color w:val="000000"/>
                <w:sz w:val="18"/>
                <w:szCs w:val="18"/>
              </w:rPr>
            </w:pPr>
            <w:r>
              <w:rPr>
                <w:rFonts w:ascii="宋体" w:hAnsi="宋体" w:cs="等线"/>
                <w:color w:val="000000"/>
                <w:kern w:val="0"/>
                <w:sz w:val="18"/>
                <w:szCs w:val="18"/>
                <w:lang w:bidi="ar"/>
              </w:rPr>
              <w:t>控制器</w:t>
            </w:r>
          </w:p>
        </w:tc>
        <w:tc>
          <w:tcPr>
            <w:tcW w:w="62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8通道电源开关，最大电流值16A，单路最大负载3200W；</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提供1路A-NET网络控制接口，PCI-8通过A-NET与可编程控制主机通讯；</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提供1路RS-485接口，可实现通过独立PC机控制，可同时对多台PCI-8实现通信控制；</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节点走线可实现下走线，侧走线等多种出线方式，美观大方；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可由多媒体控制系统的DC24V或AC100-240V两种供电模式；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8路独立节点控制接口，每路都有常开，常闭两种接口选择；</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指示全面，支持POWER电源指示，ID网络连接指示，接收数据指示；</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ID CODE可调节网络ID，实现与可编程控制主机A-NET网络通讯；</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内置光电隔离模块，可保障负载和主机安全可靠；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自带A-NET和RS-232通讯协议；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能通过机身的按键自由控制。</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具备手动强制开关，可脱离主机手动控制，紧急情况下可以手动控制继电器的开关，很好的保护其他的设备。</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协议兼容：兼容目前市面上用得网络协议；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ID选择:旋转的ID切换设置网络ID身份代码；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等线"/>
                <w:color w:val="000000"/>
                <w:sz w:val="18"/>
                <w:szCs w:val="18"/>
              </w:rPr>
            </w:pPr>
            <w:r>
              <w:rPr>
                <w:rFonts w:ascii="宋体" w:hAnsi="宋体" w:cs="等线"/>
                <w:color w:val="000000"/>
                <w:kern w:val="0"/>
                <w:sz w:val="18"/>
                <w:szCs w:val="18"/>
                <w:lang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等线"/>
                <w:color w:val="000000"/>
                <w:sz w:val="18"/>
                <w:szCs w:val="18"/>
              </w:rPr>
            </w:pPr>
            <w:r>
              <w:rPr>
                <w:rFonts w:ascii="宋体" w:hAnsi="宋体" w:cs="等线"/>
                <w:color w:val="000000"/>
                <w:kern w:val="0"/>
                <w:sz w:val="18"/>
                <w:szCs w:val="18"/>
                <w:lang w:bidi="ar"/>
              </w:rPr>
              <w:t xml:space="preserve">2.00 </w:t>
            </w:r>
          </w:p>
        </w:tc>
      </w:tr>
      <w:tr>
        <w:tblPrEx>
          <w:tblCellMar>
            <w:top w:w="0" w:type="dxa"/>
            <w:left w:w="0" w:type="dxa"/>
            <w:bottom w:w="0" w:type="dxa"/>
            <w:right w:w="0" w:type="dxa"/>
          </w:tblCellMar>
        </w:tblPrEx>
        <w:trPr>
          <w:trHeight w:val="1200" w:hRule="atLeast"/>
        </w:trPr>
        <w:tc>
          <w:tcPr>
            <w:tcW w:w="33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等线"/>
                <w:color w:val="000000"/>
                <w:sz w:val="18"/>
                <w:szCs w:val="18"/>
              </w:rPr>
            </w:pPr>
            <w:r>
              <w:rPr>
                <w:rFonts w:ascii="宋体" w:hAnsi="宋体" w:cs="等线"/>
                <w:color w:val="000000"/>
                <w:kern w:val="0"/>
                <w:sz w:val="18"/>
                <w:szCs w:val="18"/>
                <w:lang w:bidi="ar"/>
              </w:rPr>
              <w:t>8</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等线"/>
                <w:color w:val="000000"/>
                <w:sz w:val="18"/>
                <w:szCs w:val="18"/>
              </w:rPr>
            </w:pPr>
            <w:r>
              <w:rPr>
                <w:rFonts w:ascii="宋体" w:hAnsi="宋体" w:cs="等线"/>
                <w:color w:val="000000"/>
                <w:kern w:val="0"/>
                <w:sz w:val="18"/>
                <w:szCs w:val="18"/>
                <w:lang w:bidi="ar"/>
              </w:rPr>
              <w:t>音量控制器</w:t>
            </w:r>
          </w:p>
        </w:tc>
        <w:tc>
          <w:tcPr>
            <w:tcW w:w="62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数码控制4声道声音衰减器，每个声道有独立的音量、高音、低音和静音设置。</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可提供完整的系统音频控制而无需红外线控制集成接收器。选择你的混音器、前置功放和功放，然后增加一个调音模块完成一个系统。</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在某些应用中，高低音独立控制甚至可以省去一个图形等化器。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等线"/>
                <w:color w:val="000000"/>
                <w:sz w:val="18"/>
                <w:szCs w:val="18"/>
              </w:rPr>
            </w:pPr>
            <w:r>
              <w:rPr>
                <w:rFonts w:ascii="宋体" w:hAnsi="宋体" w:cs="等线"/>
                <w:color w:val="000000"/>
                <w:kern w:val="0"/>
                <w:sz w:val="18"/>
                <w:szCs w:val="18"/>
                <w:lang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等线"/>
                <w:color w:val="000000"/>
                <w:sz w:val="18"/>
                <w:szCs w:val="18"/>
              </w:rPr>
            </w:pPr>
            <w:r>
              <w:rPr>
                <w:rFonts w:ascii="宋体" w:hAnsi="宋体" w:cs="等线"/>
                <w:color w:val="000000"/>
                <w:kern w:val="0"/>
                <w:sz w:val="18"/>
                <w:szCs w:val="18"/>
                <w:lang w:bidi="ar"/>
              </w:rPr>
              <w:t xml:space="preserve">2.00 </w:t>
            </w:r>
          </w:p>
        </w:tc>
      </w:tr>
      <w:tr>
        <w:tblPrEx>
          <w:tblCellMar>
            <w:top w:w="0" w:type="dxa"/>
            <w:left w:w="0" w:type="dxa"/>
            <w:bottom w:w="0" w:type="dxa"/>
            <w:right w:w="0" w:type="dxa"/>
          </w:tblCellMar>
        </w:tblPrEx>
        <w:trPr>
          <w:trHeight w:val="3120" w:hRule="atLeast"/>
        </w:trPr>
        <w:tc>
          <w:tcPr>
            <w:tcW w:w="33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等线"/>
                <w:color w:val="000000"/>
                <w:sz w:val="18"/>
                <w:szCs w:val="18"/>
              </w:rPr>
            </w:pPr>
            <w:r>
              <w:rPr>
                <w:rFonts w:ascii="宋体" w:hAnsi="宋体" w:cs="等线"/>
                <w:color w:val="000000"/>
                <w:kern w:val="0"/>
                <w:sz w:val="18"/>
                <w:szCs w:val="18"/>
                <w:lang w:bidi="ar"/>
              </w:rPr>
              <w:t>9</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等线"/>
                <w:color w:val="000000"/>
                <w:sz w:val="18"/>
                <w:szCs w:val="18"/>
              </w:rPr>
            </w:pPr>
            <w:r>
              <w:rPr>
                <w:rFonts w:ascii="宋体" w:hAnsi="宋体" w:cs="等线"/>
                <w:color w:val="000000"/>
                <w:kern w:val="0"/>
                <w:sz w:val="18"/>
                <w:szCs w:val="18"/>
                <w:lang w:bidi="ar"/>
              </w:rPr>
              <w:t>10英寸彩色触摸屏</w:t>
            </w:r>
          </w:p>
        </w:tc>
        <w:tc>
          <w:tcPr>
            <w:tcW w:w="62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10英寸16:9屏幕显示；</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1280x800 IPS全视角触控屏幕；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Cortex A9/ATOM 处理器，1G RAM的硬件组合，支持1080P硬件解码，3D效果快速流畅播放高清影视视频；</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LAN以太网络通讯；</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视频回放功能；</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支持有线控制方式；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支持嵌墙、挂墙安装方式；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外置电源适配器功率AC100-240V，输出12V 3A；</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嵌入式操作系统；</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开放式的可编程控制平台Visual Panel Studio™、人性化的操作界面和强大的交互式控制逻辑结构。</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E-CLUSTER云平台服务，动态IP实现远程控制；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等线"/>
                <w:color w:val="000000"/>
                <w:sz w:val="18"/>
                <w:szCs w:val="18"/>
              </w:rPr>
            </w:pPr>
            <w:r>
              <w:rPr>
                <w:rFonts w:ascii="宋体" w:hAnsi="宋体" w:cs="等线"/>
                <w:color w:val="000000"/>
                <w:kern w:val="0"/>
                <w:sz w:val="18"/>
                <w:szCs w:val="18"/>
                <w:lang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等线"/>
                <w:color w:val="000000"/>
                <w:sz w:val="18"/>
                <w:szCs w:val="18"/>
              </w:rPr>
            </w:pPr>
            <w:r>
              <w:rPr>
                <w:rFonts w:ascii="宋体" w:hAnsi="宋体" w:cs="等线"/>
                <w:color w:val="000000"/>
                <w:kern w:val="0"/>
                <w:sz w:val="18"/>
                <w:szCs w:val="18"/>
                <w:lang w:bidi="ar"/>
              </w:rPr>
              <w:t xml:space="preserve">2.00 </w:t>
            </w:r>
          </w:p>
        </w:tc>
      </w:tr>
      <w:tr>
        <w:tblPrEx>
          <w:tblCellMar>
            <w:top w:w="0" w:type="dxa"/>
            <w:left w:w="0" w:type="dxa"/>
            <w:bottom w:w="0" w:type="dxa"/>
            <w:right w:w="0" w:type="dxa"/>
          </w:tblCellMar>
        </w:tblPrEx>
        <w:trPr>
          <w:trHeight w:val="240" w:hRule="atLeast"/>
        </w:trPr>
        <w:tc>
          <w:tcPr>
            <w:tcW w:w="33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等线"/>
                <w:color w:val="000000"/>
                <w:sz w:val="18"/>
                <w:szCs w:val="18"/>
              </w:rPr>
            </w:pPr>
            <w:r>
              <w:rPr>
                <w:rFonts w:ascii="宋体" w:hAnsi="宋体" w:cs="等线"/>
                <w:color w:val="000000"/>
                <w:kern w:val="0"/>
                <w:sz w:val="18"/>
                <w:szCs w:val="18"/>
                <w:lang w:bidi="ar"/>
              </w:rPr>
              <w:t>10</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等线"/>
                <w:color w:val="000000"/>
                <w:sz w:val="18"/>
                <w:szCs w:val="18"/>
              </w:rPr>
            </w:pPr>
            <w:r>
              <w:rPr>
                <w:rFonts w:ascii="宋体" w:hAnsi="宋体" w:cs="等线"/>
                <w:color w:val="000000"/>
                <w:kern w:val="0"/>
                <w:sz w:val="18"/>
                <w:szCs w:val="18"/>
                <w:lang w:bidi="ar"/>
              </w:rPr>
              <w:t>支架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固定分布式设备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等线"/>
                <w:color w:val="000000"/>
                <w:sz w:val="18"/>
                <w:szCs w:val="18"/>
              </w:rPr>
            </w:pPr>
            <w:r>
              <w:rPr>
                <w:rFonts w:ascii="宋体" w:hAnsi="宋体" w:cs="等线"/>
                <w:color w:val="000000"/>
                <w:kern w:val="0"/>
                <w:sz w:val="18"/>
                <w:szCs w:val="18"/>
                <w:lang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cs="等线"/>
                <w:color w:val="000000"/>
                <w:sz w:val="18"/>
                <w:szCs w:val="18"/>
              </w:rPr>
            </w:pPr>
            <w:r>
              <w:rPr>
                <w:rFonts w:ascii="宋体" w:hAnsi="宋体" w:cs="等线"/>
                <w:color w:val="000000"/>
                <w:kern w:val="0"/>
                <w:sz w:val="18"/>
                <w:szCs w:val="18"/>
                <w:lang w:bidi="ar"/>
              </w:rPr>
              <w:t xml:space="preserve">8.00 </w:t>
            </w:r>
          </w:p>
        </w:tc>
      </w:tr>
      <w:tr>
        <w:tblPrEx>
          <w:tblCellMar>
            <w:top w:w="0" w:type="dxa"/>
            <w:left w:w="0" w:type="dxa"/>
            <w:bottom w:w="0" w:type="dxa"/>
            <w:right w:w="0" w:type="dxa"/>
          </w:tblCellMar>
        </w:tblPrEx>
        <w:trPr>
          <w:trHeight w:val="229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等线"/>
                <w:color w:val="000000"/>
                <w:sz w:val="18"/>
                <w:szCs w:val="18"/>
              </w:rPr>
            </w:pPr>
            <w:r>
              <w:rPr>
                <w:rFonts w:ascii="宋体" w:hAnsi="宋体" w:cs="等线"/>
                <w:color w:val="000000"/>
                <w:kern w:val="0"/>
                <w:sz w:val="18"/>
                <w:szCs w:val="18"/>
                <w:lang w:bidi="ar"/>
              </w:rPr>
              <w:t>11</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等线"/>
                <w:color w:val="000000"/>
                <w:sz w:val="18"/>
                <w:szCs w:val="18"/>
              </w:rPr>
            </w:pPr>
            <w:r>
              <w:rPr>
                <w:rFonts w:ascii="宋体" w:hAnsi="宋体" w:cs="等线"/>
                <w:color w:val="000000"/>
                <w:kern w:val="0"/>
                <w:sz w:val="18"/>
                <w:szCs w:val="18"/>
                <w:lang w:bidi="ar"/>
              </w:rPr>
              <w:t>平板  8.4英寸平板电脑</w:t>
            </w:r>
          </w:p>
        </w:tc>
        <w:tc>
          <w:tcPr>
            <w:tcW w:w="62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材质</w:t>
            </w:r>
            <w:r>
              <w:rPr>
                <w:rFonts w:ascii="宋体" w:hAnsi="宋体" w:cs="等线"/>
                <w:color w:val="000000"/>
                <w:kern w:val="0"/>
                <w:sz w:val="18"/>
                <w:szCs w:val="18"/>
                <w:lang w:bidi="ar"/>
              </w:rPr>
              <w:t>/</w:t>
            </w:r>
            <w:r>
              <w:rPr>
                <w:rFonts w:hint="eastAsia" w:ascii="宋体" w:hAnsi="宋体" w:cs="宋体"/>
                <w:color w:val="000000"/>
                <w:kern w:val="0"/>
                <w:sz w:val="18"/>
                <w:szCs w:val="18"/>
                <w:lang w:bidi="ar"/>
              </w:rPr>
              <w:t>工艺</w:t>
            </w:r>
            <w:r>
              <w:rPr>
                <w:rFonts w:ascii="宋体" w:hAnsi="宋体" w:cs="等线"/>
                <w:color w:val="000000"/>
                <w:kern w:val="0"/>
                <w:sz w:val="18"/>
                <w:szCs w:val="18"/>
                <w:lang w:bidi="ar"/>
              </w:rPr>
              <w:t>U</w:t>
            </w:r>
            <w:r>
              <w:rPr>
                <w:rFonts w:hint="eastAsia" w:ascii="宋体" w:hAnsi="宋体" w:cs="宋体"/>
                <w:color w:val="000000"/>
                <w:kern w:val="0"/>
                <w:sz w:val="18"/>
                <w:szCs w:val="18"/>
                <w:lang w:bidi="ar"/>
              </w:rPr>
              <w:t>形天线加金属机身设计；</w:t>
            </w:r>
            <w:r>
              <w:rPr>
                <w:rFonts w:ascii="宋体" w:hAnsi="宋体" w:cs="等线"/>
                <w:color w:val="000000"/>
                <w:kern w:val="0"/>
                <w:sz w:val="18"/>
                <w:szCs w:val="18"/>
                <w:lang w:bidi="ar"/>
              </w:rPr>
              <w:br w:type="textWrapping"/>
            </w:r>
            <w:r>
              <w:rPr>
                <w:rFonts w:hint="eastAsia" w:ascii="宋体" w:hAnsi="宋体" w:cs="宋体"/>
                <w:color w:val="000000"/>
                <w:kern w:val="0"/>
                <w:sz w:val="18"/>
                <w:szCs w:val="18"/>
                <w:lang w:bidi="ar"/>
              </w:rPr>
              <w:t>正面</w:t>
            </w:r>
            <w:r>
              <w:rPr>
                <w:rFonts w:ascii="宋体" w:hAnsi="宋体" w:cs="等线"/>
                <w:color w:val="000000"/>
                <w:kern w:val="0"/>
                <w:sz w:val="18"/>
                <w:szCs w:val="18"/>
                <w:lang w:bidi="ar"/>
              </w:rPr>
              <w:t>2.5D</w:t>
            </w:r>
            <w:r>
              <w:rPr>
                <w:rFonts w:hint="eastAsia" w:ascii="宋体" w:hAnsi="宋体" w:cs="宋体"/>
                <w:color w:val="000000"/>
                <w:kern w:val="0"/>
                <w:sz w:val="18"/>
                <w:szCs w:val="18"/>
                <w:lang w:bidi="ar"/>
              </w:rPr>
              <w:t>玻璃</w:t>
            </w:r>
            <w:r>
              <w:rPr>
                <w:rFonts w:ascii="宋体" w:hAnsi="宋体" w:cs="等线"/>
                <w:color w:val="000000"/>
                <w:kern w:val="0"/>
                <w:sz w:val="18"/>
                <w:szCs w:val="18"/>
                <w:lang w:bidi="ar"/>
              </w:rPr>
              <w:t>.</w:t>
            </w:r>
            <w:r>
              <w:rPr>
                <w:rFonts w:hint="eastAsia" w:ascii="宋体" w:hAnsi="宋体" w:cs="宋体"/>
                <w:color w:val="000000"/>
                <w:kern w:val="0"/>
                <w:sz w:val="18"/>
                <w:szCs w:val="18"/>
                <w:lang w:bidi="ar"/>
              </w:rPr>
              <w:t>翻新类型全新</w:t>
            </w:r>
            <w:r>
              <w:rPr>
                <w:rFonts w:ascii="宋体" w:hAnsi="宋体" w:cs="等线"/>
                <w:color w:val="000000"/>
                <w:kern w:val="0"/>
                <w:sz w:val="18"/>
                <w:szCs w:val="18"/>
                <w:lang w:bidi="ar"/>
              </w:rPr>
              <w:t>.</w:t>
            </w:r>
            <w:r>
              <w:rPr>
                <w:rFonts w:hint="eastAsia" w:ascii="宋体" w:hAnsi="宋体" w:cs="宋体"/>
                <w:color w:val="000000"/>
                <w:kern w:val="0"/>
                <w:sz w:val="18"/>
                <w:szCs w:val="18"/>
                <w:lang w:bidi="ar"/>
              </w:rPr>
              <w:t>网络连接</w:t>
            </w:r>
            <w:r>
              <w:rPr>
                <w:rFonts w:ascii="宋体" w:hAnsi="宋体" w:cs="等线"/>
                <w:color w:val="000000"/>
                <w:kern w:val="0"/>
                <w:sz w:val="18"/>
                <w:szCs w:val="18"/>
                <w:lang w:bidi="ar"/>
              </w:rPr>
              <w:t>WiFi</w:t>
            </w:r>
            <w:r>
              <w:rPr>
                <w:rFonts w:hint="eastAsia" w:ascii="宋体" w:hAnsi="宋体" w:cs="宋体"/>
                <w:color w:val="000000"/>
                <w:kern w:val="0"/>
                <w:sz w:val="18"/>
                <w:szCs w:val="18"/>
                <w:lang w:bidi="ar"/>
              </w:rPr>
              <w:t>版</w:t>
            </w:r>
            <w:r>
              <w:rPr>
                <w:rFonts w:ascii="宋体" w:hAnsi="宋体" w:cs="等线"/>
                <w:color w:val="000000"/>
                <w:kern w:val="0"/>
                <w:sz w:val="18"/>
                <w:szCs w:val="18"/>
                <w:lang w:bidi="ar"/>
              </w:rPr>
              <w:br w:type="textWrapping"/>
            </w:r>
            <w:r>
              <w:rPr>
                <w:rFonts w:hint="eastAsia" w:ascii="宋体" w:hAnsi="宋体" w:cs="宋体"/>
                <w:color w:val="000000"/>
                <w:kern w:val="0"/>
                <w:sz w:val="18"/>
                <w:szCs w:val="18"/>
                <w:lang w:bidi="ar"/>
              </w:rPr>
              <w:t>续航时间以实际使用环境为准</w:t>
            </w:r>
            <w:r>
              <w:rPr>
                <w:rFonts w:ascii="宋体" w:hAnsi="宋体" w:cs="等线"/>
                <w:color w:val="000000"/>
                <w:kern w:val="0"/>
                <w:sz w:val="18"/>
                <w:szCs w:val="18"/>
                <w:lang w:bidi="ar"/>
              </w:rPr>
              <w:t>.</w:t>
            </w:r>
            <w:r>
              <w:rPr>
                <w:rFonts w:ascii="宋体" w:hAnsi="宋体" w:cs="等线"/>
                <w:color w:val="000000"/>
                <w:kern w:val="0"/>
                <w:sz w:val="18"/>
                <w:szCs w:val="18"/>
                <w:lang w:bidi="ar"/>
              </w:rPr>
              <w:br w:type="textWrapping"/>
            </w:r>
            <w:r>
              <w:rPr>
                <w:rFonts w:hint="eastAsia" w:ascii="宋体" w:hAnsi="宋体" w:cs="宋体"/>
                <w:color w:val="000000"/>
                <w:kern w:val="0"/>
                <w:sz w:val="18"/>
                <w:szCs w:val="18"/>
                <w:lang w:bidi="ar"/>
              </w:rPr>
              <w:t>其他接口支持</w:t>
            </w:r>
            <w:r>
              <w:rPr>
                <w:rFonts w:ascii="宋体" w:hAnsi="宋体" w:cs="等线"/>
                <w:color w:val="000000"/>
                <w:kern w:val="0"/>
                <w:sz w:val="18"/>
                <w:szCs w:val="18"/>
                <w:lang w:bidi="ar"/>
              </w:rPr>
              <w:t>USB Type-C</w:t>
            </w:r>
            <w:r>
              <w:rPr>
                <w:rFonts w:hint="eastAsia" w:ascii="宋体" w:hAnsi="宋体" w:cs="宋体"/>
                <w:color w:val="000000"/>
                <w:kern w:val="0"/>
                <w:sz w:val="18"/>
                <w:szCs w:val="18"/>
                <w:lang w:bidi="ar"/>
              </w:rPr>
              <w:t>转</w:t>
            </w:r>
            <w:r>
              <w:rPr>
                <w:rFonts w:ascii="宋体" w:hAnsi="宋体" w:cs="等线"/>
                <w:color w:val="000000"/>
                <w:kern w:val="0"/>
                <w:sz w:val="18"/>
                <w:szCs w:val="18"/>
                <w:lang w:bidi="ar"/>
              </w:rPr>
              <w:t>3.5mm</w:t>
            </w:r>
            <w:r>
              <w:rPr>
                <w:rFonts w:hint="eastAsia" w:ascii="宋体" w:hAnsi="宋体" w:cs="宋体"/>
                <w:color w:val="000000"/>
                <w:kern w:val="0"/>
                <w:sz w:val="18"/>
                <w:szCs w:val="18"/>
                <w:lang w:bidi="ar"/>
              </w:rPr>
              <w:t>耳机孔</w:t>
            </w:r>
            <w:r>
              <w:rPr>
                <w:rFonts w:ascii="宋体" w:hAnsi="宋体" w:cs="等线"/>
                <w:color w:val="000000"/>
                <w:kern w:val="0"/>
                <w:sz w:val="18"/>
                <w:szCs w:val="18"/>
                <w:lang w:bidi="ar"/>
              </w:rPr>
              <w:t>.</w:t>
            </w:r>
            <w:r>
              <w:rPr>
                <w:rFonts w:ascii="宋体" w:hAnsi="宋体" w:cs="等线"/>
                <w:color w:val="000000"/>
                <w:kern w:val="0"/>
                <w:sz w:val="18"/>
                <w:szCs w:val="18"/>
                <w:lang w:bidi="ar"/>
              </w:rPr>
              <w:br w:type="textWrapping"/>
            </w:r>
            <w:r>
              <w:rPr>
                <w:rFonts w:hint="eastAsia" w:ascii="宋体" w:hAnsi="宋体" w:cs="宋体"/>
                <w:color w:val="000000"/>
                <w:kern w:val="0"/>
                <w:sz w:val="18"/>
                <w:szCs w:val="18"/>
                <w:lang w:bidi="ar"/>
              </w:rPr>
              <w:t>连接方式</w:t>
            </w:r>
            <w:r>
              <w:rPr>
                <w:rFonts w:ascii="宋体" w:hAnsi="宋体" w:cs="等线"/>
                <w:color w:val="000000"/>
                <w:kern w:val="0"/>
                <w:sz w:val="18"/>
                <w:szCs w:val="18"/>
                <w:lang w:bidi="ar"/>
              </w:rPr>
              <w:t>WiFi</w:t>
            </w:r>
            <w:r>
              <w:rPr>
                <w:rFonts w:hint="eastAsia" w:ascii="宋体" w:hAnsi="宋体" w:cs="宋体"/>
                <w:color w:val="000000"/>
                <w:kern w:val="0"/>
                <w:sz w:val="18"/>
                <w:szCs w:val="18"/>
                <w:lang w:bidi="ar"/>
              </w:rPr>
              <w:t>功能；蓝牙功能</w:t>
            </w:r>
            <w:r>
              <w:rPr>
                <w:rFonts w:ascii="宋体" w:hAnsi="宋体" w:cs="等线"/>
                <w:color w:val="000000"/>
                <w:kern w:val="0"/>
                <w:sz w:val="18"/>
                <w:szCs w:val="18"/>
                <w:lang w:bidi="ar"/>
              </w:rPr>
              <w:t>.</w:t>
            </w:r>
            <w:r>
              <w:rPr>
                <w:rFonts w:ascii="宋体" w:hAnsi="宋体" w:cs="等线"/>
                <w:color w:val="000000"/>
                <w:kern w:val="0"/>
                <w:sz w:val="18"/>
                <w:szCs w:val="18"/>
                <w:lang w:bidi="ar"/>
              </w:rPr>
              <w:br w:type="textWrapping"/>
            </w:r>
            <w:r>
              <w:rPr>
                <w:rFonts w:hint="eastAsia" w:ascii="宋体" w:hAnsi="宋体" w:cs="宋体"/>
                <w:color w:val="000000"/>
                <w:kern w:val="0"/>
                <w:sz w:val="18"/>
                <w:szCs w:val="18"/>
                <w:lang w:bidi="ar"/>
              </w:rPr>
              <w:t>扬声器</w:t>
            </w:r>
            <w:r>
              <w:rPr>
                <w:rFonts w:ascii="宋体" w:hAnsi="宋体" w:cs="等线"/>
                <w:color w:val="000000"/>
                <w:kern w:val="0"/>
                <w:sz w:val="18"/>
                <w:szCs w:val="18"/>
                <w:lang w:bidi="ar"/>
              </w:rPr>
              <w:t>2</w:t>
            </w:r>
            <w:r>
              <w:rPr>
                <w:rFonts w:hint="eastAsia" w:ascii="宋体" w:hAnsi="宋体" w:cs="宋体"/>
                <w:color w:val="000000"/>
                <w:kern w:val="0"/>
                <w:sz w:val="18"/>
                <w:szCs w:val="18"/>
                <w:lang w:bidi="ar"/>
              </w:rPr>
              <w:t>个</w:t>
            </w:r>
            <w:r>
              <w:rPr>
                <w:rFonts w:ascii="宋体" w:hAnsi="宋体" w:cs="等线"/>
                <w:color w:val="000000"/>
                <w:kern w:val="0"/>
                <w:sz w:val="18"/>
                <w:szCs w:val="18"/>
                <w:lang w:bidi="ar"/>
              </w:rPr>
              <w:t>.</w:t>
            </w:r>
            <w:r>
              <w:rPr>
                <w:rFonts w:ascii="宋体" w:hAnsi="宋体" w:cs="等线"/>
                <w:color w:val="000000"/>
                <w:kern w:val="0"/>
                <w:sz w:val="18"/>
                <w:szCs w:val="18"/>
                <w:lang w:bidi="ar"/>
              </w:rPr>
              <w:br w:type="textWrapping"/>
            </w:r>
            <w:r>
              <w:rPr>
                <w:rFonts w:hint="eastAsia" w:ascii="宋体" w:hAnsi="宋体" w:cs="宋体"/>
                <w:color w:val="000000"/>
                <w:kern w:val="0"/>
                <w:sz w:val="18"/>
                <w:szCs w:val="18"/>
                <w:lang w:bidi="ar"/>
              </w:rPr>
              <w:t>特性指纹导航、学生模式、护眼模式、游戏模式</w:t>
            </w:r>
            <w:r>
              <w:rPr>
                <w:rFonts w:ascii="宋体" w:hAnsi="宋体" w:cs="等线"/>
                <w:color w:val="000000"/>
                <w:kern w:val="0"/>
                <w:sz w:val="18"/>
                <w:szCs w:val="18"/>
                <w:lang w:bidi="ar"/>
              </w:rPr>
              <w:t>.</w:t>
            </w:r>
            <w:r>
              <w:rPr>
                <w:rFonts w:ascii="宋体" w:hAnsi="宋体" w:cs="等线"/>
                <w:color w:val="000000"/>
                <w:kern w:val="0"/>
                <w:sz w:val="18"/>
                <w:szCs w:val="18"/>
                <w:lang w:bidi="ar"/>
              </w:rPr>
              <w:br w:type="textWrapping"/>
            </w:r>
            <w:r>
              <w:rPr>
                <w:rFonts w:hint="eastAsia" w:ascii="宋体" w:hAnsi="宋体" w:cs="宋体"/>
                <w:color w:val="000000"/>
                <w:kern w:val="0"/>
                <w:sz w:val="18"/>
                <w:szCs w:val="18"/>
                <w:lang w:bidi="ar"/>
              </w:rPr>
              <w:t>处理器海思麒麟</w:t>
            </w:r>
            <w:r>
              <w:rPr>
                <w:rFonts w:ascii="宋体" w:hAnsi="宋体" w:cs="等线"/>
                <w:color w:val="000000"/>
                <w:kern w:val="0"/>
                <w:sz w:val="18"/>
                <w:szCs w:val="18"/>
                <w:lang w:bidi="ar"/>
              </w:rPr>
              <w:t>960.</w:t>
            </w:r>
            <w:r>
              <w:rPr>
                <w:rFonts w:hint="eastAsia" w:ascii="宋体" w:hAnsi="宋体" w:cs="宋体"/>
                <w:color w:val="000000"/>
                <w:kern w:val="0"/>
                <w:sz w:val="18"/>
                <w:szCs w:val="18"/>
                <w:lang w:bidi="ar"/>
              </w:rPr>
              <w:t>核心数量八核</w:t>
            </w:r>
            <w:r>
              <w:rPr>
                <w:rFonts w:ascii="宋体" w:hAnsi="宋体" w:cs="等线"/>
                <w:color w:val="000000"/>
                <w:kern w:val="0"/>
                <w:sz w:val="18"/>
                <w:szCs w:val="18"/>
                <w:lang w:bidi="ar"/>
              </w:rPr>
              <w:t>.</w:t>
            </w:r>
            <w:r>
              <w:rPr>
                <w:rFonts w:hint="eastAsia" w:ascii="宋体" w:hAnsi="宋体" w:cs="宋体"/>
                <w:color w:val="000000"/>
                <w:kern w:val="0"/>
                <w:sz w:val="18"/>
                <w:szCs w:val="18"/>
                <w:lang w:bidi="ar"/>
              </w:rPr>
              <w:t>显示芯片</w:t>
            </w:r>
            <w:r>
              <w:rPr>
                <w:rFonts w:ascii="宋体" w:hAnsi="宋体" w:cs="等线"/>
                <w:color w:val="000000"/>
                <w:kern w:val="0"/>
                <w:sz w:val="18"/>
                <w:szCs w:val="18"/>
                <w:lang w:bidi="ar"/>
              </w:rPr>
              <w:t>Mali G71 MP8.</w:t>
            </w:r>
            <w:r>
              <w:rPr>
                <w:rFonts w:hint="eastAsia" w:ascii="宋体" w:hAnsi="宋体" w:cs="宋体"/>
                <w:color w:val="000000"/>
                <w:kern w:val="0"/>
                <w:sz w:val="18"/>
                <w:szCs w:val="18"/>
                <w:lang w:bidi="ar"/>
              </w:rPr>
              <w:t>存储容量</w:t>
            </w:r>
            <w:r>
              <w:rPr>
                <w:rFonts w:ascii="宋体" w:hAnsi="宋体" w:cs="等线"/>
                <w:color w:val="000000"/>
                <w:kern w:val="0"/>
                <w:sz w:val="18"/>
                <w:szCs w:val="18"/>
                <w:lang w:bidi="ar"/>
              </w:rPr>
              <w:t>64GB.</w:t>
            </w:r>
            <w:r>
              <w:rPr>
                <w:rFonts w:hint="eastAsia" w:ascii="宋体" w:hAnsi="宋体" w:cs="宋体"/>
                <w:color w:val="000000"/>
                <w:kern w:val="0"/>
                <w:sz w:val="18"/>
                <w:szCs w:val="18"/>
                <w:lang w:bidi="ar"/>
              </w:rPr>
              <w:t>运行内存</w:t>
            </w:r>
            <w:r>
              <w:rPr>
                <w:rFonts w:ascii="宋体" w:hAnsi="宋体" w:cs="等线"/>
                <w:color w:val="000000"/>
                <w:kern w:val="0"/>
                <w:sz w:val="18"/>
                <w:szCs w:val="18"/>
                <w:lang w:bidi="ar"/>
              </w:rPr>
              <w:t>4GB.</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等线"/>
                <w:color w:val="000000"/>
                <w:sz w:val="18"/>
                <w:szCs w:val="18"/>
              </w:rPr>
            </w:pPr>
            <w:r>
              <w:rPr>
                <w:rFonts w:ascii="宋体" w:hAnsi="宋体" w:cs="等线"/>
                <w:color w:val="000000"/>
                <w:kern w:val="0"/>
                <w:sz w:val="18"/>
                <w:szCs w:val="18"/>
                <w:lang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等线"/>
                <w:color w:val="000000"/>
                <w:sz w:val="18"/>
                <w:szCs w:val="18"/>
              </w:rPr>
            </w:pPr>
            <w:r>
              <w:rPr>
                <w:rFonts w:ascii="宋体" w:hAnsi="宋体" w:cs="等线"/>
                <w:color w:val="000000"/>
                <w:kern w:val="0"/>
                <w:sz w:val="18"/>
                <w:szCs w:val="18"/>
                <w:lang w:bidi="ar"/>
              </w:rPr>
              <w:t xml:space="preserve">1.00 </w:t>
            </w:r>
          </w:p>
        </w:tc>
      </w:tr>
      <w:tr>
        <w:trPr>
          <w:trHeight w:val="28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等线"/>
                <w:color w:val="000000"/>
                <w:sz w:val="18"/>
                <w:szCs w:val="18"/>
              </w:rPr>
            </w:pPr>
            <w:r>
              <w:rPr>
                <w:rFonts w:ascii="宋体" w:hAnsi="宋体" w:cs="等线"/>
                <w:color w:val="000000"/>
                <w:kern w:val="0"/>
                <w:sz w:val="18"/>
                <w:szCs w:val="18"/>
                <w:lang w:bidi="ar"/>
              </w:rPr>
              <w:t>12</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等线"/>
                <w:color w:val="000000"/>
                <w:sz w:val="18"/>
                <w:szCs w:val="18"/>
              </w:rPr>
            </w:pPr>
            <w:r>
              <w:rPr>
                <w:rFonts w:ascii="宋体" w:hAnsi="宋体" w:cs="等线"/>
                <w:color w:val="000000"/>
                <w:kern w:val="0"/>
                <w:sz w:val="18"/>
                <w:szCs w:val="18"/>
                <w:lang w:bidi="ar"/>
              </w:rPr>
              <w:t>无线接入点AP</w:t>
            </w:r>
          </w:p>
        </w:tc>
        <w:tc>
          <w:tcPr>
            <w:tcW w:w="62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吸顶式</w:t>
            </w:r>
            <w:r>
              <w:rPr>
                <w:rFonts w:ascii="宋体" w:hAnsi="宋体" w:cs="等线"/>
                <w:color w:val="000000"/>
                <w:kern w:val="0"/>
                <w:sz w:val="18"/>
                <w:szCs w:val="18"/>
                <w:lang w:bidi="ar"/>
              </w:rPr>
              <w:t>AP</w:t>
            </w:r>
            <w:r>
              <w:rPr>
                <w:rFonts w:ascii="宋体" w:hAnsi="宋体" w:cs="等线"/>
                <w:color w:val="000000"/>
                <w:kern w:val="0"/>
                <w:sz w:val="18"/>
                <w:szCs w:val="18"/>
                <w:lang w:bidi="ar"/>
              </w:rPr>
              <w:br w:type="textWrapping"/>
            </w:r>
            <w:r>
              <w:rPr>
                <w:rFonts w:hint="eastAsia" w:ascii="宋体" w:hAnsi="宋体" w:cs="宋体"/>
                <w:color w:val="000000"/>
                <w:kern w:val="0"/>
                <w:sz w:val="18"/>
                <w:szCs w:val="18"/>
                <w:lang w:bidi="ar"/>
              </w:rPr>
              <w:t>最高传输速率</w:t>
            </w:r>
            <w:r>
              <w:rPr>
                <w:rFonts w:ascii="宋体" w:hAnsi="宋体" w:cs="等线"/>
                <w:color w:val="000000"/>
                <w:kern w:val="0"/>
                <w:sz w:val="18"/>
                <w:szCs w:val="18"/>
                <w:lang w:bidi="ar"/>
              </w:rPr>
              <w:t>1766Mbps</w:t>
            </w:r>
            <w:r>
              <w:rPr>
                <w:rFonts w:ascii="宋体" w:hAnsi="宋体" w:cs="等线"/>
                <w:color w:val="000000"/>
                <w:kern w:val="0"/>
                <w:sz w:val="18"/>
                <w:szCs w:val="18"/>
                <w:lang w:bidi="ar"/>
              </w:rPr>
              <w:br w:type="textWrapping"/>
            </w:r>
            <w:r>
              <w:rPr>
                <w:rFonts w:hint="eastAsia" w:ascii="宋体" w:hAnsi="宋体" w:cs="宋体"/>
                <w:color w:val="000000"/>
                <w:kern w:val="0"/>
                <w:sz w:val="18"/>
                <w:szCs w:val="18"/>
                <w:lang w:bidi="ar"/>
              </w:rPr>
              <w:t>覆盖范围</w:t>
            </w:r>
            <w:r>
              <w:rPr>
                <w:rFonts w:ascii="宋体" w:hAnsi="宋体" w:cs="等线"/>
                <w:color w:val="000000"/>
                <w:kern w:val="0"/>
                <w:sz w:val="18"/>
                <w:szCs w:val="18"/>
                <w:lang w:bidi="ar"/>
              </w:rPr>
              <w:t>2.4GHz</w:t>
            </w:r>
            <w:r>
              <w:rPr>
                <w:rFonts w:hint="eastAsia" w:ascii="宋体" w:hAnsi="宋体" w:cs="宋体"/>
                <w:color w:val="000000"/>
                <w:kern w:val="0"/>
                <w:sz w:val="18"/>
                <w:szCs w:val="18"/>
                <w:lang w:bidi="ar"/>
              </w:rPr>
              <w:t>频段：</w:t>
            </w:r>
            <w:r>
              <w:rPr>
                <w:rFonts w:ascii="宋体" w:hAnsi="宋体" w:cs="等线"/>
                <w:color w:val="000000"/>
                <w:kern w:val="0"/>
                <w:sz w:val="18"/>
                <w:szCs w:val="18"/>
                <w:lang w:bidi="ar"/>
              </w:rPr>
              <w:t>450Mbps(2.4G-1)+450Mbps(2.4G-2)</w:t>
            </w:r>
            <w:r>
              <w:rPr>
                <w:rFonts w:ascii="宋体" w:hAnsi="宋体" w:cs="等线"/>
                <w:color w:val="000000"/>
                <w:kern w:val="0"/>
                <w:sz w:val="18"/>
                <w:szCs w:val="18"/>
                <w:lang w:bidi="ar"/>
              </w:rPr>
              <w:br w:type="textWrapping"/>
            </w:r>
            <w:r>
              <w:rPr>
                <w:rFonts w:ascii="宋体" w:hAnsi="宋体" w:cs="等线"/>
                <w:color w:val="000000"/>
                <w:kern w:val="0"/>
                <w:sz w:val="18"/>
                <w:szCs w:val="18"/>
                <w:lang w:bidi="ar"/>
              </w:rPr>
              <w:t>5GHz</w:t>
            </w:r>
            <w:r>
              <w:rPr>
                <w:rFonts w:hint="eastAsia" w:ascii="宋体" w:hAnsi="宋体" w:cs="宋体"/>
                <w:color w:val="000000"/>
                <w:kern w:val="0"/>
                <w:sz w:val="18"/>
                <w:szCs w:val="18"/>
                <w:lang w:bidi="ar"/>
              </w:rPr>
              <w:t>频段</w:t>
            </w:r>
            <w:r>
              <w:rPr>
                <w:rFonts w:ascii="宋体" w:hAnsi="宋体" w:cs="等线"/>
                <w:color w:val="000000"/>
                <w:kern w:val="0"/>
                <w:sz w:val="18"/>
                <w:szCs w:val="18"/>
                <w:lang w:bidi="ar"/>
              </w:rPr>
              <w:t>(11AC)</w:t>
            </w:r>
            <w:r>
              <w:rPr>
                <w:rFonts w:hint="eastAsia" w:ascii="宋体" w:hAnsi="宋体" w:cs="宋体"/>
                <w:color w:val="000000"/>
                <w:kern w:val="0"/>
                <w:sz w:val="18"/>
                <w:szCs w:val="18"/>
                <w:lang w:bidi="ar"/>
              </w:rPr>
              <w:t>：</w:t>
            </w:r>
            <w:r>
              <w:rPr>
                <w:rFonts w:ascii="宋体" w:hAnsi="宋体" w:cs="等线"/>
                <w:color w:val="000000"/>
                <w:kern w:val="0"/>
                <w:sz w:val="18"/>
                <w:szCs w:val="18"/>
                <w:lang w:bidi="ar"/>
              </w:rPr>
              <w:t>433Mbps(5G-1)+433Mbps(5G-2)</w:t>
            </w:r>
            <w:r>
              <w:rPr>
                <w:rFonts w:ascii="宋体" w:hAnsi="宋体" w:cs="等线"/>
                <w:color w:val="000000"/>
                <w:kern w:val="0"/>
                <w:sz w:val="18"/>
                <w:szCs w:val="18"/>
                <w:lang w:bidi="ar"/>
              </w:rPr>
              <w:br w:type="textWrapping"/>
            </w:r>
            <w:r>
              <w:rPr>
                <w:rFonts w:hint="eastAsia" w:ascii="宋体" w:hAnsi="宋体" w:cs="宋体"/>
                <w:color w:val="000000"/>
                <w:kern w:val="0"/>
                <w:sz w:val="18"/>
                <w:szCs w:val="18"/>
                <w:lang w:bidi="ar"/>
              </w:rPr>
              <w:t>频率范围双频（</w:t>
            </w:r>
            <w:r>
              <w:rPr>
                <w:rFonts w:ascii="宋体" w:hAnsi="宋体" w:cs="等线"/>
                <w:color w:val="000000"/>
                <w:kern w:val="0"/>
                <w:sz w:val="18"/>
                <w:szCs w:val="18"/>
                <w:lang w:bidi="ar"/>
              </w:rPr>
              <w:t>2.4GHz</w:t>
            </w:r>
            <w:r>
              <w:rPr>
                <w:rFonts w:hint="eastAsia" w:ascii="宋体" w:hAnsi="宋体" w:cs="宋体"/>
                <w:color w:val="000000"/>
                <w:kern w:val="0"/>
                <w:sz w:val="18"/>
                <w:szCs w:val="18"/>
                <w:lang w:bidi="ar"/>
              </w:rPr>
              <w:t>，</w:t>
            </w:r>
            <w:r>
              <w:rPr>
                <w:rFonts w:ascii="宋体" w:hAnsi="宋体" w:cs="等线"/>
                <w:color w:val="000000"/>
                <w:kern w:val="0"/>
                <w:sz w:val="18"/>
                <w:szCs w:val="18"/>
                <w:lang w:bidi="ar"/>
              </w:rPr>
              <w:t>5GHz</w:t>
            </w:r>
            <w:r>
              <w:rPr>
                <w:rFonts w:hint="eastAsia" w:ascii="宋体" w:hAnsi="宋体" w:cs="宋体"/>
                <w:color w:val="000000"/>
                <w:kern w:val="0"/>
                <w:sz w:val="18"/>
                <w:szCs w:val="18"/>
                <w:lang w:bidi="ar"/>
              </w:rPr>
              <w:t>）</w:t>
            </w:r>
            <w:r>
              <w:rPr>
                <w:rFonts w:ascii="宋体" w:hAnsi="宋体" w:cs="等线"/>
                <w:color w:val="000000"/>
                <w:kern w:val="0"/>
                <w:sz w:val="18"/>
                <w:szCs w:val="18"/>
                <w:lang w:bidi="ar"/>
              </w:rPr>
              <w:br w:type="textWrapping"/>
            </w:r>
            <w:r>
              <w:rPr>
                <w:rFonts w:hint="eastAsia" w:ascii="宋体" w:hAnsi="宋体" w:cs="宋体"/>
                <w:color w:val="000000"/>
                <w:kern w:val="0"/>
                <w:sz w:val="18"/>
                <w:szCs w:val="18"/>
                <w:lang w:bidi="ar"/>
              </w:rPr>
              <w:t>网络接口</w:t>
            </w:r>
            <w:r>
              <w:rPr>
                <w:rFonts w:ascii="宋体" w:hAnsi="宋体" w:cs="等线"/>
                <w:color w:val="000000"/>
                <w:kern w:val="0"/>
                <w:sz w:val="18"/>
                <w:szCs w:val="18"/>
                <w:lang w:bidi="ar"/>
              </w:rPr>
              <w:t>1</w:t>
            </w:r>
            <w:r>
              <w:rPr>
                <w:rFonts w:hint="eastAsia" w:ascii="宋体" w:hAnsi="宋体" w:cs="宋体"/>
                <w:color w:val="000000"/>
                <w:kern w:val="0"/>
                <w:sz w:val="18"/>
                <w:szCs w:val="18"/>
                <w:lang w:bidi="ar"/>
              </w:rPr>
              <w:t>个</w:t>
            </w:r>
            <w:r>
              <w:rPr>
                <w:rFonts w:ascii="宋体" w:hAnsi="宋体" w:cs="等线"/>
                <w:color w:val="000000"/>
                <w:kern w:val="0"/>
                <w:sz w:val="18"/>
                <w:szCs w:val="18"/>
                <w:lang w:bidi="ar"/>
              </w:rPr>
              <w:t>10/100/1000M RJ45</w:t>
            </w:r>
            <w:r>
              <w:rPr>
                <w:rFonts w:hint="eastAsia" w:ascii="宋体" w:hAnsi="宋体" w:cs="宋体"/>
                <w:color w:val="000000"/>
                <w:kern w:val="0"/>
                <w:sz w:val="18"/>
                <w:szCs w:val="18"/>
                <w:lang w:bidi="ar"/>
              </w:rPr>
              <w:t>接口（</w:t>
            </w:r>
            <w:r>
              <w:rPr>
                <w:rFonts w:ascii="宋体" w:hAnsi="宋体" w:cs="等线"/>
                <w:color w:val="000000"/>
                <w:kern w:val="0"/>
                <w:sz w:val="18"/>
                <w:szCs w:val="18"/>
                <w:lang w:bidi="ar"/>
              </w:rPr>
              <w:t>LAN1/PoE</w:t>
            </w:r>
            <w:r>
              <w:rPr>
                <w:rFonts w:hint="eastAsia" w:ascii="宋体" w:hAnsi="宋体" w:cs="宋体"/>
                <w:color w:val="000000"/>
                <w:kern w:val="0"/>
                <w:sz w:val="18"/>
                <w:szCs w:val="18"/>
                <w:lang w:bidi="ar"/>
              </w:rPr>
              <w:t>）</w:t>
            </w:r>
            <w:r>
              <w:rPr>
                <w:rFonts w:ascii="宋体" w:hAnsi="宋体" w:cs="等线"/>
                <w:color w:val="000000"/>
                <w:kern w:val="0"/>
                <w:sz w:val="18"/>
                <w:szCs w:val="18"/>
                <w:lang w:bidi="ar"/>
              </w:rPr>
              <w:br w:type="textWrapping"/>
            </w:r>
            <w:r>
              <w:rPr>
                <w:rFonts w:ascii="宋体" w:hAnsi="宋体" w:cs="等线"/>
                <w:color w:val="000000"/>
                <w:kern w:val="0"/>
                <w:sz w:val="18"/>
                <w:szCs w:val="18"/>
                <w:lang w:bidi="ar"/>
              </w:rPr>
              <w:t>1</w:t>
            </w:r>
            <w:r>
              <w:rPr>
                <w:rFonts w:hint="eastAsia" w:ascii="宋体" w:hAnsi="宋体" w:cs="宋体"/>
                <w:color w:val="000000"/>
                <w:kern w:val="0"/>
                <w:sz w:val="18"/>
                <w:szCs w:val="18"/>
                <w:lang w:bidi="ar"/>
              </w:rPr>
              <w:t>个</w:t>
            </w:r>
            <w:r>
              <w:rPr>
                <w:rFonts w:ascii="宋体" w:hAnsi="宋体" w:cs="等线"/>
                <w:color w:val="000000"/>
                <w:kern w:val="0"/>
                <w:sz w:val="18"/>
                <w:szCs w:val="18"/>
                <w:lang w:bidi="ar"/>
              </w:rPr>
              <w:t>10/100/1000M RJ45</w:t>
            </w:r>
            <w:r>
              <w:rPr>
                <w:rFonts w:hint="eastAsia" w:ascii="宋体" w:hAnsi="宋体" w:cs="宋体"/>
                <w:color w:val="000000"/>
                <w:kern w:val="0"/>
                <w:sz w:val="18"/>
                <w:szCs w:val="18"/>
                <w:lang w:bidi="ar"/>
              </w:rPr>
              <w:t>接口（</w:t>
            </w:r>
            <w:r>
              <w:rPr>
                <w:rFonts w:ascii="宋体" w:hAnsi="宋体" w:cs="等线"/>
                <w:color w:val="000000"/>
                <w:kern w:val="0"/>
                <w:sz w:val="18"/>
                <w:szCs w:val="18"/>
                <w:lang w:bidi="ar"/>
              </w:rPr>
              <w:t>LAN2</w:t>
            </w:r>
            <w:r>
              <w:rPr>
                <w:rFonts w:hint="eastAsia" w:ascii="宋体" w:hAnsi="宋体" w:cs="宋体"/>
                <w:color w:val="000000"/>
                <w:kern w:val="0"/>
                <w:sz w:val="18"/>
                <w:szCs w:val="18"/>
                <w:lang w:bidi="ar"/>
              </w:rPr>
              <w:t>）</w:t>
            </w:r>
            <w:r>
              <w:rPr>
                <w:rFonts w:ascii="宋体" w:hAnsi="宋体" w:cs="等线"/>
                <w:color w:val="000000"/>
                <w:kern w:val="0"/>
                <w:sz w:val="18"/>
                <w:szCs w:val="18"/>
                <w:lang w:bidi="ar"/>
              </w:rPr>
              <w:br w:type="textWrapping"/>
            </w:r>
            <w:r>
              <w:rPr>
                <w:rFonts w:hint="eastAsia" w:ascii="宋体" w:hAnsi="宋体" w:cs="宋体"/>
                <w:color w:val="000000"/>
                <w:kern w:val="0"/>
                <w:sz w:val="18"/>
                <w:szCs w:val="18"/>
                <w:lang w:bidi="ar"/>
              </w:rPr>
              <w:t>其它接口</w:t>
            </w:r>
            <w:r>
              <w:rPr>
                <w:rFonts w:ascii="宋体" w:hAnsi="宋体" w:cs="等线"/>
                <w:color w:val="000000"/>
                <w:kern w:val="0"/>
                <w:sz w:val="18"/>
                <w:szCs w:val="18"/>
                <w:lang w:bidi="ar"/>
              </w:rPr>
              <w:t>1</w:t>
            </w:r>
            <w:r>
              <w:rPr>
                <w:rFonts w:hint="eastAsia" w:ascii="宋体" w:hAnsi="宋体" w:cs="宋体"/>
                <w:color w:val="000000"/>
                <w:kern w:val="0"/>
                <w:sz w:val="18"/>
                <w:szCs w:val="18"/>
                <w:lang w:bidi="ar"/>
              </w:rPr>
              <w:t>个</w:t>
            </w:r>
            <w:r>
              <w:rPr>
                <w:rFonts w:ascii="宋体" w:hAnsi="宋体" w:cs="等线"/>
                <w:color w:val="000000"/>
                <w:kern w:val="0"/>
                <w:sz w:val="18"/>
                <w:szCs w:val="18"/>
                <w:lang w:bidi="ar"/>
              </w:rPr>
              <w:t>Reset</w:t>
            </w:r>
            <w:r>
              <w:rPr>
                <w:rFonts w:hint="eastAsia" w:ascii="宋体" w:hAnsi="宋体" w:cs="宋体"/>
                <w:color w:val="000000"/>
                <w:kern w:val="0"/>
                <w:sz w:val="18"/>
                <w:szCs w:val="18"/>
                <w:lang w:bidi="ar"/>
              </w:rPr>
              <w:t>按钮</w:t>
            </w:r>
            <w:r>
              <w:rPr>
                <w:rFonts w:ascii="宋体" w:hAnsi="宋体" w:cs="等线"/>
                <w:color w:val="000000"/>
                <w:kern w:val="0"/>
                <w:sz w:val="18"/>
                <w:szCs w:val="18"/>
                <w:lang w:bidi="ar"/>
              </w:rPr>
              <w:br w:type="textWrapping"/>
            </w:r>
            <w:r>
              <w:rPr>
                <w:rFonts w:ascii="宋体" w:hAnsi="宋体" w:cs="等线"/>
                <w:color w:val="000000"/>
                <w:kern w:val="0"/>
                <w:sz w:val="18"/>
                <w:szCs w:val="18"/>
                <w:lang w:bidi="ar"/>
              </w:rPr>
              <w:t>1</w:t>
            </w:r>
            <w:r>
              <w:rPr>
                <w:rFonts w:hint="eastAsia" w:ascii="宋体" w:hAnsi="宋体" w:cs="宋体"/>
                <w:color w:val="000000"/>
                <w:kern w:val="0"/>
                <w:sz w:val="18"/>
                <w:szCs w:val="18"/>
                <w:lang w:bidi="ar"/>
              </w:rPr>
              <w:t>个</w:t>
            </w:r>
            <w:r>
              <w:rPr>
                <w:rFonts w:ascii="宋体" w:hAnsi="宋体" w:cs="等线"/>
                <w:color w:val="000000"/>
                <w:kern w:val="0"/>
                <w:sz w:val="18"/>
                <w:szCs w:val="18"/>
                <w:lang w:bidi="ar"/>
              </w:rPr>
              <w:t>FAT/FIT</w:t>
            </w:r>
            <w:r>
              <w:rPr>
                <w:rFonts w:hint="eastAsia" w:ascii="宋体" w:hAnsi="宋体" w:cs="宋体"/>
                <w:color w:val="000000"/>
                <w:kern w:val="0"/>
                <w:sz w:val="18"/>
                <w:szCs w:val="18"/>
                <w:lang w:bidi="ar"/>
              </w:rPr>
              <w:t>模式拨动开关</w:t>
            </w:r>
            <w:r>
              <w:rPr>
                <w:rFonts w:ascii="宋体" w:hAnsi="宋体" w:cs="等线"/>
                <w:color w:val="000000"/>
                <w:kern w:val="0"/>
                <w:sz w:val="18"/>
                <w:szCs w:val="18"/>
                <w:lang w:bidi="ar"/>
              </w:rPr>
              <w:br w:type="textWrapping"/>
            </w:r>
            <w:r>
              <w:rPr>
                <w:rFonts w:hint="eastAsia" w:ascii="宋体" w:hAnsi="宋体" w:cs="宋体"/>
                <w:color w:val="000000"/>
                <w:kern w:val="0"/>
                <w:sz w:val="18"/>
                <w:szCs w:val="18"/>
                <w:lang w:bidi="ar"/>
              </w:rPr>
              <w:t>网络管理</w:t>
            </w:r>
            <w:r>
              <w:rPr>
                <w:rFonts w:ascii="宋体" w:hAnsi="宋体" w:cs="等线"/>
                <w:color w:val="000000"/>
                <w:kern w:val="0"/>
                <w:sz w:val="18"/>
                <w:szCs w:val="18"/>
                <w:lang w:bidi="ar"/>
              </w:rPr>
              <w:t>FIT AP</w:t>
            </w:r>
            <w:r>
              <w:rPr>
                <w:rFonts w:hint="eastAsia" w:ascii="宋体" w:hAnsi="宋体" w:cs="宋体"/>
                <w:color w:val="000000"/>
                <w:kern w:val="0"/>
                <w:sz w:val="18"/>
                <w:szCs w:val="18"/>
                <w:lang w:bidi="ar"/>
              </w:rPr>
              <w:t>模式：由</w:t>
            </w:r>
            <w:r>
              <w:rPr>
                <w:rFonts w:ascii="宋体" w:hAnsi="宋体" w:cs="等线"/>
                <w:color w:val="000000"/>
                <w:kern w:val="0"/>
                <w:sz w:val="18"/>
                <w:szCs w:val="18"/>
                <w:lang w:bidi="ar"/>
              </w:rPr>
              <w:t xml:space="preserve">TP-LINK </w:t>
            </w:r>
            <w:r>
              <w:rPr>
                <w:rFonts w:hint="eastAsia" w:ascii="宋体" w:hAnsi="宋体" w:cs="宋体"/>
                <w:color w:val="000000"/>
                <w:kern w:val="0"/>
                <w:sz w:val="18"/>
                <w:szCs w:val="18"/>
                <w:lang w:bidi="ar"/>
              </w:rPr>
              <w:t>无线控制器</w:t>
            </w:r>
            <w:r>
              <w:rPr>
                <w:rFonts w:ascii="宋体" w:hAnsi="宋体" w:cs="等线"/>
                <w:color w:val="000000"/>
                <w:kern w:val="0"/>
                <w:sz w:val="18"/>
                <w:szCs w:val="18"/>
                <w:lang w:bidi="ar"/>
              </w:rPr>
              <w:t>(AC)</w:t>
            </w:r>
            <w:r>
              <w:rPr>
                <w:rFonts w:hint="eastAsia" w:ascii="宋体" w:hAnsi="宋体" w:cs="宋体"/>
                <w:color w:val="000000"/>
                <w:kern w:val="0"/>
                <w:sz w:val="18"/>
                <w:szCs w:val="18"/>
                <w:lang w:bidi="ar"/>
              </w:rPr>
              <w:t>统一管理</w:t>
            </w:r>
            <w:r>
              <w:rPr>
                <w:rFonts w:ascii="宋体" w:hAnsi="宋体" w:cs="等线"/>
                <w:color w:val="000000"/>
                <w:kern w:val="0"/>
                <w:sz w:val="18"/>
                <w:szCs w:val="18"/>
                <w:lang w:bidi="ar"/>
              </w:rPr>
              <w:br w:type="textWrapping"/>
            </w:r>
            <w:r>
              <w:rPr>
                <w:rFonts w:ascii="宋体" w:hAnsi="宋体" w:cs="等线"/>
                <w:color w:val="000000"/>
                <w:kern w:val="0"/>
                <w:sz w:val="18"/>
                <w:szCs w:val="18"/>
                <w:lang w:bidi="ar"/>
              </w:rPr>
              <w:t>FAT AP</w:t>
            </w:r>
            <w:r>
              <w:rPr>
                <w:rFonts w:hint="eastAsia" w:ascii="宋体" w:hAnsi="宋体" w:cs="宋体"/>
                <w:color w:val="000000"/>
                <w:kern w:val="0"/>
                <w:sz w:val="18"/>
                <w:szCs w:val="18"/>
                <w:lang w:bidi="ar"/>
              </w:rPr>
              <w:t>模式：独立</w:t>
            </w:r>
            <w:r>
              <w:rPr>
                <w:rFonts w:ascii="宋体" w:hAnsi="宋体" w:cs="等线"/>
                <w:color w:val="000000"/>
                <w:kern w:val="0"/>
                <w:sz w:val="18"/>
                <w:szCs w:val="18"/>
                <w:lang w:bidi="ar"/>
              </w:rPr>
              <w:t>web</w:t>
            </w:r>
            <w:r>
              <w:rPr>
                <w:rFonts w:hint="eastAsia" w:ascii="宋体" w:hAnsi="宋体" w:cs="宋体"/>
                <w:color w:val="000000"/>
                <w:kern w:val="0"/>
                <w:sz w:val="18"/>
                <w:szCs w:val="18"/>
                <w:lang w:bidi="ar"/>
              </w:rPr>
              <w:t>页面管理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等线"/>
                <w:color w:val="000000"/>
                <w:sz w:val="18"/>
                <w:szCs w:val="18"/>
              </w:rPr>
            </w:pPr>
            <w:r>
              <w:rPr>
                <w:rFonts w:ascii="宋体" w:hAnsi="宋体" w:cs="等线"/>
                <w:color w:val="000000"/>
                <w:kern w:val="0"/>
                <w:sz w:val="18"/>
                <w:szCs w:val="18"/>
                <w:lang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等线"/>
                <w:color w:val="000000"/>
                <w:sz w:val="18"/>
                <w:szCs w:val="18"/>
              </w:rPr>
            </w:pPr>
            <w:r>
              <w:rPr>
                <w:rFonts w:ascii="宋体" w:hAnsi="宋体" w:cs="等线"/>
                <w:color w:val="000000"/>
                <w:kern w:val="0"/>
                <w:sz w:val="18"/>
                <w:szCs w:val="18"/>
                <w:lang w:bidi="ar"/>
              </w:rPr>
              <w:t xml:space="preserve">1.00 </w:t>
            </w:r>
          </w:p>
        </w:tc>
      </w:tr>
      <w:tr>
        <w:tblPrEx>
          <w:tblCellMar>
            <w:top w:w="0" w:type="dxa"/>
            <w:left w:w="0" w:type="dxa"/>
            <w:bottom w:w="0" w:type="dxa"/>
            <w:right w:w="0" w:type="dxa"/>
          </w:tblCellMar>
        </w:tblPrEx>
        <w:trPr>
          <w:trHeight w:val="3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等线"/>
                <w:color w:val="000000"/>
                <w:sz w:val="18"/>
                <w:szCs w:val="18"/>
              </w:rPr>
            </w:pPr>
            <w:r>
              <w:rPr>
                <w:rFonts w:ascii="宋体" w:hAnsi="宋体" w:cs="等线"/>
                <w:color w:val="000000"/>
                <w:kern w:val="0"/>
                <w:sz w:val="18"/>
                <w:szCs w:val="18"/>
                <w:lang w:bidi="ar"/>
              </w:rPr>
              <w:t>13</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等线"/>
                <w:color w:val="000000"/>
                <w:sz w:val="18"/>
                <w:szCs w:val="18"/>
              </w:rPr>
            </w:pPr>
            <w:r>
              <w:rPr>
                <w:rFonts w:ascii="宋体" w:hAnsi="宋体" w:cs="等线"/>
                <w:color w:val="000000"/>
                <w:kern w:val="0"/>
                <w:sz w:val="18"/>
                <w:szCs w:val="18"/>
                <w:lang w:bidi="ar"/>
              </w:rPr>
              <w:t>交换机</w:t>
            </w:r>
          </w:p>
        </w:tc>
        <w:tc>
          <w:tcPr>
            <w:tcW w:w="62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品类型智能交换机：应用层级三层 </w:t>
            </w:r>
            <w:r>
              <w:rPr>
                <w:rFonts w:ascii="宋体" w:hAnsi="宋体" w:cs="等线"/>
                <w:color w:val="000000"/>
                <w:kern w:val="0"/>
                <w:sz w:val="18"/>
                <w:szCs w:val="18"/>
                <w:lang w:bidi="ar"/>
              </w:rPr>
              <w:br w:type="textWrapping"/>
            </w:r>
            <w:r>
              <w:rPr>
                <w:rFonts w:hint="eastAsia" w:ascii="宋体" w:hAnsi="宋体" w:cs="宋体"/>
                <w:color w:val="000000"/>
                <w:kern w:val="0"/>
                <w:sz w:val="18"/>
                <w:szCs w:val="18"/>
                <w:lang w:bidi="ar"/>
              </w:rPr>
              <w:t>48口千兆电+2口万兆SFP</w:t>
            </w:r>
            <w:r>
              <w:rPr>
                <w:rFonts w:ascii="宋体" w:hAnsi="宋体" w:cs="等线"/>
                <w:color w:val="000000"/>
                <w:kern w:val="0"/>
                <w:sz w:val="18"/>
                <w:szCs w:val="18"/>
                <w:lang w:bidi="ar"/>
              </w:rPr>
              <w:br w:type="textWrapping"/>
            </w:r>
            <w:r>
              <w:rPr>
                <w:rFonts w:hint="eastAsia" w:ascii="宋体" w:hAnsi="宋体" w:cs="宋体"/>
                <w:color w:val="000000"/>
                <w:kern w:val="0"/>
                <w:sz w:val="18"/>
                <w:szCs w:val="18"/>
                <w:lang w:bidi="ar"/>
              </w:rPr>
              <w:t>交换方式存储</w:t>
            </w:r>
            <w:r>
              <w:rPr>
                <w:rFonts w:ascii="宋体" w:hAnsi="宋体" w:cs="等线"/>
                <w:color w:val="000000"/>
                <w:kern w:val="0"/>
                <w:sz w:val="18"/>
                <w:szCs w:val="18"/>
                <w:lang w:bidi="ar"/>
              </w:rPr>
              <w:t>-</w:t>
            </w:r>
            <w:r>
              <w:rPr>
                <w:rFonts w:hint="eastAsia" w:ascii="宋体" w:hAnsi="宋体" w:cs="宋体"/>
                <w:color w:val="000000"/>
                <w:kern w:val="0"/>
                <w:sz w:val="18"/>
                <w:szCs w:val="18"/>
                <w:lang w:bidi="ar"/>
              </w:rPr>
              <w:t>转发</w:t>
            </w:r>
            <w:r>
              <w:rPr>
                <w:rFonts w:ascii="宋体" w:hAnsi="宋体" w:cs="等线"/>
                <w:color w:val="000000"/>
                <w:kern w:val="0"/>
                <w:sz w:val="18"/>
                <w:szCs w:val="18"/>
                <w:lang w:bidi="ar"/>
              </w:rPr>
              <w:br w:type="textWrapping"/>
            </w:r>
            <w:r>
              <w:rPr>
                <w:rFonts w:hint="eastAsia" w:ascii="宋体" w:hAnsi="宋体" w:cs="宋体"/>
                <w:color w:val="000000"/>
                <w:kern w:val="0"/>
                <w:sz w:val="18"/>
                <w:szCs w:val="18"/>
                <w:lang w:bidi="ar"/>
              </w:rPr>
              <w:t>背板带宽</w:t>
            </w:r>
            <w:r>
              <w:rPr>
                <w:rFonts w:ascii="宋体" w:hAnsi="宋体" w:cs="等线"/>
                <w:color w:val="000000"/>
                <w:kern w:val="0"/>
                <w:sz w:val="18"/>
                <w:szCs w:val="18"/>
                <w:lang w:bidi="ar"/>
              </w:rPr>
              <w:t>240Gbps</w:t>
            </w:r>
            <w:r>
              <w:rPr>
                <w:rFonts w:ascii="宋体" w:hAnsi="宋体" w:cs="等线"/>
                <w:color w:val="000000"/>
                <w:kern w:val="0"/>
                <w:sz w:val="18"/>
                <w:szCs w:val="18"/>
                <w:lang w:bidi="ar"/>
              </w:rPr>
              <w:br w:type="textWrapping"/>
            </w:r>
            <w:r>
              <w:rPr>
                <w:rFonts w:hint="eastAsia" w:ascii="宋体" w:hAnsi="宋体" w:cs="宋体"/>
                <w:color w:val="000000"/>
                <w:kern w:val="0"/>
                <w:sz w:val="18"/>
                <w:szCs w:val="18"/>
                <w:lang w:bidi="ar"/>
              </w:rPr>
              <w:t>包转发率</w:t>
            </w:r>
            <w:r>
              <w:rPr>
                <w:rFonts w:ascii="宋体" w:hAnsi="宋体" w:cs="等线"/>
                <w:color w:val="000000"/>
                <w:kern w:val="0"/>
                <w:sz w:val="18"/>
                <w:szCs w:val="18"/>
                <w:lang w:bidi="ar"/>
              </w:rPr>
              <w:t>72Mpps</w:t>
            </w:r>
            <w:r>
              <w:rPr>
                <w:rFonts w:ascii="宋体" w:hAnsi="宋体" w:cs="等线"/>
                <w:color w:val="000000"/>
                <w:kern w:val="0"/>
                <w:sz w:val="18"/>
                <w:szCs w:val="18"/>
                <w:lang w:bidi="ar"/>
              </w:rPr>
              <w:br w:type="textWrapping"/>
            </w:r>
            <w:r>
              <w:rPr>
                <w:rFonts w:ascii="宋体" w:hAnsi="宋体" w:cs="等线"/>
                <w:color w:val="000000"/>
                <w:kern w:val="0"/>
                <w:sz w:val="18"/>
                <w:szCs w:val="18"/>
                <w:lang w:bidi="ar"/>
              </w:rPr>
              <w:t>MAC</w:t>
            </w:r>
            <w:r>
              <w:rPr>
                <w:rFonts w:hint="eastAsia" w:ascii="宋体" w:hAnsi="宋体" w:cs="宋体"/>
                <w:color w:val="000000"/>
                <w:kern w:val="0"/>
                <w:sz w:val="18"/>
                <w:szCs w:val="18"/>
                <w:lang w:bidi="ar"/>
              </w:rPr>
              <w:t>地址表</w:t>
            </w:r>
            <w:r>
              <w:rPr>
                <w:rFonts w:ascii="宋体" w:hAnsi="宋体" w:cs="等线"/>
                <w:color w:val="000000"/>
                <w:kern w:val="0"/>
                <w:sz w:val="18"/>
                <w:szCs w:val="18"/>
                <w:lang w:bidi="ar"/>
              </w:rPr>
              <w:t>16K</w:t>
            </w:r>
            <w:r>
              <w:rPr>
                <w:rFonts w:ascii="宋体" w:hAnsi="宋体" w:cs="等线"/>
                <w:color w:val="000000"/>
                <w:kern w:val="0"/>
                <w:sz w:val="18"/>
                <w:szCs w:val="18"/>
                <w:lang w:bidi="ar"/>
              </w:rPr>
              <w:br w:type="textWrapping"/>
            </w:r>
            <w:r>
              <w:rPr>
                <w:rFonts w:hint="eastAsia" w:ascii="宋体" w:hAnsi="宋体" w:cs="宋体"/>
                <w:color w:val="000000"/>
                <w:kern w:val="0"/>
                <w:sz w:val="18"/>
                <w:szCs w:val="18"/>
                <w:lang w:bidi="ar"/>
              </w:rPr>
              <w:t>端口结构非模块化</w:t>
            </w:r>
            <w:r>
              <w:rPr>
                <w:rFonts w:ascii="宋体" w:hAnsi="宋体" w:cs="等线"/>
                <w:color w:val="000000"/>
                <w:kern w:val="0"/>
                <w:sz w:val="18"/>
                <w:szCs w:val="18"/>
                <w:lang w:bidi="ar"/>
              </w:rPr>
              <w:br w:type="textWrapping"/>
            </w:r>
            <w:r>
              <w:rPr>
                <w:rFonts w:hint="eastAsia" w:ascii="宋体" w:hAnsi="宋体" w:cs="宋体"/>
                <w:color w:val="000000"/>
                <w:kern w:val="0"/>
                <w:sz w:val="18"/>
                <w:szCs w:val="18"/>
                <w:lang w:bidi="ar"/>
              </w:rPr>
              <w:t>端口数量</w:t>
            </w:r>
            <w:r>
              <w:rPr>
                <w:rFonts w:ascii="宋体" w:hAnsi="宋体" w:cs="等线"/>
                <w:color w:val="000000"/>
                <w:kern w:val="0"/>
                <w:sz w:val="18"/>
                <w:szCs w:val="18"/>
                <w:lang w:bidi="ar"/>
              </w:rPr>
              <w:t>52</w:t>
            </w:r>
            <w:r>
              <w:rPr>
                <w:rFonts w:hint="eastAsia" w:ascii="宋体" w:hAnsi="宋体" w:cs="宋体"/>
                <w:color w:val="000000"/>
                <w:kern w:val="0"/>
                <w:sz w:val="18"/>
                <w:szCs w:val="18"/>
                <w:lang w:bidi="ar"/>
              </w:rPr>
              <w:t>个</w:t>
            </w:r>
            <w:r>
              <w:rPr>
                <w:rFonts w:ascii="宋体" w:hAnsi="宋体" w:cs="等线"/>
                <w:color w:val="000000"/>
                <w:kern w:val="0"/>
                <w:sz w:val="18"/>
                <w:szCs w:val="18"/>
                <w:lang w:bidi="ar"/>
              </w:rPr>
              <w:br w:type="textWrapping"/>
            </w:r>
            <w:r>
              <w:rPr>
                <w:rFonts w:hint="eastAsia" w:ascii="宋体" w:hAnsi="宋体" w:cs="宋体"/>
                <w:color w:val="000000"/>
                <w:kern w:val="0"/>
                <w:sz w:val="18"/>
                <w:szCs w:val="18"/>
                <w:lang w:bidi="ar"/>
              </w:rPr>
              <w:t>端口描述</w:t>
            </w:r>
            <w:r>
              <w:rPr>
                <w:rFonts w:ascii="宋体" w:hAnsi="宋体" w:cs="等线"/>
                <w:color w:val="000000"/>
                <w:kern w:val="0"/>
                <w:sz w:val="18"/>
                <w:szCs w:val="18"/>
                <w:lang w:bidi="ar"/>
              </w:rPr>
              <w:t>48</w:t>
            </w:r>
            <w:r>
              <w:rPr>
                <w:rFonts w:hint="eastAsia" w:ascii="宋体" w:hAnsi="宋体" w:cs="宋体"/>
                <w:color w:val="000000"/>
                <w:kern w:val="0"/>
                <w:sz w:val="18"/>
                <w:szCs w:val="18"/>
                <w:lang w:bidi="ar"/>
              </w:rPr>
              <w:t>个</w:t>
            </w:r>
            <w:r>
              <w:rPr>
                <w:rFonts w:ascii="宋体" w:hAnsi="宋体" w:cs="等线"/>
                <w:color w:val="000000"/>
                <w:kern w:val="0"/>
                <w:sz w:val="18"/>
                <w:szCs w:val="18"/>
                <w:lang w:bidi="ar"/>
              </w:rPr>
              <w:t>10/100/1000Base-T</w:t>
            </w:r>
            <w:r>
              <w:rPr>
                <w:rFonts w:hint="eastAsia" w:ascii="宋体" w:hAnsi="宋体" w:cs="宋体"/>
                <w:color w:val="000000"/>
                <w:kern w:val="0"/>
                <w:sz w:val="18"/>
                <w:szCs w:val="18"/>
                <w:lang w:bidi="ar"/>
              </w:rPr>
              <w:t>以太网端口，</w:t>
            </w:r>
            <w:r>
              <w:rPr>
                <w:rFonts w:ascii="宋体" w:hAnsi="宋体" w:cs="等线"/>
                <w:color w:val="000000"/>
                <w:kern w:val="0"/>
                <w:sz w:val="18"/>
                <w:szCs w:val="18"/>
                <w:lang w:bidi="ar"/>
              </w:rPr>
              <w:t>4</w:t>
            </w:r>
            <w:r>
              <w:rPr>
                <w:rFonts w:hint="eastAsia" w:ascii="宋体" w:hAnsi="宋体" w:cs="宋体"/>
                <w:color w:val="000000"/>
                <w:kern w:val="0"/>
                <w:sz w:val="18"/>
                <w:szCs w:val="18"/>
                <w:lang w:bidi="ar"/>
              </w:rPr>
              <w:t>个复用的</w:t>
            </w:r>
            <w:r>
              <w:rPr>
                <w:rFonts w:ascii="宋体" w:hAnsi="宋体" w:cs="等线"/>
                <w:color w:val="000000"/>
                <w:kern w:val="0"/>
                <w:sz w:val="18"/>
                <w:szCs w:val="18"/>
                <w:lang w:bidi="ar"/>
              </w:rPr>
              <w:t>1000Base-X</w:t>
            </w:r>
            <w:r>
              <w:rPr>
                <w:rFonts w:hint="eastAsia" w:ascii="宋体" w:hAnsi="宋体" w:cs="宋体"/>
                <w:color w:val="000000"/>
                <w:kern w:val="0"/>
                <w:sz w:val="18"/>
                <w:szCs w:val="18"/>
                <w:lang w:bidi="ar"/>
              </w:rPr>
              <w:t>千兆</w:t>
            </w:r>
            <w:r>
              <w:rPr>
                <w:rFonts w:ascii="宋体" w:hAnsi="宋体" w:cs="等线"/>
                <w:color w:val="000000"/>
                <w:kern w:val="0"/>
                <w:sz w:val="18"/>
                <w:szCs w:val="18"/>
                <w:lang w:bidi="ar"/>
              </w:rPr>
              <w:t>SFP</w:t>
            </w:r>
            <w:r>
              <w:rPr>
                <w:rFonts w:hint="eastAsia" w:ascii="宋体" w:hAnsi="宋体" w:cs="宋体"/>
                <w:color w:val="000000"/>
                <w:kern w:val="0"/>
                <w:sz w:val="18"/>
                <w:szCs w:val="18"/>
                <w:lang w:bidi="ar"/>
              </w:rPr>
              <w:t>端口</w:t>
            </w:r>
            <w:r>
              <w:rPr>
                <w:rFonts w:ascii="宋体" w:hAnsi="宋体" w:cs="等线"/>
                <w:color w:val="000000"/>
                <w:kern w:val="0"/>
                <w:sz w:val="18"/>
                <w:szCs w:val="18"/>
                <w:lang w:bidi="ar"/>
              </w:rPr>
              <w:br w:type="textWrapping"/>
            </w:r>
            <w:r>
              <w:rPr>
                <w:rFonts w:hint="eastAsia" w:ascii="宋体" w:hAnsi="宋体" w:cs="宋体"/>
                <w:color w:val="000000"/>
                <w:kern w:val="0"/>
                <w:sz w:val="18"/>
                <w:szCs w:val="18"/>
                <w:lang w:bidi="ar"/>
              </w:rPr>
              <w:t>控制端口</w:t>
            </w:r>
            <w:r>
              <w:rPr>
                <w:rFonts w:ascii="宋体" w:hAnsi="宋体" w:cs="等线"/>
                <w:color w:val="000000"/>
                <w:kern w:val="0"/>
                <w:sz w:val="18"/>
                <w:szCs w:val="18"/>
                <w:lang w:bidi="ar"/>
              </w:rPr>
              <w:t>1</w:t>
            </w:r>
            <w:r>
              <w:rPr>
                <w:rFonts w:hint="eastAsia" w:ascii="宋体" w:hAnsi="宋体" w:cs="宋体"/>
                <w:color w:val="000000"/>
                <w:kern w:val="0"/>
                <w:sz w:val="18"/>
                <w:szCs w:val="18"/>
                <w:lang w:bidi="ar"/>
              </w:rPr>
              <w:t>个</w:t>
            </w:r>
            <w:r>
              <w:rPr>
                <w:rFonts w:ascii="宋体" w:hAnsi="宋体" w:cs="等线"/>
                <w:color w:val="000000"/>
                <w:kern w:val="0"/>
                <w:sz w:val="18"/>
                <w:szCs w:val="18"/>
                <w:lang w:bidi="ar"/>
              </w:rPr>
              <w:t>Console</w:t>
            </w:r>
            <w:r>
              <w:rPr>
                <w:rFonts w:hint="eastAsia" w:ascii="宋体" w:hAnsi="宋体" w:cs="宋体"/>
                <w:color w:val="000000"/>
                <w:kern w:val="0"/>
                <w:sz w:val="18"/>
                <w:szCs w:val="18"/>
                <w:lang w:bidi="ar"/>
              </w:rPr>
              <w:t>口</w:t>
            </w:r>
            <w:r>
              <w:rPr>
                <w:rFonts w:ascii="宋体" w:hAnsi="宋体" w:cs="等线"/>
                <w:color w:val="000000"/>
                <w:kern w:val="0"/>
                <w:sz w:val="18"/>
                <w:szCs w:val="18"/>
                <w:lang w:bidi="ar"/>
              </w:rPr>
              <w:br w:type="textWrapping"/>
            </w:r>
            <w:r>
              <w:rPr>
                <w:rFonts w:hint="eastAsia" w:ascii="宋体" w:hAnsi="宋体" w:cs="宋体"/>
                <w:color w:val="000000"/>
                <w:kern w:val="0"/>
                <w:sz w:val="18"/>
                <w:szCs w:val="18"/>
                <w:lang w:bidi="ar"/>
              </w:rPr>
              <w:t>传输模式支持全双工</w:t>
            </w:r>
            <w:r>
              <w:rPr>
                <w:rFonts w:ascii="宋体" w:hAnsi="宋体" w:cs="等线"/>
                <w:color w:val="000000"/>
                <w:kern w:val="0"/>
                <w:sz w:val="18"/>
                <w:szCs w:val="18"/>
                <w:lang w:bidi="ar"/>
              </w:rPr>
              <w:br w:type="textWrapping"/>
            </w:r>
            <w:r>
              <w:rPr>
                <w:rFonts w:hint="eastAsia" w:ascii="宋体" w:hAnsi="宋体" w:cs="宋体"/>
                <w:color w:val="000000"/>
                <w:kern w:val="0"/>
                <w:sz w:val="18"/>
                <w:szCs w:val="18"/>
                <w:lang w:bidi="ar"/>
              </w:rPr>
              <w:t>堆叠功能可堆叠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等线"/>
                <w:color w:val="000000"/>
                <w:sz w:val="18"/>
                <w:szCs w:val="18"/>
              </w:rPr>
            </w:pPr>
            <w:r>
              <w:rPr>
                <w:rFonts w:ascii="宋体" w:hAnsi="宋体" w:cs="等线"/>
                <w:color w:val="000000"/>
                <w:kern w:val="0"/>
                <w:sz w:val="18"/>
                <w:szCs w:val="18"/>
                <w:lang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等线"/>
                <w:color w:val="000000"/>
                <w:sz w:val="18"/>
                <w:szCs w:val="18"/>
              </w:rPr>
            </w:pPr>
            <w:r>
              <w:rPr>
                <w:rFonts w:ascii="宋体" w:hAnsi="宋体" w:cs="等线"/>
                <w:color w:val="000000"/>
                <w:kern w:val="0"/>
                <w:sz w:val="18"/>
                <w:szCs w:val="18"/>
                <w:lang w:bidi="ar"/>
              </w:rPr>
              <w:t xml:space="preserve">1.00 </w:t>
            </w:r>
          </w:p>
        </w:tc>
      </w:tr>
      <w:tr>
        <w:tblPrEx>
          <w:tblCellMar>
            <w:top w:w="0" w:type="dxa"/>
            <w:left w:w="0" w:type="dxa"/>
            <w:bottom w:w="0" w:type="dxa"/>
            <w:right w:w="0" w:type="dxa"/>
          </w:tblCellMar>
        </w:tblPrEx>
        <w:trPr>
          <w:trHeight w:val="240" w:hRule="atLeast"/>
        </w:trPr>
        <w:tc>
          <w:tcPr>
            <w:tcW w:w="9675" w:type="dxa"/>
            <w:gridSpan w:val="5"/>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五、AV系统辅助配件</w:t>
            </w:r>
          </w:p>
        </w:tc>
      </w:tr>
      <w:tr>
        <w:tblPrEx>
          <w:tblCellMar>
            <w:top w:w="0" w:type="dxa"/>
            <w:left w:w="0" w:type="dxa"/>
            <w:bottom w:w="0" w:type="dxa"/>
            <w:right w:w="0" w:type="dxa"/>
          </w:tblCellMar>
        </w:tblPrEx>
        <w:trPr>
          <w:trHeight w:val="101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等线"/>
                <w:color w:val="000000"/>
                <w:sz w:val="18"/>
                <w:szCs w:val="18"/>
              </w:rPr>
            </w:pPr>
            <w:r>
              <w:rPr>
                <w:rFonts w:ascii="宋体" w:hAnsi="宋体" w:cs="等线"/>
                <w:color w:val="000000"/>
                <w:kern w:val="0"/>
                <w:sz w:val="18"/>
                <w:szCs w:val="18"/>
                <w:lang w:bidi="ar"/>
              </w:rPr>
              <w:t>1</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等线"/>
                <w:color w:val="000000"/>
                <w:sz w:val="18"/>
                <w:szCs w:val="18"/>
              </w:rPr>
            </w:pPr>
            <w:r>
              <w:rPr>
                <w:rFonts w:ascii="宋体" w:hAnsi="宋体" w:cs="等线"/>
                <w:color w:val="000000"/>
                <w:kern w:val="0"/>
                <w:sz w:val="18"/>
                <w:szCs w:val="18"/>
                <w:lang w:bidi="ar"/>
              </w:rPr>
              <w:t>时序电源</w:t>
            </w:r>
          </w:p>
        </w:tc>
        <w:tc>
          <w:tcPr>
            <w:tcW w:w="62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输入电压：AC220V/50Hz</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输出功率：每路插座最大输出电流10A</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交流电压指示表</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多媒体电源插座</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输入方式：3*2.5平方交流电源线，不带插头，与空气开关连接</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输出方式：8路电源输出，标准通用三芯插座</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功能：打开时由前级到后级逐个顺序启动，关闭时由后级到前级逐个顺序关闭，每路之间动作时间1.5秒</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开关/指示：船型开关，面板电源指示灯，每路通电后指示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等线"/>
                <w:color w:val="000000"/>
                <w:sz w:val="18"/>
                <w:szCs w:val="18"/>
              </w:rPr>
            </w:pPr>
            <w:r>
              <w:rPr>
                <w:rFonts w:ascii="宋体" w:hAnsi="宋体" w:cs="等线"/>
                <w:color w:val="000000"/>
                <w:kern w:val="0"/>
                <w:sz w:val="18"/>
                <w:szCs w:val="18"/>
                <w:lang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等线"/>
                <w:color w:val="000000"/>
                <w:sz w:val="18"/>
                <w:szCs w:val="18"/>
              </w:rPr>
            </w:pPr>
            <w:r>
              <w:rPr>
                <w:rFonts w:ascii="宋体" w:hAnsi="宋体" w:cs="等线"/>
                <w:color w:val="000000"/>
                <w:kern w:val="0"/>
                <w:sz w:val="18"/>
                <w:szCs w:val="18"/>
                <w:lang w:bidi="ar"/>
              </w:rPr>
              <w:t xml:space="preserve">4.00 </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等线"/>
                <w:color w:val="000000"/>
                <w:sz w:val="18"/>
                <w:szCs w:val="18"/>
              </w:rPr>
            </w:pPr>
            <w:r>
              <w:rPr>
                <w:rFonts w:ascii="宋体" w:hAnsi="宋体" w:cs="等线"/>
                <w:color w:val="000000"/>
                <w:kern w:val="0"/>
                <w:sz w:val="18"/>
                <w:szCs w:val="18"/>
                <w:lang w:bidi="ar"/>
              </w:rPr>
              <w:t>2</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等线"/>
                <w:color w:val="000000"/>
                <w:sz w:val="18"/>
                <w:szCs w:val="18"/>
              </w:rPr>
            </w:pPr>
            <w:r>
              <w:rPr>
                <w:rFonts w:ascii="宋体" w:hAnsi="宋体" w:cs="等线"/>
                <w:color w:val="000000"/>
                <w:kern w:val="0"/>
                <w:sz w:val="18"/>
                <w:szCs w:val="18"/>
                <w:lang w:bidi="ar"/>
              </w:rPr>
              <w:t>桌面集成桌插</w:t>
            </w:r>
          </w:p>
        </w:tc>
        <w:tc>
          <w:tcPr>
            <w:tcW w:w="62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免焊线弹起式办公会议桌面接线盒</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黑色面板（短线对插型）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等线"/>
                <w:color w:val="000000"/>
                <w:sz w:val="18"/>
                <w:szCs w:val="18"/>
              </w:rPr>
            </w:pPr>
            <w:r>
              <w:rPr>
                <w:rFonts w:ascii="宋体" w:hAnsi="宋体" w:cs="等线"/>
                <w:color w:val="000000"/>
                <w:kern w:val="0"/>
                <w:sz w:val="18"/>
                <w:szCs w:val="18"/>
                <w:lang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等线"/>
                <w:color w:val="000000"/>
                <w:sz w:val="18"/>
                <w:szCs w:val="18"/>
              </w:rPr>
            </w:pPr>
            <w:r>
              <w:rPr>
                <w:rFonts w:ascii="宋体" w:hAnsi="宋体" w:cs="等线"/>
                <w:color w:val="000000"/>
                <w:kern w:val="0"/>
                <w:sz w:val="18"/>
                <w:szCs w:val="18"/>
                <w:lang w:bidi="ar"/>
              </w:rPr>
              <w:t xml:space="preserve">4.00 </w:t>
            </w:r>
          </w:p>
        </w:tc>
      </w:tr>
      <w:tr>
        <w:tblPrEx>
          <w:tblCellMar>
            <w:top w:w="0" w:type="dxa"/>
            <w:left w:w="0" w:type="dxa"/>
            <w:bottom w:w="0" w:type="dxa"/>
            <w:right w:w="0"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等线"/>
                <w:color w:val="000000"/>
                <w:sz w:val="18"/>
                <w:szCs w:val="18"/>
              </w:rPr>
            </w:pPr>
            <w:r>
              <w:rPr>
                <w:rFonts w:ascii="宋体" w:hAnsi="宋体" w:cs="等线"/>
                <w:color w:val="000000"/>
                <w:kern w:val="0"/>
                <w:sz w:val="18"/>
                <w:szCs w:val="18"/>
                <w:lang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等线"/>
                <w:color w:val="000000"/>
                <w:sz w:val="18"/>
                <w:szCs w:val="18"/>
              </w:rPr>
            </w:pPr>
            <w:r>
              <w:rPr>
                <w:rFonts w:ascii="宋体" w:hAnsi="宋体" w:cs="等线"/>
                <w:color w:val="000000"/>
                <w:kern w:val="0"/>
                <w:sz w:val="18"/>
                <w:szCs w:val="18"/>
                <w:lang w:bidi="ar"/>
              </w:rPr>
              <w:t>G音频连接线</w:t>
            </w:r>
          </w:p>
        </w:tc>
        <w:tc>
          <w:tcPr>
            <w:tcW w:w="62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卡侬公母音频线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等线"/>
                <w:color w:val="000000"/>
                <w:sz w:val="18"/>
                <w:szCs w:val="18"/>
              </w:rPr>
            </w:pPr>
            <w:r>
              <w:rPr>
                <w:rFonts w:ascii="宋体" w:hAnsi="宋体" w:cs="等线"/>
                <w:color w:val="000000"/>
                <w:kern w:val="0"/>
                <w:sz w:val="18"/>
                <w:szCs w:val="18"/>
                <w:lang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等线"/>
                <w:color w:val="000000"/>
                <w:sz w:val="18"/>
                <w:szCs w:val="18"/>
              </w:rPr>
            </w:pPr>
            <w:r>
              <w:rPr>
                <w:rFonts w:ascii="宋体" w:hAnsi="宋体" w:cs="等线"/>
                <w:color w:val="000000"/>
                <w:kern w:val="0"/>
                <w:sz w:val="18"/>
                <w:szCs w:val="18"/>
                <w:lang w:bidi="ar"/>
              </w:rPr>
              <w:t xml:space="preserve">18.00 </w:t>
            </w:r>
          </w:p>
        </w:tc>
      </w:tr>
      <w:tr>
        <w:tblPrEx>
          <w:tblCellMar>
            <w:top w:w="0" w:type="dxa"/>
            <w:left w:w="0" w:type="dxa"/>
            <w:bottom w:w="0" w:type="dxa"/>
            <w:right w:w="0"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等线"/>
                <w:color w:val="000000"/>
                <w:sz w:val="18"/>
                <w:szCs w:val="18"/>
              </w:rPr>
            </w:pPr>
            <w:r>
              <w:rPr>
                <w:rFonts w:ascii="宋体" w:hAnsi="宋体" w:cs="等线"/>
                <w:color w:val="000000"/>
                <w:kern w:val="0"/>
                <w:sz w:val="18"/>
                <w:szCs w:val="18"/>
                <w:lang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等线"/>
                <w:color w:val="000000"/>
                <w:sz w:val="18"/>
                <w:szCs w:val="18"/>
              </w:rPr>
            </w:pPr>
            <w:r>
              <w:rPr>
                <w:rFonts w:ascii="宋体" w:hAnsi="宋体" w:cs="等线"/>
                <w:color w:val="000000"/>
                <w:kern w:val="0"/>
                <w:sz w:val="18"/>
                <w:szCs w:val="18"/>
                <w:lang w:bidi="ar"/>
              </w:rPr>
              <w:t>F音频连接线</w:t>
            </w:r>
          </w:p>
        </w:tc>
        <w:tc>
          <w:tcPr>
            <w:tcW w:w="62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莲花音频线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等线"/>
                <w:color w:val="000000"/>
                <w:sz w:val="18"/>
                <w:szCs w:val="18"/>
              </w:rPr>
            </w:pPr>
            <w:r>
              <w:rPr>
                <w:rFonts w:ascii="宋体" w:hAnsi="宋体" w:cs="等线"/>
                <w:color w:val="000000"/>
                <w:kern w:val="0"/>
                <w:sz w:val="18"/>
                <w:szCs w:val="18"/>
                <w:lang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等线"/>
                <w:color w:val="000000"/>
                <w:sz w:val="18"/>
                <w:szCs w:val="18"/>
              </w:rPr>
            </w:pPr>
            <w:r>
              <w:rPr>
                <w:rFonts w:ascii="宋体" w:hAnsi="宋体" w:cs="等线"/>
                <w:color w:val="000000"/>
                <w:kern w:val="0"/>
                <w:sz w:val="18"/>
                <w:szCs w:val="18"/>
                <w:lang w:bidi="ar"/>
              </w:rPr>
              <w:t xml:space="preserve">2.00 </w:t>
            </w:r>
          </w:p>
        </w:tc>
      </w:tr>
      <w:tr>
        <w:tblPrEx>
          <w:tblCellMar>
            <w:top w:w="0" w:type="dxa"/>
            <w:left w:w="0" w:type="dxa"/>
            <w:bottom w:w="0" w:type="dxa"/>
            <w:right w:w="0"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等线"/>
                <w:color w:val="000000"/>
                <w:sz w:val="18"/>
                <w:szCs w:val="18"/>
              </w:rPr>
            </w:pPr>
            <w:r>
              <w:rPr>
                <w:rFonts w:ascii="宋体" w:hAnsi="宋体" w:cs="等线"/>
                <w:color w:val="000000"/>
                <w:kern w:val="0"/>
                <w:sz w:val="18"/>
                <w:szCs w:val="18"/>
                <w:lang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等线"/>
                <w:color w:val="000000"/>
                <w:sz w:val="18"/>
                <w:szCs w:val="18"/>
              </w:rPr>
            </w:pPr>
            <w:r>
              <w:rPr>
                <w:rFonts w:ascii="宋体" w:hAnsi="宋体" w:cs="等线"/>
                <w:color w:val="000000"/>
                <w:kern w:val="0"/>
                <w:sz w:val="18"/>
                <w:szCs w:val="18"/>
                <w:lang w:bidi="ar"/>
              </w:rPr>
              <w:t>K音频连接线</w:t>
            </w:r>
          </w:p>
        </w:tc>
        <w:tc>
          <w:tcPr>
            <w:tcW w:w="62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3.5转莲花音频线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等线"/>
                <w:color w:val="000000"/>
                <w:sz w:val="18"/>
                <w:szCs w:val="18"/>
              </w:rPr>
            </w:pPr>
            <w:r>
              <w:rPr>
                <w:rFonts w:ascii="宋体" w:hAnsi="宋体" w:cs="等线"/>
                <w:color w:val="000000"/>
                <w:kern w:val="0"/>
                <w:sz w:val="18"/>
                <w:szCs w:val="18"/>
                <w:lang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等线"/>
                <w:color w:val="000000"/>
                <w:sz w:val="18"/>
                <w:szCs w:val="18"/>
              </w:rPr>
            </w:pPr>
            <w:r>
              <w:rPr>
                <w:rFonts w:ascii="宋体" w:hAnsi="宋体" w:cs="等线"/>
                <w:color w:val="000000"/>
                <w:kern w:val="0"/>
                <w:sz w:val="18"/>
                <w:szCs w:val="18"/>
                <w:lang w:bidi="ar"/>
              </w:rPr>
              <w:t xml:space="preserve">2.00 </w:t>
            </w:r>
          </w:p>
        </w:tc>
      </w:tr>
      <w:tr>
        <w:tblPrEx>
          <w:tblCellMar>
            <w:top w:w="0" w:type="dxa"/>
            <w:left w:w="0" w:type="dxa"/>
            <w:bottom w:w="0" w:type="dxa"/>
            <w:right w:w="0"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等线"/>
                <w:color w:val="000000"/>
                <w:sz w:val="18"/>
                <w:szCs w:val="18"/>
              </w:rPr>
            </w:pPr>
            <w:r>
              <w:rPr>
                <w:rFonts w:ascii="宋体" w:hAnsi="宋体" w:cs="等线"/>
                <w:color w:val="000000"/>
                <w:kern w:val="0"/>
                <w:sz w:val="18"/>
                <w:szCs w:val="18"/>
                <w:lang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等线"/>
                <w:color w:val="000000"/>
                <w:sz w:val="18"/>
                <w:szCs w:val="18"/>
              </w:rPr>
            </w:pPr>
            <w:r>
              <w:rPr>
                <w:rFonts w:ascii="宋体" w:hAnsi="宋体" w:cs="等线"/>
                <w:color w:val="000000"/>
                <w:kern w:val="0"/>
                <w:sz w:val="18"/>
                <w:szCs w:val="18"/>
                <w:lang w:bidi="ar"/>
              </w:rPr>
              <w:t>P音频连接线</w:t>
            </w:r>
          </w:p>
        </w:tc>
        <w:tc>
          <w:tcPr>
            <w:tcW w:w="62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3.5转卡侬音频线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等线"/>
                <w:color w:val="000000"/>
                <w:sz w:val="18"/>
                <w:szCs w:val="18"/>
              </w:rPr>
            </w:pPr>
            <w:r>
              <w:rPr>
                <w:rFonts w:ascii="宋体" w:hAnsi="宋体" w:cs="等线"/>
                <w:color w:val="000000"/>
                <w:kern w:val="0"/>
                <w:sz w:val="18"/>
                <w:szCs w:val="18"/>
                <w:lang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2.00 </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等线"/>
                <w:color w:val="000000"/>
                <w:sz w:val="18"/>
                <w:szCs w:val="18"/>
              </w:rPr>
            </w:pPr>
            <w:r>
              <w:rPr>
                <w:rFonts w:ascii="宋体" w:hAnsi="宋体" w:cs="等线"/>
                <w:color w:val="000000"/>
                <w:kern w:val="0"/>
                <w:sz w:val="18"/>
                <w:szCs w:val="18"/>
                <w:lang w:bidi="ar"/>
              </w:rPr>
              <w:t>7</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等线"/>
                <w:color w:val="000000"/>
                <w:sz w:val="18"/>
                <w:szCs w:val="18"/>
              </w:rPr>
            </w:pPr>
            <w:r>
              <w:rPr>
                <w:rFonts w:ascii="宋体" w:hAnsi="宋体" w:cs="等线"/>
                <w:color w:val="000000"/>
                <w:kern w:val="0"/>
                <w:sz w:val="18"/>
                <w:szCs w:val="18"/>
                <w:lang w:bidi="ar"/>
              </w:rPr>
              <w:t>Cat.6 FTP 屏蔽千兆网线</w:t>
            </w:r>
          </w:p>
        </w:tc>
        <w:tc>
          <w:tcPr>
            <w:tcW w:w="62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国标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等线"/>
                <w:color w:val="000000"/>
                <w:sz w:val="18"/>
                <w:szCs w:val="18"/>
              </w:rPr>
            </w:pPr>
            <w:r>
              <w:rPr>
                <w:rFonts w:ascii="宋体" w:hAnsi="宋体" w:cs="等线"/>
                <w:color w:val="000000"/>
                <w:kern w:val="0"/>
                <w:sz w:val="18"/>
                <w:szCs w:val="18"/>
                <w:lang w:bidi="ar"/>
              </w:rPr>
              <w:t>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等线"/>
                <w:color w:val="000000"/>
                <w:sz w:val="18"/>
                <w:szCs w:val="18"/>
              </w:rPr>
            </w:pPr>
            <w:r>
              <w:rPr>
                <w:rFonts w:ascii="宋体" w:hAnsi="宋体" w:cs="等线"/>
                <w:color w:val="000000"/>
                <w:kern w:val="0"/>
                <w:sz w:val="18"/>
                <w:szCs w:val="18"/>
                <w:lang w:bidi="ar"/>
              </w:rPr>
              <w:t xml:space="preserve">7.00 </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等线"/>
                <w:color w:val="000000"/>
                <w:sz w:val="18"/>
                <w:szCs w:val="18"/>
              </w:rPr>
            </w:pPr>
            <w:r>
              <w:rPr>
                <w:rFonts w:ascii="宋体" w:hAnsi="宋体" w:cs="等线"/>
                <w:color w:val="000000"/>
                <w:kern w:val="0"/>
                <w:sz w:val="18"/>
                <w:szCs w:val="18"/>
                <w:lang w:bidi="ar"/>
              </w:rPr>
              <w:t>8</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等线"/>
                <w:color w:val="000000"/>
                <w:sz w:val="18"/>
                <w:szCs w:val="18"/>
              </w:rPr>
            </w:pPr>
            <w:r>
              <w:rPr>
                <w:rFonts w:ascii="宋体" w:hAnsi="宋体" w:cs="等线"/>
                <w:color w:val="000000"/>
                <w:kern w:val="0"/>
                <w:sz w:val="18"/>
                <w:szCs w:val="18"/>
                <w:lang w:bidi="ar"/>
              </w:rPr>
              <w:t>Cat.6 FTP 屏蔽配线架 24口</w:t>
            </w:r>
          </w:p>
        </w:tc>
        <w:tc>
          <w:tcPr>
            <w:tcW w:w="62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国标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等线"/>
                <w:color w:val="000000"/>
                <w:sz w:val="18"/>
                <w:szCs w:val="18"/>
              </w:rPr>
            </w:pPr>
            <w:r>
              <w:rPr>
                <w:rFonts w:ascii="宋体" w:hAnsi="宋体" w:cs="等线"/>
                <w:color w:val="000000"/>
                <w:kern w:val="0"/>
                <w:sz w:val="18"/>
                <w:szCs w:val="18"/>
                <w:lang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等线"/>
                <w:color w:val="000000"/>
                <w:sz w:val="18"/>
                <w:szCs w:val="18"/>
              </w:rPr>
            </w:pPr>
            <w:r>
              <w:rPr>
                <w:rFonts w:ascii="宋体" w:hAnsi="宋体" w:cs="等线"/>
                <w:color w:val="000000"/>
                <w:kern w:val="0"/>
                <w:sz w:val="18"/>
                <w:szCs w:val="18"/>
                <w:lang w:bidi="ar"/>
              </w:rPr>
              <w:t xml:space="preserve">2.00 </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等线"/>
                <w:color w:val="000000"/>
                <w:sz w:val="18"/>
                <w:szCs w:val="18"/>
              </w:rPr>
            </w:pPr>
            <w:r>
              <w:rPr>
                <w:rFonts w:ascii="宋体" w:hAnsi="宋体" w:cs="等线"/>
                <w:color w:val="000000"/>
                <w:kern w:val="0"/>
                <w:sz w:val="18"/>
                <w:szCs w:val="18"/>
                <w:lang w:bidi="ar"/>
              </w:rPr>
              <w:t>9</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等线"/>
                <w:color w:val="000000"/>
                <w:sz w:val="18"/>
                <w:szCs w:val="18"/>
              </w:rPr>
            </w:pPr>
            <w:r>
              <w:rPr>
                <w:rFonts w:ascii="宋体" w:hAnsi="宋体" w:cs="等线"/>
                <w:color w:val="000000"/>
                <w:kern w:val="0"/>
                <w:sz w:val="18"/>
                <w:szCs w:val="18"/>
                <w:lang w:bidi="ar"/>
              </w:rPr>
              <w:t>Cat.6 FTP 屏蔽模块 RJ45 白色</w:t>
            </w:r>
          </w:p>
        </w:tc>
        <w:tc>
          <w:tcPr>
            <w:tcW w:w="62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国标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等线"/>
                <w:color w:val="000000"/>
                <w:sz w:val="18"/>
                <w:szCs w:val="18"/>
              </w:rPr>
            </w:pPr>
            <w:r>
              <w:rPr>
                <w:rFonts w:ascii="宋体" w:hAnsi="宋体" w:cs="等线"/>
                <w:color w:val="000000"/>
                <w:kern w:val="0"/>
                <w:sz w:val="18"/>
                <w:szCs w:val="18"/>
                <w:lang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等线"/>
                <w:color w:val="000000"/>
                <w:sz w:val="18"/>
                <w:szCs w:val="18"/>
              </w:rPr>
            </w:pPr>
            <w:r>
              <w:rPr>
                <w:rFonts w:ascii="宋体" w:hAnsi="宋体" w:cs="等线"/>
                <w:color w:val="000000"/>
                <w:kern w:val="0"/>
                <w:sz w:val="18"/>
                <w:szCs w:val="18"/>
                <w:lang w:bidi="ar"/>
              </w:rPr>
              <w:t xml:space="preserve">32.00 </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等线"/>
                <w:color w:val="000000"/>
                <w:sz w:val="18"/>
                <w:szCs w:val="18"/>
              </w:rPr>
            </w:pPr>
            <w:r>
              <w:rPr>
                <w:rFonts w:ascii="宋体" w:hAnsi="宋体" w:cs="等线"/>
                <w:color w:val="000000"/>
                <w:kern w:val="0"/>
                <w:sz w:val="18"/>
                <w:szCs w:val="18"/>
                <w:lang w:bidi="ar"/>
              </w:rPr>
              <w:t>10</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等线"/>
                <w:color w:val="000000"/>
                <w:sz w:val="18"/>
                <w:szCs w:val="18"/>
              </w:rPr>
            </w:pPr>
            <w:r>
              <w:rPr>
                <w:rFonts w:ascii="宋体" w:hAnsi="宋体" w:cs="等线"/>
                <w:color w:val="000000"/>
                <w:kern w:val="0"/>
                <w:sz w:val="18"/>
                <w:szCs w:val="18"/>
                <w:lang w:bidi="ar"/>
              </w:rPr>
              <w:t>Cat.6 FTP 屏蔽跳线 RJ45~RJ45 3米</w:t>
            </w:r>
          </w:p>
        </w:tc>
        <w:tc>
          <w:tcPr>
            <w:tcW w:w="62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国标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等线"/>
                <w:color w:val="000000"/>
                <w:sz w:val="18"/>
                <w:szCs w:val="18"/>
              </w:rPr>
            </w:pPr>
            <w:r>
              <w:rPr>
                <w:rFonts w:ascii="宋体" w:hAnsi="宋体" w:cs="等线"/>
                <w:color w:val="000000"/>
                <w:kern w:val="0"/>
                <w:sz w:val="18"/>
                <w:szCs w:val="18"/>
                <w:lang w:bidi="ar"/>
              </w:rPr>
              <w:t>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等线"/>
                <w:color w:val="000000"/>
                <w:sz w:val="18"/>
                <w:szCs w:val="18"/>
              </w:rPr>
            </w:pPr>
            <w:r>
              <w:rPr>
                <w:rFonts w:ascii="宋体" w:hAnsi="宋体" w:cs="等线"/>
                <w:color w:val="000000"/>
                <w:kern w:val="0"/>
                <w:sz w:val="18"/>
                <w:szCs w:val="18"/>
                <w:lang w:bidi="ar"/>
              </w:rPr>
              <w:t xml:space="preserve">64.00 </w:t>
            </w:r>
          </w:p>
        </w:tc>
      </w:tr>
      <w:tr>
        <w:tblPrEx>
          <w:tblCellMar>
            <w:top w:w="0" w:type="dxa"/>
            <w:left w:w="0" w:type="dxa"/>
            <w:bottom w:w="0" w:type="dxa"/>
            <w:right w:w="0"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等线"/>
                <w:color w:val="000000"/>
                <w:sz w:val="18"/>
                <w:szCs w:val="18"/>
              </w:rPr>
            </w:pPr>
            <w:r>
              <w:rPr>
                <w:rFonts w:ascii="宋体" w:hAnsi="宋体" w:cs="等线"/>
                <w:color w:val="000000"/>
                <w:kern w:val="0"/>
                <w:sz w:val="18"/>
                <w:szCs w:val="18"/>
                <w:lang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等线"/>
                <w:color w:val="000000"/>
                <w:sz w:val="18"/>
                <w:szCs w:val="18"/>
              </w:rPr>
            </w:pPr>
            <w:r>
              <w:rPr>
                <w:rFonts w:ascii="宋体" w:hAnsi="宋体" w:cs="等线"/>
                <w:color w:val="000000"/>
                <w:kern w:val="0"/>
                <w:sz w:val="18"/>
                <w:szCs w:val="18"/>
                <w:lang w:bidi="ar"/>
              </w:rPr>
              <w:t>86型RJ45配套面板 白色</w:t>
            </w:r>
          </w:p>
        </w:tc>
        <w:tc>
          <w:tcPr>
            <w:tcW w:w="62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双口86型信息面板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等线"/>
                <w:color w:val="000000"/>
                <w:sz w:val="18"/>
                <w:szCs w:val="18"/>
              </w:rPr>
            </w:pPr>
            <w:r>
              <w:rPr>
                <w:rFonts w:ascii="宋体" w:hAnsi="宋体" w:cs="等线"/>
                <w:color w:val="000000"/>
                <w:kern w:val="0"/>
                <w:sz w:val="18"/>
                <w:szCs w:val="18"/>
                <w:lang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等线"/>
                <w:color w:val="000000"/>
                <w:sz w:val="18"/>
                <w:szCs w:val="18"/>
              </w:rPr>
            </w:pPr>
            <w:r>
              <w:rPr>
                <w:rFonts w:ascii="宋体" w:hAnsi="宋体" w:cs="等线"/>
                <w:color w:val="000000"/>
                <w:kern w:val="0"/>
                <w:sz w:val="18"/>
                <w:szCs w:val="18"/>
                <w:lang w:bidi="ar"/>
              </w:rPr>
              <w:t xml:space="preserve">20.00 </w:t>
            </w:r>
          </w:p>
        </w:tc>
      </w:tr>
      <w:tr>
        <w:tblPrEx>
          <w:tblCellMar>
            <w:top w:w="0" w:type="dxa"/>
            <w:left w:w="0" w:type="dxa"/>
            <w:bottom w:w="0" w:type="dxa"/>
            <w:right w:w="0"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等线"/>
                <w:color w:val="000000"/>
                <w:sz w:val="18"/>
                <w:szCs w:val="18"/>
              </w:rPr>
            </w:pPr>
            <w:r>
              <w:rPr>
                <w:rFonts w:ascii="宋体" w:hAnsi="宋体" w:cs="等线"/>
                <w:color w:val="000000"/>
                <w:kern w:val="0"/>
                <w:sz w:val="18"/>
                <w:szCs w:val="18"/>
                <w:lang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等线"/>
                <w:color w:val="000000"/>
                <w:sz w:val="18"/>
                <w:szCs w:val="18"/>
              </w:rPr>
            </w:pPr>
            <w:r>
              <w:rPr>
                <w:rFonts w:ascii="宋体" w:hAnsi="宋体" w:cs="等线"/>
                <w:color w:val="000000"/>
                <w:kern w:val="0"/>
                <w:sz w:val="18"/>
                <w:szCs w:val="18"/>
                <w:lang w:bidi="ar"/>
              </w:rPr>
              <w:t>1U金属理线器</w:t>
            </w:r>
          </w:p>
        </w:tc>
        <w:tc>
          <w:tcPr>
            <w:tcW w:w="62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1U翻转盖理线架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等线"/>
                <w:color w:val="000000"/>
                <w:sz w:val="18"/>
                <w:szCs w:val="18"/>
              </w:rPr>
            </w:pPr>
            <w:r>
              <w:rPr>
                <w:rFonts w:ascii="宋体" w:hAnsi="宋体" w:cs="等线"/>
                <w:color w:val="000000"/>
                <w:kern w:val="0"/>
                <w:sz w:val="18"/>
                <w:szCs w:val="18"/>
                <w:lang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等线"/>
                <w:color w:val="000000"/>
                <w:sz w:val="18"/>
                <w:szCs w:val="18"/>
              </w:rPr>
            </w:pPr>
            <w:r>
              <w:rPr>
                <w:rFonts w:ascii="宋体" w:hAnsi="宋体" w:cs="等线"/>
                <w:color w:val="000000"/>
                <w:kern w:val="0"/>
                <w:sz w:val="18"/>
                <w:szCs w:val="18"/>
                <w:lang w:bidi="ar"/>
              </w:rPr>
              <w:t xml:space="preserve">4.00 </w:t>
            </w:r>
          </w:p>
        </w:tc>
      </w:tr>
      <w:tr>
        <w:tblPrEx>
          <w:tblCellMar>
            <w:top w:w="0" w:type="dxa"/>
            <w:left w:w="0" w:type="dxa"/>
            <w:bottom w:w="0" w:type="dxa"/>
            <w:right w:w="0"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等线"/>
                <w:color w:val="000000"/>
                <w:sz w:val="18"/>
                <w:szCs w:val="18"/>
              </w:rPr>
            </w:pPr>
            <w:r>
              <w:rPr>
                <w:rFonts w:ascii="宋体" w:hAnsi="宋体" w:cs="等线"/>
                <w:color w:val="000000"/>
                <w:kern w:val="0"/>
                <w:sz w:val="18"/>
                <w:szCs w:val="18"/>
                <w:lang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等线"/>
                <w:color w:val="000000"/>
                <w:sz w:val="18"/>
                <w:szCs w:val="18"/>
              </w:rPr>
            </w:pPr>
            <w:r>
              <w:rPr>
                <w:rFonts w:ascii="宋体" w:hAnsi="宋体" w:cs="等线"/>
                <w:color w:val="000000"/>
                <w:kern w:val="0"/>
                <w:sz w:val="18"/>
                <w:szCs w:val="18"/>
                <w:lang w:bidi="ar"/>
              </w:rPr>
              <w:t>200芯 无氧铜专业音箱线</w:t>
            </w:r>
          </w:p>
        </w:tc>
        <w:tc>
          <w:tcPr>
            <w:tcW w:w="62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200芯 无氧铜专业音箱线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等线"/>
                <w:color w:val="000000"/>
                <w:sz w:val="18"/>
                <w:szCs w:val="18"/>
              </w:rPr>
            </w:pPr>
            <w:r>
              <w:rPr>
                <w:rFonts w:ascii="宋体" w:hAnsi="宋体" w:cs="等线"/>
                <w:color w:val="000000"/>
                <w:kern w:val="0"/>
                <w:sz w:val="18"/>
                <w:szCs w:val="18"/>
                <w:lang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等线"/>
                <w:color w:val="000000"/>
                <w:sz w:val="18"/>
                <w:szCs w:val="18"/>
              </w:rPr>
            </w:pPr>
            <w:r>
              <w:rPr>
                <w:rFonts w:ascii="宋体" w:hAnsi="宋体" w:cs="等线"/>
                <w:color w:val="000000"/>
                <w:kern w:val="0"/>
                <w:sz w:val="18"/>
                <w:szCs w:val="18"/>
                <w:lang w:bidi="ar"/>
              </w:rPr>
              <w:t xml:space="preserve">200.00 </w:t>
            </w:r>
          </w:p>
        </w:tc>
      </w:tr>
      <w:tr>
        <w:tblPrEx>
          <w:tblCellMar>
            <w:top w:w="0" w:type="dxa"/>
            <w:left w:w="0" w:type="dxa"/>
            <w:bottom w:w="0" w:type="dxa"/>
            <w:right w:w="0"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等线"/>
                <w:color w:val="000000"/>
                <w:sz w:val="18"/>
                <w:szCs w:val="18"/>
              </w:rPr>
            </w:pPr>
            <w:r>
              <w:rPr>
                <w:rFonts w:ascii="宋体" w:hAnsi="宋体" w:cs="等线"/>
                <w:color w:val="000000"/>
                <w:kern w:val="0"/>
                <w:sz w:val="18"/>
                <w:szCs w:val="18"/>
                <w:lang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等线"/>
                <w:color w:val="000000"/>
                <w:sz w:val="18"/>
                <w:szCs w:val="18"/>
              </w:rPr>
            </w:pPr>
            <w:r>
              <w:rPr>
                <w:rFonts w:ascii="宋体" w:hAnsi="宋体" w:cs="等线"/>
                <w:color w:val="000000"/>
                <w:kern w:val="0"/>
                <w:sz w:val="18"/>
                <w:szCs w:val="18"/>
                <w:lang w:bidi="ar"/>
              </w:rPr>
              <w:t>HDMI 3米线材 V2.0版本高清</w:t>
            </w:r>
          </w:p>
        </w:tc>
        <w:tc>
          <w:tcPr>
            <w:tcW w:w="62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3米V2.0版本高清HDMI连接线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等线"/>
                <w:color w:val="000000"/>
                <w:sz w:val="18"/>
                <w:szCs w:val="18"/>
              </w:rPr>
            </w:pPr>
            <w:r>
              <w:rPr>
                <w:rFonts w:ascii="宋体" w:hAnsi="宋体" w:cs="等线"/>
                <w:color w:val="000000"/>
                <w:kern w:val="0"/>
                <w:sz w:val="18"/>
                <w:szCs w:val="18"/>
                <w:lang w:bidi="ar"/>
              </w:rPr>
              <w:t>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等线"/>
                <w:color w:val="000000"/>
                <w:sz w:val="18"/>
                <w:szCs w:val="18"/>
              </w:rPr>
            </w:pPr>
            <w:r>
              <w:rPr>
                <w:rFonts w:ascii="宋体" w:hAnsi="宋体" w:cs="等线"/>
                <w:color w:val="000000"/>
                <w:kern w:val="0"/>
                <w:sz w:val="18"/>
                <w:szCs w:val="18"/>
                <w:lang w:bidi="ar"/>
              </w:rPr>
              <w:t xml:space="preserve">8.00 </w:t>
            </w:r>
          </w:p>
        </w:tc>
      </w:tr>
      <w:tr>
        <w:tblPrEx>
          <w:tblCellMar>
            <w:top w:w="0" w:type="dxa"/>
            <w:left w:w="0" w:type="dxa"/>
            <w:bottom w:w="0" w:type="dxa"/>
            <w:right w:w="0"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等线"/>
                <w:color w:val="000000"/>
                <w:sz w:val="18"/>
                <w:szCs w:val="18"/>
              </w:rPr>
            </w:pPr>
            <w:r>
              <w:rPr>
                <w:rFonts w:ascii="宋体" w:hAnsi="宋体" w:cs="等线"/>
                <w:color w:val="000000"/>
                <w:kern w:val="0"/>
                <w:sz w:val="18"/>
                <w:szCs w:val="18"/>
                <w:lang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cs="等线"/>
                <w:color w:val="000000"/>
                <w:sz w:val="18"/>
                <w:szCs w:val="18"/>
              </w:rPr>
            </w:pPr>
            <w:r>
              <w:rPr>
                <w:rFonts w:ascii="宋体" w:hAnsi="宋体" w:cs="等线"/>
                <w:color w:val="000000"/>
                <w:kern w:val="0"/>
                <w:sz w:val="18"/>
                <w:szCs w:val="18"/>
                <w:lang w:bidi="ar"/>
              </w:rPr>
              <w:t>HDMI 15米线材 V2.0版本高清</w:t>
            </w:r>
          </w:p>
        </w:tc>
        <w:tc>
          <w:tcPr>
            <w:tcW w:w="62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15米V2.0版本高清HDMI连接线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等线"/>
                <w:color w:val="000000"/>
                <w:sz w:val="18"/>
                <w:szCs w:val="18"/>
              </w:rPr>
            </w:pPr>
            <w:r>
              <w:rPr>
                <w:rFonts w:ascii="宋体" w:hAnsi="宋体" w:cs="等线"/>
                <w:color w:val="000000"/>
                <w:kern w:val="0"/>
                <w:sz w:val="18"/>
                <w:szCs w:val="18"/>
                <w:lang w:bidi="ar"/>
              </w:rPr>
              <w:t>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等线"/>
                <w:color w:val="000000"/>
                <w:sz w:val="18"/>
                <w:szCs w:val="18"/>
              </w:rPr>
            </w:pPr>
            <w:r>
              <w:rPr>
                <w:rFonts w:ascii="宋体" w:hAnsi="宋体" w:cs="等线"/>
                <w:color w:val="000000"/>
                <w:kern w:val="0"/>
                <w:sz w:val="18"/>
                <w:szCs w:val="18"/>
                <w:lang w:bidi="ar"/>
              </w:rPr>
              <w:t xml:space="preserve">8.00 </w:t>
            </w:r>
          </w:p>
        </w:tc>
      </w:tr>
      <w:tr>
        <w:tblPrEx>
          <w:tblCellMar>
            <w:top w:w="0" w:type="dxa"/>
            <w:left w:w="0" w:type="dxa"/>
            <w:bottom w:w="0" w:type="dxa"/>
            <w:right w:w="0"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等线"/>
                <w:color w:val="000000"/>
                <w:sz w:val="18"/>
                <w:szCs w:val="18"/>
              </w:rPr>
            </w:pPr>
            <w:r>
              <w:rPr>
                <w:rFonts w:ascii="宋体" w:hAnsi="宋体" w:cs="等线"/>
                <w:color w:val="000000"/>
                <w:kern w:val="0"/>
                <w:sz w:val="18"/>
                <w:szCs w:val="18"/>
                <w:lang w:bidi="ar"/>
              </w:rPr>
              <w:t>16</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等线"/>
                <w:color w:val="000000"/>
                <w:sz w:val="18"/>
                <w:szCs w:val="18"/>
              </w:rPr>
            </w:pPr>
            <w:r>
              <w:rPr>
                <w:rFonts w:ascii="宋体" w:hAnsi="宋体" w:cs="等线"/>
                <w:color w:val="000000"/>
                <w:kern w:val="0"/>
                <w:sz w:val="18"/>
                <w:szCs w:val="18"/>
                <w:lang w:bidi="ar"/>
              </w:rPr>
              <w:t>D型信号配线架 16口 1U</w:t>
            </w:r>
          </w:p>
        </w:tc>
        <w:tc>
          <w:tcPr>
            <w:tcW w:w="62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D型信号网线配线架16口 1U</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等线"/>
                <w:color w:val="000000"/>
                <w:sz w:val="18"/>
                <w:szCs w:val="18"/>
              </w:rPr>
            </w:pPr>
            <w:r>
              <w:rPr>
                <w:rFonts w:ascii="宋体" w:hAnsi="宋体" w:cs="等线"/>
                <w:color w:val="000000"/>
                <w:kern w:val="0"/>
                <w:sz w:val="18"/>
                <w:szCs w:val="18"/>
                <w:lang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等线"/>
                <w:color w:val="000000"/>
                <w:sz w:val="18"/>
                <w:szCs w:val="18"/>
              </w:rPr>
            </w:pPr>
            <w:r>
              <w:rPr>
                <w:rFonts w:ascii="宋体" w:hAnsi="宋体" w:cs="等线"/>
                <w:color w:val="000000"/>
                <w:kern w:val="0"/>
                <w:sz w:val="18"/>
                <w:szCs w:val="18"/>
                <w:lang w:bidi="ar"/>
              </w:rPr>
              <w:t xml:space="preserve">1.00 </w:t>
            </w:r>
          </w:p>
        </w:tc>
      </w:tr>
      <w:tr>
        <w:tblPrEx>
          <w:tblCellMar>
            <w:top w:w="0" w:type="dxa"/>
            <w:left w:w="0" w:type="dxa"/>
            <w:bottom w:w="0" w:type="dxa"/>
            <w:right w:w="0"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等线"/>
                <w:color w:val="000000"/>
                <w:sz w:val="18"/>
                <w:szCs w:val="18"/>
              </w:rPr>
            </w:pPr>
            <w:r>
              <w:rPr>
                <w:rFonts w:ascii="宋体" w:hAnsi="宋体" w:cs="等线"/>
                <w:color w:val="000000"/>
                <w:kern w:val="0"/>
                <w:sz w:val="18"/>
                <w:szCs w:val="18"/>
                <w:lang w:bidi="ar"/>
              </w:rPr>
              <w:t>17</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等线"/>
                <w:color w:val="000000"/>
                <w:sz w:val="18"/>
                <w:szCs w:val="18"/>
              </w:rPr>
            </w:pPr>
            <w:r>
              <w:rPr>
                <w:rFonts w:ascii="宋体" w:hAnsi="宋体" w:cs="等线"/>
                <w:color w:val="000000"/>
                <w:kern w:val="0"/>
                <w:sz w:val="18"/>
                <w:szCs w:val="18"/>
                <w:lang w:bidi="ar"/>
              </w:rPr>
              <w:t>D型86面板</w:t>
            </w:r>
          </w:p>
        </w:tc>
        <w:tc>
          <w:tcPr>
            <w:tcW w:w="62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D型模块底座86面板信息盒：AV、卡侬、RCA、网络、HDMI</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等线"/>
                <w:color w:val="000000"/>
                <w:sz w:val="18"/>
                <w:szCs w:val="18"/>
              </w:rPr>
            </w:pPr>
            <w:r>
              <w:rPr>
                <w:rFonts w:ascii="宋体" w:hAnsi="宋体" w:cs="等线"/>
                <w:color w:val="000000"/>
                <w:kern w:val="0"/>
                <w:sz w:val="18"/>
                <w:szCs w:val="18"/>
                <w:lang w:bidi="ar"/>
              </w:rPr>
              <w:t>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等线"/>
                <w:color w:val="000000"/>
                <w:sz w:val="18"/>
                <w:szCs w:val="18"/>
              </w:rPr>
            </w:pPr>
            <w:r>
              <w:rPr>
                <w:rFonts w:ascii="宋体" w:hAnsi="宋体" w:cs="等线"/>
                <w:color w:val="000000"/>
                <w:kern w:val="0"/>
                <w:sz w:val="18"/>
                <w:szCs w:val="18"/>
                <w:lang w:bidi="ar"/>
              </w:rPr>
              <w:t xml:space="preserve">12.00 </w:t>
            </w:r>
          </w:p>
        </w:tc>
      </w:tr>
      <w:tr>
        <w:tblPrEx>
          <w:tblCellMar>
            <w:top w:w="0" w:type="dxa"/>
            <w:left w:w="0" w:type="dxa"/>
            <w:bottom w:w="0" w:type="dxa"/>
            <w:right w:w="0"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等线"/>
                <w:color w:val="000000"/>
                <w:sz w:val="18"/>
                <w:szCs w:val="18"/>
              </w:rPr>
            </w:pPr>
            <w:r>
              <w:rPr>
                <w:rFonts w:ascii="宋体" w:hAnsi="宋体" w:cs="等线"/>
                <w:color w:val="000000"/>
                <w:kern w:val="0"/>
                <w:sz w:val="18"/>
                <w:szCs w:val="18"/>
                <w:lang w:bidi="ar"/>
              </w:rPr>
              <w:t>18</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等线"/>
                <w:color w:val="000000"/>
                <w:sz w:val="18"/>
                <w:szCs w:val="18"/>
              </w:rPr>
            </w:pPr>
            <w:r>
              <w:rPr>
                <w:rFonts w:ascii="宋体" w:hAnsi="宋体" w:cs="等线"/>
                <w:color w:val="000000"/>
                <w:kern w:val="0"/>
                <w:sz w:val="18"/>
                <w:szCs w:val="18"/>
                <w:lang w:bidi="ar"/>
              </w:rPr>
              <w:t>D型 SpeakON 插座</w:t>
            </w:r>
          </w:p>
        </w:tc>
        <w:tc>
          <w:tcPr>
            <w:tcW w:w="62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电器五孔插座、网线插座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等线"/>
                <w:color w:val="000000"/>
                <w:sz w:val="18"/>
                <w:szCs w:val="18"/>
              </w:rPr>
            </w:pPr>
            <w:r>
              <w:rPr>
                <w:rFonts w:ascii="宋体" w:hAnsi="宋体" w:cs="等线"/>
                <w:color w:val="000000"/>
                <w:kern w:val="0"/>
                <w:sz w:val="18"/>
                <w:szCs w:val="18"/>
                <w:lang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等线"/>
                <w:color w:val="000000"/>
                <w:sz w:val="18"/>
                <w:szCs w:val="18"/>
              </w:rPr>
            </w:pPr>
            <w:r>
              <w:rPr>
                <w:rFonts w:ascii="宋体" w:hAnsi="宋体" w:cs="等线"/>
                <w:color w:val="000000"/>
                <w:kern w:val="0"/>
                <w:sz w:val="18"/>
                <w:szCs w:val="18"/>
                <w:lang w:bidi="ar"/>
              </w:rPr>
              <w:t xml:space="preserve">6.00 </w:t>
            </w:r>
          </w:p>
        </w:tc>
      </w:tr>
      <w:tr>
        <w:tblPrEx>
          <w:tblCellMar>
            <w:top w:w="0" w:type="dxa"/>
            <w:left w:w="0" w:type="dxa"/>
            <w:bottom w:w="0" w:type="dxa"/>
            <w:right w:w="0"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等线"/>
                <w:color w:val="000000"/>
                <w:sz w:val="18"/>
                <w:szCs w:val="18"/>
              </w:rPr>
            </w:pPr>
            <w:r>
              <w:rPr>
                <w:rFonts w:ascii="宋体" w:hAnsi="宋体" w:cs="等线"/>
                <w:color w:val="000000"/>
                <w:kern w:val="0"/>
                <w:sz w:val="18"/>
                <w:szCs w:val="18"/>
                <w:lang w:bidi="ar"/>
              </w:rPr>
              <w:t>19</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等线"/>
                <w:color w:val="000000"/>
                <w:sz w:val="18"/>
                <w:szCs w:val="18"/>
              </w:rPr>
            </w:pPr>
            <w:r>
              <w:rPr>
                <w:rFonts w:ascii="宋体" w:hAnsi="宋体" w:cs="等线"/>
                <w:color w:val="000000"/>
                <w:kern w:val="0"/>
                <w:sz w:val="18"/>
                <w:szCs w:val="18"/>
                <w:lang w:bidi="ar"/>
              </w:rPr>
              <w:t>D型 HDMI插座</w:t>
            </w:r>
          </w:p>
        </w:tc>
        <w:tc>
          <w:tcPr>
            <w:tcW w:w="622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HDMI2.0高清模块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等线"/>
                <w:color w:val="000000"/>
                <w:sz w:val="18"/>
                <w:szCs w:val="18"/>
              </w:rPr>
            </w:pPr>
            <w:r>
              <w:rPr>
                <w:rFonts w:ascii="宋体" w:hAnsi="宋体" w:cs="等线"/>
                <w:color w:val="000000"/>
                <w:kern w:val="0"/>
                <w:sz w:val="18"/>
                <w:szCs w:val="18"/>
                <w:lang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等线"/>
                <w:color w:val="000000"/>
                <w:sz w:val="18"/>
                <w:szCs w:val="18"/>
              </w:rPr>
            </w:pPr>
            <w:r>
              <w:rPr>
                <w:rFonts w:ascii="宋体" w:hAnsi="宋体" w:cs="等线"/>
                <w:color w:val="000000"/>
                <w:kern w:val="0"/>
                <w:sz w:val="18"/>
                <w:szCs w:val="18"/>
                <w:lang w:bidi="ar"/>
              </w:rPr>
              <w:t xml:space="preserve">6.00 </w:t>
            </w:r>
          </w:p>
        </w:tc>
      </w:tr>
    </w:tbl>
    <w:p>
      <w:pPr>
        <w:adjustRightInd w:val="0"/>
        <w:snapToGrid w:val="0"/>
        <w:spacing w:line="450" w:lineRule="exact"/>
        <w:jc w:val="center"/>
        <w:rPr>
          <w:b/>
          <w:sz w:val="36"/>
          <w:szCs w:val="36"/>
        </w:rPr>
      </w:pPr>
      <w:r>
        <w:rPr>
          <w:rFonts w:hint="eastAsia"/>
          <w:b/>
          <w:sz w:val="36"/>
          <w:szCs w:val="36"/>
        </w:rPr>
        <w:t>大数据采购清单</w:t>
      </w:r>
    </w:p>
    <w:tbl>
      <w:tblPr>
        <w:tblStyle w:val="24"/>
        <w:tblW w:w="9660" w:type="dxa"/>
        <w:tblInd w:w="0" w:type="dxa"/>
        <w:tblLayout w:type="autofit"/>
        <w:tblCellMar>
          <w:top w:w="0" w:type="dxa"/>
          <w:left w:w="0" w:type="dxa"/>
          <w:bottom w:w="0" w:type="dxa"/>
          <w:right w:w="0" w:type="dxa"/>
        </w:tblCellMar>
      </w:tblPr>
      <w:tblGrid>
        <w:gridCol w:w="300"/>
        <w:gridCol w:w="570"/>
        <w:gridCol w:w="1485"/>
        <w:gridCol w:w="6315"/>
        <w:gridCol w:w="495"/>
        <w:gridCol w:w="495"/>
      </w:tblGrid>
      <w:tr>
        <w:tblPrEx>
          <w:tblCellMar>
            <w:top w:w="0" w:type="dxa"/>
            <w:left w:w="0" w:type="dxa"/>
            <w:bottom w:w="0" w:type="dxa"/>
            <w:right w:w="0" w:type="dxa"/>
          </w:tblCellMar>
        </w:tblPrEx>
        <w:trPr>
          <w:trHeight w:val="240" w:hRule="atLeast"/>
        </w:trPr>
        <w:tc>
          <w:tcPr>
            <w:tcW w:w="9660" w:type="dxa"/>
            <w:gridSpan w:val="6"/>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等线" w:hAnsi="等线" w:eastAsia="等线" w:cs="等线"/>
                <w:color w:val="000000"/>
                <w:sz w:val="20"/>
                <w:szCs w:val="20"/>
              </w:rPr>
            </w:pPr>
            <w:r>
              <w:rPr>
                <w:rFonts w:ascii="等线" w:hAnsi="等线" w:eastAsia="等线" w:cs="等线"/>
                <w:color w:val="000000"/>
                <w:kern w:val="0"/>
                <w:sz w:val="20"/>
                <w:szCs w:val="20"/>
                <w:lang w:bidi="ar"/>
              </w:rPr>
              <w:t>大数据-机房设备</w:t>
            </w:r>
          </w:p>
        </w:tc>
      </w:tr>
      <w:tr>
        <w:tblPrEx>
          <w:tblCellMar>
            <w:top w:w="0" w:type="dxa"/>
            <w:left w:w="0" w:type="dxa"/>
            <w:bottom w:w="0" w:type="dxa"/>
            <w:right w:w="0" w:type="dxa"/>
          </w:tblCellMar>
        </w:tblPrEx>
        <w:trPr>
          <w:trHeight w:val="480" w:hRule="atLeast"/>
        </w:trPr>
        <w:tc>
          <w:tcPr>
            <w:tcW w:w="30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等线" w:hAnsi="等线" w:eastAsia="等线" w:cs="等线"/>
                <w:color w:val="000000"/>
                <w:sz w:val="20"/>
                <w:szCs w:val="20"/>
              </w:rPr>
            </w:pPr>
            <w:r>
              <w:rPr>
                <w:rFonts w:ascii="等线" w:hAnsi="等线" w:eastAsia="等线" w:cs="等线"/>
                <w:color w:val="000000"/>
                <w:kern w:val="0"/>
                <w:sz w:val="20"/>
                <w:szCs w:val="20"/>
                <w:lang w:bidi="ar"/>
              </w:rPr>
              <w:t>序号</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等线" w:hAnsi="等线" w:eastAsia="等线" w:cs="等线"/>
                <w:color w:val="000000"/>
                <w:sz w:val="20"/>
                <w:szCs w:val="20"/>
              </w:rPr>
            </w:pPr>
            <w:r>
              <w:rPr>
                <w:rFonts w:ascii="等线" w:hAnsi="等线" w:eastAsia="等线" w:cs="等线"/>
                <w:color w:val="000000"/>
                <w:kern w:val="0"/>
                <w:sz w:val="20"/>
                <w:szCs w:val="20"/>
                <w:lang w:bidi="ar"/>
              </w:rPr>
              <w:t>类型</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等线" w:hAnsi="等线" w:eastAsia="等线" w:cs="等线"/>
                <w:color w:val="000000"/>
                <w:sz w:val="20"/>
                <w:szCs w:val="20"/>
              </w:rPr>
            </w:pPr>
            <w:r>
              <w:rPr>
                <w:rFonts w:ascii="等线" w:hAnsi="等线" w:eastAsia="等线" w:cs="等线"/>
                <w:color w:val="000000"/>
                <w:kern w:val="0"/>
                <w:sz w:val="20"/>
                <w:szCs w:val="20"/>
                <w:lang w:bidi="ar"/>
              </w:rPr>
              <w:t>指标项</w:t>
            </w:r>
          </w:p>
        </w:tc>
        <w:tc>
          <w:tcPr>
            <w:tcW w:w="631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等线" w:hAnsi="等线" w:eastAsia="等线" w:cs="等线"/>
                <w:color w:val="000000"/>
                <w:sz w:val="20"/>
                <w:szCs w:val="20"/>
              </w:rPr>
            </w:pPr>
            <w:r>
              <w:rPr>
                <w:rFonts w:ascii="等线" w:hAnsi="等线" w:eastAsia="等线" w:cs="等线"/>
                <w:color w:val="000000"/>
                <w:kern w:val="0"/>
                <w:sz w:val="20"/>
                <w:szCs w:val="20"/>
                <w:lang w:bidi="ar"/>
              </w:rPr>
              <w:t>指标要求</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等线" w:hAnsi="等线" w:eastAsia="等线" w:cs="等线"/>
                <w:color w:val="000000"/>
                <w:sz w:val="20"/>
                <w:szCs w:val="20"/>
              </w:rPr>
            </w:pPr>
            <w:r>
              <w:rPr>
                <w:rFonts w:ascii="等线" w:hAnsi="等线" w:eastAsia="等线" w:cs="等线"/>
                <w:color w:val="000000"/>
                <w:kern w:val="0"/>
                <w:sz w:val="20"/>
                <w:szCs w:val="20"/>
                <w:lang w:bidi="ar"/>
              </w:rPr>
              <w:t>单位</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等线" w:hAnsi="等线" w:eastAsia="等线" w:cs="等线"/>
                <w:color w:val="000000"/>
                <w:sz w:val="20"/>
                <w:szCs w:val="20"/>
              </w:rPr>
            </w:pPr>
            <w:r>
              <w:rPr>
                <w:rFonts w:ascii="等线" w:hAnsi="等线" w:eastAsia="等线" w:cs="等线"/>
                <w:color w:val="000000"/>
                <w:kern w:val="0"/>
                <w:sz w:val="20"/>
                <w:szCs w:val="20"/>
                <w:lang w:bidi="ar"/>
              </w:rPr>
              <w:t>数量</w:t>
            </w:r>
          </w:p>
        </w:tc>
      </w:tr>
      <w:tr>
        <w:tblPrEx>
          <w:tblCellMar>
            <w:top w:w="0" w:type="dxa"/>
            <w:left w:w="0" w:type="dxa"/>
            <w:bottom w:w="0" w:type="dxa"/>
            <w:right w:w="0" w:type="dxa"/>
          </w:tblCellMar>
        </w:tblPrEx>
        <w:trPr>
          <w:trHeight w:val="1440" w:hRule="atLeast"/>
        </w:trPr>
        <w:tc>
          <w:tcPr>
            <w:tcW w:w="30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等线" w:hAnsi="等线" w:eastAsia="等线" w:cs="等线"/>
                <w:color w:val="000000"/>
                <w:sz w:val="20"/>
                <w:szCs w:val="20"/>
              </w:rPr>
            </w:pPr>
            <w:r>
              <w:rPr>
                <w:rFonts w:ascii="等线" w:hAnsi="等线" w:eastAsia="等线" w:cs="等线"/>
                <w:color w:val="000000"/>
                <w:kern w:val="0"/>
                <w:sz w:val="20"/>
                <w:szCs w:val="20"/>
                <w:lang w:bidi="ar"/>
              </w:rPr>
              <w:t>1</w:t>
            </w:r>
          </w:p>
        </w:tc>
        <w:tc>
          <w:tcPr>
            <w:tcW w:w="57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等线" w:hAnsi="等线" w:eastAsia="等线" w:cs="等线"/>
                <w:color w:val="000000"/>
                <w:sz w:val="20"/>
                <w:szCs w:val="20"/>
              </w:rPr>
            </w:pPr>
            <w:r>
              <w:rPr>
                <w:rFonts w:ascii="等线" w:hAnsi="等线" w:eastAsia="等线" w:cs="等线"/>
                <w:color w:val="000000"/>
                <w:kern w:val="0"/>
                <w:sz w:val="20"/>
                <w:szCs w:val="20"/>
                <w:lang w:bidi="ar"/>
              </w:rPr>
              <w:t>核心交换机</w:t>
            </w: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等线"/>
                <w:color w:val="000000"/>
                <w:sz w:val="18"/>
                <w:szCs w:val="18"/>
              </w:rPr>
            </w:pPr>
            <w:r>
              <w:rPr>
                <w:rFonts w:ascii="宋体" w:hAnsi="宋体" w:cs="等线"/>
                <w:color w:val="000000"/>
                <w:kern w:val="0"/>
                <w:sz w:val="18"/>
                <w:szCs w:val="18"/>
                <w:lang w:bidi="ar"/>
              </w:rPr>
              <w:t>硬件规格</w:t>
            </w:r>
          </w:p>
        </w:tc>
        <w:tc>
          <w:tcPr>
            <w:tcW w:w="631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为保证设备后续性能的可扩展性并提高设备的稳定性，投标产品的硬件架构需要交换网板与线卡成垂直90°正交连接。</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采用CLOS交换架构，交换网板有独立插槽且与主控引擎、业务板硬件分离，业务板槽位采用竖插槽方式设计，便于通风；</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独立主控引擎插槽≥2个，独立业务插槽≥10个，独立交换网板插槽≥4个，主控引擎故障情况下，不能影响整机转发能力。</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等线" w:hAnsi="等线" w:eastAsia="等线" w:cs="等线"/>
                <w:color w:val="000000"/>
                <w:sz w:val="20"/>
                <w:szCs w:val="20"/>
              </w:rPr>
            </w:pPr>
            <w:r>
              <w:rPr>
                <w:rFonts w:ascii="等线" w:hAnsi="等线" w:eastAsia="等线" w:cs="等线"/>
                <w:color w:val="000000"/>
                <w:kern w:val="0"/>
                <w:sz w:val="20"/>
                <w:szCs w:val="20"/>
                <w:lang w:bidi="ar"/>
              </w:rPr>
              <w:t>台</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等线" w:hAnsi="等线" w:eastAsia="等线" w:cs="等线"/>
                <w:color w:val="000000"/>
                <w:sz w:val="20"/>
                <w:szCs w:val="20"/>
              </w:rPr>
            </w:pPr>
            <w:r>
              <w:rPr>
                <w:rFonts w:ascii="等线" w:hAnsi="等线" w:eastAsia="等线" w:cs="等线"/>
                <w:color w:val="000000"/>
                <w:kern w:val="0"/>
                <w:sz w:val="20"/>
                <w:szCs w:val="20"/>
                <w:lang w:bidi="ar"/>
              </w:rPr>
              <w:t>1</w:t>
            </w:r>
          </w:p>
        </w:tc>
      </w:tr>
      <w:tr>
        <w:tblPrEx>
          <w:tblCellMar>
            <w:top w:w="0" w:type="dxa"/>
            <w:left w:w="0" w:type="dxa"/>
            <w:bottom w:w="0" w:type="dxa"/>
            <w:right w:w="0" w:type="dxa"/>
          </w:tblCellMar>
        </w:tblPrEx>
        <w:trPr>
          <w:trHeight w:val="480" w:hRule="atLeast"/>
        </w:trPr>
        <w:tc>
          <w:tcPr>
            <w:tcW w:w="3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等线" w:hAnsi="等线" w:eastAsia="等线" w:cs="等线"/>
                <w:color w:val="000000"/>
                <w:sz w:val="20"/>
                <w:szCs w:val="20"/>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等线" w:hAnsi="等线" w:eastAsia="等线" w:cs="等线"/>
                <w:color w:val="000000"/>
                <w:sz w:val="20"/>
                <w:szCs w:val="20"/>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等线"/>
                <w:color w:val="000000"/>
                <w:sz w:val="18"/>
                <w:szCs w:val="18"/>
              </w:rPr>
            </w:pPr>
            <w:r>
              <w:rPr>
                <w:rFonts w:ascii="宋体" w:hAnsi="宋体" w:cs="等线"/>
                <w:color w:val="000000"/>
                <w:kern w:val="0"/>
                <w:sz w:val="18"/>
                <w:szCs w:val="18"/>
                <w:lang w:bidi="ar"/>
              </w:rPr>
              <w:t>性能参数</w:t>
            </w:r>
          </w:p>
        </w:tc>
        <w:tc>
          <w:tcPr>
            <w:tcW w:w="631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交换容量≥500Tbps，包转发性能≥120,000Mpps  单跳报文最小转发时延＜1μs，整机MAC地址表项≥512K，整机IPV4路由表项≥512K</w:t>
            </w: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等线" w:hAnsi="等线" w:eastAsia="等线" w:cs="等线"/>
                <w:color w:val="000000"/>
                <w:sz w:val="20"/>
                <w:szCs w:val="20"/>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等线" w:hAnsi="等线" w:eastAsia="等线" w:cs="等线"/>
                <w:color w:val="000000"/>
                <w:sz w:val="20"/>
                <w:szCs w:val="20"/>
              </w:rPr>
            </w:pPr>
          </w:p>
        </w:tc>
      </w:tr>
      <w:tr>
        <w:tblPrEx>
          <w:tblCellMar>
            <w:top w:w="0" w:type="dxa"/>
            <w:left w:w="0" w:type="dxa"/>
            <w:bottom w:w="0" w:type="dxa"/>
            <w:right w:w="0" w:type="dxa"/>
          </w:tblCellMar>
        </w:tblPrEx>
        <w:trPr>
          <w:trHeight w:val="3360" w:hRule="atLeast"/>
        </w:trPr>
        <w:tc>
          <w:tcPr>
            <w:tcW w:w="3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等线" w:hAnsi="等线" w:eastAsia="等线" w:cs="等线"/>
                <w:color w:val="000000"/>
                <w:sz w:val="20"/>
                <w:szCs w:val="20"/>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等线" w:hAnsi="等线" w:eastAsia="等线" w:cs="等线"/>
                <w:color w:val="000000"/>
                <w:sz w:val="20"/>
                <w:szCs w:val="20"/>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等线"/>
                <w:color w:val="000000"/>
                <w:sz w:val="18"/>
                <w:szCs w:val="18"/>
              </w:rPr>
            </w:pPr>
            <w:r>
              <w:rPr>
                <w:rFonts w:ascii="宋体" w:hAnsi="宋体" w:cs="等线"/>
                <w:color w:val="000000"/>
                <w:kern w:val="0"/>
                <w:sz w:val="18"/>
                <w:szCs w:val="18"/>
                <w:lang w:bidi="ar"/>
              </w:rPr>
              <w:t>数据中心功能</w:t>
            </w:r>
          </w:p>
        </w:tc>
        <w:tc>
          <w:tcPr>
            <w:tcW w:w="631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N:1虚拟化：可将多台物理设备虚拟化为1台逻辑设备，虚拟组内设备具备统一的二层及三层转发表项，统一的管理界面，并可实现跨设备链路聚合。 为保障实际应用需求，要求支持≥1000终端每秒的802.1X认证报文处理速度   1：N虚拟化：可将一台物理设备最大虚拟化为8台逻辑设备，各虚拟交换机间具备独立的转发表项及配置界面，各虚拟交换机的配置/重启互不影响。且支持设备先“多虚一”再“一虚多”的功能联动，彻底实现资源池化    支持L2-GRE国际标准MAC in IP数据封装技（或同类其他技术），可实现跨广域网数据中心间二层数据通信，扩大虚拟机漂移范围    支持多对一镜像,基于流的镜像，一对多镜像。支持SPAN、RSPAN远程镜像，支持VLAN的镜像                                                                                                                 支持IPv6静态路由、RIPng、OSPF v3、BGP4+ 等路由协议、支持ICMP、ICMPv6、支持ND（neighbor discover）、手工配置（自动创建）本地地址、IPv6 Ping、IPv6 Tracert。支持手动隧道，自动隧道，ISATAP，IPv4 over IPv6。</w:t>
            </w: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等线" w:hAnsi="等线" w:eastAsia="等线" w:cs="等线"/>
                <w:color w:val="000000"/>
                <w:sz w:val="20"/>
                <w:szCs w:val="20"/>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等线" w:hAnsi="等线" w:eastAsia="等线" w:cs="等线"/>
                <w:color w:val="000000"/>
                <w:sz w:val="20"/>
                <w:szCs w:val="20"/>
              </w:rPr>
            </w:pPr>
          </w:p>
        </w:tc>
      </w:tr>
      <w:tr>
        <w:tblPrEx>
          <w:tblCellMar>
            <w:top w:w="0" w:type="dxa"/>
            <w:left w:w="0" w:type="dxa"/>
            <w:bottom w:w="0" w:type="dxa"/>
            <w:right w:w="0" w:type="dxa"/>
          </w:tblCellMar>
        </w:tblPrEx>
        <w:trPr>
          <w:trHeight w:val="720" w:hRule="atLeast"/>
        </w:trPr>
        <w:tc>
          <w:tcPr>
            <w:tcW w:w="3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等线" w:hAnsi="等线" w:eastAsia="等线" w:cs="等线"/>
                <w:color w:val="000000"/>
                <w:sz w:val="20"/>
                <w:szCs w:val="20"/>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等线" w:hAnsi="等线" w:eastAsia="等线" w:cs="等线"/>
                <w:color w:val="000000"/>
                <w:sz w:val="20"/>
                <w:szCs w:val="20"/>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等线"/>
                <w:color w:val="000000"/>
                <w:sz w:val="18"/>
                <w:szCs w:val="18"/>
              </w:rPr>
            </w:pPr>
            <w:r>
              <w:rPr>
                <w:rFonts w:ascii="宋体" w:hAnsi="宋体" w:cs="等线"/>
                <w:color w:val="000000"/>
                <w:kern w:val="0"/>
                <w:sz w:val="18"/>
                <w:szCs w:val="18"/>
                <w:lang w:bidi="ar"/>
              </w:rPr>
              <w:t>安全及可靠性</w:t>
            </w:r>
          </w:p>
        </w:tc>
        <w:tc>
          <w:tcPr>
            <w:tcW w:w="631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为保障核心设备的安全可靠性，要求所投产品端口浪涌抗扰度≥6KV（即具备6KV的防雷能力），要求提供权威第三方测试报告复印件，加盖原厂投标专用章或公章</w:t>
            </w: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等线" w:hAnsi="等线" w:eastAsia="等线" w:cs="等线"/>
                <w:color w:val="000000"/>
                <w:sz w:val="20"/>
                <w:szCs w:val="20"/>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等线" w:hAnsi="等线" w:eastAsia="等线" w:cs="等线"/>
                <w:color w:val="000000"/>
                <w:sz w:val="20"/>
                <w:szCs w:val="20"/>
              </w:rPr>
            </w:pPr>
          </w:p>
        </w:tc>
      </w:tr>
      <w:tr>
        <w:tblPrEx>
          <w:tblCellMar>
            <w:top w:w="0" w:type="dxa"/>
            <w:left w:w="0" w:type="dxa"/>
            <w:bottom w:w="0" w:type="dxa"/>
            <w:right w:w="0" w:type="dxa"/>
          </w:tblCellMar>
        </w:tblPrEx>
        <w:trPr>
          <w:trHeight w:val="240" w:hRule="atLeast"/>
        </w:trPr>
        <w:tc>
          <w:tcPr>
            <w:tcW w:w="3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等线" w:hAnsi="等线" w:eastAsia="等线" w:cs="等线"/>
                <w:color w:val="000000"/>
                <w:sz w:val="20"/>
                <w:szCs w:val="20"/>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等线" w:hAnsi="等线" w:eastAsia="等线" w:cs="等线"/>
                <w:color w:val="000000"/>
                <w:sz w:val="20"/>
                <w:szCs w:val="20"/>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等线"/>
                <w:color w:val="000000"/>
                <w:sz w:val="18"/>
                <w:szCs w:val="18"/>
              </w:rPr>
            </w:pPr>
            <w:r>
              <w:rPr>
                <w:rFonts w:ascii="宋体" w:hAnsi="宋体" w:cs="等线"/>
                <w:color w:val="000000"/>
                <w:kern w:val="0"/>
                <w:sz w:val="18"/>
                <w:szCs w:val="18"/>
                <w:lang w:bidi="ar"/>
              </w:rPr>
              <w:t>多业务支持</w:t>
            </w:r>
          </w:p>
        </w:tc>
        <w:tc>
          <w:tcPr>
            <w:tcW w:w="631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支持无线控制器插卡，满足无线控制的需求。</w:t>
            </w: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等线" w:hAnsi="等线" w:eastAsia="等线" w:cs="等线"/>
                <w:color w:val="000000"/>
                <w:sz w:val="20"/>
                <w:szCs w:val="20"/>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等线" w:hAnsi="等线" w:eastAsia="等线" w:cs="等线"/>
                <w:color w:val="000000"/>
                <w:sz w:val="20"/>
                <w:szCs w:val="20"/>
              </w:rPr>
            </w:pPr>
          </w:p>
        </w:tc>
      </w:tr>
      <w:tr>
        <w:tblPrEx>
          <w:tblCellMar>
            <w:top w:w="0" w:type="dxa"/>
            <w:left w:w="0" w:type="dxa"/>
            <w:bottom w:w="0" w:type="dxa"/>
            <w:right w:w="0" w:type="dxa"/>
          </w:tblCellMar>
        </w:tblPrEx>
        <w:trPr>
          <w:trHeight w:val="720" w:hRule="atLeast"/>
        </w:trPr>
        <w:tc>
          <w:tcPr>
            <w:tcW w:w="3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等线" w:hAnsi="等线" w:eastAsia="等线" w:cs="等线"/>
                <w:color w:val="000000"/>
                <w:sz w:val="20"/>
                <w:szCs w:val="20"/>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等线" w:hAnsi="等线" w:eastAsia="等线" w:cs="等线"/>
                <w:color w:val="000000"/>
                <w:sz w:val="20"/>
                <w:szCs w:val="20"/>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等线"/>
                <w:color w:val="000000"/>
                <w:sz w:val="18"/>
                <w:szCs w:val="18"/>
              </w:rPr>
            </w:pPr>
            <w:r>
              <w:rPr>
                <w:rFonts w:ascii="宋体" w:hAnsi="宋体" w:cs="等线"/>
                <w:color w:val="000000"/>
                <w:kern w:val="0"/>
                <w:sz w:val="18"/>
                <w:szCs w:val="18"/>
                <w:lang w:bidi="ar"/>
              </w:rPr>
              <w:t>绿色低功耗</w:t>
            </w:r>
          </w:p>
        </w:tc>
        <w:tc>
          <w:tcPr>
            <w:tcW w:w="631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为了满足下一代数据中心建设要求，核心交换机40G端口在负载100%的情况下每端口功率需要≤10W，要求提供权威第三方测试报告复印件，加盖原厂投标专用章或公章。 </w:t>
            </w: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等线" w:hAnsi="等线" w:eastAsia="等线" w:cs="等线"/>
                <w:color w:val="000000"/>
                <w:sz w:val="20"/>
                <w:szCs w:val="20"/>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等线" w:hAnsi="等线" w:eastAsia="等线" w:cs="等线"/>
                <w:color w:val="000000"/>
                <w:sz w:val="20"/>
                <w:szCs w:val="20"/>
              </w:rPr>
            </w:pPr>
          </w:p>
        </w:tc>
      </w:tr>
      <w:tr>
        <w:tblPrEx>
          <w:tblCellMar>
            <w:top w:w="0" w:type="dxa"/>
            <w:left w:w="0" w:type="dxa"/>
            <w:bottom w:w="0" w:type="dxa"/>
            <w:right w:w="0" w:type="dxa"/>
          </w:tblCellMar>
        </w:tblPrEx>
        <w:trPr>
          <w:trHeight w:val="720" w:hRule="atLeast"/>
        </w:trPr>
        <w:tc>
          <w:tcPr>
            <w:tcW w:w="3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等线" w:hAnsi="等线" w:eastAsia="等线" w:cs="等线"/>
                <w:color w:val="000000"/>
                <w:sz w:val="20"/>
                <w:szCs w:val="20"/>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等线" w:hAnsi="等线" w:eastAsia="等线" w:cs="等线"/>
                <w:color w:val="000000"/>
                <w:sz w:val="20"/>
                <w:szCs w:val="20"/>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等线"/>
                <w:color w:val="000000"/>
                <w:sz w:val="18"/>
                <w:szCs w:val="18"/>
              </w:rPr>
            </w:pPr>
            <w:r>
              <w:rPr>
                <w:rFonts w:ascii="宋体" w:hAnsi="宋体" w:cs="等线"/>
                <w:color w:val="000000"/>
                <w:kern w:val="0"/>
                <w:sz w:val="18"/>
                <w:szCs w:val="18"/>
                <w:lang w:bidi="ar"/>
              </w:rPr>
              <w:t>配置要求</w:t>
            </w:r>
          </w:p>
        </w:tc>
        <w:tc>
          <w:tcPr>
            <w:tcW w:w="631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单台配置：高性能引擎≥2个、交换网板≥4个、1600W模块化电源≥4个、万兆以太网光接口≥48个，万兆多模光模块≥48个，5米10G Base SFP+ 光纤线缆（包含两边的模块）≥1根</w:t>
            </w: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等线" w:hAnsi="等线" w:eastAsia="等线" w:cs="等线"/>
                <w:color w:val="000000"/>
                <w:sz w:val="20"/>
                <w:szCs w:val="20"/>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等线" w:hAnsi="等线" w:eastAsia="等线" w:cs="等线"/>
                <w:color w:val="000000"/>
                <w:sz w:val="20"/>
                <w:szCs w:val="20"/>
              </w:rPr>
            </w:pPr>
          </w:p>
        </w:tc>
      </w:tr>
      <w:tr>
        <w:tblPrEx>
          <w:tblCellMar>
            <w:top w:w="0" w:type="dxa"/>
            <w:left w:w="0" w:type="dxa"/>
            <w:bottom w:w="0" w:type="dxa"/>
            <w:right w:w="0" w:type="dxa"/>
          </w:tblCellMar>
        </w:tblPrEx>
        <w:trPr>
          <w:trHeight w:val="720" w:hRule="atLeast"/>
        </w:trPr>
        <w:tc>
          <w:tcPr>
            <w:tcW w:w="30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等线" w:hAnsi="等线" w:eastAsia="等线" w:cs="等线"/>
                <w:color w:val="000000"/>
                <w:sz w:val="20"/>
                <w:szCs w:val="20"/>
              </w:rPr>
            </w:pPr>
            <w:r>
              <w:rPr>
                <w:rFonts w:ascii="等线" w:hAnsi="等线" w:eastAsia="等线" w:cs="等线"/>
                <w:color w:val="000000"/>
                <w:kern w:val="0"/>
                <w:sz w:val="20"/>
                <w:szCs w:val="20"/>
                <w:lang w:bidi="ar"/>
              </w:rPr>
              <w:t>2</w:t>
            </w:r>
          </w:p>
        </w:tc>
        <w:tc>
          <w:tcPr>
            <w:tcW w:w="57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等线" w:hAnsi="等线" w:eastAsia="等线" w:cs="等线"/>
                <w:color w:val="000000"/>
                <w:sz w:val="20"/>
                <w:szCs w:val="20"/>
              </w:rPr>
            </w:pPr>
            <w:r>
              <w:rPr>
                <w:rFonts w:ascii="等线" w:hAnsi="等线" w:eastAsia="等线" w:cs="等线"/>
                <w:color w:val="000000"/>
                <w:kern w:val="0"/>
                <w:sz w:val="20"/>
                <w:szCs w:val="20"/>
                <w:lang w:bidi="ar"/>
              </w:rPr>
              <w:t>业务交换机</w:t>
            </w: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等线"/>
                <w:color w:val="000000"/>
                <w:sz w:val="18"/>
                <w:szCs w:val="18"/>
              </w:rPr>
            </w:pPr>
            <w:r>
              <w:rPr>
                <w:rFonts w:ascii="宋体" w:hAnsi="宋体" w:cs="等线"/>
                <w:color w:val="000000"/>
                <w:kern w:val="0"/>
                <w:sz w:val="18"/>
                <w:szCs w:val="18"/>
                <w:lang w:bidi="ar"/>
              </w:rPr>
              <w:t>硬件指标及性能</w:t>
            </w:r>
          </w:p>
        </w:tc>
        <w:tc>
          <w:tcPr>
            <w:tcW w:w="6315" w:type="dxa"/>
            <w:tcBorders>
              <w:top w:val="single" w:color="000000" w:sz="4" w:space="0"/>
              <w:left w:val="single" w:color="000000" w:sz="4" w:space="0"/>
              <w:bottom w:val="single" w:color="000000" w:sz="4" w:space="0"/>
              <w:right w:val="nil"/>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10G接口数≥48个，40G QSFP+接口接口数≥6个；支持模块化电源冗余、模块化风扇冗余，电压及风扇支持热拔插。交换容量≥2.56Tbps，包转发率≥1050Mpps</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等线" w:hAnsi="等线" w:eastAsia="等线" w:cs="等线"/>
                <w:color w:val="000000"/>
                <w:sz w:val="20"/>
                <w:szCs w:val="20"/>
              </w:rPr>
            </w:pPr>
            <w:r>
              <w:rPr>
                <w:rFonts w:ascii="等线" w:hAnsi="等线" w:eastAsia="等线" w:cs="等线"/>
                <w:color w:val="000000"/>
                <w:kern w:val="0"/>
                <w:sz w:val="20"/>
                <w:szCs w:val="20"/>
                <w:lang w:bidi="ar"/>
              </w:rPr>
              <w:t>台</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等线" w:hAnsi="等线" w:eastAsia="等线" w:cs="等线"/>
                <w:color w:val="000000"/>
                <w:sz w:val="20"/>
                <w:szCs w:val="20"/>
              </w:rPr>
            </w:pPr>
            <w:r>
              <w:rPr>
                <w:rFonts w:ascii="等线" w:hAnsi="等线" w:eastAsia="等线" w:cs="等线"/>
                <w:color w:val="000000"/>
                <w:kern w:val="0"/>
                <w:sz w:val="20"/>
                <w:szCs w:val="20"/>
                <w:lang w:bidi="ar"/>
              </w:rPr>
              <w:t>1</w:t>
            </w:r>
          </w:p>
        </w:tc>
      </w:tr>
      <w:tr>
        <w:tblPrEx>
          <w:tblCellMar>
            <w:top w:w="0" w:type="dxa"/>
            <w:left w:w="0" w:type="dxa"/>
            <w:bottom w:w="0" w:type="dxa"/>
            <w:right w:w="0" w:type="dxa"/>
          </w:tblCellMar>
        </w:tblPrEx>
        <w:trPr>
          <w:trHeight w:val="3120" w:hRule="atLeast"/>
        </w:trPr>
        <w:tc>
          <w:tcPr>
            <w:tcW w:w="3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等线" w:hAnsi="等线" w:eastAsia="等线" w:cs="等线"/>
                <w:color w:val="000000"/>
                <w:sz w:val="20"/>
                <w:szCs w:val="20"/>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等线" w:hAnsi="等线" w:eastAsia="等线" w:cs="等线"/>
                <w:color w:val="000000"/>
                <w:sz w:val="20"/>
                <w:szCs w:val="20"/>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等线"/>
                <w:color w:val="000000"/>
                <w:sz w:val="18"/>
                <w:szCs w:val="18"/>
              </w:rPr>
            </w:pPr>
            <w:r>
              <w:rPr>
                <w:rFonts w:ascii="宋体" w:hAnsi="宋体" w:cs="等线"/>
                <w:color w:val="000000"/>
                <w:kern w:val="0"/>
                <w:sz w:val="18"/>
                <w:szCs w:val="18"/>
                <w:lang w:bidi="ar"/>
              </w:rPr>
              <w:t>产品功能</w:t>
            </w:r>
          </w:p>
        </w:tc>
        <w:tc>
          <w:tcPr>
            <w:tcW w:w="6315" w:type="dxa"/>
            <w:tcBorders>
              <w:top w:val="single" w:color="000000" w:sz="4" w:space="0"/>
              <w:left w:val="single" w:color="000000" w:sz="4" w:space="0"/>
              <w:bottom w:val="single" w:color="000000" w:sz="4" w:space="0"/>
              <w:right w:val="nil"/>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支持VXLAN routing 和VXLAN bridging，支持EVPN VXLAN     支持EVPN-VXLAN第三方对接；                                                                            实配支持VXLAN功能，无需另外购买授权，提供原厂证明材料，加盖原厂投标专用章或公章。                                                                                                            满端口支持三层VXLAN报文线速             支持RIP、OSPF、IS-IS、BGP-4等三层路由协议                                                                 支持PIM-SM、IGMP 等组播路由协议        支持端口镜像功能，支持多对一端口镜像及一对多端口镜像，支持跨交换机的远程端口镜像功能 RSPAN，支持聚合链路的镜像         支持多虚一技术，可将多台物理设备虚拟化为一台逻辑设备统一管理，支持跨设备链路聚合及最快50ms 级故障链路收敛。                                                                           支持软件定义网络SDN，符合OpenFlow 1.3协议标准，支持SDN和SDN Ready功能</w:t>
            </w: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等线" w:hAnsi="等线" w:eastAsia="等线" w:cs="等线"/>
                <w:color w:val="000000"/>
                <w:sz w:val="20"/>
                <w:szCs w:val="20"/>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等线" w:hAnsi="等线" w:eastAsia="等线" w:cs="等线"/>
                <w:color w:val="000000"/>
                <w:sz w:val="20"/>
                <w:szCs w:val="20"/>
              </w:rPr>
            </w:pPr>
          </w:p>
        </w:tc>
      </w:tr>
      <w:tr>
        <w:tblPrEx>
          <w:tblCellMar>
            <w:top w:w="0" w:type="dxa"/>
            <w:left w:w="0" w:type="dxa"/>
            <w:bottom w:w="0" w:type="dxa"/>
            <w:right w:w="0" w:type="dxa"/>
          </w:tblCellMar>
        </w:tblPrEx>
        <w:trPr>
          <w:trHeight w:val="480" w:hRule="atLeast"/>
        </w:trPr>
        <w:tc>
          <w:tcPr>
            <w:tcW w:w="3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等线" w:hAnsi="等线" w:eastAsia="等线" w:cs="等线"/>
                <w:color w:val="000000"/>
                <w:sz w:val="20"/>
                <w:szCs w:val="20"/>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等线" w:hAnsi="等线" w:eastAsia="等线" w:cs="等线"/>
                <w:color w:val="000000"/>
                <w:sz w:val="20"/>
                <w:szCs w:val="20"/>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等线"/>
                <w:color w:val="000000"/>
                <w:sz w:val="18"/>
                <w:szCs w:val="18"/>
              </w:rPr>
            </w:pPr>
            <w:r>
              <w:rPr>
                <w:rFonts w:ascii="宋体" w:hAnsi="宋体" w:cs="等线"/>
                <w:color w:val="000000"/>
                <w:kern w:val="0"/>
                <w:sz w:val="18"/>
                <w:szCs w:val="18"/>
                <w:lang w:bidi="ar"/>
              </w:rPr>
              <w:t>配置要求</w:t>
            </w:r>
          </w:p>
        </w:tc>
        <w:tc>
          <w:tcPr>
            <w:tcW w:w="6315" w:type="dxa"/>
            <w:tcBorders>
              <w:top w:val="single" w:color="000000" w:sz="4" w:space="0"/>
              <w:left w:val="single" w:color="000000" w:sz="4" w:space="0"/>
              <w:bottom w:val="single" w:color="000000" w:sz="4" w:space="0"/>
              <w:right w:val="nil"/>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★单台配置：模块化风扇≥3个，模块化电源≥2个，5米10G Base SFP+ 光纤线缆（包含两边的模块）≥1根；万兆多模光模块≥4个。</w:t>
            </w: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等线" w:hAnsi="等线" w:eastAsia="等线" w:cs="等线"/>
                <w:color w:val="000000"/>
                <w:sz w:val="20"/>
                <w:szCs w:val="20"/>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等线" w:hAnsi="等线" w:eastAsia="等线" w:cs="等线"/>
                <w:color w:val="000000"/>
                <w:sz w:val="20"/>
                <w:szCs w:val="20"/>
              </w:rPr>
            </w:pPr>
          </w:p>
        </w:tc>
      </w:tr>
      <w:tr>
        <w:tblPrEx>
          <w:tblCellMar>
            <w:top w:w="0" w:type="dxa"/>
            <w:left w:w="0" w:type="dxa"/>
            <w:bottom w:w="0" w:type="dxa"/>
            <w:right w:w="0" w:type="dxa"/>
          </w:tblCellMar>
        </w:tblPrEx>
        <w:trPr>
          <w:trHeight w:val="240" w:hRule="atLeast"/>
        </w:trPr>
        <w:tc>
          <w:tcPr>
            <w:tcW w:w="30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等线" w:hAnsi="等线" w:eastAsia="等线" w:cs="等线"/>
                <w:color w:val="000000"/>
                <w:sz w:val="20"/>
                <w:szCs w:val="20"/>
              </w:rPr>
            </w:pPr>
            <w:r>
              <w:rPr>
                <w:rFonts w:ascii="等线" w:hAnsi="等线" w:eastAsia="等线" w:cs="等线"/>
                <w:color w:val="000000"/>
                <w:kern w:val="0"/>
                <w:sz w:val="20"/>
                <w:szCs w:val="20"/>
                <w:lang w:bidi="ar"/>
              </w:rPr>
              <w:t>3</w:t>
            </w:r>
          </w:p>
        </w:tc>
        <w:tc>
          <w:tcPr>
            <w:tcW w:w="57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等线" w:hAnsi="等线" w:eastAsia="等线" w:cs="等线"/>
                <w:color w:val="000000"/>
                <w:sz w:val="20"/>
                <w:szCs w:val="20"/>
              </w:rPr>
            </w:pPr>
            <w:r>
              <w:rPr>
                <w:rFonts w:ascii="等线" w:hAnsi="等线" w:eastAsia="等线" w:cs="等线"/>
                <w:color w:val="000000"/>
                <w:kern w:val="0"/>
                <w:sz w:val="20"/>
                <w:szCs w:val="20"/>
                <w:lang w:bidi="ar"/>
              </w:rPr>
              <w:t>服务器</w:t>
            </w: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等线"/>
                <w:color w:val="000000"/>
                <w:sz w:val="18"/>
                <w:szCs w:val="18"/>
              </w:rPr>
            </w:pPr>
            <w:r>
              <w:rPr>
                <w:rFonts w:ascii="宋体" w:hAnsi="宋体" w:cs="等线"/>
                <w:color w:val="000000"/>
                <w:kern w:val="0"/>
                <w:sz w:val="18"/>
                <w:szCs w:val="18"/>
                <w:lang w:bidi="ar"/>
              </w:rPr>
              <w:t>指标项目</w:t>
            </w:r>
          </w:p>
        </w:tc>
        <w:tc>
          <w:tcPr>
            <w:tcW w:w="6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top"/>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lang w:bidi="ar"/>
              </w:rPr>
              <w:t>指标要求</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等线" w:hAnsi="等线" w:eastAsia="等线" w:cs="等线"/>
                <w:color w:val="000000"/>
                <w:sz w:val="20"/>
                <w:szCs w:val="20"/>
              </w:rPr>
            </w:pPr>
            <w:r>
              <w:rPr>
                <w:rFonts w:ascii="等线" w:hAnsi="等线" w:eastAsia="等线" w:cs="等线"/>
                <w:color w:val="000000"/>
                <w:kern w:val="0"/>
                <w:sz w:val="20"/>
                <w:szCs w:val="20"/>
                <w:lang w:bidi="ar"/>
              </w:rPr>
              <w:t>台</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等线" w:hAnsi="等线" w:eastAsia="等线" w:cs="等线"/>
                <w:color w:val="000000"/>
                <w:sz w:val="20"/>
                <w:szCs w:val="20"/>
              </w:rPr>
            </w:pPr>
            <w:r>
              <w:rPr>
                <w:rFonts w:ascii="等线" w:hAnsi="等线" w:eastAsia="等线" w:cs="等线"/>
                <w:color w:val="000000"/>
                <w:kern w:val="0"/>
                <w:sz w:val="20"/>
                <w:szCs w:val="20"/>
                <w:lang w:bidi="ar"/>
              </w:rPr>
              <w:t>10</w:t>
            </w:r>
          </w:p>
        </w:tc>
      </w:tr>
      <w:tr>
        <w:tblPrEx>
          <w:tblCellMar>
            <w:top w:w="0" w:type="dxa"/>
            <w:left w:w="0" w:type="dxa"/>
            <w:bottom w:w="0" w:type="dxa"/>
            <w:right w:w="0" w:type="dxa"/>
          </w:tblCellMar>
        </w:tblPrEx>
        <w:trPr>
          <w:trHeight w:val="510" w:hRule="atLeast"/>
        </w:trPr>
        <w:tc>
          <w:tcPr>
            <w:tcW w:w="3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left"/>
              <w:rPr>
                <w:rFonts w:ascii="等线" w:hAnsi="等线" w:eastAsia="等线" w:cs="等线"/>
                <w:color w:val="000000"/>
                <w:sz w:val="20"/>
                <w:szCs w:val="20"/>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等线" w:hAnsi="等线" w:eastAsia="等线" w:cs="等线"/>
                <w:color w:val="000000"/>
                <w:sz w:val="20"/>
                <w:szCs w:val="20"/>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等线"/>
                <w:color w:val="000000"/>
                <w:sz w:val="18"/>
                <w:szCs w:val="18"/>
              </w:rPr>
            </w:pPr>
            <w:r>
              <w:rPr>
                <w:rFonts w:ascii="宋体" w:hAnsi="宋体" w:cs="等线"/>
                <w:color w:val="000000"/>
                <w:kern w:val="0"/>
                <w:sz w:val="18"/>
                <w:szCs w:val="18"/>
                <w:lang w:bidi="ar"/>
              </w:rPr>
              <w:t>总体架构</w:t>
            </w:r>
          </w:p>
        </w:tc>
        <w:tc>
          <w:tcPr>
            <w:tcW w:w="6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top"/>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lang w:bidi="ar"/>
              </w:rPr>
              <w:t>国产自研品牌，非</w:t>
            </w:r>
            <w:r>
              <w:rPr>
                <w:rFonts w:ascii="宋体" w:hAnsi="宋体" w:cs="Calibri"/>
                <w:color w:val="000000"/>
                <w:kern w:val="0"/>
                <w:sz w:val="18"/>
                <w:szCs w:val="18"/>
                <w:lang w:bidi="ar"/>
              </w:rPr>
              <w:t>OEM</w:t>
            </w:r>
            <w:r>
              <w:rPr>
                <w:rFonts w:hint="eastAsia" w:ascii="宋体" w:hAnsi="宋体" w:cs="宋体"/>
                <w:color w:val="000000"/>
                <w:kern w:val="0"/>
                <w:sz w:val="18"/>
                <w:szCs w:val="18"/>
                <w:lang w:bidi="ar"/>
              </w:rPr>
              <w:t>，标准</w:t>
            </w:r>
            <w:r>
              <w:rPr>
                <w:rFonts w:ascii="宋体" w:hAnsi="宋体" w:cs="Calibri"/>
                <w:color w:val="000000"/>
                <w:kern w:val="0"/>
                <w:sz w:val="18"/>
                <w:szCs w:val="18"/>
                <w:lang w:bidi="ar"/>
              </w:rPr>
              <w:t>2U</w:t>
            </w:r>
            <w:r>
              <w:rPr>
                <w:rFonts w:hint="eastAsia" w:ascii="宋体" w:hAnsi="宋体" w:cs="宋体"/>
                <w:color w:val="000000"/>
                <w:kern w:val="0"/>
                <w:sz w:val="18"/>
                <w:szCs w:val="18"/>
                <w:lang w:bidi="ar"/>
              </w:rPr>
              <w:t>机架式服务器，机箱长度</w:t>
            </w:r>
            <w:r>
              <w:rPr>
                <w:rFonts w:ascii="宋体" w:hAnsi="宋体" w:cs="Calibri"/>
                <w:color w:val="000000"/>
                <w:kern w:val="0"/>
                <w:sz w:val="18"/>
                <w:szCs w:val="18"/>
                <w:lang w:bidi="ar"/>
              </w:rPr>
              <w:t>&lt;780mm</w:t>
            </w:r>
            <w:r>
              <w:rPr>
                <w:rFonts w:hint="eastAsia" w:ascii="宋体" w:hAnsi="宋体" w:cs="宋体"/>
                <w:color w:val="000000"/>
                <w:kern w:val="0"/>
                <w:sz w:val="18"/>
                <w:szCs w:val="18"/>
                <w:lang w:bidi="ar"/>
              </w:rPr>
              <w:t>，满配重量</w:t>
            </w:r>
            <w:r>
              <w:rPr>
                <w:rFonts w:ascii="宋体" w:hAnsi="宋体" w:cs="Calibri"/>
                <w:color w:val="000000"/>
                <w:kern w:val="0"/>
                <w:sz w:val="18"/>
                <w:szCs w:val="18"/>
                <w:lang w:bidi="ar"/>
              </w:rPr>
              <w:t>&lt;31kg</w:t>
            </w: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等线" w:hAnsi="等线" w:eastAsia="等线" w:cs="等线"/>
                <w:color w:val="000000"/>
                <w:sz w:val="20"/>
                <w:szCs w:val="20"/>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等线" w:hAnsi="等线" w:eastAsia="等线" w:cs="等线"/>
                <w:color w:val="000000"/>
                <w:sz w:val="20"/>
                <w:szCs w:val="20"/>
              </w:rPr>
            </w:pPr>
          </w:p>
        </w:tc>
      </w:tr>
      <w:tr>
        <w:tblPrEx>
          <w:tblCellMar>
            <w:top w:w="0" w:type="dxa"/>
            <w:left w:w="0" w:type="dxa"/>
            <w:bottom w:w="0" w:type="dxa"/>
            <w:right w:w="0" w:type="dxa"/>
          </w:tblCellMar>
        </w:tblPrEx>
        <w:trPr>
          <w:trHeight w:val="510" w:hRule="atLeast"/>
        </w:trPr>
        <w:tc>
          <w:tcPr>
            <w:tcW w:w="3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left"/>
              <w:rPr>
                <w:rFonts w:ascii="等线" w:hAnsi="等线" w:eastAsia="等线" w:cs="等线"/>
                <w:color w:val="000000"/>
                <w:sz w:val="20"/>
                <w:szCs w:val="20"/>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等线" w:hAnsi="等线" w:eastAsia="等线" w:cs="等线"/>
                <w:color w:val="000000"/>
                <w:sz w:val="20"/>
                <w:szCs w:val="20"/>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等线"/>
                <w:color w:val="000000"/>
                <w:sz w:val="18"/>
                <w:szCs w:val="18"/>
              </w:rPr>
            </w:pPr>
            <w:r>
              <w:rPr>
                <w:rFonts w:ascii="宋体" w:hAnsi="宋体" w:cs="等线"/>
                <w:color w:val="000000"/>
                <w:kern w:val="0"/>
                <w:sz w:val="18"/>
                <w:szCs w:val="18"/>
                <w:lang w:bidi="ar"/>
              </w:rPr>
              <w:t>处理器</w:t>
            </w:r>
          </w:p>
        </w:tc>
        <w:tc>
          <w:tcPr>
            <w:tcW w:w="6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top"/>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lang w:bidi="ar"/>
              </w:rPr>
              <w:t>配置</w:t>
            </w:r>
            <w:r>
              <w:rPr>
                <w:rFonts w:ascii="宋体" w:hAnsi="宋体" w:cs="Calibri"/>
                <w:color w:val="000000"/>
                <w:kern w:val="0"/>
                <w:sz w:val="18"/>
                <w:szCs w:val="18"/>
                <w:lang w:bidi="ar"/>
              </w:rPr>
              <w:t>2</w:t>
            </w:r>
            <w:r>
              <w:rPr>
                <w:rFonts w:hint="eastAsia" w:ascii="宋体" w:hAnsi="宋体" w:cs="宋体"/>
                <w:color w:val="000000"/>
                <w:kern w:val="0"/>
                <w:sz w:val="18"/>
                <w:szCs w:val="18"/>
                <w:lang w:bidi="ar"/>
              </w:rPr>
              <w:t>颗</w:t>
            </w:r>
            <w:r>
              <w:rPr>
                <w:rFonts w:ascii="宋体" w:hAnsi="宋体" w:cs="Calibri"/>
                <w:color w:val="000000"/>
                <w:kern w:val="0"/>
                <w:sz w:val="18"/>
                <w:szCs w:val="18"/>
                <w:lang w:bidi="ar"/>
              </w:rPr>
              <w:t xml:space="preserve">Intel Xeon Gold 5218 </w:t>
            </w:r>
            <w:r>
              <w:rPr>
                <w:rFonts w:hint="eastAsia" w:ascii="宋体" w:hAnsi="宋体" w:cs="宋体"/>
                <w:color w:val="000000"/>
                <w:kern w:val="0"/>
                <w:sz w:val="18"/>
                <w:szCs w:val="18"/>
                <w:lang w:bidi="ar"/>
              </w:rPr>
              <w:t>可扩展处理器，单处理器核心≥</w:t>
            </w:r>
            <w:r>
              <w:rPr>
                <w:rFonts w:ascii="宋体" w:hAnsi="宋体" w:cs="Calibri"/>
                <w:color w:val="000000"/>
                <w:kern w:val="0"/>
                <w:sz w:val="18"/>
                <w:szCs w:val="18"/>
                <w:lang w:bidi="ar"/>
              </w:rPr>
              <w:t>16</w:t>
            </w:r>
            <w:r>
              <w:rPr>
                <w:rFonts w:hint="eastAsia" w:ascii="宋体" w:hAnsi="宋体" w:cs="宋体"/>
                <w:color w:val="000000"/>
                <w:kern w:val="0"/>
                <w:sz w:val="18"/>
                <w:szCs w:val="18"/>
                <w:lang w:bidi="ar"/>
              </w:rPr>
              <w:t>，主频≥</w:t>
            </w:r>
            <w:r>
              <w:rPr>
                <w:rFonts w:ascii="宋体" w:hAnsi="宋体" w:cs="Calibri"/>
                <w:color w:val="000000"/>
                <w:kern w:val="0"/>
                <w:sz w:val="18"/>
                <w:szCs w:val="18"/>
                <w:lang w:bidi="ar"/>
              </w:rPr>
              <w:t>2.3GHz</w:t>
            </w:r>
            <w:r>
              <w:rPr>
                <w:rFonts w:hint="eastAsia" w:ascii="宋体" w:hAnsi="宋体" w:cs="宋体"/>
                <w:color w:val="000000"/>
                <w:kern w:val="0"/>
                <w:sz w:val="18"/>
                <w:szCs w:val="18"/>
                <w:lang w:bidi="ar"/>
              </w:rPr>
              <w:t>，支持铂金、金牌、银牌、铜牌全系列级别</w:t>
            </w: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等线" w:hAnsi="等线" w:eastAsia="等线" w:cs="等线"/>
                <w:color w:val="000000"/>
                <w:sz w:val="20"/>
                <w:szCs w:val="20"/>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等线" w:hAnsi="等线" w:eastAsia="等线" w:cs="等线"/>
                <w:color w:val="000000"/>
                <w:sz w:val="20"/>
                <w:szCs w:val="20"/>
              </w:rPr>
            </w:pPr>
          </w:p>
        </w:tc>
      </w:tr>
      <w:tr>
        <w:tblPrEx>
          <w:tblCellMar>
            <w:top w:w="0" w:type="dxa"/>
            <w:left w:w="0" w:type="dxa"/>
            <w:bottom w:w="0" w:type="dxa"/>
            <w:right w:w="0" w:type="dxa"/>
          </w:tblCellMar>
        </w:tblPrEx>
        <w:trPr>
          <w:trHeight w:val="495" w:hRule="atLeast"/>
        </w:trPr>
        <w:tc>
          <w:tcPr>
            <w:tcW w:w="3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left"/>
              <w:rPr>
                <w:rFonts w:ascii="等线" w:hAnsi="等线" w:eastAsia="等线" w:cs="等线"/>
                <w:color w:val="000000"/>
                <w:sz w:val="20"/>
                <w:szCs w:val="20"/>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等线" w:hAnsi="等线" w:eastAsia="等线" w:cs="等线"/>
                <w:color w:val="000000"/>
                <w:sz w:val="20"/>
                <w:szCs w:val="20"/>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等线"/>
                <w:color w:val="000000"/>
                <w:sz w:val="18"/>
                <w:szCs w:val="18"/>
              </w:rPr>
            </w:pPr>
            <w:r>
              <w:rPr>
                <w:rFonts w:ascii="宋体" w:hAnsi="宋体" w:cs="等线"/>
                <w:color w:val="000000"/>
                <w:kern w:val="0"/>
                <w:sz w:val="18"/>
                <w:szCs w:val="18"/>
                <w:lang w:bidi="ar"/>
              </w:rPr>
              <w:t>内存</w:t>
            </w:r>
          </w:p>
        </w:tc>
        <w:tc>
          <w:tcPr>
            <w:tcW w:w="6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top"/>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lang w:bidi="ar"/>
              </w:rPr>
              <w:t>配置</w:t>
            </w:r>
            <w:r>
              <w:rPr>
                <w:rFonts w:ascii="宋体" w:hAnsi="宋体" w:cs="Calibri"/>
                <w:color w:val="000000"/>
                <w:kern w:val="0"/>
                <w:sz w:val="18"/>
                <w:szCs w:val="18"/>
                <w:lang w:bidi="ar"/>
              </w:rPr>
              <w:t>2</w:t>
            </w:r>
            <w:r>
              <w:rPr>
                <w:rFonts w:hint="eastAsia" w:ascii="宋体" w:hAnsi="宋体" w:cs="宋体"/>
                <w:color w:val="000000"/>
                <w:kern w:val="0"/>
                <w:sz w:val="18"/>
                <w:szCs w:val="18"/>
                <w:lang w:bidi="ar"/>
              </w:rPr>
              <w:t>条</w:t>
            </w:r>
            <w:r>
              <w:rPr>
                <w:rFonts w:ascii="宋体" w:hAnsi="宋体" w:cs="Calibri"/>
                <w:color w:val="000000"/>
                <w:kern w:val="0"/>
                <w:sz w:val="18"/>
                <w:szCs w:val="18"/>
                <w:lang w:bidi="ar"/>
              </w:rPr>
              <w:t>16GB 2666MT/s DDR4</w:t>
            </w:r>
            <w:r>
              <w:rPr>
                <w:rFonts w:hint="eastAsia" w:ascii="宋体" w:hAnsi="宋体" w:cs="宋体"/>
                <w:color w:val="000000"/>
                <w:kern w:val="0"/>
                <w:sz w:val="18"/>
                <w:szCs w:val="18"/>
                <w:lang w:bidi="ar"/>
              </w:rPr>
              <w:t>内存，最大支持</w:t>
            </w:r>
            <w:r>
              <w:rPr>
                <w:rFonts w:ascii="宋体" w:hAnsi="宋体" w:cs="Calibri"/>
                <w:color w:val="000000"/>
                <w:kern w:val="0"/>
                <w:sz w:val="18"/>
                <w:szCs w:val="18"/>
                <w:lang w:bidi="ar"/>
              </w:rPr>
              <w:t>24</w:t>
            </w:r>
            <w:r>
              <w:rPr>
                <w:rFonts w:hint="eastAsia" w:ascii="宋体" w:hAnsi="宋体" w:cs="宋体"/>
                <w:color w:val="000000"/>
                <w:kern w:val="0"/>
                <w:sz w:val="18"/>
                <w:szCs w:val="18"/>
                <w:lang w:bidi="ar"/>
              </w:rPr>
              <w:t>个内存插槽；支持高级内存纠错、内存镜像、内存热备等高级功能；</w:t>
            </w: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等线" w:hAnsi="等线" w:eastAsia="等线" w:cs="等线"/>
                <w:color w:val="000000"/>
                <w:sz w:val="20"/>
                <w:szCs w:val="20"/>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等线" w:hAnsi="等线" w:eastAsia="等线" w:cs="等线"/>
                <w:color w:val="000000"/>
                <w:sz w:val="20"/>
                <w:szCs w:val="20"/>
              </w:rPr>
            </w:pPr>
          </w:p>
        </w:tc>
      </w:tr>
      <w:tr>
        <w:tblPrEx>
          <w:tblCellMar>
            <w:top w:w="0" w:type="dxa"/>
            <w:left w:w="0" w:type="dxa"/>
            <w:bottom w:w="0" w:type="dxa"/>
            <w:right w:w="0" w:type="dxa"/>
          </w:tblCellMar>
        </w:tblPrEx>
        <w:trPr>
          <w:trHeight w:val="255" w:hRule="atLeast"/>
        </w:trPr>
        <w:tc>
          <w:tcPr>
            <w:tcW w:w="3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left"/>
              <w:rPr>
                <w:rFonts w:ascii="等线" w:hAnsi="等线" w:eastAsia="等线" w:cs="等线"/>
                <w:color w:val="000000"/>
                <w:sz w:val="20"/>
                <w:szCs w:val="20"/>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等线" w:hAnsi="等线" w:eastAsia="等线" w:cs="等线"/>
                <w:color w:val="000000"/>
                <w:sz w:val="20"/>
                <w:szCs w:val="20"/>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等线"/>
                <w:color w:val="000000"/>
                <w:sz w:val="18"/>
                <w:szCs w:val="18"/>
              </w:rPr>
            </w:pPr>
            <w:r>
              <w:rPr>
                <w:rFonts w:ascii="宋体" w:hAnsi="宋体" w:cs="等线"/>
                <w:color w:val="000000"/>
                <w:kern w:val="0"/>
                <w:sz w:val="18"/>
                <w:szCs w:val="18"/>
                <w:lang w:bidi="ar"/>
              </w:rPr>
              <w:t>存储</w:t>
            </w:r>
          </w:p>
        </w:tc>
        <w:tc>
          <w:tcPr>
            <w:tcW w:w="6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top"/>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lang w:bidi="ar"/>
              </w:rPr>
              <w:t>配置</w:t>
            </w:r>
            <w:r>
              <w:rPr>
                <w:rFonts w:ascii="宋体" w:hAnsi="宋体" w:cs="Calibri"/>
                <w:color w:val="000000"/>
                <w:kern w:val="0"/>
                <w:sz w:val="18"/>
                <w:szCs w:val="18"/>
                <w:lang w:bidi="ar"/>
              </w:rPr>
              <w:t>3</w:t>
            </w:r>
            <w:r>
              <w:rPr>
                <w:rFonts w:hint="eastAsia" w:ascii="宋体" w:hAnsi="宋体" w:cs="宋体"/>
                <w:color w:val="000000"/>
                <w:kern w:val="0"/>
                <w:sz w:val="18"/>
                <w:szCs w:val="18"/>
                <w:lang w:bidi="ar"/>
              </w:rPr>
              <w:t>块</w:t>
            </w:r>
            <w:r>
              <w:rPr>
                <w:rFonts w:ascii="宋体" w:hAnsi="宋体" w:cs="Calibri"/>
                <w:color w:val="000000"/>
                <w:kern w:val="0"/>
                <w:sz w:val="18"/>
                <w:szCs w:val="18"/>
                <w:lang w:bidi="ar"/>
              </w:rPr>
              <w:t>600GB 10K 2.5</w:t>
            </w:r>
            <w:r>
              <w:rPr>
                <w:rFonts w:hint="eastAsia" w:ascii="宋体" w:hAnsi="宋体" w:cs="宋体"/>
                <w:color w:val="000000"/>
                <w:kern w:val="0"/>
                <w:sz w:val="18"/>
                <w:szCs w:val="18"/>
                <w:lang w:bidi="ar"/>
              </w:rPr>
              <w:t>寸</w:t>
            </w:r>
            <w:r>
              <w:rPr>
                <w:rFonts w:ascii="宋体" w:hAnsi="宋体" w:cs="Calibri"/>
                <w:color w:val="000000"/>
                <w:kern w:val="0"/>
                <w:sz w:val="18"/>
                <w:szCs w:val="18"/>
                <w:lang w:bidi="ar"/>
              </w:rPr>
              <w:t>SAS</w:t>
            </w:r>
            <w:r>
              <w:rPr>
                <w:rFonts w:hint="eastAsia" w:ascii="宋体" w:hAnsi="宋体" w:cs="宋体"/>
                <w:color w:val="000000"/>
                <w:kern w:val="0"/>
                <w:sz w:val="18"/>
                <w:szCs w:val="18"/>
                <w:lang w:bidi="ar"/>
              </w:rPr>
              <w:t>硬盘，硬盘支持热插拔；</w:t>
            </w: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等线" w:hAnsi="等线" w:eastAsia="等线" w:cs="等线"/>
                <w:color w:val="000000"/>
                <w:sz w:val="20"/>
                <w:szCs w:val="20"/>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等线" w:hAnsi="等线" w:eastAsia="等线" w:cs="等线"/>
                <w:color w:val="000000"/>
                <w:sz w:val="20"/>
                <w:szCs w:val="20"/>
              </w:rPr>
            </w:pPr>
          </w:p>
        </w:tc>
      </w:tr>
      <w:tr>
        <w:tblPrEx>
          <w:tblCellMar>
            <w:top w:w="0" w:type="dxa"/>
            <w:left w:w="0" w:type="dxa"/>
            <w:bottom w:w="0" w:type="dxa"/>
            <w:right w:w="0" w:type="dxa"/>
          </w:tblCellMar>
        </w:tblPrEx>
        <w:trPr>
          <w:trHeight w:val="510" w:hRule="atLeast"/>
        </w:trPr>
        <w:tc>
          <w:tcPr>
            <w:tcW w:w="3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left"/>
              <w:rPr>
                <w:rFonts w:ascii="等线" w:hAnsi="等线" w:eastAsia="等线" w:cs="等线"/>
                <w:color w:val="000000"/>
                <w:sz w:val="20"/>
                <w:szCs w:val="20"/>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等线" w:hAnsi="等线" w:eastAsia="等线" w:cs="等线"/>
                <w:color w:val="000000"/>
                <w:sz w:val="20"/>
                <w:szCs w:val="20"/>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等线"/>
                <w:color w:val="000000"/>
                <w:sz w:val="18"/>
                <w:szCs w:val="18"/>
              </w:rPr>
            </w:pPr>
            <w:r>
              <w:rPr>
                <w:rFonts w:ascii="宋体" w:hAnsi="宋体" w:cs="等线"/>
                <w:color w:val="000000"/>
                <w:kern w:val="0"/>
                <w:sz w:val="18"/>
                <w:szCs w:val="18"/>
                <w:lang w:bidi="ar"/>
              </w:rPr>
              <w:t>存储扩展</w:t>
            </w:r>
          </w:p>
        </w:tc>
        <w:tc>
          <w:tcPr>
            <w:tcW w:w="6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top"/>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lang w:bidi="ar"/>
              </w:rPr>
              <w:t>可支持最大</w:t>
            </w:r>
            <w:r>
              <w:rPr>
                <w:rFonts w:ascii="宋体" w:hAnsi="宋体" w:cs="Calibri"/>
                <w:color w:val="000000"/>
                <w:kern w:val="0"/>
                <w:sz w:val="18"/>
                <w:szCs w:val="18"/>
                <w:lang w:bidi="ar"/>
              </w:rPr>
              <w:t>31</w:t>
            </w:r>
            <w:r>
              <w:rPr>
                <w:rFonts w:hint="eastAsia" w:ascii="宋体" w:hAnsi="宋体" w:cs="宋体"/>
                <w:color w:val="000000"/>
                <w:kern w:val="0"/>
                <w:sz w:val="18"/>
                <w:szCs w:val="18"/>
                <w:lang w:bidi="ar"/>
              </w:rPr>
              <w:t>个标准硬盘槽位，最大支持</w:t>
            </w:r>
            <w:r>
              <w:rPr>
                <w:rFonts w:ascii="宋体" w:hAnsi="宋体" w:cs="Calibri"/>
                <w:color w:val="000000"/>
                <w:kern w:val="0"/>
                <w:sz w:val="18"/>
                <w:szCs w:val="18"/>
                <w:lang w:bidi="ar"/>
              </w:rPr>
              <w:t>24</w:t>
            </w:r>
            <w:r>
              <w:rPr>
                <w:rFonts w:hint="eastAsia" w:ascii="宋体" w:hAnsi="宋体" w:cs="宋体"/>
                <w:color w:val="000000"/>
                <w:kern w:val="0"/>
                <w:sz w:val="18"/>
                <w:szCs w:val="18"/>
                <w:lang w:bidi="ar"/>
              </w:rPr>
              <w:t>个</w:t>
            </w:r>
            <w:r>
              <w:rPr>
                <w:rFonts w:ascii="宋体" w:hAnsi="宋体" w:cs="Calibri"/>
                <w:color w:val="000000"/>
                <w:kern w:val="0"/>
                <w:sz w:val="18"/>
                <w:szCs w:val="18"/>
                <w:lang w:bidi="ar"/>
              </w:rPr>
              <w:t>U.2 NVMe</w:t>
            </w:r>
            <w:r>
              <w:rPr>
                <w:rFonts w:hint="eastAsia" w:ascii="宋体" w:hAnsi="宋体" w:cs="宋体"/>
                <w:color w:val="000000"/>
                <w:kern w:val="0"/>
                <w:sz w:val="18"/>
                <w:szCs w:val="18"/>
                <w:lang w:bidi="ar"/>
              </w:rPr>
              <w:t>前置硬盘，支持</w:t>
            </w:r>
            <w:r>
              <w:rPr>
                <w:rFonts w:ascii="宋体" w:hAnsi="宋体" w:cs="Calibri"/>
                <w:color w:val="000000"/>
                <w:kern w:val="0"/>
                <w:sz w:val="18"/>
                <w:szCs w:val="18"/>
                <w:lang w:bidi="ar"/>
              </w:rPr>
              <w:t>2</w:t>
            </w:r>
            <w:r>
              <w:rPr>
                <w:rFonts w:hint="eastAsia" w:ascii="宋体" w:hAnsi="宋体" w:cs="宋体"/>
                <w:color w:val="000000"/>
                <w:kern w:val="0"/>
                <w:sz w:val="18"/>
                <w:szCs w:val="18"/>
                <w:lang w:bidi="ar"/>
              </w:rPr>
              <w:t>个</w:t>
            </w:r>
            <w:r>
              <w:rPr>
                <w:rFonts w:ascii="宋体" w:hAnsi="宋体" w:cs="Calibri"/>
                <w:color w:val="000000"/>
                <w:kern w:val="0"/>
                <w:sz w:val="18"/>
                <w:szCs w:val="18"/>
                <w:lang w:bidi="ar"/>
              </w:rPr>
              <w:t>M.2 SSD</w:t>
            </w:r>
            <w:r>
              <w:rPr>
                <w:rFonts w:hint="eastAsia" w:ascii="宋体" w:hAnsi="宋体" w:cs="宋体"/>
                <w:color w:val="000000"/>
                <w:kern w:val="0"/>
                <w:sz w:val="18"/>
                <w:szCs w:val="18"/>
                <w:lang w:bidi="ar"/>
              </w:rPr>
              <w:t>硬盘，支持</w:t>
            </w:r>
            <w:r>
              <w:rPr>
                <w:rFonts w:ascii="宋体" w:hAnsi="宋体" w:cs="Calibri"/>
                <w:color w:val="000000"/>
                <w:kern w:val="0"/>
                <w:sz w:val="18"/>
                <w:szCs w:val="18"/>
                <w:lang w:bidi="ar"/>
              </w:rPr>
              <w:t>2</w:t>
            </w:r>
            <w:r>
              <w:rPr>
                <w:rFonts w:hint="eastAsia" w:ascii="宋体" w:hAnsi="宋体" w:cs="宋体"/>
                <w:color w:val="000000"/>
                <w:kern w:val="0"/>
                <w:sz w:val="18"/>
                <w:szCs w:val="18"/>
                <w:lang w:bidi="ar"/>
              </w:rPr>
              <w:t>个内置</w:t>
            </w:r>
            <w:r>
              <w:rPr>
                <w:rFonts w:ascii="宋体" w:hAnsi="宋体" w:cs="Calibri"/>
                <w:color w:val="000000"/>
                <w:kern w:val="0"/>
                <w:sz w:val="18"/>
                <w:szCs w:val="18"/>
                <w:lang w:bidi="ar"/>
              </w:rPr>
              <w:t>SD</w:t>
            </w:r>
            <w:r>
              <w:rPr>
                <w:rFonts w:hint="eastAsia" w:ascii="宋体" w:hAnsi="宋体" w:cs="宋体"/>
                <w:color w:val="000000"/>
                <w:kern w:val="0"/>
                <w:sz w:val="18"/>
                <w:szCs w:val="18"/>
                <w:lang w:bidi="ar"/>
              </w:rPr>
              <w:t>存储器</w:t>
            </w: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等线" w:hAnsi="等线" w:eastAsia="等线" w:cs="等线"/>
                <w:color w:val="000000"/>
                <w:sz w:val="20"/>
                <w:szCs w:val="20"/>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等线" w:hAnsi="等线" w:eastAsia="等线" w:cs="等线"/>
                <w:color w:val="000000"/>
                <w:sz w:val="20"/>
                <w:szCs w:val="20"/>
              </w:rPr>
            </w:pPr>
          </w:p>
        </w:tc>
      </w:tr>
      <w:tr>
        <w:tblPrEx>
          <w:tblCellMar>
            <w:top w:w="0" w:type="dxa"/>
            <w:left w:w="0" w:type="dxa"/>
            <w:bottom w:w="0" w:type="dxa"/>
            <w:right w:w="0" w:type="dxa"/>
          </w:tblCellMar>
        </w:tblPrEx>
        <w:trPr>
          <w:trHeight w:val="510" w:hRule="atLeast"/>
        </w:trPr>
        <w:tc>
          <w:tcPr>
            <w:tcW w:w="3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left"/>
              <w:rPr>
                <w:rFonts w:ascii="等线" w:hAnsi="等线" w:eastAsia="等线" w:cs="等线"/>
                <w:color w:val="000000"/>
                <w:sz w:val="20"/>
                <w:szCs w:val="20"/>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等线" w:hAnsi="等线" w:eastAsia="等线" w:cs="等线"/>
                <w:color w:val="000000"/>
                <w:sz w:val="20"/>
                <w:szCs w:val="20"/>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等线"/>
                <w:color w:val="000000"/>
                <w:sz w:val="18"/>
                <w:szCs w:val="18"/>
              </w:rPr>
            </w:pPr>
            <w:r>
              <w:rPr>
                <w:rFonts w:ascii="宋体" w:hAnsi="宋体" w:cs="等线"/>
                <w:color w:val="000000"/>
                <w:kern w:val="0"/>
                <w:sz w:val="18"/>
                <w:szCs w:val="18"/>
                <w:lang w:bidi="ar"/>
              </w:rPr>
              <w:t>标准接口</w:t>
            </w:r>
          </w:p>
        </w:tc>
        <w:tc>
          <w:tcPr>
            <w:tcW w:w="6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top"/>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lang w:bidi="ar"/>
              </w:rPr>
              <w:t>提供</w:t>
            </w:r>
            <w:r>
              <w:rPr>
                <w:rFonts w:ascii="宋体" w:hAnsi="宋体" w:cs="Calibri"/>
                <w:color w:val="000000"/>
                <w:kern w:val="0"/>
                <w:sz w:val="18"/>
                <w:szCs w:val="18"/>
                <w:lang w:bidi="ar"/>
              </w:rPr>
              <w:t>6</w:t>
            </w:r>
            <w:r>
              <w:rPr>
                <w:rFonts w:hint="eastAsia" w:ascii="宋体" w:hAnsi="宋体" w:cs="宋体"/>
                <w:color w:val="000000"/>
                <w:kern w:val="0"/>
                <w:sz w:val="18"/>
                <w:szCs w:val="18"/>
                <w:lang w:bidi="ar"/>
              </w:rPr>
              <w:t>个</w:t>
            </w:r>
            <w:r>
              <w:rPr>
                <w:rFonts w:ascii="宋体" w:hAnsi="宋体" w:cs="Calibri"/>
                <w:color w:val="000000"/>
                <w:kern w:val="0"/>
                <w:sz w:val="18"/>
                <w:szCs w:val="18"/>
                <w:lang w:bidi="ar"/>
              </w:rPr>
              <w:t>USB</w:t>
            </w:r>
            <w:r>
              <w:rPr>
                <w:rFonts w:hint="eastAsia" w:ascii="宋体" w:hAnsi="宋体" w:cs="宋体"/>
                <w:color w:val="000000"/>
                <w:kern w:val="0"/>
                <w:sz w:val="18"/>
                <w:szCs w:val="18"/>
                <w:lang w:bidi="ar"/>
              </w:rPr>
              <w:t>接口，</w:t>
            </w:r>
            <w:r>
              <w:rPr>
                <w:rFonts w:ascii="宋体" w:hAnsi="宋体" w:cs="Calibri"/>
                <w:color w:val="000000"/>
                <w:kern w:val="0"/>
                <w:sz w:val="18"/>
                <w:szCs w:val="18"/>
                <w:lang w:bidi="ar"/>
              </w:rPr>
              <w:t>2</w:t>
            </w:r>
            <w:r>
              <w:rPr>
                <w:rFonts w:hint="eastAsia" w:ascii="宋体" w:hAnsi="宋体" w:cs="宋体"/>
                <w:color w:val="000000"/>
                <w:kern w:val="0"/>
                <w:sz w:val="18"/>
                <w:szCs w:val="18"/>
                <w:lang w:bidi="ar"/>
              </w:rPr>
              <w:t>个</w:t>
            </w:r>
            <w:r>
              <w:rPr>
                <w:rFonts w:ascii="宋体" w:hAnsi="宋体" w:cs="Calibri"/>
                <w:color w:val="000000"/>
                <w:kern w:val="0"/>
                <w:sz w:val="18"/>
                <w:szCs w:val="18"/>
                <w:lang w:bidi="ar"/>
              </w:rPr>
              <w:t>VGA</w:t>
            </w:r>
            <w:r>
              <w:rPr>
                <w:rFonts w:hint="eastAsia" w:ascii="宋体" w:hAnsi="宋体" w:cs="宋体"/>
                <w:color w:val="000000"/>
                <w:kern w:val="0"/>
                <w:sz w:val="18"/>
                <w:szCs w:val="18"/>
                <w:lang w:bidi="ar"/>
              </w:rPr>
              <w:t xml:space="preserve">接口， </w:t>
            </w:r>
            <w:r>
              <w:rPr>
                <w:rFonts w:ascii="宋体" w:hAnsi="宋体" w:cs="Calibri"/>
                <w:color w:val="000000"/>
                <w:kern w:val="0"/>
                <w:sz w:val="18"/>
                <w:szCs w:val="18"/>
                <w:lang w:bidi="ar"/>
              </w:rPr>
              <w:t>1</w:t>
            </w:r>
            <w:r>
              <w:rPr>
                <w:rFonts w:hint="eastAsia" w:ascii="宋体" w:hAnsi="宋体" w:cs="宋体"/>
                <w:color w:val="000000"/>
                <w:kern w:val="0"/>
                <w:sz w:val="18"/>
                <w:szCs w:val="18"/>
                <w:lang w:bidi="ar"/>
              </w:rPr>
              <w:t>个</w:t>
            </w:r>
            <w:r>
              <w:rPr>
                <w:rFonts w:ascii="宋体" w:hAnsi="宋体" w:cs="Calibri"/>
                <w:color w:val="000000"/>
                <w:kern w:val="0"/>
                <w:sz w:val="18"/>
                <w:szCs w:val="18"/>
                <w:lang w:bidi="ar"/>
              </w:rPr>
              <w:t>UART</w:t>
            </w:r>
            <w:r>
              <w:rPr>
                <w:rFonts w:hint="eastAsia" w:ascii="宋体" w:hAnsi="宋体" w:cs="宋体"/>
                <w:color w:val="000000"/>
                <w:kern w:val="0"/>
                <w:sz w:val="18"/>
                <w:szCs w:val="18"/>
                <w:lang w:bidi="ar"/>
              </w:rPr>
              <w:t>串口，</w:t>
            </w:r>
            <w:r>
              <w:rPr>
                <w:rFonts w:ascii="宋体" w:hAnsi="宋体" w:cs="Calibri"/>
                <w:color w:val="000000"/>
                <w:kern w:val="0"/>
                <w:sz w:val="18"/>
                <w:szCs w:val="18"/>
                <w:lang w:bidi="ar"/>
              </w:rPr>
              <w:t>1</w:t>
            </w:r>
            <w:r>
              <w:rPr>
                <w:rFonts w:hint="eastAsia" w:ascii="宋体" w:hAnsi="宋体" w:cs="宋体"/>
                <w:color w:val="000000"/>
                <w:kern w:val="0"/>
                <w:sz w:val="18"/>
                <w:szCs w:val="18"/>
                <w:lang w:bidi="ar"/>
              </w:rPr>
              <w:t>个独立管理口；支持外插</w:t>
            </w:r>
            <w:r>
              <w:rPr>
                <w:rFonts w:ascii="宋体" w:hAnsi="宋体" w:cs="Calibri"/>
                <w:color w:val="000000"/>
                <w:kern w:val="0"/>
                <w:sz w:val="18"/>
                <w:szCs w:val="18"/>
                <w:lang w:bidi="ar"/>
              </w:rPr>
              <w:t>LCD</w:t>
            </w:r>
            <w:r>
              <w:rPr>
                <w:rFonts w:hint="eastAsia" w:ascii="宋体" w:hAnsi="宋体" w:cs="宋体"/>
                <w:color w:val="000000"/>
                <w:kern w:val="0"/>
                <w:sz w:val="18"/>
                <w:szCs w:val="18"/>
                <w:lang w:bidi="ar"/>
              </w:rPr>
              <w:t>液晶管理模块；</w:t>
            </w: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等线" w:hAnsi="等线" w:eastAsia="等线" w:cs="等线"/>
                <w:color w:val="000000"/>
                <w:sz w:val="20"/>
                <w:szCs w:val="20"/>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等线" w:hAnsi="等线" w:eastAsia="等线" w:cs="等线"/>
                <w:color w:val="000000"/>
                <w:sz w:val="20"/>
                <w:szCs w:val="20"/>
              </w:rPr>
            </w:pPr>
          </w:p>
        </w:tc>
      </w:tr>
      <w:tr>
        <w:tblPrEx>
          <w:tblCellMar>
            <w:top w:w="0" w:type="dxa"/>
            <w:left w:w="0" w:type="dxa"/>
            <w:bottom w:w="0" w:type="dxa"/>
            <w:right w:w="0" w:type="dxa"/>
          </w:tblCellMar>
        </w:tblPrEx>
        <w:trPr>
          <w:trHeight w:val="510" w:hRule="atLeast"/>
        </w:trPr>
        <w:tc>
          <w:tcPr>
            <w:tcW w:w="3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left"/>
              <w:rPr>
                <w:rFonts w:ascii="等线" w:hAnsi="等线" w:eastAsia="等线" w:cs="等线"/>
                <w:color w:val="000000"/>
                <w:sz w:val="20"/>
                <w:szCs w:val="20"/>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等线" w:hAnsi="等线" w:eastAsia="等线" w:cs="等线"/>
                <w:color w:val="000000"/>
                <w:sz w:val="20"/>
                <w:szCs w:val="20"/>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等线"/>
                <w:color w:val="000000"/>
                <w:sz w:val="18"/>
                <w:szCs w:val="18"/>
              </w:rPr>
            </w:pPr>
            <w:r>
              <w:rPr>
                <w:rFonts w:ascii="宋体" w:hAnsi="宋体" w:cs="等线"/>
                <w:color w:val="000000"/>
                <w:kern w:val="0"/>
                <w:sz w:val="18"/>
                <w:szCs w:val="18"/>
                <w:lang w:bidi="ar"/>
              </w:rPr>
              <w:t>RAID支持</w:t>
            </w:r>
          </w:p>
        </w:tc>
        <w:tc>
          <w:tcPr>
            <w:tcW w:w="6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top"/>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lang w:bidi="ar"/>
              </w:rPr>
              <w:t>配置独立</w:t>
            </w:r>
            <w:r>
              <w:rPr>
                <w:rFonts w:ascii="宋体" w:hAnsi="宋体" w:cs="Calibri"/>
                <w:color w:val="000000"/>
                <w:kern w:val="0"/>
                <w:sz w:val="18"/>
                <w:szCs w:val="18"/>
                <w:lang w:bidi="ar"/>
              </w:rPr>
              <w:t>12Gb/s RAID</w:t>
            </w:r>
            <w:r>
              <w:rPr>
                <w:rFonts w:hint="eastAsia" w:ascii="宋体" w:hAnsi="宋体" w:cs="宋体"/>
                <w:color w:val="000000"/>
                <w:kern w:val="0"/>
                <w:sz w:val="18"/>
                <w:szCs w:val="18"/>
                <w:lang w:bidi="ar"/>
              </w:rPr>
              <w:t>控制卡，，支持</w:t>
            </w:r>
            <w:r>
              <w:rPr>
                <w:rFonts w:ascii="宋体" w:hAnsi="宋体" w:cs="Calibri"/>
                <w:color w:val="000000"/>
                <w:kern w:val="0"/>
                <w:sz w:val="18"/>
                <w:szCs w:val="18"/>
                <w:lang w:bidi="ar"/>
              </w:rPr>
              <w:t>RAID 0/1/5/6/10</w:t>
            </w:r>
            <w:r>
              <w:rPr>
                <w:rFonts w:hint="eastAsia" w:ascii="宋体" w:hAnsi="宋体" w:cs="宋体"/>
                <w:color w:val="000000"/>
                <w:kern w:val="0"/>
                <w:sz w:val="18"/>
                <w:szCs w:val="18"/>
                <w:lang w:bidi="ar"/>
              </w:rPr>
              <w:t>等，支持</w:t>
            </w:r>
            <w:r>
              <w:rPr>
                <w:rFonts w:ascii="宋体" w:hAnsi="宋体" w:cs="Calibri"/>
                <w:color w:val="000000"/>
                <w:kern w:val="0"/>
                <w:sz w:val="18"/>
                <w:szCs w:val="18"/>
                <w:lang w:bidi="ar"/>
              </w:rPr>
              <w:t>SAS/SATA/NVME</w:t>
            </w:r>
            <w:r>
              <w:rPr>
                <w:rFonts w:hint="eastAsia" w:ascii="宋体" w:hAnsi="宋体" w:cs="宋体"/>
                <w:color w:val="000000"/>
                <w:kern w:val="0"/>
                <w:sz w:val="18"/>
                <w:szCs w:val="18"/>
                <w:lang w:bidi="ar"/>
              </w:rPr>
              <w:t>混合模式；</w:t>
            </w: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等线" w:hAnsi="等线" w:eastAsia="等线" w:cs="等线"/>
                <w:color w:val="000000"/>
                <w:sz w:val="20"/>
                <w:szCs w:val="20"/>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等线" w:hAnsi="等线" w:eastAsia="等线" w:cs="等线"/>
                <w:color w:val="000000"/>
                <w:sz w:val="20"/>
                <w:szCs w:val="20"/>
              </w:rPr>
            </w:pPr>
          </w:p>
        </w:tc>
      </w:tr>
      <w:tr>
        <w:tblPrEx>
          <w:tblCellMar>
            <w:top w:w="0" w:type="dxa"/>
            <w:left w:w="0" w:type="dxa"/>
            <w:bottom w:w="0" w:type="dxa"/>
            <w:right w:w="0" w:type="dxa"/>
          </w:tblCellMar>
        </w:tblPrEx>
        <w:trPr>
          <w:trHeight w:val="510" w:hRule="atLeast"/>
        </w:trPr>
        <w:tc>
          <w:tcPr>
            <w:tcW w:w="3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left"/>
              <w:rPr>
                <w:rFonts w:ascii="等线" w:hAnsi="等线" w:eastAsia="等线" w:cs="等线"/>
                <w:color w:val="000000"/>
                <w:sz w:val="20"/>
                <w:szCs w:val="20"/>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等线" w:hAnsi="等线" w:eastAsia="等线" w:cs="等线"/>
                <w:color w:val="000000"/>
                <w:sz w:val="20"/>
                <w:szCs w:val="20"/>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等线"/>
                <w:color w:val="000000"/>
                <w:sz w:val="18"/>
                <w:szCs w:val="18"/>
              </w:rPr>
            </w:pPr>
            <w:r>
              <w:rPr>
                <w:rFonts w:ascii="宋体" w:hAnsi="宋体" w:cs="等线"/>
                <w:color w:val="000000"/>
                <w:kern w:val="0"/>
                <w:sz w:val="18"/>
                <w:szCs w:val="18"/>
                <w:lang w:bidi="ar"/>
              </w:rPr>
              <w:t>网络接口</w:t>
            </w:r>
          </w:p>
        </w:tc>
        <w:tc>
          <w:tcPr>
            <w:tcW w:w="6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top"/>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lang w:bidi="ar"/>
              </w:rPr>
              <w:t>配置</w:t>
            </w:r>
            <w:r>
              <w:rPr>
                <w:rFonts w:ascii="宋体" w:hAnsi="宋体" w:cs="Calibri"/>
                <w:color w:val="000000"/>
                <w:kern w:val="0"/>
                <w:sz w:val="18"/>
                <w:szCs w:val="18"/>
                <w:lang w:bidi="ar"/>
              </w:rPr>
              <w:t>4</w:t>
            </w:r>
            <w:r>
              <w:rPr>
                <w:rFonts w:hint="eastAsia" w:ascii="宋体" w:hAnsi="宋体" w:cs="宋体"/>
                <w:color w:val="000000"/>
                <w:kern w:val="0"/>
                <w:sz w:val="18"/>
                <w:szCs w:val="18"/>
                <w:lang w:bidi="ar"/>
              </w:rPr>
              <w:t>个千兆以太网</w:t>
            </w:r>
            <w:r>
              <w:rPr>
                <w:rFonts w:ascii="宋体" w:hAnsi="宋体" w:cs="Calibri"/>
                <w:color w:val="000000"/>
                <w:kern w:val="0"/>
                <w:sz w:val="18"/>
                <w:szCs w:val="18"/>
                <w:lang w:bidi="ar"/>
              </w:rPr>
              <w:t>RJ45</w:t>
            </w:r>
            <w:r>
              <w:rPr>
                <w:rFonts w:hint="eastAsia" w:ascii="宋体" w:hAnsi="宋体" w:cs="宋体"/>
                <w:color w:val="000000"/>
                <w:kern w:val="0"/>
                <w:sz w:val="18"/>
                <w:szCs w:val="18"/>
                <w:lang w:bidi="ar"/>
              </w:rPr>
              <w:t>接口；支持</w:t>
            </w:r>
            <w:r>
              <w:rPr>
                <w:rFonts w:ascii="宋体" w:hAnsi="宋体" w:cs="Calibri"/>
                <w:color w:val="000000"/>
                <w:kern w:val="0"/>
                <w:sz w:val="18"/>
                <w:szCs w:val="18"/>
                <w:lang w:bidi="ar"/>
              </w:rPr>
              <w:t>OCP</w:t>
            </w:r>
            <w:r>
              <w:rPr>
                <w:rFonts w:hint="eastAsia" w:ascii="宋体" w:hAnsi="宋体" w:cs="宋体"/>
                <w:color w:val="000000"/>
                <w:kern w:val="0"/>
                <w:sz w:val="18"/>
                <w:szCs w:val="18"/>
                <w:lang w:bidi="ar"/>
              </w:rPr>
              <w:t>网络模块，支持</w:t>
            </w:r>
            <w:r>
              <w:rPr>
                <w:rFonts w:ascii="宋体" w:hAnsi="宋体" w:cs="Calibri"/>
                <w:color w:val="000000"/>
                <w:kern w:val="0"/>
                <w:sz w:val="18"/>
                <w:szCs w:val="18"/>
                <w:lang w:bidi="ar"/>
              </w:rPr>
              <w:t>1Gb/10Gb/25Gb</w:t>
            </w:r>
            <w:r>
              <w:rPr>
                <w:rFonts w:hint="eastAsia" w:ascii="宋体" w:hAnsi="宋体" w:cs="宋体"/>
                <w:color w:val="000000"/>
                <w:kern w:val="0"/>
                <w:sz w:val="18"/>
                <w:szCs w:val="18"/>
                <w:lang w:bidi="ar"/>
              </w:rPr>
              <w:t>速率；</w:t>
            </w: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等线" w:hAnsi="等线" w:eastAsia="等线" w:cs="等线"/>
                <w:color w:val="000000"/>
                <w:sz w:val="20"/>
                <w:szCs w:val="20"/>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等线" w:hAnsi="等线" w:eastAsia="等线" w:cs="等线"/>
                <w:color w:val="000000"/>
                <w:sz w:val="20"/>
                <w:szCs w:val="20"/>
              </w:rPr>
            </w:pPr>
          </w:p>
        </w:tc>
      </w:tr>
      <w:tr>
        <w:tblPrEx>
          <w:tblCellMar>
            <w:top w:w="0" w:type="dxa"/>
            <w:left w:w="0" w:type="dxa"/>
            <w:bottom w:w="0" w:type="dxa"/>
            <w:right w:w="0" w:type="dxa"/>
          </w:tblCellMar>
        </w:tblPrEx>
        <w:trPr>
          <w:trHeight w:val="255" w:hRule="atLeast"/>
        </w:trPr>
        <w:tc>
          <w:tcPr>
            <w:tcW w:w="3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left"/>
              <w:rPr>
                <w:rFonts w:ascii="等线" w:hAnsi="等线" w:eastAsia="等线" w:cs="等线"/>
                <w:color w:val="000000"/>
                <w:sz w:val="20"/>
                <w:szCs w:val="20"/>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等线" w:hAnsi="等线" w:eastAsia="等线" w:cs="等线"/>
                <w:color w:val="000000"/>
                <w:sz w:val="20"/>
                <w:szCs w:val="20"/>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等线"/>
                <w:color w:val="000000"/>
                <w:sz w:val="18"/>
                <w:szCs w:val="18"/>
              </w:rPr>
            </w:pPr>
            <w:r>
              <w:rPr>
                <w:rFonts w:ascii="宋体" w:hAnsi="宋体" w:cs="等线"/>
                <w:color w:val="000000"/>
                <w:kern w:val="0"/>
                <w:sz w:val="18"/>
                <w:szCs w:val="18"/>
                <w:lang w:bidi="ar"/>
              </w:rPr>
              <w:t>I/O扩展</w:t>
            </w:r>
          </w:p>
        </w:tc>
        <w:tc>
          <w:tcPr>
            <w:tcW w:w="6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top"/>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lang w:bidi="ar"/>
              </w:rPr>
              <w:t>支持≥</w:t>
            </w:r>
            <w:r>
              <w:rPr>
                <w:rFonts w:ascii="宋体" w:hAnsi="宋体" w:cs="Calibri"/>
                <w:color w:val="000000"/>
                <w:kern w:val="0"/>
                <w:sz w:val="18"/>
                <w:szCs w:val="18"/>
                <w:lang w:bidi="ar"/>
              </w:rPr>
              <w:t>9</w:t>
            </w:r>
            <w:r>
              <w:rPr>
                <w:rFonts w:hint="eastAsia" w:ascii="宋体" w:hAnsi="宋体" w:cs="宋体"/>
                <w:color w:val="000000"/>
                <w:kern w:val="0"/>
                <w:sz w:val="18"/>
                <w:szCs w:val="18"/>
                <w:lang w:bidi="ar"/>
              </w:rPr>
              <w:t>个</w:t>
            </w:r>
            <w:r>
              <w:rPr>
                <w:rFonts w:ascii="宋体" w:hAnsi="宋体" w:cs="Calibri"/>
                <w:color w:val="000000"/>
                <w:kern w:val="0"/>
                <w:sz w:val="18"/>
                <w:szCs w:val="18"/>
                <w:lang w:bidi="ar"/>
              </w:rPr>
              <w:t>PCIE</w:t>
            </w:r>
            <w:r>
              <w:rPr>
                <w:rFonts w:hint="eastAsia" w:ascii="宋体" w:hAnsi="宋体" w:cs="宋体"/>
                <w:color w:val="000000"/>
                <w:kern w:val="0"/>
                <w:sz w:val="18"/>
                <w:szCs w:val="18"/>
                <w:lang w:bidi="ar"/>
              </w:rPr>
              <w:t>插槽（含</w:t>
            </w:r>
            <w:r>
              <w:rPr>
                <w:rFonts w:ascii="宋体" w:hAnsi="宋体" w:cs="Calibri"/>
                <w:color w:val="000000"/>
                <w:kern w:val="0"/>
                <w:sz w:val="18"/>
                <w:szCs w:val="18"/>
                <w:lang w:bidi="ar"/>
              </w:rPr>
              <w:t>1</w:t>
            </w:r>
            <w:r>
              <w:rPr>
                <w:rFonts w:hint="eastAsia" w:ascii="宋体" w:hAnsi="宋体" w:cs="宋体"/>
                <w:color w:val="000000"/>
                <w:kern w:val="0"/>
                <w:sz w:val="18"/>
                <w:szCs w:val="18"/>
                <w:lang w:bidi="ar"/>
              </w:rPr>
              <w:t>个</w:t>
            </w:r>
            <w:r>
              <w:rPr>
                <w:rFonts w:ascii="宋体" w:hAnsi="宋体" w:cs="Calibri"/>
                <w:color w:val="000000"/>
                <w:kern w:val="0"/>
                <w:sz w:val="18"/>
                <w:szCs w:val="18"/>
                <w:lang w:bidi="ar"/>
              </w:rPr>
              <w:t>OCP/PHY</w:t>
            </w:r>
            <w:r>
              <w:rPr>
                <w:rFonts w:hint="eastAsia" w:ascii="宋体" w:hAnsi="宋体" w:cs="宋体"/>
                <w:color w:val="000000"/>
                <w:kern w:val="0"/>
                <w:sz w:val="18"/>
                <w:szCs w:val="18"/>
                <w:lang w:bidi="ar"/>
              </w:rPr>
              <w:t>槽位）</w:t>
            </w: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等线" w:hAnsi="等线" w:eastAsia="等线" w:cs="等线"/>
                <w:color w:val="000000"/>
                <w:sz w:val="20"/>
                <w:szCs w:val="20"/>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等线" w:hAnsi="等线" w:eastAsia="等线" w:cs="等线"/>
                <w:color w:val="000000"/>
                <w:sz w:val="20"/>
                <w:szCs w:val="20"/>
              </w:rPr>
            </w:pPr>
          </w:p>
        </w:tc>
      </w:tr>
      <w:tr>
        <w:tblPrEx>
          <w:tblCellMar>
            <w:top w:w="0" w:type="dxa"/>
            <w:left w:w="0" w:type="dxa"/>
            <w:bottom w:w="0" w:type="dxa"/>
            <w:right w:w="0" w:type="dxa"/>
          </w:tblCellMar>
        </w:tblPrEx>
        <w:trPr>
          <w:trHeight w:val="255" w:hRule="atLeast"/>
        </w:trPr>
        <w:tc>
          <w:tcPr>
            <w:tcW w:w="3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left"/>
              <w:rPr>
                <w:rFonts w:ascii="等线" w:hAnsi="等线" w:eastAsia="等线" w:cs="等线"/>
                <w:color w:val="000000"/>
                <w:sz w:val="20"/>
                <w:szCs w:val="20"/>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等线" w:hAnsi="等线" w:eastAsia="等线" w:cs="等线"/>
                <w:color w:val="000000"/>
                <w:sz w:val="20"/>
                <w:szCs w:val="20"/>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等线"/>
                <w:color w:val="000000"/>
                <w:sz w:val="18"/>
                <w:szCs w:val="18"/>
              </w:rPr>
            </w:pPr>
            <w:r>
              <w:rPr>
                <w:rFonts w:ascii="宋体" w:hAnsi="宋体" w:cs="等线"/>
                <w:color w:val="000000"/>
                <w:kern w:val="0"/>
                <w:sz w:val="18"/>
                <w:szCs w:val="18"/>
                <w:lang w:bidi="ar"/>
              </w:rPr>
              <w:t>异构加速</w:t>
            </w:r>
          </w:p>
        </w:tc>
        <w:tc>
          <w:tcPr>
            <w:tcW w:w="6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top"/>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lang w:bidi="ar"/>
              </w:rPr>
              <w:t>支持</w:t>
            </w:r>
            <w:r>
              <w:rPr>
                <w:rFonts w:ascii="宋体" w:hAnsi="宋体" w:cs="Calibri"/>
                <w:color w:val="000000"/>
                <w:kern w:val="0"/>
                <w:sz w:val="18"/>
                <w:szCs w:val="18"/>
                <w:lang w:bidi="ar"/>
              </w:rPr>
              <w:t>4</w:t>
            </w:r>
            <w:r>
              <w:rPr>
                <w:rFonts w:hint="eastAsia" w:ascii="宋体" w:hAnsi="宋体" w:cs="宋体"/>
                <w:color w:val="000000"/>
                <w:kern w:val="0"/>
                <w:sz w:val="18"/>
                <w:szCs w:val="18"/>
                <w:lang w:bidi="ar"/>
              </w:rPr>
              <w:t>个双宽</w:t>
            </w:r>
            <w:r>
              <w:rPr>
                <w:rFonts w:ascii="宋体" w:hAnsi="宋体" w:cs="Calibri"/>
                <w:color w:val="000000"/>
                <w:kern w:val="0"/>
                <w:sz w:val="18"/>
                <w:szCs w:val="18"/>
                <w:lang w:bidi="ar"/>
              </w:rPr>
              <w:t>GPU</w:t>
            </w:r>
            <w:r>
              <w:rPr>
                <w:rFonts w:hint="eastAsia" w:ascii="宋体" w:hAnsi="宋体" w:cs="宋体"/>
                <w:color w:val="000000"/>
                <w:kern w:val="0"/>
                <w:sz w:val="18"/>
                <w:szCs w:val="18"/>
                <w:lang w:bidi="ar"/>
              </w:rPr>
              <w:t>或</w:t>
            </w:r>
            <w:r>
              <w:rPr>
                <w:rFonts w:ascii="宋体" w:hAnsi="宋体" w:cs="Calibri"/>
                <w:color w:val="000000"/>
                <w:kern w:val="0"/>
                <w:sz w:val="18"/>
                <w:szCs w:val="18"/>
                <w:lang w:bidi="ar"/>
              </w:rPr>
              <w:t>8</w:t>
            </w:r>
            <w:r>
              <w:rPr>
                <w:rFonts w:hint="eastAsia" w:ascii="宋体" w:hAnsi="宋体" w:cs="宋体"/>
                <w:color w:val="000000"/>
                <w:kern w:val="0"/>
                <w:sz w:val="18"/>
                <w:szCs w:val="18"/>
                <w:lang w:bidi="ar"/>
              </w:rPr>
              <w:t>个单宽</w:t>
            </w:r>
            <w:r>
              <w:rPr>
                <w:rFonts w:ascii="宋体" w:hAnsi="宋体" w:cs="Calibri"/>
                <w:color w:val="000000"/>
                <w:kern w:val="0"/>
                <w:sz w:val="18"/>
                <w:szCs w:val="18"/>
                <w:lang w:bidi="ar"/>
              </w:rPr>
              <w:t>GPU</w:t>
            </w:r>
            <w:r>
              <w:rPr>
                <w:rFonts w:hint="eastAsia" w:ascii="宋体" w:hAnsi="宋体" w:cs="宋体"/>
                <w:color w:val="000000"/>
                <w:kern w:val="0"/>
                <w:sz w:val="18"/>
                <w:szCs w:val="18"/>
                <w:lang w:bidi="ar"/>
              </w:rPr>
              <w:t>，提供电源接口</w:t>
            </w: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等线" w:hAnsi="等线" w:eastAsia="等线" w:cs="等线"/>
                <w:color w:val="000000"/>
                <w:sz w:val="20"/>
                <w:szCs w:val="20"/>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等线" w:hAnsi="等线" w:eastAsia="等线" w:cs="等线"/>
                <w:color w:val="000000"/>
                <w:sz w:val="20"/>
                <w:szCs w:val="20"/>
              </w:rPr>
            </w:pPr>
          </w:p>
        </w:tc>
      </w:tr>
      <w:tr>
        <w:tblPrEx>
          <w:tblCellMar>
            <w:top w:w="0" w:type="dxa"/>
            <w:left w:w="0" w:type="dxa"/>
            <w:bottom w:w="0" w:type="dxa"/>
            <w:right w:w="0" w:type="dxa"/>
          </w:tblCellMar>
        </w:tblPrEx>
        <w:trPr>
          <w:trHeight w:val="495" w:hRule="atLeast"/>
        </w:trPr>
        <w:tc>
          <w:tcPr>
            <w:tcW w:w="3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left"/>
              <w:rPr>
                <w:rFonts w:ascii="等线" w:hAnsi="等线" w:eastAsia="等线" w:cs="等线"/>
                <w:color w:val="000000"/>
                <w:sz w:val="20"/>
                <w:szCs w:val="20"/>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等线" w:hAnsi="等线" w:eastAsia="等线" w:cs="等线"/>
                <w:color w:val="000000"/>
                <w:sz w:val="20"/>
                <w:szCs w:val="20"/>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等线"/>
                <w:color w:val="000000"/>
                <w:sz w:val="18"/>
                <w:szCs w:val="18"/>
              </w:rPr>
            </w:pPr>
            <w:r>
              <w:rPr>
                <w:rFonts w:ascii="宋体" w:hAnsi="宋体" w:cs="等线"/>
                <w:color w:val="000000"/>
                <w:kern w:val="0"/>
                <w:sz w:val="18"/>
                <w:szCs w:val="18"/>
                <w:lang w:bidi="ar"/>
              </w:rPr>
              <w:t>电源模块</w:t>
            </w:r>
          </w:p>
        </w:tc>
        <w:tc>
          <w:tcPr>
            <w:tcW w:w="6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top"/>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lang w:bidi="ar"/>
              </w:rPr>
              <w:t>配置两个冗余热插拔</w:t>
            </w:r>
            <w:r>
              <w:rPr>
                <w:rFonts w:ascii="宋体" w:hAnsi="宋体" w:cs="Calibri"/>
                <w:color w:val="000000"/>
                <w:kern w:val="0"/>
                <w:sz w:val="18"/>
                <w:szCs w:val="18"/>
                <w:lang w:bidi="ar"/>
              </w:rPr>
              <w:t xml:space="preserve">550W </w:t>
            </w:r>
            <w:r>
              <w:rPr>
                <w:rFonts w:hint="eastAsia" w:ascii="宋体" w:hAnsi="宋体" w:cs="宋体"/>
                <w:color w:val="000000"/>
                <w:kern w:val="0"/>
                <w:sz w:val="18"/>
                <w:szCs w:val="18"/>
                <w:lang w:bidi="ar"/>
              </w:rPr>
              <w:t>高效铂金交流电源，支持</w:t>
            </w:r>
            <w:r>
              <w:rPr>
                <w:rFonts w:ascii="宋体" w:hAnsi="宋体" w:cs="Calibri"/>
                <w:color w:val="000000"/>
                <w:kern w:val="0"/>
                <w:sz w:val="18"/>
                <w:szCs w:val="18"/>
                <w:lang w:bidi="ar"/>
              </w:rPr>
              <w:t>-48V / 336V</w:t>
            </w:r>
            <w:r>
              <w:rPr>
                <w:rFonts w:hint="eastAsia" w:ascii="宋体" w:hAnsi="宋体" w:cs="宋体"/>
                <w:color w:val="000000"/>
                <w:kern w:val="0"/>
                <w:sz w:val="18"/>
                <w:szCs w:val="18"/>
                <w:lang w:bidi="ar"/>
              </w:rPr>
              <w:t>直流电源；</w:t>
            </w: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等线" w:hAnsi="等线" w:eastAsia="等线" w:cs="等线"/>
                <w:color w:val="000000"/>
                <w:sz w:val="20"/>
                <w:szCs w:val="20"/>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等线" w:hAnsi="等线" w:eastAsia="等线" w:cs="等线"/>
                <w:color w:val="000000"/>
                <w:sz w:val="20"/>
                <w:szCs w:val="20"/>
              </w:rPr>
            </w:pPr>
          </w:p>
        </w:tc>
      </w:tr>
      <w:tr>
        <w:tblPrEx>
          <w:tblCellMar>
            <w:top w:w="0" w:type="dxa"/>
            <w:left w:w="0" w:type="dxa"/>
            <w:bottom w:w="0" w:type="dxa"/>
            <w:right w:w="0" w:type="dxa"/>
          </w:tblCellMar>
        </w:tblPrEx>
        <w:trPr>
          <w:trHeight w:val="495" w:hRule="atLeast"/>
        </w:trPr>
        <w:tc>
          <w:tcPr>
            <w:tcW w:w="3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left"/>
              <w:rPr>
                <w:rFonts w:ascii="等线" w:hAnsi="等线" w:eastAsia="等线" w:cs="等线"/>
                <w:color w:val="000000"/>
                <w:sz w:val="20"/>
                <w:szCs w:val="20"/>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等线" w:hAnsi="等线" w:eastAsia="等线" w:cs="等线"/>
                <w:color w:val="000000"/>
                <w:sz w:val="20"/>
                <w:szCs w:val="20"/>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等线"/>
                <w:color w:val="000000"/>
                <w:sz w:val="18"/>
                <w:szCs w:val="18"/>
              </w:rPr>
            </w:pPr>
            <w:r>
              <w:rPr>
                <w:rFonts w:ascii="宋体" w:hAnsi="宋体" w:cs="等线"/>
                <w:color w:val="000000"/>
                <w:kern w:val="0"/>
                <w:sz w:val="18"/>
                <w:szCs w:val="18"/>
                <w:lang w:bidi="ar"/>
              </w:rPr>
              <w:t>散热</w:t>
            </w:r>
          </w:p>
        </w:tc>
        <w:tc>
          <w:tcPr>
            <w:tcW w:w="6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top"/>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lang w:bidi="ar"/>
              </w:rPr>
              <w:t>配置</w:t>
            </w:r>
            <w:r>
              <w:rPr>
                <w:rFonts w:ascii="宋体" w:hAnsi="宋体" w:cs="Calibri"/>
                <w:color w:val="000000"/>
                <w:kern w:val="0"/>
                <w:sz w:val="18"/>
                <w:szCs w:val="18"/>
                <w:lang w:bidi="ar"/>
              </w:rPr>
              <w:t>4</w:t>
            </w:r>
            <w:r>
              <w:rPr>
                <w:rFonts w:hint="eastAsia" w:ascii="宋体" w:hAnsi="宋体" w:cs="宋体"/>
                <w:color w:val="000000"/>
                <w:kern w:val="0"/>
                <w:sz w:val="18"/>
                <w:szCs w:val="18"/>
                <w:lang w:bidi="ar"/>
              </w:rPr>
              <w:t>个冗余双转子风扇，支持免工具热插拔维护。风扇转速自动调节；风流向前进后出；具备防回流设计。</w:t>
            </w: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等线" w:hAnsi="等线" w:eastAsia="等线" w:cs="等线"/>
                <w:color w:val="000000"/>
                <w:sz w:val="20"/>
                <w:szCs w:val="20"/>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等线" w:hAnsi="等线" w:eastAsia="等线" w:cs="等线"/>
                <w:color w:val="000000"/>
                <w:sz w:val="20"/>
                <w:szCs w:val="20"/>
              </w:rPr>
            </w:pPr>
          </w:p>
        </w:tc>
      </w:tr>
      <w:tr>
        <w:tblPrEx>
          <w:tblCellMar>
            <w:top w:w="0" w:type="dxa"/>
            <w:left w:w="0" w:type="dxa"/>
            <w:bottom w:w="0" w:type="dxa"/>
            <w:right w:w="0" w:type="dxa"/>
          </w:tblCellMar>
        </w:tblPrEx>
        <w:trPr>
          <w:trHeight w:val="495" w:hRule="atLeast"/>
        </w:trPr>
        <w:tc>
          <w:tcPr>
            <w:tcW w:w="3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left"/>
              <w:rPr>
                <w:rFonts w:ascii="等线" w:hAnsi="等线" w:eastAsia="等线" w:cs="等线"/>
                <w:color w:val="000000"/>
                <w:sz w:val="20"/>
                <w:szCs w:val="20"/>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等线" w:hAnsi="等线" w:eastAsia="等线" w:cs="等线"/>
                <w:color w:val="000000"/>
                <w:sz w:val="20"/>
                <w:szCs w:val="20"/>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等线"/>
                <w:color w:val="000000"/>
                <w:sz w:val="18"/>
                <w:szCs w:val="18"/>
              </w:rPr>
            </w:pPr>
            <w:r>
              <w:rPr>
                <w:rFonts w:ascii="宋体" w:hAnsi="宋体" w:cs="等线"/>
                <w:color w:val="000000"/>
                <w:kern w:val="0"/>
                <w:sz w:val="18"/>
                <w:szCs w:val="18"/>
                <w:lang w:bidi="ar"/>
              </w:rPr>
              <w:t>管理功能</w:t>
            </w:r>
          </w:p>
        </w:tc>
        <w:tc>
          <w:tcPr>
            <w:tcW w:w="6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top"/>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lang w:bidi="ar"/>
              </w:rPr>
              <w:t>集成系统管理芯片，支持</w:t>
            </w:r>
            <w:r>
              <w:rPr>
                <w:rFonts w:ascii="宋体" w:hAnsi="宋体" w:cs="Calibri"/>
                <w:color w:val="000000"/>
                <w:kern w:val="0"/>
                <w:sz w:val="18"/>
                <w:szCs w:val="18"/>
                <w:lang w:bidi="ar"/>
              </w:rPr>
              <w:t>IPMI2.0</w:t>
            </w:r>
            <w:r>
              <w:rPr>
                <w:rFonts w:hint="eastAsia" w:ascii="宋体" w:hAnsi="宋体" w:cs="宋体"/>
                <w:color w:val="000000"/>
                <w:kern w:val="0"/>
                <w:sz w:val="18"/>
                <w:szCs w:val="18"/>
                <w:lang w:bidi="ar"/>
              </w:rPr>
              <w:t>、</w:t>
            </w:r>
            <w:r>
              <w:rPr>
                <w:rFonts w:ascii="宋体" w:hAnsi="宋体" w:cs="Calibri"/>
                <w:color w:val="000000"/>
                <w:kern w:val="0"/>
                <w:sz w:val="18"/>
                <w:szCs w:val="18"/>
                <w:lang w:bidi="ar"/>
              </w:rPr>
              <w:t>KVM over IP</w:t>
            </w:r>
            <w:r>
              <w:rPr>
                <w:rFonts w:hint="eastAsia" w:ascii="宋体" w:hAnsi="宋体" w:cs="宋体"/>
                <w:color w:val="000000"/>
                <w:kern w:val="0"/>
                <w:sz w:val="18"/>
                <w:szCs w:val="18"/>
                <w:lang w:bidi="ar"/>
              </w:rPr>
              <w:t>、虚拟媒体等管理功能，提供原厂服务器管理套件。</w:t>
            </w: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等线" w:hAnsi="等线" w:eastAsia="等线" w:cs="等线"/>
                <w:color w:val="000000"/>
                <w:sz w:val="20"/>
                <w:szCs w:val="20"/>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等线" w:hAnsi="等线" w:eastAsia="等线" w:cs="等线"/>
                <w:color w:val="000000"/>
                <w:sz w:val="20"/>
                <w:szCs w:val="20"/>
              </w:rPr>
            </w:pPr>
          </w:p>
        </w:tc>
      </w:tr>
      <w:tr>
        <w:tblPrEx>
          <w:tblCellMar>
            <w:top w:w="0" w:type="dxa"/>
            <w:left w:w="0" w:type="dxa"/>
            <w:bottom w:w="0" w:type="dxa"/>
            <w:right w:w="0" w:type="dxa"/>
          </w:tblCellMar>
        </w:tblPrEx>
        <w:trPr>
          <w:trHeight w:val="255" w:hRule="atLeast"/>
        </w:trPr>
        <w:tc>
          <w:tcPr>
            <w:tcW w:w="3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left"/>
              <w:rPr>
                <w:rFonts w:ascii="等线" w:hAnsi="等线" w:eastAsia="等线" w:cs="等线"/>
                <w:color w:val="000000"/>
                <w:sz w:val="20"/>
                <w:szCs w:val="20"/>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等线" w:hAnsi="等线" w:eastAsia="等线" w:cs="等线"/>
                <w:color w:val="000000"/>
                <w:sz w:val="20"/>
                <w:szCs w:val="20"/>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等线"/>
                <w:color w:val="000000"/>
                <w:sz w:val="18"/>
                <w:szCs w:val="18"/>
              </w:rPr>
            </w:pPr>
            <w:r>
              <w:rPr>
                <w:rFonts w:ascii="宋体" w:hAnsi="宋体" w:cs="等线"/>
                <w:color w:val="000000"/>
                <w:kern w:val="0"/>
                <w:sz w:val="18"/>
                <w:szCs w:val="18"/>
                <w:lang w:bidi="ar"/>
              </w:rPr>
              <w:t>安全可信</w:t>
            </w:r>
          </w:p>
        </w:tc>
        <w:tc>
          <w:tcPr>
            <w:tcW w:w="6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top"/>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lang w:bidi="ar"/>
              </w:rPr>
              <w:t>支持</w:t>
            </w:r>
            <w:r>
              <w:rPr>
                <w:rFonts w:ascii="宋体" w:hAnsi="宋体" w:cs="Calibri"/>
                <w:color w:val="000000"/>
                <w:kern w:val="0"/>
                <w:sz w:val="18"/>
                <w:szCs w:val="18"/>
                <w:lang w:bidi="ar"/>
              </w:rPr>
              <w:t>TPM</w:t>
            </w:r>
            <w:r>
              <w:rPr>
                <w:rFonts w:hint="eastAsia" w:ascii="宋体" w:hAnsi="宋体" w:cs="宋体"/>
                <w:color w:val="000000"/>
                <w:kern w:val="0"/>
                <w:sz w:val="18"/>
                <w:szCs w:val="18"/>
                <w:lang w:bidi="ar"/>
              </w:rPr>
              <w:t>安全可信模块，支持主机安全增强系统；</w:t>
            </w: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等线" w:hAnsi="等线" w:eastAsia="等线" w:cs="等线"/>
                <w:color w:val="000000"/>
                <w:sz w:val="20"/>
                <w:szCs w:val="20"/>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等线" w:hAnsi="等线" w:eastAsia="等线" w:cs="等线"/>
                <w:color w:val="000000"/>
                <w:sz w:val="20"/>
                <w:szCs w:val="20"/>
              </w:rPr>
            </w:pPr>
          </w:p>
        </w:tc>
      </w:tr>
      <w:tr>
        <w:tblPrEx>
          <w:tblCellMar>
            <w:top w:w="0" w:type="dxa"/>
            <w:left w:w="0" w:type="dxa"/>
            <w:bottom w:w="0" w:type="dxa"/>
            <w:right w:w="0" w:type="dxa"/>
          </w:tblCellMar>
        </w:tblPrEx>
        <w:trPr>
          <w:trHeight w:val="240" w:hRule="atLeast"/>
        </w:trPr>
        <w:tc>
          <w:tcPr>
            <w:tcW w:w="3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left"/>
              <w:rPr>
                <w:rFonts w:ascii="等线" w:hAnsi="等线" w:eastAsia="等线" w:cs="等线"/>
                <w:color w:val="000000"/>
                <w:sz w:val="20"/>
                <w:szCs w:val="20"/>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等线" w:hAnsi="等线" w:eastAsia="等线" w:cs="等线"/>
                <w:color w:val="000000"/>
                <w:sz w:val="20"/>
                <w:szCs w:val="20"/>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等线"/>
                <w:color w:val="000000"/>
                <w:sz w:val="18"/>
                <w:szCs w:val="18"/>
              </w:rPr>
            </w:pPr>
            <w:r>
              <w:rPr>
                <w:rFonts w:ascii="宋体" w:hAnsi="宋体" w:cs="等线"/>
                <w:color w:val="000000"/>
                <w:kern w:val="0"/>
                <w:sz w:val="18"/>
                <w:szCs w:val="18"/>
                <w:lang w:bidi="ar"/>
              </w:rPr>
              <w:t>服务</w:t>
            </w:r>
          </w:p>
        </w:tc>
        <w:tc>
          <w:tcPr>
            <w:tcW w:w="6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top"/>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lang w:bidi="ar"/>
              </w:rPr>
              <w:t>三年免费硬件保修，原厂工程师上门服务，厂商授权</w:t>
            </w: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等线" w:hAnsi="等线" w:eastAsia="等线" w:cs="等线"/>
                <w:color w:val="000000"/>
                <w:sz w:val="20"/>
                <w:szCs w:val="20"/>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等线" w:hAnsi="等线" w:eastAsia="等线" w:cs="等线"/>
                <w:color w:val="000000"/>
                <w:sz w:val="20"/>
                <w:szCs w:val="20"/>
              </w:rPr>
            </w:pPr>
          </w:p>
        </w:tc>
      </w:tr>
      <w:tr>
        <w:tblPrEx>
          <w:tblCellMar>
            <w:top w:w="0" w:type="dxa"/>
            <w:left w:w="0" w:type="dxa"/>
            <w:bottom w:w="0" w:type="dxa"/>
            <w:right w:w="0" w:type="dxa"/>
          </w:tblCellMar>
        </w:tblPrEx>
        <w:trPr>
          <w:trHeight w:val="510" w:hRule="atLeast"/>
        </w:trPr>
        <w:tc>
          <w:tcPr>
            <w:tcW w:w="3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left"/>
              <w:rPr>
                <w:rFonts w:ascii="等线" w:hAnsi="等线" w:eastAsia="等线" w:cs="等线"/>
                <w:color w:val="000000"/>
                <w:sz w:val="20"/>
                <w:szCs w:val="20"/>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等线" w:hAnsi="等线" w:eastAsia="等线" w:cs="等线"/>
                <w:color w:val="000000"/>
                <w:sz w:val="20"/>
                <w:szCs w:val="20"/>
              </w:rPr>
            </w:pPr>
          </w:p>
        </w:tc>
        <w:tc>
          <w:tcPr>
            <w:tcW w:w="148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等线"/>
                <w:color w:val="000000"/>
                <w:sz w:val="18"/>
                <w:szCs w:val="18"/>
              </w:rPr>
            </w:pPr>
            <w:r>
              <w:rPr>
                <w:rFonts w:ascii="宋体" w:hAnsi="宋体" w:cs="等线"/>
                <w:color w:val="000000"/>
                <w:kern w:val="0"/>
                <w:sz w:val="18"/>
                <w:szCs w:val="18"/>
                <w:lang w:bidi="ar"/>
              </w:rPr>
              <w:t>厂商资质</w:t>
            </w:r>
          </w:p>
        </w:tc>
        <w:tc>
          <w:tcPr>
            <w:tcW w:w="6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top"/>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lang w:bidi="ar"/>
              </w:rPr>
              <w:t>1.2017及</w:t>
            </w:r>
            <w:r>
              <w:rPr>
                <w:rFonts w:ascii="宋体" w:hAnsi="宋体" w:cs="Calibri"/>
                <w:color w:val="000000"/>
                <w:kern w:val="0"/>
                <w:sz w:val="18"/>
                <w:szCs w:val="18"/>
                <w:lang w:bidi="ar"/>
              </w:rPr>
              <w:t>2018</w:t>
            </w:r>
            <w:r>
              <w:rPr>
                <w:rFonts w:hint="eastAsia" w:ascii="宋体" w:hAnsi="宋体" w:cs="宋体"/>
                <w:color w:val="000000"/>
                <w:kern w:val="0"/>
                <w:sz w:val="18"/>
                <w:szCs w:val="18"/>
                <w:lang w:bidi="ar"/>
              </w:rPr>
              <w:t>年</w:t>
            </w:r>
            <w:r>
              <w:rPr>
                <w:rFonts w:ascii="宋体" w:hAnsi="宋体" w:cs="Calibri"/>
                <w:color w:val="000000"/>
                <w:kern w:val="0"/>
                <w:sz w:val="18"/>
                <w:szCs w:val="18"/>
                <w:lang w:bidi="ar"/>
              </w:rPr>
              <w:t>X86</w:t>
            </w:r>
            <w:r>
              <w:rPr>
                <w:rFonts w:hint="eastAsia" w:ascii="宋体" w:hAnsi="宋体" w:cs="宋体"/>
                <w:color w:val="000000"/>
                <w:kern w:val="0"/>
                <w:sz w:val="18"/>
                <w:szCs w:val="18"/>
                <w:lang w:bidi="ar"/>
              </w:rPr>
              <w:t>服务器中国市场销售市场占有率前三，提供</w:t>
            </w:r>
            <w:r>
              <w:rPr>
                <w:rFonts w:ascii="宋体" w:hAnsi="宋体" w:cs="Calibri"/>
                <w:color w:val="000000"/>
                <w:kern w:val="0"/>
                <w:sz w:val="18"/>
                <w:szCs w:val="18"/>
                <w:lang w:bidi="ar"/>
              </w:rPr>
              <w:t>IDC</w:t>
            </w:r>
            <w:r>
              <w:rPr>
                <w:rFonts w:hint="eastAsia" w:ascii="宋体" w:hAnsi="宋体" w:cs="宋体"/>
                <w:color w:val="000000"/>
                <w:kern w:val="0"/>
                <w:sz w:val="18"/>
                <w:szCs w:val="18"/>
                <w:lang w:bidi="ar"/>
              </w:rPr>
              <w:t>出具的证明文件</w:t>
            </w:r>
            <w:r>
              <w:rPr>
                <w:rFonts w:ascii="宋体" w:hAnsi="宋体" w:cs="Calibri"/>
                <w:color w:val="000000"/>
                <w:kern w:val="0"/>
                <w:sz w:val="18"/>
                <w:szCs w:val="18"/>
                <w:lang w:bidi="ar"/>
              </w:rPr>
              <w:t>;</w:t>
            </w: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等线" w:hAnsi="等线" w:eastAsia="等线" w:cs="等线"/>
                <w:color w:val="000000"/>
                <w:sz w:val="20"/>
                <w:szCs w:val="20"/>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等线" w:hAnsi="等线" w:eastAsia="等线" w:cs="等线"/>
                <w:color w:val="000000"/>
                <w:sz w:val="20"/>
                <w:szCs w:val="20"/>
              </w:rPr>
            </w:pPr>
          </w:p>
        </w:tc>
      </w:tr>
      <w:tr>
        <w:tblPrEx>
          <w:tblCellMar>
            <w:top w:w="0" w:type="dxa"/>
            <w:left w:w="0" w:type="dxa"/>
            <w:bottom w:w="0" w:type="dxa"/>
            <w:right w:w="0" w:type="dxa"/>
          </w:tblCellMar>
        </w:tblPrEx>
        <w:trPr>
          <w:trHeight w:val="495" w:hRule="atLeast"/>
        </w:trPr>
        <w:tc>
          <w:tcPr>
            <w:tcW w:w="3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left"/>
              <w:rPr>
                <w:rFonts w:ascii="等线" w:hAnsi="等线" w:eastAsia="等线" w:cs="等线"/>
                <w:color w:val="000000"/>
                <w:sz w:val="20"/>
                <w:szCs w:val="20"/>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等线" w:hAnsi="等线" w:eastAsia="等线" w:cs="等线"/>
                <w:color w:val="000000"/>
                <w:sz w:val="20"/>
                <w:szCs w:val="20"/>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宋体" w:hAnsi="宋体" w:cs="等线"/>
                <w:color w:val="000000"/>
                <w:sz w:val="18"/>
                <w:szCs w:val="18"/>
              </w:rPr>
            </w:pPr>
          </w:p>
        </w:tc>
        <w:tc>
          <w:tcPr>
            <w:tcW w:w="6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top"/>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lang w:bidi="ar"/>
              </w:rPr>
              <w:t>2.为保证系统可持续发展及架构领先，制造厂商具备业界引导实力，为</w:t>
            </w:r>
            <w:r>
              <w:rPr>
                <w:rFonts w:ascii="宋体" w:hAnsi="宋体" w:cs="Calibri"/>
                <w:color w:val="000000"/>
                <w:kern w:val="0"/>
                <w:sz w:val="18"/>
                <w:szCs w:val="18"/>
                <w:lang w:bidi="ar"/>
              </w:rPr>
              <w:t xml:space="preserve">SPEC OSSC </w:t>
            </w:r>
            <w:r>
              <w:rPr>
                <w:rFonts w:hint="eastAsia" w:ascii="宋体" w:hAnsi="宋体" w:cs="宋体"/>
                <w:color w:val="000000"/>
                <w:kern w:val="0"/>
                <w:sz w:val="18"/>
                <w:szCs w:val="18"/>
                <w:lang w:bidi="ar"/>
              </w:rPr>
              <w:t>执行委员，提供组织方证明文件，并加盖厂商公章；</w:t>
            </w: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等线" w:hAnsi="等线" w:eastAsia="等线" w:cs="等线"/>
                <w:color w:val="000000"/>
                <w:sz w:val="20"/>
                <w:szCs w:val="20"/>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等线" w:hAnsi="等线" w:eastAsia="等线" w:cs="等线"/>
                <w:color w:val="000000"/>
                <w:sz w:val="20"/>
                <w:szCs w:val="20"/>
              </w:rPr>
            </w:pPr>
          </w:p>
        </w:tc>
      </w:tr>
      <w:tr>
        <w:tblPrEx>
          <w:tblCellMar>
            <w:top w:w="0" w:type="dxa"/>
            <w:left w:w="0" w:type="dxa"/>
            <w:bottom w:w="0" w:type="dxa"/>
            <w:right w:w="0" w:type="dxa"/>
          </w:tblCellMar>
        </w:tblPrEx>
        <w:trPr>
          <w:trHeight w:val="480" w:hRule="atLeast"/>
        </w:trPr>
        <w:tc>
          <w:tcPr>
            <w:tcW w:w="3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left"/>
              <w:rPr>
                <w:rFonts w:ascii="等线" w:hAnsi="等线" w:eastAsia="等线" w:cs="等线"/>
                <w:color w:val="000000"/>
                <w:sz w:val="20"/>
                <w:szCs w:val="20"/>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等线" w:hAnsi="等线" w:eastAsia="等线" w:cs="等线"/>
                <w:color w:val="000000"/>
                <w:sz w:val="20"/>
                <w:szCs w:val="20"/>
              </w:rPr>
            </w:pP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宋体" w:hAnsi="宋体" w:cs="等线"/>
                <w:color w:val="000000"/>
                <w:sz w:val="18"/>
                <w:szCs w:val="18"/>
              </w:rPr>
            </w:pPr>
          </w:p>
        </w:tc>
        <w:tc>
          <w:tcPr>
            <w:tcW w:w="6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top"/>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lang w:bidi="ar"/>
              </w:rPr>
              <w:t>3.为保证技术成熟度，制造商在计算机系统领域获得过国家科学进步一等奖，并出具证明文件</w:t>
            </w: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等线" w:hAnsi="等线" w:eastAsia="等线" w:cs="等线"/>
                <w:color w:val="000000"/>
                <w:sz w:val="20"/>
                <w:szCs w:val="20"/>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等线" w:hAnsi="等线" w:eastAsia="等线" w:cs="等线"/>
                <w:color w:val="000000"/>
                <w:sz w:val="20"/>
                <w:szCs w:val="20"/>
              </w:rPr>
            </w:pPr>
          </w:p>
        </w:tc>
      </w:tr>
      <w:tr>
        <w:tblPrEx>
          <w:tblCellMar>
            <w:top w:w="0" w:type="dxa"/>
            <w:left w:w="0" w:type="dxa"/>
            <w:bottom w:w="0" w:type="dxa"/>
            <w:right w:w="0" w:type="dxa"/>
          </w:tblCellMar>
        </w:tblPrEx>
        <w:trPr>
          <w:trHeight w:val="480" w:hRule="atLeast"/>
        </w:trPr>
        <w:tc>
          <w:tcPr>
            <w:tcW w:w="3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left"/>
              <w:rPr>
                <w:rFonts w:ascii="等线" w:hAnsi="等线" w:eastAsia="等线" w:cs="等线"/>
                <w:color w:val="000000"/>
                <w:sz w:val="20"/>
                <w:szCs w:val="20"/>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等线" w:hAnsi="等线" w:eastAsia="等线" w:cs="等线"/>
                <w:color w:val="000000"/>
                <w:sz w:val="20"/>
                <w:szCs w:val="20"/>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等线"/>
                <w:color w:val="000000"/>
                <w:sz w:val="18"/>
                <w:szCs w:val="18"/>
              </w:rPr>
            </w:pPr>
            <w:r>
              <w:rPr>
                <w:rFonts w:ascii="宋体" w:hAnsi="宋体" w:cs="等线"/>
                <w:color w:val="000000"/>
                <w:kern w:val="0"/>
                <w:sz w:val="18"/>
                <w:szCs w:val="18"/>
                <w:lang w:bidi="ar"/>
              </w:rPr>
              <w:t>安全可靠</w:t>
            </w:r>
          </w:p>
        </w:tc>
        <w:tc>
          <w:tcPr>
            <w:tcW w:w="6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支持原厂商服务器系统安全加固软件，提供服务器操作系统安全增强软件的公安部销售许可证。</w:t>
            </w: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等线" w:hAnsi="等线" w:eastAsia="等线" w:cs="等线"/>
                <w:color w:val="000000"/>
                <w:sz w:val="20"/>
                <w:szCs w:val="20"/>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等线" w:hAnsi="等线" w:eastAsia="等线" w:cs="等线"/>
                <w:color w:val="000000"/>
                <w:sz w:val="20"/>
                <w:szCs w:val="20"/>
              </w:rPr>
            </w:pPr>
          </w:p>
        </w:tc>
      </w:tr>
      <w:tr>
        <w:tblPrEx>
          <w:tblCellMar>
            <w:top w:w="0" w:type="dxa"/>
            <w:left w:w="0" w:type="dxa"/>
            <w:bottom w:w="0" w:type="dxa"/>
            <w:right w:w="0" w:type="dxa"/>
          </w:tblCellMar>
        </w:tblPrEx>
        <w:trPr>
          <w:trHeight w:val="240" w:hRule="atLeast"/>
        </w:trPr>
        <w:tc>
          <w:tcPr>
            <w:tcW w:w="9660" w:type="dxa"/>
            <w:gridSpan w:val="6"/>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大数据-安全</w:t>
            </w:r>
          </w:p>
        </w:tc>
      </w:tr>
      <w:tr>
        <w:tblPrEx>
          <w:tblCellMar>
            <w:top w:w="0" w:type="dxa"/>
            <w:left w:w="0" w:type="dxa"/>
            <w:bottom w:w="0" w:type="dxa"/>
            <w:right w:w="0" w:type="dxa"/>
          </w:tblCellMar>
        </w:tblPrEx>
        <w:trPr>
          <w:trHeight w:val="240" w:hRule="atLeast"/>
        </w:trPr>
        <w:tc>
          <w:tcPr>
            <w:tcW w:w="870"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序号</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类型</w:t>
            </w:r>
          </w:p>
        </w:tc>
        <w:tc>
          <w:tcPr>
            <w:tcW w:w="631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指标要求</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单位</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数量</w:t>
            </w:r>
          </w:p>
        </w:tc>
      </w:tr>
      <w:tr>
        <w:tblPrEx>
          <w:tblCellMar>
            <w:top w:w="0" w:type="dxa"/>
            <w:left w:w="0" w:type="dxa"/>
            <w:bottom w:w="0" w:type="dxa"/>
            <w:right w:w="0" w:type="dxa"/>
          </w:tblCellMar>
        </w:tblPrEx>
        <w:trPr>
          <w:trHeight w:val="1680" w:hRule="atLeast"/>
        </w:trPr>
        <w:tc>
          <w:tcPr>
            <w:tcW w:w="87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全流量深度威胁检测平台</w:t>
            </w:r>
          </w:p>
        </w:tc>
        <w:tc>
          <w:tcPr>
            <w:tcW w:w="6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标准2U机架式平台和安全操作系统，6个千兆电口（1个管理口，含2个探针口），支持1个接口板扩展槽位，存储容量4TB，冗余电源。可支持2.5G网络流量的实时接收采集（多路），以深度流分析技术为基础， 结合DPI、日志分析等技术以一体化融合的威胁识别技术为客户提供资产持续监测、恶意流量发现、违规流量检测、故障流量定位，网络流量分析、历史流量回溯取证等功能，本次配置20个资产管理数，提供三年免费软件维护升级服务，提供三年硬件保修和技术支持服务。</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台</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r>
      <w:tr>
        <w:tblPrEx>
          <w:tblCellMar>
            <w:top w:w="0" w:type="dxa"/>
            <w:left w:w="0" w:type="dxa"/>
            <w:bottom w:w="0" w:type="dxa"/>
            <w:right w:w="0" w:type="dxa"/>
          </w:tblCellMar>
        </w:tblPrEx>
        <w:trPr>
          <w:trHeight w:val="1200" w:hRule="atLeast"/>
        </w:trPr>
        <w:tc>
          <w:tcPr>
            <w:tcW w:w="87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w:t>
            </w: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等线"/>
                <w:color w:val="000000"/>
                <w:sz w:val="18"/>
                <w:szCs w:val="18"/>
              </w:rPr>
            </w:pPr>
            <w:r>
              <w:rPr>
                <w:rFonts w:ascii="宋体" w:hAnsi="宋体" w:cs="等线"/>
                <w:color w:val="000000"/>
                <w:kern w:val="0"/>
                <w:sz w:val="18"/>
                <w:szCs w:val="18"/>
                <w:lang w:bidi="ar"/>
              </w:rPr>
              <w:t>WEB</w:t>
            </w:r>
            <w:r>
              <w:rPr>
                <w:rFonts w:hint="eastAsia" w:ascii="宋体" w:hAnsi="宋体" w:cs="宋体"/>
                <w:color w:val="000000"/>
                <w:kern w:val="0"/>
                <w:sz w:val="18"/>
                <w:szCs w:val="18"/>
                <w:lang w:bidi="ar"/>
              </w:rPr>
              <w:t>应用防火墙</w:t>
            </w:r>
          </w:p>
        </w:tc>
        <w:tc>
          <w:tcPr>
            <w:tcW w:w="6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标准1U设备，单电源，具备1个10/100M管理接口，1个10/100/1000M HA口，4个10/100/1000M 业务口（支持bypass），含3个接口永久使用授权，支持一个扩展插槽。设备网络层吞吐率：5G，应用层吞吐率：</w:t>
            </w:r>
            <w:r>
              <w:rPr>
                <w:rFonts w:ascii="宋体" w:hAnsi="宋体" w:cs="等线"/>
                <w:color w:val="000000"/>
                <w:kern w:val="0"/>
                <w:sz w:val="18"/>
                <w:szCs w:val="18"/>
                <w:lang w:bidi="ar"/>
              </w:rPr>
              <w:t>2G</w:t>
            </w:r>
            <w:r>
              <w:rPr>
                <w:rFonts w:hint="eastAsia" w:ascii="宋体" w:hAnsi="宋体" w:cs="宋体"/>
                <w:color w:val="000000"/>
                <w:kern w:val="0"/>
                <w:sz w:val="18"/>
                <w:szCs w:val="18"/>
                <w:lang w:bidi="ar"/>
              </w:rPr>
              <w:t>，最大HTTP并发连接数：280万，每秒新建HTTP连接数：3万，提供硬件三年保修和技术支持服务，提供三年应用特征库升级服务。</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台</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r>
      <w:tr>
        <w:tblPrEx>
          <w:tblCellMar>
            <w:top w:w="0" w:type="dxa"/>
            <w:left w:w="0" w:type="dxa"/>
            <w:bottom w:w="0" w:type="dxa"/>
            <w:right w:w="0" w:type="dxa"/>
          </w:tblCellMar>
        </w:tblPrEx>
        <w:trPr>
          <w:trHeight w:val="960" w:hRule="atLeast"/>
        </w:trPr>
        <w:tc>
          <w:tcPr>
            <w:tcW w:w="87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w:t>
            </w: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等线"/>
                <w:color w:val="000000"/>
                <w:sz w:val="18"/>
                <w:szCs w:val="18"/>
              </w:rPr>
            </w:pPr>
            <w:r>
              <w:rPr>
                <w:rFonts w:ascii="宋体" w:hAnsi="宋体" w:cs="等线"/>
                <w:color w:val="000000"/>
                <w:kern w:val="0"/>
                <w:sz w:val="18"/>
                <w:szCs w:val="18"/>
                <w:lang w:bidi="ar"/>
              </w:rPr>
              <w:t>EDR</w:t>
            </w:r>
            <w:r>
              <w:rPr>
                <w:rFonts w:hint="eastAsia" w:ascii="宋体" w:hAnsi="宋体" w:cs="宋体"/>
                <w:color w:val="000000"/>
                <w:kern w:val="0"/>
                <w:sz w:val="18"/>
                <w:szCs w:val="18"/>
                <w:lang w:bidi="ar"/>
              </w:rPr>
              <w:t>系统</w:t>
            </w:r>
          </w:p>
        </w:tc>
        <w:tc>
          <w:tcPr>
            <w:tcW w:w="6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支持Windows客户端，Linux客户端，虚拟化平台，支持统一管理平台，终端威胁管理，支持漏洞修复及补丁分发，支持与APT联动，支持病毒库更新，提供三年技术支持服务，三年应用特征库升级服务。本次配置100个终端资产数。</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台</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r>
      <w:tr>
        <w:tblPrEx>
          <w:tblCellMar>
            <w:top w:w="0" w:type="dxa"/>
            <w:left w:w="0" w:type="dxa"/>
            <w:bottom w:w="0" w:type="dxa"/>
            <w:right w:w="0" w:type="dxa"/>
          </w:tblCellMar>
        </w:tblPrEx>
        <w:trPr>
          <w:trHeight w:val="1200" w:hRule="atLeast"/>
        </w:trPr>
        <w:tc>
          <w:tcPr>
            <w:tcW w:w="87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w:t>
            </w: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大数据态势感知系统</w:t>
            </w:r>
          </w:p>
        </w:tc>
        <w:tc>
          <w:tcPr>
            <w:tcW w:w="6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硬件平台2U上架设备，1个RJ45 Console口，4个10/100/1000 Base-T网络接口，冗余电源，8T容量硬盘，含嵌入式软件，具有4个扩展卡插槽，含第一年的功能模块（包括但不限于：APT检测引擎模块、IDS检测引擎模块、专业WEB服务器攻击检测模块、病毒检测引擎模块等）升级授权。默认开启整机监听口授权，提供三年硬件保修和技术支持服务。</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台</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r>
      <w:tr>
        <w:trPr>
          <w:trHeight w:val="320" w:hRule="atLeast"/>
        </w:trPr>
        <w:tc>
          <w:tcPr>
            <w:tcW w:w="87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w:t>
            </w: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堡垒机</w:t>
            </w:r>
          </w:p>
        </w:tc>
        <w:tc>
          <w:tcPr>
            <w:tcW w:w="6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标准1U机架式软硬一体设备，单电源，内存：4G；物理存储：1TB；具备：6个千兆电口，一个扩展插槽，并发会话数：字符协议700个；图形协议200个；可管理设备数不少于500台；本次配置50台个资源管理数，提供硬件三年保修和技术支持服务。</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台</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r>
      <w:tr>
        <w:tblPrEx>
          <w:tblCellMar>
            <w:top w:w="0" w:type="dxa"/>
            <w:left w:w="0" w:type="dxa"/>
            <w:bottom w:w="0" w:type="dxa"/>
            <w:right w:w="0" w:type="dxa"/>
          </w:tblCellMar>
        </w:tblPrEx>
        <w:trPr>
          <w:trHeight w:val="1920" w:hRule="atLeast"/>
        </w:trPr>
        <w:tc>
          <w:tcPr>
            <w:tcW w:w="87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w:t>
            </w: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等线"/>
                <w:color w:val="000000"/>
                <w:sz w:val="18"/>
                <w:szCs w:val="18"/>
              </w:rPr>
            </w:pPr>
            <w:r>
              <w:rPr>
                <w:rFonts w:ascii="宋体" w:hAnsi="宋体" w:cs="等线"/>
                <w:color w:val="000000"/>
                <w:kern w:val="0"/>
                <w:sz w:val="18"/>
                <w:szCs w:val="18"/>
                <w:lang w:bidi="ar"/>
              </w:rPr>
              <w:t>APT</w:t>
            </w:r>
            <w:r>
              <w:rPr>
                <w:rFonts w:hint="eastAsia" w:ascii="宋体" w:hAnsi="宋体" w:cs="宋体"/>
                <w:color w:val="000000"/>
                <w:kern w:val="0"/>
                <w:sz w:val="18"/>
                <w:szCs w:val="18"/>
                <w:lang w:bidi="ar"/>
              </w:rPr>
              <w:t>攻击预警平台</w:t>
            </w:r>
          </w:p>
        </w:tc>
        <w:tc>
          <w:tcPr>
            <w:tcW w:w="6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硬件平台，2U上架设备，1个RJ-232 Console口，4个10/100/1000 Base-T网络接口，冗余电源，2T容量硬盘，含嵌入式软件，设备整机吞吐量≥4G，动态处理文件性能≥15000个/天，提供硬件三年保修和技术支持服务，提供三年应用特征库升级服务。★其他要求 提供硬件三年保修和技术支持服务，提供三年应用特征库升级服务，厂商具备国家保密局颁发的涉及国家秘密的计算机信息系统集成甲级资质和《信息系统集成及服务资质证书》壹级证书，提供证书复印件，加盖厂商公章。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★资质要求 具备公安部颁发的《安全专用产品销售许可证》 </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台</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r>
      <w:tr>
        <w:tblPrEx>
          <w:tblCellMar>
            <w:top w:w="0" w:type="dxa"/>
            <w:left w:w="0" w:type="dxa"/>
            <w:bottom w:w="0" w:type="dxa"/>
            <w:right w:w="0" w:type="dxa"/>
          </w:tblCellMar>
        </w:tblPrEx>
        <w:trPr>
          <w:trHeight w:val="240" w:hRule="atLeast"/>
        </w:trPr>
        <w:tc>
          <w:tcPr>
            <w:tcW w:w="9660" w:type="dxa"/>
            <w:gridSpan w:val="6"/>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大数据基础系统</w:t>
            </w:r>
          </w:p>
        </w:tc>
      </w:tr>
      <w:tr>
        <w:tblPrEx>
          <w:tblCellMar>
            <w:top w:w="0" w:type="dxa"/>
            <w:left w:w="0" w:type="dxa"/>
            <w:bottom w:w="0" w:type="dxa"/>
            <w:right w:w="0" w:type="dxa"/>
          </w:tblCellMar>
        </w:tblPrEx>
        <w:trPr>
          <w:trHeight w:val="480" w:hRule="atLeast"/>
        </w:trPr>
        <w:tc>
          <w:tcPr>
            <w:tcW w:w="30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等线" w:hAnsi="等线" w:eastAsia="等线" w:cs="等线"/>
                <w:color w:val="000000"/>
                <w:sz w:val="20"/>
                <w:szCs w:val="20"/>
              </w:rPr>
            </w:pPr>
            <w:r>
              <w:rPr>
                <w:rFonts w:ascii="等线" w:hAnsi="等线" w:eastAsia="等线" w:cs="等线"/>
                <w:color w:val="000000"/>
                <w:kern w:val="0"/>
                <w:sz w:val="20"/>
                <w:szCs w:val="20"/>
                <w:lang w:bidi="ar"/>
              </w:rPr>
              <w:t>序号</w:t>
            </w:r>
          </w:p>
        </w:tc>
        <w:tc>
          <w:tcPr>
            <w:tcW w:w="57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功能模块</w:t>
            </w: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功能列表</w:t>
            </w:r>
          </w:p>
        </w:tc>
        <w:tc>
          <w:tcPr>
            <w:tcW w:w="6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功能描述</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单位</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数量</w:t>
            </w:r>
          </w:p>
        </w:tc>
      </w:tr>
      <w:tr>
        <w:tblPrEx>
          <w:tblCellMar>
            <w:top w:w="0" w:type="dxa"/>
            <w:left w:w="0" w:type="dxa"/>
            <w:bottom w:w="0" w:type="dxa"/>
            <w:right w:w="0" w:type="dxa"/>
          </w:tblCellMar>
        </w:tblPrEx>
        <w:trPr>
          <w:trHeight w:val="240" w:hRule="atLeast"/>
        </w:trPr>
        <w:tc>
          <w:tcPr>
            <w:tcW w:w="300"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57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数据源管理</w:t>
            </w: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数据库管理</w:t>
            </w:r>
          </w:p>
        </w:tc>
        <w:tc>
          <w:tcPr>
            <w:tcW w:w="6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top"/>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lang w:bidi="ar"/>
              </w:rPr>
              <w:t>对采集、融合需要的关系型数据库信息维护</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项</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r>
      <w:tr>
        <w:tblPrEx>
          <w:tblCellMar>
            <w:top w:w="0" w:type="dxa"/>
            <w:left w:w="0" w:type="dxa"/>
            <w:bottom w:w="0" w:type="dxa"/>
            <w:right w:w="0" w:type="dxa"/>
          </w:tblCellMar>
        </w:tblPrEx>
        <w:trPr>
          <w:trHeight w:val="240" w:hRule="atLeast"/>
        </w:trPr>
        <w:tc>
          <w:tcPr>
            <w:tcW w:w="3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000000"/>
                <w:sz w:val="18"/>
                <w:szCs w:val="18"/>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宋体" w:hAnsi="宋体" w:cs="宋体"/>
                <w:color w:val="000000"/>
                <w:sz w:val="18"/>
                <w:szCs w:val="18"/>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数据源管理</w:t>
            </w:r>
          </w:p>
        </w:tc>
        <w:tc>
          <w:tcPr>
            <w:tcW w:w="6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top"/>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lang w:bidi="ar"/>
              </w:rPr>
              <w:t>采集、融合的数据来源信息和目标信息</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项</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r>
      <w:tr>
        <w:tblPrEx>
          <w:tblCellMar>
            <w:top w:w="0" w:type="dxa"/>
            <w:left w:w="0" w:type="dxa"/>
            <w:bottom w:w="0" w:type="dxa"/>
            <w:right w:w="0" w:type="dxa"/>
          </w:tblCellMar>
        </w:tblPrEx>
        <w:trPr>
          <w:trHeight w:val="240" w:hRule="atLeast"/>
        </w:trPr>
        <w:tc>
          <w:tcPr>
            <w:tcW w:w="3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000000"/>
                <w:sz w:val="18"/>
                <w:szCs w:val="18"/>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宋体" w:hAnsi="宋体" w:cs="宋体"/>
                <w:color w:val="000000"/>
                <w:sz w:val="18"/>
                <w:szCs w:val="18"/>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校验资源库</w:t>
            </w:r>
          </w:p>
        </w:tc>
        <w:tc>
          <w:tcPr>
            <w:tcW w:w="6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top"/>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lang w:bidi="ar"/>
              </w:rPr>
              <w:t>对原始数据进行校验，不符合校验规则的数据的存储数据库；</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项</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r>
      <w:tr>
        <w:tblPrEx>
          <w:tblCellMar>
            <w:top w:w="0" w:type="dxa"/>
            <w:left w:w="0" w:type="dxa"/>
            <w:bottom w:w="0" w:type="dxa"/>
            <w:right w:w="0" w:type="dxa"/>
          </w:tblCellMar>
        </w:tblPrEx>
        <w:trPr>
          <w:trHeight w:val="240" w:hRule="atLeast"/>
        </w:trPr>
        <w:tc>
          <w:tcPr>
            <w:tcW w:w="3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000000"/>
                <w:sz w:val="18"/>
                <w:szCs w:val="18"/>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宋体" w:hAnsi="宋体" w:cs="宋体"/>
                <w:color w:val="000000"/>
                <w:sz w:val="18"/>
                <w:szCs w:val="18"/>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复制资源库</w:t>
            </w:r>
          </w:p>
        </w:tc>
        <w:tc>
          <w:tcPr>
            <w:tcW w:w="6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top"/>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lang w:bidi="ar"/>
              </w:rPr>
              <w:t>将原始来源的数据交换复制存储的数据库，不对原始数据做任何改变；</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项</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r>
      <w:tr>
        <w:tblPrEx>
          <w:tblCellMar>
            <w:top w:w="0" w:type="dxa"/>
            <w:left w:w="0" w:type="dxa"/>
            <w:bottom w:w="0" w:type="dxa"/>
            <w:right w:w="0" w:type="dxa"/>
          </w:tblCellMar>
        </w:tblPrEx>
        <w:trPr>
          <w:trHeight w:val="240" w:hRule="atLeast"/>
        </w:trPr>
        <w:tc>
          <w:tcPr>
            <w:tcW w:w="3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000000"/>
                <w:sz w:val="18"/>
                <w:szCs w:val="18"/>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宋体" w:hAnsi="宋体" w:cs="宋体"/>
                <w:color w:val="000000"/>
                <w:sz w:val="18"/>
                <w:szCs w:val="18"/>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表管理</w:t>
            </w:r>
          </w:p>
        </w:tc>
        <w:tc>
          <w:tcPr>
            <w:tcW w:w="6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top"/>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lang w:bidi="ar"/>
              </w:rPr>
              <w:t>对采集、融合需要的关系型数据库的表信息维护</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项</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r>
      <w:tr>
        <w:tblPrEx>
          <w:tblCellMar>
            <w:top w:w="0" w:type="dxa"/>
            <w:left w:w="0" w:type="dxa"/>
            <w:bottom w:w="0" w:type="dxa"/>
            <w:right w:w="0" w:type="dxa"/>
          </w:tblCellMar>
        </w:tblPrEx>
        <w:trPr>
          <w:trHeight w:val="240" w:hRule="atLeast"/>
        </w:trPr>
        <w:tc>
          <w:tcPr>
            <w:tcW w:w="3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000000"/>
                <w:sz w:val="18"/>
                <w:szCs w:val="18"/>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宋体" w:hAnsi="宋体" w:cs="宋体"/>
                <w:color w:val="000000"/>
                <w:sz w:val="18"/>
                <w:szCs w:val="18"/>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文件管理</w:t>
            </w:r>
          </w:p>
        </w:tc>
        <w:tc>
          <w:tcPr>
            <w:tcW w:w="6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top"/>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lang w:bidi="ar"/>
              </w:rPr>
              <w:t>对采集、融合需要的文件类型数据源信息维护</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项</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r>
      <w:tr>
        <w:tblPrEx>
          <w:tblCellMar>
            <w:top w:w="0" w:type="dxa"/>
            <w:left w:w="0" w:type="dxa"/>
            <w:bottom w:w="0" w:type="dxa"/>
            <w:right w:w="0" w:type="dxa"/>
          </w:tblCellMar>
        </w:tblPrEx>
        <w:trPr>
          <w:trHeight w:val="240" w:hRule="atLeast"/>
        </w:trPr>
        <w:tc>
          <w:tcPr>
            <w:tcW w:w="3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000000"/>
                <w:sz w:val="18"/>
                <w:szCs w:val="18"/>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宋体" w:hAnsi="宋体" w:cs="宋体"/>
                <w:color w:val="000000"/>
                <w:sz w:val="18"/>
                <w:szCs w:val="18"/>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数据源管理</w:t>
            </w:r>
          </w:p>
        </w:tc>
        <w:tc>
          <w:tcPr>
            <w:tcW w:w="6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top"/>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lang w:bidi="ar"/>
              </w:rPr>
              <w:t>对采集、融合需要的数据的来源信息和目标信息维护</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项</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r>
      <w:tr>
        <w:tblPrEx>
          <w:tblCellMar>
            <w:top w:w="0" w:type="dxa"/>
            <w:left w:w="0" w:type="dxa"/>
            <w:bottom w:w="0" w:type="dxa"/>
            <w:right w:w="0" w:type="dxa"/>
          </w:tblCellMar>
        </w:tblPrEx>
        <w:trPr>
          <w:trHeight w:val="240" w:hRule="atLeast"/>
        </w:trPr>
        <w:tc>
          <w:tcPr>
            <w:tcW w:w="3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000000"/>
                <w:sz w:val="18"/>
                <w:szCs w:val="18"/>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宋体" w:hAnsi="宋体" w:cs="宋体"/>
                <w:color w:val="000000"/>
                <w:sz w:val="18"/>
                <w:szCs w:val="18"/>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接口管理</w:t>
            </w:r>
          </w:p>
        </w:tc>
        <w:tc>
          <w:tcPr>
            <w:tcW w:w="6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top"/>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lang w:bidi="ar"/>
              </w:rPr>
              <w:t>采集、融合的接口类型数据信息维护</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项</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r>
      <w:tr>
        <w:tblPrEx>
          <w:tblCellMar>
            <w:top w:w="0" w:type="dxa"/>
            <w:left w:w="0" w:type="dxa"/>
            <w:bottom w:w="0" w:type="dxa"/>
            <w:right w:w="0" w:type="dxa"/>
          </w:tblCellMar>
        </w:tblPrEx>
        <w:trPr>
          <w:trHeight w:val="240" w:hRule="atLeast"/>
        </w:trPr>
        <w:tc>
          <w:tcPr>
            <w:tcW w:w="3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000000"/>
                <w:sz w:val="18"/>
                <w:szCs w:val="18"/>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宋体" w:hAnsi="宋体" w:cs="宋体"/>
                <w:color w:val="000000"/>
                <w:sz w:val="18"/>
                <w:szCs w:val="18"/>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rest接口</w:t>
            </w:r>
          </w:p>
        </w:tc>
        <w:tc>
          <w:tcPr>
            <w:tcW w:w="6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采集、融合的rest接口类型数据信息维护</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项</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r>
      <w:tr>
        <w:tblPrEx>
          <w:tblCellMar>
            <w:top w:w="0" w:type="dxa"/>
            <w:left w:w="0" w:type="dxa"/>
            <w:bottom w:w="0" w:type="dxa"/>
            <w:right w:w="0" w:type="dxa"/>
          </w:tblCellMar>
        </w:tblPrEx>
        <w:trPr>
          <w:trHeight w:val="480" w:hRule="atLeast"/>
        </w:trPr>
        <w:tc>
          <w:tcPr>
            <w:tcW w:w="3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000000"/>
                <w:sz w:val="18"/>
                <w:szCs w:val="18"/>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宋体" w:hAnsi="宋体" w:cs="宋体"/>
                <w:color w:val="000000"/>
                <w:sz w:val="18"/>
                <w:szCs w:val="18"/>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webservice接口</w:t>
            </w:r>
          </w:p>
        </w:tc>
        <w:tc>
          <w:tcPr>
            <w:tcW w:w="6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采集、融合的webservice接口类型数据信息维护</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项</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r>
      <w:tr>
        <w:tblPrEx>
          <w:tblCellMar>
            <w:top w:w="0" w:type="dxa"/>
            <w:left w:w="0" w:type="dxa"/>
            <w:bottom w:w="0" w:type="dxa"/>
            <w:right w:w="0" w:type="dxa"/>
          </w:tblCellMar>
        </w:tblPrEx>
        <w:trPr>
          <w:trHeight w:val="240" w:hRule="atLeast"/>
        </w:trPr>
        <w:tc>
          <w:tcPr>
            <w:tcW w:w="300"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c>
          <w:tcPr>
            <w:tcW w:w="570"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数据采集</w:t>
            </w: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采集节点</w:t>
            </w:r>
          </w:p>
        </w:tc>
        <w:tc>
          <w:tcPr>
            <w:tcW w:w="6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数据采集流程运行的机器信息</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项</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r>
      <w:tr>
        <w:tblPrEx>
          <w:tblCellMar>
            <w:top w:w="0" w:type="dxa"/>
            <w:left w:w="0" w:type="dxa"/>
            <w:bottom w:w="0" w:type="dxa"/>
            <w:right w:w="0" w:type="dxa"/>
          </w:tblCellMar>
        </w:tblPrEx>
        <w:trPr>
          <w:trHeight w:val="240" w:hRule="atLeast"/>
        </w:trPr>
        <w:tc>
          <w:tcPr>
            <w:tcW w:w="3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000000"/>
                <w:sz w:val="18"/>
                <w:szCs w:val="18"/>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000000"/>
                <w:sz w:val="18"/>
                <w:szCs w:val="18"/>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流程管理</w:t>
            </w:r>
          </w:p>
        </w:tc>
        <w:tc>
          <w:tcPr>
            <w:tcW w:w="6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设计数据采集业务流程</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项</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r>
      <w:tr>
        <w:tblPrEx>
          <w:tblCellMar>
            <w:top w:w="0" w:type="dxa"/>
            <w:left w:w="0" w:type="dxa"/>
            <w:bottom w:w="0" w:type="dxa"/>
            <w:right w:w="0" w:type="dxa"/>
          </w:tblCellMar>
        </w:tblPrEx>
        <w:trPr>
          <w:trHeight w:val="240" w:hRule="atLeast"/>
        </w:trPr>
        <w:tc>
          <w:tcPr>
            <w:tcW w:w="3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000000"/>
                <w:sz w:val="18"/>
                <w:szCs w:val="18"/>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000000"/>
                <w:sz w:val="18"/>
                <w:szCs w:val="18"/>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流程日志</w:t>
            </w:r>
          </w:p>
        </w:tc>
        <w:tc>
          <w:tcPr>
            <w:tcW w:w="6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数据采集流程的运行日志</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项</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r>
      <w:tr>
        <w:tblPrEx>
          <w:tblCellMar>
            <w:top w:w="0" w:type="dxa"/>
            <w:left w:w="0" w:type="dxa"/>
            <w:bottom w:w="0" w:type="dxa"/>
            <w:right w:w="0" w:type="dxa"/>
          </w:tblCellMar>
        </w:tblPrEx>
        <w:trPr>
          <w:trHeight w:val="240" w:hRule="atLeast"/>
        </w:trPr>
        <w:tc>
          <w:tcPr>
            <w:tcW w:w="300"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w:t>
            </w:r>
          </w:p>
        </w:tc>
        <w:tc>
          <w:tcPr>
            <w:tcW w:w="570"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数据融合</w:t>
            </w: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规则管理</w:t>
            </w:r>
          </w:p>
        </w:tc>
        <w:tc>
          <w:tcPr>
            <w:tcW w:w="6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融合流程可使用基础规则和自定义脚本</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项</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r>
      <w:tr>
        <w:tblPrEx>
          <w:tblCellMar>
            <w:top w:w="0" w:type="dxa"/>
            <w:left w:w="0" w:type="dxa"/>
            <w:bottom w:w="0" w:type="dxa"/>
            <w:right w:w="0" w:type="dxa"/>
          </w:tblCellMar>
        </w:tblPrEx>
        <w:trPr>
          <w:trHeight w:val="240" w:hRule="atLeast"/>
        </w:trPr>
        <w:tc>
          <w:tcPr>
            <w:tcW w:w="3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000000"/>
                <w:sz w:val="18"/>
                <w:szCs w:val="18"/>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000000"/>
                <w:sz w:val="18"/>
                <w:szCs w:val="18"/>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融合节点</w:t>
            </w:r>
          </w:p>
        </w:tc>
        <w:tc>
          <w:tcPr>
            <w:tcW w:w="6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数据清洗流程运行机器信息</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项</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r>
      <w:tr>
        <w:tblPrEx>
          <w:tblCellMar>
            <w:top w:w="0" w:type="dxa"/>
            <w:left w:w="0" w:type="dxa"/>
            <w:bottom w:w="0" w:type="dxa"/>
            <w:right w:w="0" w:type="dxa"/>
          </w:tblCellMar>
        </w:tblPrEx>
        <w:trPr>
          <w:trHeight w:val="240" w:hRule="atLeast"/>
        </w:trPr>
        <w:tc>
          <w:tcPr>
            <w:tcW w:w="3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000000"/>
                <w:sz w:val="18"/>
                <w:szCs w:val="18"/>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000000"/>
                <w:sz w:val="18"/>
                <w:szCs w:val="18"/>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流程管理</w:t>
            </w:r>
          </w:p>
        </w:tc>
        <w:tc>
          <w:tcPr>
            <w:tcW w:w="6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设计数据清洗业务流程</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项</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r>
      <w:tr>
        <w:tblPrEx>
          <w:tblCellMar>
            <w:top w:w="0" w:type="dxa"/>
            <w:left w:w="0" w:type="dxa"/>
            <w:bottom w:w="0" w:type="dxa"/>
            <w:right w:w="0" w:type="dxa"/>
          </w:tblCellMar>
        </w:tblPrEx>
        <w:trPr>
          <w:trHeight w:val="240" w:hRule="atLeast"/>
        </w:trPr>
        <w:tc>
          <w:tcPr>
            <w:tcW w:w="3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000000"/>
                <w:sz w:val="18"/>
                <w:szCs w:val="18"/>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000000"/>
                <w:sz w:val="18"/>
                <w:szCs w:val="18"/>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流程日志</w:t>
            </w:r>
          </w:p>
        </w:tc>
        <w:tc>
          <w:tcPr>
            <w:tcW w:w="6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数据清洗流程的运行日志</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项</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r>
      <w:tr>
        <w:tblPrEx>
          <w:tblCellMar>
            <w:top w:w="0" w:type="dxa"/>
            <w:left w:w="0" w:type="dxa"/>
            <w:bottom w:w="0" w:type="dxa"/>
            <w:right w:w="0" w:type="dxa"/>
          </w:tblCellMar>
        </w:tblPrEx>
        <w:trPr>
          <w:trHeight w:val="240" w:hRule="atLeast"/>
        </w:trPr>
        <w:tc>
          <w:tcPr>
            <w:tcW w:w="300"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w:t>
            </w:r>
          </w:p>
        </w:tc>
        <w:tc>
          <w:tcPr>
            <w:tcW w:w="570"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数据融合分析</w:t>
            </w: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数据分析管理</w:t>
            </w:r>
          </w:p>
        </w:tc>
        <w:tc>
          <w:tcPr>
            <w:tcW w:w="6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对采集、清洗后的数据通过配置化的方式生成图表</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项</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r>
      <w:tr>
        <w:tblPrEx>
          <w:tblCellMar>
            <w:top w:w="0" w:type="dxa"/>
            <w:left w:w="0" w:type="dxa"/>
            <w:bottom w:w="0" w:type="dxa"/>
            <w:right w:w="0" w:type="dxa"/>
          </w:tblCellMar>
        </w:tblPrEx>
        <w:trPr>
          <w:trHeight w:val="240" w:hRule="atLeast"/>
        </w:trPr>
        <w:tc>
          <w:tcPr>
            <w:tcW w:w="3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000000"/>
                <w:sz w:val="18"/>
                <w:szCs w:val="18"/>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000000"/>
                <w:sz w:val="18"/>
                <w:szCs w:val="18"/>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业务对象</w:t>
            </w:r>
          </w:p>
        </w:tc>
        <w:tc>
          <w:tcPr>
            <w:tcW w:w="6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采集、清洗后的数据生成图表的数据源信息</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项</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r>
      <w:tr>
        <w:tblPrEx>
          <w:tblCellMar>
            <w:top w:w="0" w:type="dxa"/>
            <w:left w:w="0" w:type="dxa"/>
            <w:bottom w:w="0" w:type="dxa"/>
            <w:right w:w="0" w:type="dxa"/>
          </w:tblCellMar>
        </w:tblPrEx>
        <w:trPr>
          <w:trHeight w:val="240" w:hRule="atLeast"/>
        </w:trPr>
        <w:tc>
          <w:tcPr>
            <w:tcW w:w="3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000000"/>
                <w:sz w:val="18"/>
                <w:szCs w:val="18"/>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000000"/>
                <w:sz w:val="18"/>
                <w:szCs w:val="18"/>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业务对象授权</w:t>
            </w:r>
          </w:p>
        </w:tc>
        <w:tc>
          <w:tcPr>
            <w:tcW w:w="6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生成的图表赋权给指定的机构</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项</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r>
      <w:tr>
        <w:tblPrEx>
          <w:tblCellMar>
            <w:top w:w="0" w:type="dxa"/>
            <w:left w:w="0" w:type="dxa"/>
            <w:bottom w:w="0" w:type="dxa"/>
            <w:right w:w="0" w:type="dxa"/>
          </w:tblCellMar>
        </w:tblPrEx>
        <w:trPr>
          <w:trHeight w:val="240" w:hRule="atLeast"/>
        </w:trPr>
        <w:tc>
          <w:tcPr>
            <w:tcW w:w="3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000000"/>
                <w:sz w:val="18"/>
                <w:szCs w:val="18"/>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000000"/>
                <w:sz w:val="18"/>
                <w:szCs w:val="18"/>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图表数据源配置</w:t>
            </w:r>
          </w:p>
        </w:tc>
        <w:tc>
          <w:tcPr>
            <w:tcW w:w="6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数据库现有数据通过配置生成图表</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项</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r>
      <w:tr>
        <w:tblPrEx>
          <w:tblCellMar>
            <w:top w:w="0" w:type="dxa"/>
            <w:left w:w="0" w:type="dxa"/>
            <w:bottom w:w="0" w:type="dxa"/>
            <w:right w:w="0" w:type="dxa"/>
          </w:tblCellMar>
        </w:tblPrEx>
        <w:trPr>
          <w:trHeight w:val="240" w:hRule="atLeast"/>
        </w:trPr>
        <w:tc>
          <w:tcPr>
            <w:tcW w:w="3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000000"/>
                <w:sz w:val="18"/>
                <w:szCs w:val="18"/>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000000"/>
                <w:sz w:val="18"/>
                <w:szCs w:val="18"/>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可视化图标配置</w:t>
            </w:r>
          </w:p>
        </w:tc>
        <w:tc>
          <w:tcPr>
            <w:tcW w:w="6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配置图表</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项</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r>
      <w:tr>
        <w:tblPrEx>
          <w:tblCellMar>
            <w:top w:w="0" w:type="dxa"/>
            <w:left w:w="0" w:type="dxa"/>
            <w:bottom w:w="0" w:type="dxa"/>
            <w:right w:w="0" w:type="dxa"/>
          </w:tblCellMar>
        </w:tblPrEx>
        <w:trPr>
          <w:trHeight w:val="240" w:hRule="atLeast"/>
        </w:trPr>
        <w:tc>
          <w:tcPr>
            <w:tcW w:w="3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000000"/>
                <w:sz w:val="18"/>
                <w:szCs w:val="18"/>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000000"/>
                <w:sz w:val="18"/>
                <w:szCs w:val="18"/>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可视化图表</w:t>
            </w:r>
          </w:p>
        </w:tc>
        <w:tc>
          <w:tcPr>
            <w:tcW w:w="6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配置的图表展示</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项</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r>
      <w:tr>
        <w:tblPrEx>
          <w:tblCellMar>
            <w:top w:w="0" w:type="dxa"/>
            <w:left w:w="0" w:type="dxa"/>
            <w:bottom w:w="0" w:type="dxa"/>
            <w:right w:w="0" w:type="dxa"/>
          </w:tblCellMar>
        </w:tblPrEx>
        <w:trPr>
          <w:trHeight w:val="240" w:hRule="atLeast"/>
        </w:trPr>
        <w:tc>
          <w:tcPr>
            <w:tcW w:w="300"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c>
          <w:tcPr>
            <w:tcW w:w="570"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插件管理</w:t>
            </w: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采集插件</w:t>
            </w:r>
          </w:p>
        </w:tc>
        <w:tc>
          <w:tcPr>
            <w:tcW w:w="6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数据采集流程具备的插件</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项</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r>
      <w:tr>
        <w:tblPrEx>
          <w:tblCellMar>
            <w:top w:w="0" w:type="dxa"/>
            <w:left w:w="0" w:type="dxa"/>
            <w:bottom w:w="0" w:type="dxa"/>
            <w:right w:w="0" w:type="dxa"/>
          </w:tblCellMar>
        </w:tblPrEx>
        <w:trPr>
          <w:trHeight w:val="240" w:hRule="atLeast"/>
        </w:trPr>
        <w:tc>
          <w:tcPr>
            <w:tcW w:w="3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000000"/>
                <w:sz w:val="18"/>
                <w:szCs w:val="18"/>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000000"/>
                <w:sz w:val="18"/>
                <w:szCs w:val="18"/>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数据库</w:t>
            </w:r>
          </w:p>
        </w:tc>
        <w:tc>
          <w:tcPr>
            <w:tcW w:w="6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操作数据库类型数据的插件分类</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项</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r>
      <w:tr>
        <w:tblPrEx>
          <w:tblCellMar>
            <w:top w:w="0" w:type="dxa"/>
            <w:left w:w="0" w:type="dxa"/>
            <w:bottom w:w="0" w:type="dxa"/>
            <w:right w:w="0" w:type="dxa"/>
          </w:tblCellMar>
        </w:tblPrEx>
        <w:trPr>
          <w:trHeight w:val="240" w:hRule="atLeast"/>
        </w:trPr>
        <w:tc>
          <w:tcPr>
            <w:tcW w:w="3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000000"/>
                <w:sz w:val="18"/>
                <w:szCs w:val="18"/>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000000"/>
                <w:sz w:val="18"/>
                <w:szCs w:val="18"/>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Rest查询</w:t>
            </w:r>
          </w:p>
        </w:tc>
        <w:tc>
          <w:tcPr>
            <w:tcW w:w="6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采集rest接口类型数据</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项</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r>
      <w:tr>
        <w:tblPrEx>
          <w:tblCellMar>
            <w:top w:w="0" w:type="dxa"/>
            <w:left w:w="0" w:type="dxa"/>
            <w:bottom w:w="0" w:type="dxa"/>
            <w:right w:w="0" w:type="dxa"/>
          </w:tblCellMar>
        </w:tblPrEx>
        <w:trPr>
          <w:trHeight w:val="240" w:hRule="atLeast"/>
        </w:trPr>
        <w:tc>
          <w:tcPr>
            <w:tcW w:w="3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000000"/>
                <w:sz w:val="18"/>
                <w:szCs w:val="18"/>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000000"/>
                <w:sz w:val="18"/>
                <w:szCs w:val="18"/>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DB表查询(全量)</w:t>
            </w:r>
          </w:p>
        </w:tc>
        <w:tc>
          <w:tcPr>
            <w:tcW w:w="6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以全量方式采集关系型数据库类型数据</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项</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r>
      <w:tr>
        <w:tblPrEx>
          <w:tblCellMar>
            <w:top w:w="0" w:type="dxa"/>
            <w:left w:w="0" w:type="dxa"/>
            <w:bottom w:w="0" w:type="dxa"/>
            <w:right w:w="0" w:type="dxa"/>
          </w:tblCellMar>
        </w:tblPrEx>
        <w:trPr>
          <w:trHeight w:val="240" w:hRule="atLeast"/>
        </w:trPr>
        <w:tc>
          <w:tcPr>
            <w:tcW w:w="3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000000"/>
                <w:sz w:val="18"/>
                <w:szCs w:val="18"/>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000000"/>
                <w:sz w:val="18"/>
                <w:szCs w:val="18"/>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DB表查询(增量)</w:t>
            </w:r>
          </w:p>
        </w:tc>
        <w:tc>
          <w:tcPr>
            <w:tcW w:w="6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以增量方式采集关系型数据库类型数据</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项</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r>
      <w:tr>
        <w:tblPrEx>
          <w:tblCellMar>
            <w:top w:w="0" w:type="dxa"/>
            <w:left w:w="0" w:type="dxa"/>
            <w:bottom w:w="0" w:type="dxa"/>
            <w:right w:w="0" w:type="dxa"/>
          </w:tblCellMar>
        </w:tblPrEx>
        <w:trPr>
          <w:trHeight w:val="240" w:hRule="atLeast"/>
        </w:trPr>
        <w:tc>
          <w:tcPr>
            <w:tcW w:w="3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000000"/>
                <w:sz w:val="18"/>
                <w:szCs w:val="18"/>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000000"/>
                <w:sz w:val="18"/>
                <w:szCs w:val="18"/>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DB更新表</w:t>
            </w:r>
          </w:p>
        </w:tc>
        <w:tc>
          <w:tcPr>
            <w:tcW w:w="6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更新关系型数据库类型表插件</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项</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r>
      <w:tr>
        <w:tblPrEx>
          <w:tblCellMar>
            <w:top w:w="0" w:type="dxa"/>
            <w:left w:w="0" w:type="dxa"/>
            <w:bottom w:w="0" w:type="dxa"/>
            <w:right w:w="0" w:type="dxa"/>
          </w:tblCellMar>
        </w:tblPrEx>
        <w:trPr>
          <w:trHeight w:val="480" w:hRule="atLeast"/>
        </w:trPr>
        <w:tc>
          <w:tcPr>
            <w:tcW w:w="3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000000"/>
                <w:sz w:val="18"/>
                <w:szCs w:val="18"/>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000000"/>
                <w:sz w:val="18"/>
                <w:szCs w:val="18"/>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DB查询(全量)</w:t>
            </w:r>
          </w:p>
        </w:tc>
        <w:tc>
          <w:tcPr>
            <w:tcW w:w="6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以全量方式采集ES数据插件</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项</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r>
      <w:tr>
        <w:tblPrEx>
          <w:tblCellMar>
            <w:top w:w="0" w:type="dxa"/>
            <w:left w:w="0" w:type="dxa"/>
            <w:bottom w:w="0" w:type="dxa"/>
            <w:right w:w="0" w:type="dxa"/>
          </w:tblCellMar>
        </w:tblPrEx>
        <w:trPr>
          <w:trHeight w:val="240" w:hRule="atLeast"/>
        </w:trPr>
        <w:tc>
          <w:tcPr>
            <w:tcW w:w="3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000000"/>
                <w:sz w:val="18"/>
                <w:szCs w:val="18"/>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000000"/>
                <w:sz w:val="18"/>
                <w:szCs w:val="18"/>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DB更新</w:t>
            </w:r>
          </w:p>
        </w:tc>
        <w:tc>
          <w:tcPr>
            <w:tcW w:w="6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插入数据到ES插件</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项</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r>
      <w:tr>
        <w:tblPrEx>
          <w:tblCellMar>
            <w:top w:w="0" w:type="dxa"/>
            <w:left w:w="0" w:type="dxa"/>
            <w:bottom w:w="0" w:type="dxa"/>
            <w:right w:w="0" w:type="dxa"/>
          </w:tblCellMar>
        </w:tblPrEx>
        <w:trPr>
          <w:trHeight w:val="240" w:hRule="atLeast"/>
        </w:trPr>
        <w:tc>
          <w:tcPr>
            <w:tcW w:w="3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000000"/>
                <w:sz w:val="18"/>
                <w:szCs w:val="18"/>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000000"/>
                <w:sz w:val="18"/>
                <w:szCs w:val="18"/>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数据统计</w:t>
            </w:r>
          </w:p>
        </w:tc>
        <w:tc>
          <w:tcPr>
            <w:tcW w:w="6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统计数据量等信息的插件</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项</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r>
      <w:tr>
        <w:tblPrEx>
          <w:tblCellMar>
            <w:top w:w="0" w:type="dxa"/>
            <w:left w:w="0" w:type="dxa"/>
            <w:bottom w:w="0" w:type="dxa"/>
            <w:right w:w="0" w:type="dxa"/>
          </w:tblCellMar>
        </w:tblPrEx>
        <w:trPr>
          <w:trHeight w:val="240" w:hRule="atLeast"/>
        </w:trPr>
        <w:tc>
          <w:tcPr>
            <w:tcW w:w="3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000000"/>
                <w:sz w:val="18"/>
                <w:szCs w:val="18"/>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000000"/>
                <w:sz w:val="18"/>
                <w:szCs w:val="18"/>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子流程</w:t>
            </w:r>
          </w:p>
        </w:tc>
        <w:tc>
          <w:tcPr>
            <w:tcW w:w="6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一个流程内部可拆分为多个小的子流程</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项</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r>
      <w:tr>
        <w:tblPrEx>
          <w:tblCellMar>
            <w:top w:w="0" w:type="dxa"/>
            <w:left w:w="0" w:type="dxa"/>
            <w:bottom w:w="0" w:type="dxa"/>
            <w:right w:w="0" w:type="dxa"/>
          </w:tblCellMar>
        </w:tblPrEx>
        <w:trPr>
          <w:trHeight w:val="240" w:hRule="atLeast"/>
        </w:trPr>
        <w:tc>
          <w:tcPr>
            <w:tcW w:w="3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000000"/>
                <w:sz w:val="18"/>
                <w:szCs w:val="18"/>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000000"/>
                <w:sz w:val="18"/>
                <w:szCs w:val="18"/>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DB子查询</w:t>
            </w:r>
          </w:p>
        </w:tc>
        <w:tc>
          <w:tcPr>
            <w:tcW w:w="6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子流程中的查询数据库类型数据的插件</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项</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r>
      <w:tr>
        <w:tblPrEx>
          <w:tblCellMar>
            <w:top w:w="0" w:type="dxa"/>
            <w:left w:w="0" w:type="dxa"/>
            <w:bottom w:w="0" w:type="dxa"/>
            <w:right w:w="0" w:type="dxa"/>
          </w:tblCellMar>
        </w:tblPrEx>
        <w:trPr>
          <w:trHeight w:val="480" w:hRule="atLeast"/>
        </w:trPr>
        <w:tc>
          <w:tcPr>
            <w:tcW w:w="3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000000"/>
                <w:sz w:val="18"/>
                <w:szCs w:val="18"/>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000000"/>
                <w:sz w:val="18"/>
                <w:szCs w:val="18"/>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DB任务分解(全量)</w:t>
            </w:r>
          </w:p>
        </w:tc>
        <w:tc>
          <w:tcPr>
            <w:tcW w:w="6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关系型数据库的数据进行分解供子流程使用（全量）</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项</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r>
      <w:tr>
        <w:tblPrEx>
          <w:tblCellMar>
            <w:top w:w="0" w:type="dxa"/>
            <w:left w:w="0" w:type="dxa"/>
            <w:bottom w:w="0" w:type="dxa"/>
            <w:right w:w="0" w:type="dxa"/>
          </w:tblCellMar>
        </w:tblPrEx>
        <w:trPr>
          <w:trHeight w:val="480" w:hRule="atLeast"/>
        </w:trPr>
        <w:tc>
          <w:tcPr>
            <w:tcW w:w="3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000000"/>
                <w:sz w:val="18"/>
                <w:szCs w:val="18"/>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000000"/>
                <w:sz w:val="18"/>
                <w:szCs w:val="18"/>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DB任务分解(增量)</w:t>
            </w:r>
          </w:p>
        </w:tc>
        <w:tc>
          <w:tcPr>
            <w:tcW w:w="6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关系型数据库的数据进行分解供子流程使用（增量）</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项</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r>
      <w:tr>
        <w:tblPrEx>
          <w:tblCellMar>
            <w:top w:w="0" w:type="dxa"/>
            <w:left w:w="0" w:type="dxa"/>
            <w:bottom w:w="0" w:type="dxa"/>
            <w:right w:w="0" w:type="dxa"/>
          </w:tblCellMar>
        </w:tblPrEx>
        <w:trPr>
          <w:trHeight w:val="240" w:hRule="atLeast"/>
        </w:trPr>
        <w:tc>
          <w:tcPr>
            <w:tcW w:w="3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000000"/>
                <w:sz w:val="18"/>
                <w:szCs w:val="18"/>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000000"/>
                <w:sz w:val="18"/>
                <w:szCs w:val="18"/>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DB子查询</w:t>
            </w:r>
          </w:p>
        </w:tc>
        <w:tc>
          <w:tcPr>
            <w:tcW w:w="6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子流程中的查询ES的数据的插件</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项</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r>
      <w:tr>
        <w:tblPrEx>
          <w:tblCellMar>
            <w:top w:w="0" w:type="dxa"/>
            <w:left w:w="0" w:type="dxa"/>
            <w:bottom w:w="0" w:type="dxa"/>
            <w:right w:w="0" w:type="dxa"/>
          </w:tblCellMar>
        </w:tblPrEx>
        <w:trPr>
          <w:trHeight w:val="480" w:hRule="atLeast"/>
        </w:trPr>
        <w:tc>
          <w:tcPr>
            <w:tcW w:w="3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000000"/>
                <w:sz w:val="18"/>
                <w:szCs w:val="18"/>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000000"/>
                <w:sz w:val="18"/>
                <w:szCs w:val="18"/>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DB任务分解(全量)</w:t>
            </w:r>
          </w:p>
        </w:tc>
        <w:tc>
          <w:tcPr>
            <w:tcW w:w="6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ES的数据进行分解供子流程使用（全量）</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项</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r>
      <w:tr>
        <w:tblPrEx>
          <w:tblCellMar>
            <w:top w:w="0" w:type="dxa"/>
            <w:left w:w="0" w:type="dxa"/>
            <w:bottom w:w="0" w:type="dxa"/>
            <w:right w:w="0" w:type="dxa"/>
          </w:tblCellMar>
        </w:tblPrEx>
        <w:trPr>
          <w:trHeight w:val="480" w:hRule="atLeast"/>
        </w:trPr>
        <w:tc>
          <w:tcPr>
            <w:tcW w:w="3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000000"/>
                <w:sz w:val="18"/>
                <w:szCs w:val="18"/>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000000"/>
                <w:sz w:val="18"/>
                <w:szCs w:val="18"/>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DB任务分解(增量)</w:t>
            </w:r>
          </w:p>
        </w:tc>
        <w:tc>
          <w:tcPr>
            <w:tcW w:w="6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ES的数据进行分解供子流程使用（增量）</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项</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r>
      <w:tr>
        <w:tblPrEx>
          <w:tblCellMar>
            <w:top w:w="0" w:type="dxa"/>
            <w:left w:w="0" w:type="dxa"/>
            <w:bottom w:w="0" w:type="dxa"/>
            <w:right w:w="0" w:type="dxa"/>
          </w:tblCellMar>
        </w:tblPrEx>
        <w:trPr>
          <w:trHeight w:val="240" w:hRule="atLeast"/>
        </w:trPr>
        <w:tc>
          <w:tcPr>
            <w:tcW w:w="3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000000"/>
                <w:sz w:val="18"/>
                <w:szCs w:val="18"/>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000000"/>
                <w:sz w:val="18"/>
                <w:szCs w:val="18"/>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加密解密</w:t>
            </w:r>
          </w:p>
        </w:tc>
        <w:tc>
          <w:tcPr>
            <w:tcW w:w="6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数据采集、清洗过程中可进行加密解密操作</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项</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r>
      <w:tr>
        <w:tblPrEx>
          <w:tblCellMar>
            <w:top w:w="0" w:type="dxa"/>
            <w:left w:w="0" w:type="dxa"/>
            <w:bottom w:w="0" w:type="dxa"/>
            <w:right w:w="0" w:type="dxa"/>
          </w:tblCellMar>
        </w:tblPrEx>
        <w:trPr>
          <w:trHeight w:val="240" w:hRule="atLeast"/>
        </w:trPr>
        <w:tc>
          <w:tcPr>
            <w:tcW w:w="3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000000"/>
                <w:sz w:val="18"/>
                <w:szCs w:val="18"/>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000000"/>
                <w:sz w:val="18"/>
                <w:szCs w:val="18"/>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数据解密</w:t>
            </w:r>
          </w:p>
        </w:tc>
        <w:tc>
          <w:tcPr>
            <w:tcW w:w="6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数据采集、清洗过程中对加密的数据进行解密操作</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项</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r>
      <w:tr>
        <w:tblPrEx>
          <w:tblCellMar>
            <w:top w:w="0" w:type="dxa"/>
            <w:left w:w="0" w:type="dxa"/>
            <w:bottom w:w="0" w:type="dxa"/>
            <w:right w:w="0" w:type="dxa"/>
          </w:tblCellMar>
        </w:tblPrEx>
        <w:trPr>
          <w:trHeight w:val="240" w:hRule="atLeast"/>
        </w:trPr>
        <w:tc>
          <w:tcPr>
            <w:tcW w:w="3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000000"/>
                <w:sz w:val="18"/>
                <w:szCs w:val="18"/>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000000"/>
                <w:sz w:val="18"/>
                <w:szCs w:val="18"/>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数据加密</w:t>
            </w:r>
          </w:p>
        </w:tc>
        <w:tc>
          <w:tcPr>
            <w:tcW w:w="6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数据采集、清洗过程中对加密的数据进行加密操作</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项</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r>
      <w:tr>
        <w:tblPrEx>
          <w:tblCellMar>
            <w:top w:w="0" w:type="dxa"/>
            <w:left w:w="0" w:type="dxa"/>
            <w:bottom w:w="0" w:type="dxa"/>
            <w:right w:w="0" w:type="dxa"/>
          </w:tblCellMar>
        </w:tblPrEx>
        <w:trPr>
          <w:trHeight w:val="240" w:hRule="atLeast"/>
        </w:trPr>
        <w:tc>
          <w:tcPr>
            <w:tcW w:w="3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000000"/>
                <w:sz w:val="18"/>
                <w:szCs w:val="18"/>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000000"/>
                <w:sz w:val="18"/>
                <w:szCs w:val="18"/>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融合插件</w:t>
            </w:r>
          </w:p>
        </w:tc>
        <w:tc>
          <w:tcPr>
            <w:tcW w:w="6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融合流程具备的插件</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项</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r>
      <w:tr>
        <w:tblPrEx>
          <w:tblCellMar>
            <w:top w:w="0" w:type="dxa"/>
            <w:left w:w="0" w:type="dxa"/>
            <w:bottom w:w="0" w:type="dxa"/>
            <w:right w:w="0" w:type="dxa"/>
          </w:tblCellMar>
        </w:tblPrEx>
        <w:trPr>
          <w:trHeight w:val="240" w:hRule="atLeast"/>
        </w:trPr>
        <w:tc>
          <w:tcPr>
            <w:tcW w:w="3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000000"/>
                <w:sz w:val="18"/>
                <w:szCs w:val="18"/>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000000"/>
                <w:sz w:val="18"/>
                <w:szCs w:val="18"/>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子流程</w:t>
            </w:r>
          </w:p>
        </w:tc>
        <w:tc>
          <w:tcPr>
            <w:tcW w:w="6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一个融合流程内部可拆分为多个小的子流程</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项</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r>
      <w:tr>
        <w:tblPrEx>
          <w:tblCellMar>
            <w:top w:w="0" w:type="dxa"/>
            <w:left w:w="0" w:type="dxa"/>
            <w:bottom w:w="0" w:type="dxa"/>
            <w:right w:w="0" w:type="dxa"/>
          </w:tblCellMar>
        </w:tblPrEx>
        <w:trPr>
          <w:trHeight w:val="480" w:hRule="atLeast"/>
        </w:trPr>
        <w:tc>
          <w:tcPr>
            <w:tcW w:w="3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000000"/>
                <w:sz w:val="18"/>
                <w:szCs w:val="18"/>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000000"/>
                <w:sz w:val="18"/>
                <w:szCs w:val="18"/>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DB任务分解(全量)</w:t>
            </w:r>
          </w:p>
        </w:tc>
        <w:tc>
          <w:tcPr>
            <w:tcW w:w="6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关系型数据库的数据进行分解供子流程使用（全量）</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项</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r>
      <w:tr>
        <w:tblPrEx>
          <w:tblCellMar>
            <w:top w:w="0" w:type="dxa"/>
            <w:left w:w="0" w:type="dxa"/>
            <w:bottom w:w="0" w:type="dxa"/>
            <w:right w:w="0" w:type="dxa"/>
          </w:tblCellMar>
        </w:tblPrEx>
        <w:trPr>
          <w:trHeight w:val="480" w:hRule="atLeast"/>
        </w:trPr>
        <w:tc>
          <w:tcPr>
            <w:tcW w:w="3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000000"/>
                <w:sz w:val="18"/>
                <w:szCs w:val="18"/>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000000"/>
                <w:sz w:val="18"/>
                <w:szCs w:val="18"/>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DB任务分解(增量)</w:t>
            </w:r>
          </w:p>
        </w:tc>
        <w:tc>
          <w:tcPr>
            <w:tcW w:w="6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关系型数据库的数据进行分解供子流程使用（增量）</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项</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r>
      <w:tr>
        <w:tblPrEx>
          <w:tblCellMar>
            <w:top w:w="0" w:type="dxa"/>
            <w:left w:w="0" w:type="dxa"/>
            <w:bottom w:w="0" w:type="dxa"/>
            <w:right w:w="0" w:type="dxa"/>
          </w:tblCellMar>
        </w:tblPrEx>
        <w:trPr>
          <w:trHeight w:val="240" w:hRule="atLeast"/>
        </w:trPr>
        <w:tc>
          <w:tcPr>
            <w:tcW w:w="3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000000"/>
                <w:sz w:val="18"/>
                <w:szCs w:val="18"/>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000000"/>
                <w:sz w:val="18"/>
                <w:szCs w:val="18"/>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DB子查询</w:t>
            </w:r>
          </w:p>
        </w:tc>
        <w:tc>
          <w:tcPr>
            <w:tcW w:w="6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子流程中的查询ES的数据的插件</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项</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r>
      <w:tr>
        <w:tblPrEx>
          <w:tblCellMar>
            <w:top w:w="0" w:type="dxa"/>
            <w:left w:w="0" w:type="dxa"/>
            <w:bottom w:w="0" w:type="dxa"/>
            <w:right w:w="0" w:type="dxa"/>
          </w:tblCellMar>
        </w:tblPrEx>
        <w:trPr>
          <w:trHeight w:val="480" w:hRule="atLeast"/>
        </w:trPr>
        <w:tc>
          <w:tcPr>
            <w:tcW w:w="3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000000"/>
                <w:sz w:val="18"/>
                <w:szCs w:val="18"/>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000000"/>
                <w:sz w:val="18"/>
                <w:szCs w:val="18"/>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DB任务分解(全量)</w:t>
            </w:r>
          </w:p>
        </w:tc>
        <w:tc>
          <w:tcPr>
            <w:tcW w:w="6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ES的数据进行分解供子流程使用（全量）</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项</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r>
      <w:tr>
        <w:tblPrEx>
          <w:tblCellMar>
            <w:top w:w="0" w:type="dxa"/>
            <w:left w:w="0" w:type="dxa"/>
            <w:bottom w:w="0" w:type="dxa"/>
            <w:right w:w="0" w:type="dxa"/>
          </w:tblCellMar>
        </w:tblPrEx>
        <w:trPr>
          <w:trHeight w:val="480" w:hRule="atLeast"/>
        </w:trPr>
        <w:tc>
          <w:tcPr>
            <w:tcW w:w="3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000000"/>
                <w:sz w:val="18"/>
                <w:szCs w:val="18"/>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000000"/>
                <w:sz w:val="18"/>
                <w:szCs w:val="18"/>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DB任务分解(增量)</w:t>
            </w:r>
          </w:p>
        </w:tc>
        <w:tc>
          <w:tcPr>
            <w:tcW w:w="6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ES的数据进行分解供子流程使用（增量）</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项</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r>
      <w:tr>
        <w:tblPrEx>
          <w:tblCellMar>
            <w:top w:w="0" w:type="dxa"/>
            <w:left w:w="0" w:type="dxa"/>
            <w:bottom w:w="0" w:type="dxa"/>
            <w:right w:w="0" w:type="dxa"/>
          </w:tblCellMar>
        </w:tblPrEx>
        <w:trPr>
          <w:trHeight w:val="240" w:hRule="atLeast"/>
        </w:trPr>
        <w:tc>
          <w:tcPr>
            <w:tcW w:w="3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000000"/>
                <w:sz w:val="18"/>
                <w:szCs w:val="18"/>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000000"/>
                <w:sz w:val="18"/>
                <w:szCs w:val="18"/>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DB子查询</w:t>
            </w:r>
          </w:p>
        </w:tc>
        <w:tc>
          <w:tcPr>
            <w:tcW w:w="6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融合子流程中的查询数据库类型数据的插件</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项</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r>
      <w:tr>
        <w:tblPrEx>
          <w:tblCellMar>
            <w:top w:w="0" w:type="dxa"/>
            <w:left w:w="0" w:type="dxa"/>
            <w:bottom w:w="0" w:type="dxa"/>
            <w:right w:w="0" w:type="dxa"/>
          </w:tblCellMar>
        </w:tblPrEx>
        <w:trPr>
          <w:trHeight w:val="240" w:hRule="atLeast"/>
        </w:trPr>
        <w:tc>
          <w:tcPr>
            <w:tcW w:w="3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000000"/>
                <w:sz w:val="18"/>
                <w:szCs w:val="18"/>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000000"/>
                <w:sz w:val="18"/>
                <w:szCs w:val="18"/>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输入插件</w:t>
            </w:r>
          </w:p>
        </w:tc>
        <w:tc>
          <w:tcPr>
            <w:tcW w:w="6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读取数据的插件</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项</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r>
      <w:tr>
        <w:tblPrEx>
          <w:tblCellMar>
            <w:top w:w="0" w:type="dxa"/>
            <w:left w:w="0" w:type="dxa"/>
            <w:bottom w:w="0" w:type="dxa"/>
            <w:right w:w="0" w:type="dxa"/>
          </w:tblCellMar>
        </w:tblPrEx>
        <w:trPr>
          <w:trHeight w:val="240" w:hRule="atLeast"/>
        </w:trPr>
        <w:tc>
          <w:tcPr>
            <w:tcW w:w="3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000000"/>
                <w:sz w:val="18"/>
                <w:szCs w:val="18"/>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000000"/>
                <w:sz w:val="18"/>
                <w:szCs w:val="18"/>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DB表查询(全量)</w:t>
            </w:r>
          </w:p>
        </w:tc>
        <w:tc>
          <w:tcPr>
            <w:tcW w:w="6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以全量方式采集关系型数据库类型数据</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项</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r>
      <w:tr>
        <w:tblPrEx>
          <w:tblCellMar>
            <w:top w:w="0" w:type="dxa"/>
            <w:left w:w="0" w:type="dxa"/>
            <w:bottom w:w="0" w:type="dxa"/>
            <w:right w:w="0" w:type="dxa"/>
          </w:tblCellMar>
        </w:tblPrEx>
        <w:trPr>
          <w:trHeight w:val="240" w:hRule="atLeast"/>
        </w:trPr>
        <w:tc>
          <w:tcPr>
            <w:tcW w:w="3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000000"/>
                <w:sz w:val="18"/>
                <w:szCs w:val="18"/>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000000"/>
                <w:sz w:val="18"/>
                <w:szCs w:val="18"/>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DB表查询(增量)</w:t>
            </w:r>
          </w:p>
        </w:tc>
        <w:tc>
          <w:tcPr>
            <w:tcW w:w="6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以增量方式采集关系型数据库类型数据</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项</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r>
      <w:tr>
        <w:tblPrEx>
          <w:tblCellMar>
            <w:top w:w="0" w:type="dxa"/>
            <w:left w:w="0" w:type="dxa"/>
            <w:bottom w:w="0" w:type="dxa"/>
            <w:right w:w="0" w:type="dxa"/>
          </w:tblCellMar>
        </w:tblPrEx>
        <w:trPr>
          <w:trHeight w:val="480" w:hRule="atLeast"/>
        </w:trPr>
        <w:tc>
          <w:tcPr>
            <w:tcW w:w="3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000000"/>
                <w:sz w:val="18"/>
                <w:szCs w:val="18"/>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000000"/>
                <w:sz w:val="18"/>
                <w:szCs w:val="18"/>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DB查询(全量)</w:t>
            </w:r>
          </w:p>
        </w:tc>
        <w:tc>
          <w:tcPr>
            <w:tcW w:w="6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以全量方式采集ES数据插件</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项</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r>
      <w:tr>
        <w:tblPrEx>
          <w:tblCellMar>
            <w:top w:w="0" w:type="dxa"/>
            <w:left w:w="0" w:type="dxa"/>
            <w:bottom w:w="0" w:type="dxa"/>
            <w:right w:w="0" w:type="dxa"/>
          </w:tblCellMar>
        </w:tblPrEx>
        <w:trPr>
          <w:trHeight w:val="480" w:hRule="atLeast"/>
        </w:trPr>
        <w:tc>
          <w:tcPr>
            <w:tcW w:w="3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000000"/>
                <w:sz w:val="18"/>
                <w:szCs w:val="18"/>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000000"/>
                <w:sz w:val="18"/>
                <w:szCs w:val="18"/>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Excel导入（全量）</w:t>
            </w:r>
          </w:p>
        </w:tc>
        <w:tc>
          <w:tcPr>
            <w:tcW w:w="6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从excel文件读取数据（全量）</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项</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r>
      <w:tr>
        <w:tblPrEx>
          <w:tblCellMar>
            <w:top w:w="0" w:type="dxa"/>
            <w:left w:w="0" w:type="dxa"/>
            <w:bottom w:w="0" w:type="dxa"/>
            <w:right w:w="0" w:type="dxa"/>
          </w:tblCellMar>
        </w:tblPrEx>
        <w:trPr>
          <w:trHeight w:val="480" w:hRule="atLeast"/>
        </w:trPr>
        <w:tc>
          <w:tcPr>
            <w:tcW w:w="3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000000"/>
                <w:sz w:val="18"/>
                <w:szCs w:val="18"/>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000000"/>
                <w:sz w:val="18"/>
                <w:szCs w:val="18"/>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Excel导入（增量）</w:t>
            </w:r>
          </w:p>
        </w:tc>
        <w:tc>
          <w:tcPr>
            <w:tcW w:w="6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从excel文件读取数据（增量）</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项</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r>
      <w:tr>
        <w:tblPrEx>
          <w:tblCellMar>
            <w:top w:w="0" w:type="dxa"/>
            <w:left w:w="0" w:type="dxa"/>
            <w:bottom w:w="0" w:type="dxa"/>
            <w:right w:w="0" w:type="dxa"/>
          </w:tblCellMar>
        </w:tblPrEx>
        <w:trPr>
          <w:trHeight w:val="480" w:hRule="atLeast"/>
        </w:trPr>
        <w:tc>
          <w:tcPr>
            <w:tcW w:w="3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000000"/>
                <w:sz w:val="18"/>
                <w:szCs w:val="18"/>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000000"/>
                <w:sz w:val="18"/>
                <w:szCs w:val="18"/>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csv导入（全量）</w:t>
            </w:r>
          </w:p>
        </w:tc>
        <w:tc>
          <w:tcPr>
            <w:tcW w:w="6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从csv文件读取数据（全量）</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项</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r>
      <w:tr>
        <w:tblPrEx>
          <w:tblCellMar>
            <w:top w:w="0" w:type="dxa"/>
            <w:left w:w="0" w:type="dxa"/>
            <w:bottom w:w="0" w:type="dxa"/>
            <w:right w:w="0" w:type="dxa"/>
          </w:tblCellMar>
        </w:tblPrEx>
        <w:trPr>
          <w:trHeight w:val="480" w:hRule="atLeast"/>
        </w:trPr>
        <w:tc>
          <w:tcPr>
            <w:tcW w:w="3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000000"/>
                <w:sz w:val="18"/>
                <w:szCs w:val="18"/>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000000"/>
                <w:sz w:val="18"/>
                <w:szCs w:val="18"/>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csv导入（增量）</w:t>
            </w:r>
          </w:p>
        </w:tc>
        <w:tc>
          <w:tcPr>
            <w:tcW w:w="6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从csv文件读取数据（增量）</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项</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r>
      <w:tr>
        <w:tblPrEx>
          <w:tblCellMar>
            <w:top w:w="0" w:type="dxa"/>
            <w:left w:w="0" w:type="dxa"/>
            <w:bottom w:w="0" w:type="dxa"/>
            <w:right w:w="0" w:type="dxa"/>
          </w:tblCellMar>
        </w:tblPrEx>
        <w:trPr>
          <w:trHeight w:val="480" w:hRule="atLeast"/>
        </w:trPr>
        <w:tc>
          <w:tcPr>
            <w:tcW w:w="3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000000"/>
                <w:sz w:val="18"/>
                <w:szCs w:val="18"/>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000000"/>
                <w:sz w:val="18"/>
                <w:szCs w:val="18"/>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文本导入（增量）</w:t>
            </w:r>
          </w:p>
        </w:tc>
        <w:tc>
          <w:tcPr>
            <w:tcW w:w="6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从文本文件读取数据（增量）</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项</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r>
      <w:tr>
        <w:tblPrEx>
          <w:tblCellMar>
            <w:top w:w="0" w:type="dxa"/>
            <w:left w:w="0" w:type="dxa"/>
            <w:bottom w:w="0" w:type="dxa"/>
            <w:right w:w="0" w:type="dxa"/>
          </w:tblCellMar>
        </w:tblPrEx>
        <w:trPr>
          <w:trHeight w:val="240" w:hRule="atLeast"/>
        </w:trPr>
        <w:tc>
          <w:tcPr>
            <w:tcW w:w="3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000000"/>
                <w:sz w:val="18"/>
                <w:szCs w:val="18"/>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000000"/>
                <w:sz w:val="18"/>
                <w:szCs w:val="18"/>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数据统计</w:t>
            </w:r>
          </w:p>
        </w:tc>
        <w:tc>
          <w:tcPr>
            <w:tcW w:w="6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统计数据量等信息的插件</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项</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r>
      <w:tr>
        <w:tblPrEx>
          <w:tblCellMar>
            <w:top w:w="0" w:type="dxa"/>
            <w:left w:w="0" w:type="dxa"/>
            <w:bottom w:w="0" w:type="dxa"/>
            <w:right w:w="0" w:type="dxa"/>
          </w:tblCellMar>
        </w:tblPrEx>
        <w:trPr>
          <w:trHeight w:val="240" w:hRule="atLeast"/>
        </w:trPr>
        <w:tc>
          <w:tcPr>
            <w:tcW w:w="3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000000"/>
                <w:sz w:val="18"/>
                <w:szCs w:val="18"/>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000000"/>
                <w:sz w:val="18"/>
                <w:szCs w:val="18"/>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Rest查询</w:t>
            </w:r>
          </w:p>
        </w:tc>
        <w:tc>
          <w:tcPr>
            <w:tcW w:w="6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读取rest接口类型数据</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项</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r>
      <w:tr>
        <w:tblPrEx>
          <w:tblCellMar>
            <w:top w:w="0" w:type="dxa"/>
            <w:left w:w="0" w:type="dxa"/>
            <w:bottom w:w="0" w:type="dxa"/>
            <w:right w:w="0" w:type="dxa"/>
          </w:tblCellMar>
        </w:tblPrEx>
        <w:trPr>
          <w:trHeight w:val="480" w:hRule="atLeast"/>
        </w:trPr>
        <w:tc>
          <w:tcPr>
            <w:tcW w:w="3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000000"/>
                <w:sz w:val="18"/>
                <w:szCs w:val="18"/>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000000"/>
                <w:sz w:val="18"/>
                <w:szCs w:val="18"/>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webService查询</w:t>
            </w:r>
          </w:p>
        </w:tc>
        <w:tc>
          <w:tcPr>
            <w:tcW w:w="6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读取webservice接口类型数据</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项</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r>
      <w:tr>
        <w:tblPrEx>
          <w:tblCellMar>
            <w:top w:w="0" w:type="dxa"/>
            <w:left w:w="0" w:type="dxa"/>
            <w:bottom w:w="0" w:type="dxa"/>
            <w:right w:w="0" w:type="dxa"/>
          </w:tblCellMar>
        </w:tblPrEx>
        <w:trPr>
          <w:trHeight w:val="240" w:hRule="atLeast"/>
        </w:trPr>
        <w:tc>
          <w:tcPr>
            <w:tcW w:w="3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000000"/>
                <w:sz w:val="18"/>
                <w:szCs w:val="18"/>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000000"/>
                <w:sz w:val="18"/>
                <w:szCs w:val="18"/>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输出插件</w:t>
            </w:r>
          </w:p>
        </w:tc>
        <w:tc>
          <w:tcPr>
            <w:tcW w:w="6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数据入库的插件</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项</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r>
      <w:tr>
        <w:tblPrEx>
          <w:tblCellMar>
            <w:top w:w="0" w:type="dxa"/>
            <w:left w:w="0" w:type="dxa"/>
            <w:bottom w:w="0" w:type="dxa"/>
            <w:right w:w="0" w:type="dxa"/>
          </w:tblCellMar>
        </w:tblPrEx>
        <w:trPr>
          <w:trHeight w:val="240" w:hRule="atLeast"/>
        </w:trPr>
        <w:tc>
          <w:tcPr>
            <w:tcW w:w="3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000000"/>
                <w:sz w:val="18"/>
                <w:szCs w:val="18"/>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000000"/>
                <w:sz w:val="18"/>
                <w:szCs w:val="18"/>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DB表输出</w:t>
            </w:r>
          </w:p>
        </w:tc>
        <w:tc>
          <w:tcPr>
            <w:tcW w:w="6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数据保存到关系型数据库的插件</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项</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r>
      <w:tr>
        <w:tblPrEx>
          <w:tblCellMar>
            <w:top w:w="0" w:type="dxa"/>
            <w:left w:w="0" w:type="dxa"/>
            <w:bottom w:w="0" w:type="dxa"/>
            <w:right w:w="0" w:type="dxa"/>
          </w:tblCellMar>
        </w:tblPrEx>
        <w:trPr>
          <w:trHeight w:val="240" w:hRule="atLeast"/>
        </w:trPr>
        <w:tc>
          <w:tcPr>
            <w:tcW w:w="3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000000"/>
                <w:sz w:val="18"/>
                <w:szCs w:val="18"/>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000000"/>
                <w:sz w:val="18"/>
                <w:szCs w:val="18"/>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DB表同步</w:t>
            </w:r>
          </w:p>
        </w:tc>
        <w:tc>
          <w:tcPr>
            <w:tcW w:w="6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同步源数据到关系型数据库的插件</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项</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r>
      <w:tr>
        <w:tblPrEx>
          <w:tblCellMar>
            <w:top w:w="0" w:type="dxa"/>
            <w:left w:w="0" w:type="dxa"/>
            <w:bottom w:w="0" w:type="dxa"/>
            <w:right w:w="0" w:type="dxa"/>
          </w:tblCellMar>
        </w:tblPrEx>
        <w:trPr>
          <w:trHeight w:val="240" w:hRule="atLeast"/>
        </w:trPr>
        <w:tc>
          <w:tcPr>
            <w:tcW w:w="3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000000"/>
                <w:sz w:val="18"/>
                <w:szCs w:val="18"/>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000000"/>
                <w:sz w:val="18"/>
                <w:szCs w:val="18"/>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DB输出</w:t>
            </w:r>
          </w:p>
        </w:tc>
        <w:tc>
          <w:tcPr>
            <w:tcW w:w="6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数据保存到ES的插件</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项</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r>
      <w:tr>
        <w:tblPrEx>
          <w:tblCellMar>
            <w:top w:w="0" w:type="dxa"/>
            <w:left w:w="0" w:type="dxa"/>
            <w:bottom w:w="0" w:type="dxa"/>
            <w:right w:w="0" w:type="dxa"/>
          </w:tblCellMar>
        </w:tblPrEx>
        <w:trPr>
          <w:trHeight w:val="240" w:hRule="atLeast"/>
        </w:trPr>
        <w:tc>
          <w:tcPr>
            <w:tcW w:w="3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000000"/>
                <w:sz w:val="18"/>
                <w:szCs w:val="18"/>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000000"/>
                <w:sz w:val="18"/>
                <w:szCs w:val="18"/>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Excel输出</w:t>
            </w:r>
          </w:p>
        </w:tc>
        <w:tc>
          <w:tcPr>
            <w:tcW w:w="6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数据保存到excel的插件</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项</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r>
      <w:tr>
        <w:tblPrEx>
          <w:tblCellMar>
            <w:top w:w="0" w:type="dxa"/>
            <w:left w:w="0" w:type="dxa"/>
            <w:bottom w:w="0" w:type="dxa"/>
            <w:right w:w="0" w:type="dxa"/>
          </w:tblCellMar>
        </w:tblPrEx>
        <w:trPr>
          <w:trHeight w:val="240" w:hRule="atLeast"/>
        </w:trPr>
        <w:tc>
          <w:tcPr>
            <w:tcW w:w="3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000000"/>
                <w:sz w:val="18"/>
                <w:szCs w:val="18"/>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000000"/>
                <w:sz w:val="18"/>
                <w:szCs w:val="18"/>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转换插件</w:t>
            </w:r>
          </w:p>
        </w:tc>
        <w:tc>
          <w:tcPr>
            <w:tcW w:w="6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清洗数据插件</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项</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r>
      <w:tr>
        <w:tblPrEx>
          <w:tblCellMar>
            <w:top w:w="0" w:type="dxa"/>
            <w:left w:w="0" w:type="dxa"/>
            <w:bottom w:w="0" w:type="dxa"/>
            <w:right w:w="0" w:type="dxa"/>
          </w:tblCellMar>
        </w:tblPrEx>
        <w:trPr>
          <w:trHeight w:val="240" w:hRule="atLeast"/>
        </w:trPr>
        <w:tc>
          <w:tcPr>
            <w:tcW w:w="3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000000"/>
                <w:sz w:val="18"/>
                <w:szCs w:val="18"/>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000000"/>
                <w:sz w:val="18"/>
                <w:szCs w:val="18"/>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数值计算</w:t>
            </w:r>
          </w:p>
        </w:tc>
        <w:tc>
          <w:tcPr>
            <w:tcW w:w="6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数值类型数据计算值</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项</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r>
      <w:tr>
        <w:tblPrEx>
          <w:tblCellMar>
            <w:top w:w="0" w:type="dxa"/>
            <w:left w:w="0" w:type="dxa"/>
            <w:bottom w:w="0" w:type="dxa"/>
            <w:right w:w="0" w:type="dxa"/>
          </w:tblCellMar>
        </w:tblPrEx>
        <w:trPr>
          <w:trHeight w:val="240" w:hRule="atLeast"/>
        </w:trPr>
        <w:tc>
          <w:tcPr>
            <w:tcW w:w="3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000000"/>
                <w:sz w:val="18"/>
                <w:szCs w:val="18"/>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000000"/>
                <w:sz w:val="18"/>
                <w:szCs w:val="18"/>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内容替换</w:t>
            </w:r>
          </w:p>
        </w:tc>
        <w:tc>
          <w:tcPr>
            <w:tcW w:w="6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字段值内容值的匹配替换</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项</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r>
      <w:tr>
        <w:tblPrEx>
          <w:tblCellMar>
            <w:top w:w="0" w:type="dxa"/>
            <w:left w:w="0" w:type="dxa"/>
            <w:bottom w:w="0" w:type="dxa"/>
            <w:right w:w="0" w:type="dxa"/>
          </w:tblCellMar>
        </w:tblPrEx>
        <w:trPr>
          <w:trHeight w:val="240" w:hRule="atLeast"/>
        </w:trPr>
        <w:tc>
          <w:tcPr>
            <w:tcW w:w="3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000000"/>
                <w:sz w:val="18"/>
                <w:szCs w:val="18"/>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000000"/>
                <w:sz w:val="18"/>
                <w:szCs w:val="18"/>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字段赋值</w:t>
            </w:r>
          </w:p>
        </w:tc>
        <w:tc>
          <w:tcPr>
            <w:tcW w:w="6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给字段赋值</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项</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r>
      <w:tr>
        <w:tblPrEx>
          <w:tblCellMar>
            <w:top w:w="0" w:type="dxa"/>
            <w:left w:w="0" w:type="dxa"/>
            <w:bottom w:w="0" w:type="dxa"/>
            <w:right w:w="0" w:type="dxa"/>
          </w:tblCellMar>
        </w:tblPrEx>
        <w:trPr>
          <w:trHeight w:val="240" w:hRule="atLeast"/>
        </w:trPr>
        <w:tc>
          <w:tcPr>
            <w:tcW w:w="3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000000"/>
                <w:sz w:val="18"/>
                <w:szCs w:val="18"/>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000000"/>
                <w:sz w:val="18"/>
                <w:szCs w:val="18"/>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字符串拼接</w:t>
            </w:r>
          </w:p>
        </w:tc>
        <w:tc>
          <w:tcPr>
            <w:tcW w:w="6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字符串类型字段值拼接</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项</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r>
      <w:tr>
        <w:tblPrEx>
          <w:tblCellMar>
            <w:top w:w="0" w:type="dxa"/>
            <w:left w:w="0" w:type="dxa"/>
            <w:bottom w:w="0" w:type="dxa"/>
            <w:right w:w="0" w:type="dxa"/>
          </w:tblCellMar>
        </w:tblPrEx>
        <w:trPr>
          <w:trHeight w:val="240" w:hRule="atLeast"/>
        </w:trPr>
        <w:tc>
          <w:tcPr>
            <w:tcW w:w="3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000000"/>
                <w:sz w:val="18"/>
                <w:szCs w:val="18"/>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000000"/>
                <w:sz w:val="18"/>
                <w:szCs w:val="18"/>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字符串分割</w:t>
            </w:r>
          </w:p>
        </w:tc>
        <w:tc>
          <w:tcPr>
            <w:tcW w:w="6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字符串类型字段值分割</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项</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r>
      <w:tr>
        <w:tblPrEx>
          <w:tblCellMar>
            <w:top w:w="0" w:type="dxa"/>
            <w:left w:w="0" w:type="dxa"/>
            <w:bottom w:w="0" w:type="dxa"/>
            <w:right w:w="0" w:type="dxa"/>
          </w:tblCellMar>
        </w:tblPrEx>
        <w:trPr>
          <w:trHeight w:val="240" w:hRule="atLeast"/>
        </w:trPr>
        <w:tc>
          <w:tcPr>
            <w:tcW w:w="3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000000"/>
                <w:sz w:val="18"/>
                <w:szCs w:val="18"/>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000000"/>
                <w:sz w:val="18"/>
                <w:szCs w:val="18"/>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条件过滤</w:t>
            </w:r>
          </w:p>
        </w:tc>
        <w:tc>
          <w:tcPr>
            <w:tcW w:w="6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根据指定的条件对数据进行过滤</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项</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r>
      <w:tr>
        <w:tblPrEx>
          <w:tblCellMar>
            <w:top w:w="0" w:type="dxa"/>
            <w:left w:w="0" w:type="dxa"/>
            <w:bottom w:w="0" w:type="dxa"/>
            <w:right w:w="0" w:type="dxa"/>
          </w:tblCellMar>
        </w:tblPrEx>
        <w:trPr>
          <w:trHeight w:val="240" w:hRule="atLeast"/>
        </w:trPr>
        <w:tc>
          <w:tcPr>
            <w:tcW w:w="3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000000"/>
                <w:sz w:val="18"/>
                <w:szCs w:val="18"/>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000000"/>
                <w:sz w:val="18"/>
                <w:szCs w:val="18"/>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数据去重</w:t>
            </w:r>
          </w:p>
        </w:tc>
        <w:tc>
          <w:tcPr>
            <w:tcW w:w="6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数据内容去重</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项</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r>
      <w:tr>
        <w:tblPrEx>
          <w:tblCellMar>
            <w:top w:w="0" w:type="dxa"/>
            <w:left w:w="0" w:type="dxa"/>
            <w:bottom w:w="0" w:type="dxa"/>
            <w:right w:w="0" w:type="dxa"/>
          </w:tblCellMar>
        </w:tblPrEx>
        <w:trPr>
          <w:trHeight w:val="240" w:hRule="atLeast"/>
        </w:trPr>
        <w:tc>
          <w:tcPr>
            <w:tcW w:w="3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000000"/>
                <w:sz w:val="18"/>
                <w:szCs w:val="18"/>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000000"/>
                <w:sz w:val="18"/>
                <w:szCs w:val="18"/>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重复数据标记</w:t>
            </w:r>
          </w:p>
        </w:tc>
        <w:tc>
          <w:tcPr>
            <w:tcW w:w="6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对重复数据打标记</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项</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r>
      <w:tr>
        <w:tblPrEx>
          <w:tblCellMar>
            <w:top w:w="0" w:type="dxa"/>
            <w:left w:w="0" w:type="dxa"/>
            <w:bottom w:w="0" w:type="dxa"/>
            <w:right w:w="0" w:type="dxa"/>
          </w:tblCellMar>
        </w:tblPrEx>
        <w:trPr>
          <w:trHeight w:val="240" w:hRule="atLeast"/>
        </w:trPr>
        <w:tc>
          <w:tcPr>
            <w:tcW w:w="3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000000"/>
                <w:sz w:val="18"/>
                <w:szCs w:val="18"/>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000000"/>
                <w:sz w:val="18"/>
                <w:szCs w:val="18"/>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数据聚合</w:t>
            </w:r>
          </w:p>
        </w:tc>
        <w:tc>
          <w:tcPr>
            <w:tcW w:w="6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多个表的数据汇聚为一个表</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项</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r>
      <w:tr>
        <w:tblPrEx>
          <w:tblCellMar>
            <w:top w:w="0" w:type="dxa"/>
            <w:left w:w="0" w:type="dxa"/>
            <w:bottom w:w="0" w:type="dxa"/>
            <w:right w:w="0" w:type="dxa"/>
          </w:tblCellMar>
        </w:tblPrEx>
        <w:trPr>
          <w:trHeight w:val="240" w:hRule="atLeast"/>
        </w:trPr>
        <w:tc>
          <w:tcPr>
            <w:tcW w:w="3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000000"/>
                <w:sz w:val="18"/>
                <w:szCs w:val="18"/>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000000"/>
                <w:sz w:val="18"/>
                <w:szCs w:val="18"/>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数据交集</w:t>
            </w:r>
          </w:p>
        </w:tc>
        <w:tc>
          <w:tcPr>
            <w:tcW w:w="6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对多个表的数据求交集</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项</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r>
      <w:tr>
        <w:tblPrEx>
          <w:tblCellMar>
            <w:top w:w="0" w:type="dxa"/>
            <w:left w:w="0" w:type="dxa"/>
            <w:bottom w:w="0" w:type="dxa"/>
            <w:right w:w="0" w:type="dxa"/>
          </w:tblCellMar>
        </w:tblPrEx>
        <w:trPr>
          <w:trHeight w:val="240" w:hRule="atLeast"/>
        </w:trPr>
        <w:tc>
          <w:tcPr>
            <w:tcW w:w="3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000000"/>
                <w:sz w:val="18"/>
                <w:szCs w:val="18"/>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000000"/>
                <w:sz w:val="18"/>
                <w:szCs w:val="18"/>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添加字段</w:t>
            </w:r>
          </w:p>
        </w:tc>
        <w:tc>
          <w:tcPr>
            <w:tcW w:w="6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对表添加字段</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项</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r>
      <w:tr>
        <w:tblPrEx>
          <w:tblCellMar>
            <w:top w:w="0" w:type="dxa"/>
            <w:left w:w="0" w:type="dxa"/>
            <w:bottom w:w="0" w:type="dxa"/>
            <w:right w:w="0" w:type="dxa"/>
          </w:tblCellMar>
        </w:tblPrEx>
        <w:trPr>
          <w:trHeight w:val="240" w:hRule="atLeast"/>
        </w:trPr>
        <w:tc>
          <w:tcPr>
            <w:tcW w:w="3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000000"/>
                <w:sz w:val="18"/>
                <w:szCs w:val="18"/>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000000"/>
                <w:sz w:val="18"/>
                <w:szCs w:val="18"/>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java脚本</w:t>
            </w:r>
          </w:p>
        </w:tc>
        <w:tc>
          <w:tcPr>
            <w:tcW w:w="6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使用自定义个java脚本的插件</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项</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r>
      <w:tr>
        <w:tblPrEx>
          <w:tblCellMar>
            <w:top w:w="0" w:type="dxa"/>
            <w:left w:w="0" w:type="dxa"/>
            <w:bottom w:w="0" w:type="dxa"/>
            <w:right w:w="0" w:type="dxa"/>
          </w:tblCellMar>
        </w:tblPrEx>
        <w:trPr>
          <w:trHeight w:val="240" w:hRule="atLeast"/>
        </w:trPr>
        <w:tc>
          <w:tcPr>
            <w:tcW w:w="3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000000"/>
                <w:sz w:val="18"/>
                <w:szCs w:val="18"/>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000000"/>
                <w:sz w:val="18"/>
                <w:szCs w:val="18"/>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规则脚本</w:t>
            </w:r>
          </w:p>
        </w:tc>
        <w:tc>
          <w:tcPr>
            <w:tcW w:w="6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使用自定义个规则脚本的插件</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项</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r>
      <w:tr>
        <w:tblPrEx>
          <w:tblCellMar>
            <w:top w:w="0" w:type="dxa"/>
            <w:left w:w="0" w:type="dxa"/>
            <w:bottom w:w="0" w:type="dxa"/>
            <w:right w:w="0" w:type="dxa"/>
          </w:tblCellMar>
        </w:tblPrEx>
        <w:trPr>
          <w:trHeight w:val="240" w:hRule="atLeast"/>
        </w:trPr>
        <w:tc>
          <w:tcPr>
            <w:tcW w:w="300"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w:t>
            </w:r>
          </w:p>
        </w:tc>
        <w:tc>
          <w:tcPr>
            <w:tcW w:w="570"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平台管理</w:t>
            </w: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用户管理</w:t>
            </w:r>
          </w:p>
        </w:tc>
        <w:tc>
          <w:tcPr>
            <w:tcW w:w="6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对用户信息进行维护</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项</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r>
      <w:tr>
        <w:tblPrEx>
          <w:tblCellMar>
            <w:top w:w="0" w:type="dxa"/>
            <w:left w:w="0" w:type="dxa"/>
            <w:bottom w:w="0" w:type="dxa"/>
            <w:right w:w="0" w:type="dxa"/>
          </w:tblCellMar>
        </w:tblPrEx>
        <w:trPr>
          <w:trHeight w:val="240" w:hRule="atLeast"/>
        </w:trPr>
        <w:tc>
          <w:tcPr>
            <w:tcW w:w="3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000000"/>
                <w:sz w:val="18"/>
                <w:szCs w:val="18"/>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000000"/>
                <w:sz w:val="18"/>
                <w:szCs w:val="18"/>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用户启用禁用</w:t>
            </w:r>
          </w:p>
        </w:tc>
        <w:tc>
          <w:tcPr>
            <w:tcW w:w="6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维护用户的状态</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项</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r>
      <w:tr>
        <w:tblPrEx>
          <w:tblCellMar>
            <w:top w:w="0" w:type="dxa"/>
            <w:left w:w="0" w:type="dxa"/>
            <w:bottom w:w="0" w:type="dxa"/>
            <w:right w:w="0" w:type="dxa"/>
          </w:tblCellMar>
        </w:tblPrEx>
        <w:trPr>
          <w:trHeight w:val="240" w:hRule="atLeast"/>
        </w:trPr>
        <w:tc>
          <w:tcPr>
            <w:tcW w:w="3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000000"/>
                <w:sz w:val="18"/>
                <w:szCs w:val="18"/>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000000"/>
                <w:sz w:val="18"/>
                <w:szCs w:val="18"/>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启用</w:t>
            </w:r>
          </w:p>
        </w:tc>
        <w:tc>
          <w:tcPr>
            <w:tcW w:w="6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启用状态的用户才可以使用系统</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项</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r>
      <w:tr>
        <w:tblPrEx>
          <w:tblCellMar>
            <w:top w:w="0" w:type="dxa"/>
            <w:left w:w="0" w:type="dxa"/>
            <w:bottom w:w="0" w:type="dxa"/>
            <w:right w:w="0" w:type="dxa"/>
          </w:tblCellMar>
        </w:tblPrEx>
        <w:trPr>
          <w:trHeight w:val="240" w:hRule="atLeast"/>
        </w:trPr>
        <w:tc>
          <w:tcPr>
            <w:tcW w:w="3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000000"/>
                <w:sz w:val="18"/>
                <w:szCs w:val="18"/>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000000"/>
                <w:sz w:val="18"/>
                <w:szCs w:val="18"/>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禁用</w:t>
            </w:r>
          </w:p>
        </w:tc>
        <w:tc>
          <w:tcPr>
            <w:tcW w:w="6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禁用状态的用户不可以使用系统</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项</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r>
      <w:tr>
        <w:tblPrEx>
          <w:tblCellMar>
            <w:top w:w="0" w:type="dxa"/>
            <w:left w:w="0" w:type="dxa"/>
            <w:bottom w:w="0" w:type="dxa"/>
            <w:right w:w="0" w:type="dxa"/>
          </w:tblCellMar>
        </w:tblPrEx>
        <w:trPr>
          <w:trHeight w:val="240" w:hRule="atLeast"/>
        </w:trPr>
        <w:tc>
          <w:tcPr>
            <w:tcW w:w="3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000000"/>
                <w:sz w:val="18"/>
                <w:szCs w:val="18"/>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000000"/>
                <w:sz w:val="18"/>
                <w:szCs w:val="18"/>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角色管理</w:t>
            </w:r>
          </w:p>
        </w:tc>
        <w:tc>
          <w:tcPr>
            <w:tcW w:w="6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维护用户角色信息</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项</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r>
      <w:tr>
        <w:tblPrEx>
          <w:tblCellMar>
            <w:top w:w="0" w:type="dxa"/>
            <w:left w:w="0" w:type="dxa"/>
            <w:bottom w:w="0" w:type="dxa"/>
            <w:right w:w="0" w:type="dxa"/>
          </w:tblCellMar>
        </w:tblPrEx>
        <w:trPr>
          <w:trHeight w:val="240" w:hRule="atLeast"/>
        </w:trPr>
        <w:tc>
          <w:tcPr>
            <w:tcW w:w="3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000000"/>
                <w:sz w:val="18"/>
                <w:szCs w:val="18"/>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000000"/>
                <w:sz w:val="18"/>
                <w:szCs w:val="18"/>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用户授权</w:t>
            </w:r>
          </w:p>
        </w:tc>
        <w:tc>
          <w:tcPr>
            <w:tcW w:w="6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对一个用户同时授予多个角色</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项</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r>
      <w:tr>
        <w:tblPrEx>
          <w:tblCellMar>
            <w:top w:w="0" w:type="dxa"/>
            <w:left w:w="0" w:type="dxa"/>
            <w:bottom w:w="0" w:type="dxa"/>
            <w:right w:w="0" w:type="dxa"/>
          </w:tblCellMar>
        </w:tblPrEx>
        <w:trPr>
          <w:trHeight w:val="240" w:hRule="atLeast"/>
        </w:trPr>
        <w:tc>
          <w:tcPr>
            <w:tcW w:w="3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000000"/>
                <w:sz w:val="18"/>
                <w:szCs w:val="18"/>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000000"/>
                <w:sz w:val="18"/>
                <w:szCs w:val="18"/>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角色授权</w:t>
            </w:r>
          </w:p>
        </w:tc>
        <w:tc>
          <w:tcPr>
            <w:tcW w:w="6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把一个角色同时授予多个用户</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项</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r>
      <w:tr>
        <w:tblPrEx>
          <w:tblCellMar>
            <w:top w:w="0" w:type="dxa"/>
            <w:left w:w="0" w:type="dxa"/>
            <w:bottom w:w="0" w:type="dxa"/>
            <w:right w:w="0" w:type="dxa"/>
          </w:tblCellMar>
        </w:tblPrEx>
        <w:trPr>
          <w:trHeight w:val="240" w:hRule="atLeast"/>
        </w:trPr>
        <w:tc>
          <w:tcPr>
            <w:tcW w:w="3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000000"/>
                <w:sz w:val="18"/>
                <w:szCs w:val="18"/>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000000"/>
                <w:sz w:val="18"/>
                <w:szCs w:val="18"/>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菜单授权</w:t>
            </w:r>
          </w:p>
        </w:tc>
        <w:tc>
          <w:tcPr>
            <w:tcW w:w="6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把指定的多个菜单授予一个角色，拥有这个角色的用户就能使用这些菜单</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项</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r>
      <w:tr>
        <w:tblPrEx>
          <w:tblCellMar>
            <w:top w:w="0" w:type="dxa"/>
            <w:left w:w="0" w:type="dxa"/>
            <w:bottom w:w="0" w:type="dxa"/>
            <w:right w:w="0" w:type="dxa"/>
          </w:tblCellMar>
        </w:tblPrEx>
        <w:trPr>
          <w:trHeight w:val="240" w:hRule="atLeast"/>
        </w:trPr>
        <w:tc>
          <w:tcPr>
            <w:tcW w:w="3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000000"/>
                <w:sz w:val="18"/>
                <w:szCs w:val="18"/>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000000"/>
                <w:sz w:val="18"/>
                <w:szCs w:val="18"/>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审计日志</w:t>
            </w:r>
          </w:p>
        </w:tc>
        <w:tc>
          <w:tcPr>
            <w:tcW w:w="6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所有用户操作系统的日志</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项</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r>
      <w:tr>
        <w:tblPrEx>
          <w:tblCellMar>
            <w:top w:w="0" w:type="dxa"/>
            <w:left w:w="0" w:type="dxa"/>
            <w:bottom w:w="0" w:type="dxa"/>
            <w:right w:w="0" w:type="dxa"/>
          </w:tblCellMar>
        </w:tblPrEx>
        <w:trPr>
          <w:trHeight w:val="240" w:hRule="atLeast"/>
        </w:trPr>
        <w:tc>
          <w:tcPr>
            <w:tcW w:w="3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000000"/>
                <w:sz w:val="18"/>
                <w:szCs w:val="18"/>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000000"/>
                <w:sz w:val="18"/>
                <w:szCs w:val="18"/>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服务器管理</w:t>
            </w:r>
          </w:p>
        </w:tc>
        <w:tc>
          <w:tcPr>
            <w:tcW w:w="6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管理数据采集、融合流程可使用的服务器</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项</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r>
      <w:tr>
        <w:tblPrEx>
          <w:tblCellMar>
            <w:top w:w="0" w:type="dxa"/>
            <w:left w:w="0" w:type="dxa"/>
            <w:bottom w:w="0" w:type="dxa"/>
            <w:right w:w="0" w:type="dxa"/>
          </w:tblCellMar>
        </w:tblPrEx>
        <w:trPr>
          <w:trHeight w:val="240" w:hRule="atLeast"/>
        </w:trPr>
        <w:tc>
          <w:tcPr>
            <w:tcW w:w="3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000000"/>
                <w:sz w:val="18"/>
                <w:szCs w:val="18"/>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000000"/>
                <w:sz w:val="18"/>
                <w:szCs w:val="18"/>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资源包管理</w:t>
            </w:r>
          </w:p>
        </w:tc>
        <w:tc>
          <w:tcPr>
            <w:tcW w:w="6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管理数据采集、融合流程需要的资源包</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项</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r>
      <w:tr>
        <w:tblPrEx>
          <w:tblCellMar>
            <w:top w:w="0" w:type="dxa"/>
            <w:left w:w="0" w:type="dxa"/>
            <w:bottom w:w="0" w:type="dxa"/>
            <w:right w:w="0" w:type="dxa"/>
          </w:tblCellMar>
        </w:tblPrEx>
        <w:trPr>
          <w:trHeight w:val="240" w:hRule="atLeast"/>
        </w:trPr>
        <w:tc>
          <w:tcPr>
            <w:tcW w:w="3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000000"/>
                <w:sz w:val="18"/>
                <w:szCs w:val="18"/>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000000"/>
                <w:sz w:val="18"/>
                <w:szCs w:val="18"/>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部署应用</w:t>
            </w:r>
          </w:p>
        </w:tc>
        <w:tc>
          <w:tcPr>
            <w:tcW w:w="6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部署资源包任务</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项</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r>
      <w:tr>
        <w:tblPrEx>
          <w:tblCellMar>
            <w:top w:w="0" w:type="dxa"/>
            <w:left w:w="0" w:type="dxa"/>
            <w:bottom w:w="0" w:type="dxa"/>
            <w:right w:w="0" w:type="dxa"/>
          </w:tblCellMar>
        </w:tblPrEx>
        <w:trPr>
          <w:trHeight w:val="240" w:hRule="atLeast"/>
        </w:trPr>
        <w:tc>
          <w:tcPr>
            <w:tcW w:w="3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000000"/>
                <w:sz w:val="18"/>
                <w:szCs w:val="18"/>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000000"/>
                <w:sz w:val="18"/>
                <w:szCs w:val="18"/>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功能管理</w:t>
            </w:r>
          </w:p>
        </w:tc>
        <w:tc>
          <w:tcPr>
            <w:tcW w:w="6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系统所有接口信息维护（系统初始化时）</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项</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r>
      <w:tr>
        <w:tblPrEx>
          <w:tblCellMar>
            <w:top w:w="0" w:type="dxa"/>
            <w:left w:w="0" w:type="dxa"/>
            <w:bottom w:w="0" w:type="dxa"/>
            <w:right w:w="0" w:type="dxa"/>
          </w:tblCellMar>
        </w:tblPrEx>
        <w:trPr>
          <w:trHeight w:val="240" w:hRule="atLeast"/>
        </w:trPr>
        <w:tc>
          <w:tcPr>
            <w:tcW w:w="3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000000"/>
                <w:sz w:val="18"/>
                <w:szCs w:val="18"/>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000000"/>
                <w:sz w:val="18"/>
                <w:szCs w:val="18"/>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菜单功能管理</w:t>
            </w:r>
          </w:p>
        </w:tc>
        <w:tc>
          <w:tcPr>
            <w:tcW w:w="6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维护系统菜单对应的后台接口（系统初始化时）</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项</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r>
      <w:tr>
        <w:tblPrEx>
          <w:tblCellMar>
            <w:top w:w="0" w:type="dxa"/>
            <w:left w:w="0" w:type="dxa"/>
            <w:bottom w:w="0" w:type="dxa"/>
            <w:right w:w="0" w:type="dxa"/>
          </w:tblCellMar>
        </w:tblPrEx>
        <w:trPr>
          <w:trHeight w:val="240" w:hRule="atLeast"/>
        </w:trPr>
        <w:tc>
          <w:tcPr>
            <w:tcW w:w="300"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7</w:t>
            </w:r>
          </w:p>
        </w:tc>
        <w:tc>
          <w:tcPr>
            <w:tcW w:w="570"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任务调度</w:t>
            </w: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任务管理</w:t>
            </w:r>
          </w:p>
        </w:tc>
        <w:tc>
          <w:tcPr>
            <w:tcW w:w="6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自定义定时任务</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项</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r>
      <w:tr>
        <w:tblPrEx>
          <w:tblCellMar>
            <w:top w:w="0" w:type="dxa"/>
            <w:left w:w="0" w:type="dxa"/>
            <w:bottom w:w="0" w:type="dxa"/>
            <w:right w:w="0" w:type="dxa"/>
          </w:tblCellMar>
        </w:tblPrEx>
        <w:trPr>
          <w:trHeight w:val="240" w:hRule="atLeast"/>
        </w:trPr>
        <w:tc>
          <w:tcPr>
            <w:tcW w:w="3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000000"/>
                <w:sz w:val="18"/>
                <w:szCs w:val="18"/>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000000"/>
                <w:sz w:val="18"/>
                <w:szCs w:val="18"/>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任务调度</w:t>
            </w:r>
          </w:p>
        </w:tc>
        <w:tc>
          <w:tcPr>
            <w:tcW w:w="6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管理定时任务的时效、频率等信息</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项</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r>
      <w:tr>
        <w:tblPrEx>
          <w:tblCellMar>
            <w:top w:w="0" w:type="dxa"/>
            <w:left w:w="0" w:type="dxa"/>
            <w:bottom w:w="0" w:type="dxa"/>
            <w:right w:w="0" w:type="dxa"/>
          </w:tblCellMar>
        </w:tblPrEx>
        <w:trPr>
          <w:trHeight w:val="240" w:hRule="atLeast"/>
        </w:trPr>
        <w:tc>
          <w:tcPr>
            <w:tcW w:w="3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000000"/>
                <w:sz w:val="18"/>
                <w:szCs w:val="18"/>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000000"/>
                <w:sz w:val="18"/>
                <w:szCs w:val="18"/>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任务监控</w:t>
            </w:r>
          </w:p>
        </w:tc>
        <w:tc>
          <w:tcPr>
            <w:tcW w:w="6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自定义的定时任务运行监控</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项</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r>
      <w:tr>
        <w:tblPrEx>
          <w:tblCellMar>
            <w:top w:w="0" w:type="dxa"/>
            <w:left w:w="0" w:type="dxa"/>
            <w:bottom w:w="0" w:type="dxa"/>
            <w:right w:w="0" w:type="dxa"/>
          </w:tblCellMar>
        </w:tblPrEx>
        <w:trPr>
          <w:trHeight w:val="240" w:hRule="atLeast"/>
        </w:trPr>
        <w:tc>
          <w:tcPr>
            <w:tcW w:w="3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000000"/>
                <w:sz w:val="18"/>
                <w:szCs w:val="18"/>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000000"/>
                <w:sz w:val="18"/>
                <w:szCs w:val="18"/>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内部任务</w:t>
            </w:r>
          </w:p>
        </w:tc>
        <w:tc>
          <w:tcPr>
            <w:tcW w:w="6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管理系统内部的定时任务</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项</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r>
      <w:tr>
        <w:tblPrEx>
          <w:tblCellMar>
            <w:top w:w="0" w:type="dxa"/>
            <w:left w:w="0" w:type="dxa"/>
            <w:bottom w:w="0" w:type="dxa"/>
            <w:right w:w="0" w:type="dxa"/>
          </w:tblCellMar>
        </w:tblPrEx>
        <w:trPr>
          <w:trHeight w:val="240" w:hRule="atLeast"/>
        </w:trPr>
        <w:tc>
          <w:tcPr>
            <w:tcW w:w="9660" w:type="dxa"/>
            <w:gridSpan w:val="6"/>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大数据资产服务系统</w:t>
            </w:r>
          </w:p>
        </w:tc>
      </w:tr>
      <w:tr>
        <w:tblPrEx>
          <w:tblCellMar>
            <w:top w:w="0" w:type="dxa"/>
            <w:left w:w="0" w:type="dxa"/>
            <w:bottom w:w="0" w:type="dxa"/>
            <w:right w:w="0" w:type="dxa"/>
          </w:tblCellMar>
        </w:tblPrEx>
        <w:trPr>
          <w:trHeight w:val="480" w:hRule="atLeast"/>
        </w:trPr>
        <w:tc>
          <w:tcPr>
            <w:tcW w:w="30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序号</w:t>
            </w:r>
          </w:p>
        </w:tc>
        <w:tc>
          <w:tcPr>
            <w:tcW w:w="57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功能模块</w:t>
            </w: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功能列表</w:t>
            </w:r>
          </w:p>
        </w:tc>
        <w:tc>
          <w:tcPr>
            <w:tcW w:w="6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功能描述</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单位</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数量</w:t>
            </w:r>
          </w:p>
        </w:tc>
      </w:tr>
      <w:tr>
        <w:tblPrEx>
          <w:tblCellMar>
            <w:top w:w="0" w:type="dxa"/>
            <w:left w:w="0" w:type="dxa"/>
            <w:bottom w:w="0" w:type="dxa"/>
            <w:right w:w="0" w:type="dxa"/>
          </w:tblCellMar>
        </w:tblPrEx>
        <w:trPr>
          <w:trHeight w:val="240" w:hRule="atLeast"/>
        </w:trPr>
        <w:tc>
          <w:tcPr>
            <w:tcW w:w="300"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57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资源编目</w:t>
            </w: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资源添加</w:t>
            </w:r>
          </w:p>
        </w:tc>
        <w:tc>
          <w:tcPr>
            <w:tcW w:w="6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通过资源编目的方式添加数据资源信息</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项</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r>
      <w:tr>
        <w:tblPrEx>
          <w:tblCellMar>
            <w:top w:w="0" w:type="dxa"/>
            <w:left w:w="0" w:type="dxa"/>
            <w:bottom w:w="0" w:type="dxa"/>
            <w:right w:w="0" w:type="dxa"/>
          </w:tblCellMar>
        </w:tblPrEx>
        <w:trPr>
          <w:trHeight w:val="240" w:hRule="atLeast"/>
        </w:trPr>
        <w:tc>
          <w:tcPr>
            <w:tcW w:w="3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000000"/>
                <w:sz w:val="18"/>
                <w:szCs w:val="18"/>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宋体" w:hAnsi="宋体" w:cs="宋体"/>
                <w:color w:val="000000"/>
                <w:sz w:val="18"/>
                <w:szCs w:val="18"/>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目录撤销</w:t>
            </w:r>
          </w:p>
        </w:tc>
        <w:tc>
          <w:tcPr>
            <w:tcW w:w="6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对已经发布的目录进行撤销操作</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项</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r>
      <w:tr>
        <w:tblPrEx>
          <w:tblCellMar>
            <w:top w:w="0" w:type="dxa"/>
            <w:left w:w="0" w:type="dxa"/>
            <w:bottom w:w="0" w:type="dxa"/>
            <w:right w:w="0" w:type="dxa"/>
          </w:tblCellMar>
        </w:tblPrEx>
        <w:trPr>
          <w:trHeight w:val="240" w:hRule="atLeast"/>
        </w:trPr>
        <w:tc>
          <w:tcPr>
            <w:tcW w:w="3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000000"/>
                <w:sz w:val="18"/>
                <w:szCs w:val="18"/>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宋体" w:hAnsi="宋体" w:cs="宋体"/>
                <w:color w:val="000000"/>
                <w:sz w:val="18"/>
                <w:szCs w:val="18"/>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目录固定授权</w:t>
            </w:r>
          </w:p>
        </w:tc>
        <w:tc>
          <w:tcPr>
            <w:tcW w:w="6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固定的目录申请，授权操作方式</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项</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r>
      <w:tr>
        <w:tblPrEx>
          <w:tblCellMar>
            <w:top w:w="0" w:type="dxa"/>
            <w:left w:w="0" w:type="dxa"/>
            <w:bottom w:w="0" w:type="dxa"/>
            <w:right w:w="0" w:type="dxa"/>
          </w:tblCellMar>
        </w:tblPrEx>
        <w:trPr>
          <w:trHeight w:val="240" w:hRule="atLeast"/>
        </w:trPr>
        <w:tc>
          <w:tcPr>
            <w:tcW w:w="3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000000"/>
                <w:sz w:val="18"/>
                <w:szCs w:val="18"/>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宋体" w:hAnsi="宋体" w:cs="宋体"/>
                <w:color w:val="000000"/>
                <w:sz w:val="18"/>
                <w:szCs w:val="18"/>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目录动态授权</w:t>
            </w:r>
          </w:p>
        </w:tc>
        <w:tc>
          <w:tcPr>
            <w:tcW w:w="6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根据一定的规则，对符合条件的情况进行目录动态自动授权</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项</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r>
      <w:tr>
        <w:tblPrEx>
          <w:tblCellMar>
            <w:top w:w="0" w:type="dxa"/>
            <w:left w:w="0" w:type="dxa"/>
            <w:bottom w:w="0" w:type="dxa"/>
            <w:right w:w="0" w:type="dxa"/>
          </w:tblCellMar>
        </w:tblPrEx>
        <w:trPr>
          <w:trHeight w:val="240" w:hRule="atLeast"/>
        </w:trPr>
        <w:tc>
          <w:tcPr>
            <w:tcW w:w="3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000000"/>
                <w:sz w:val="18"/>
                <w:szCs w:val="18"/>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宋体" w:hAnsi="宋体" w:cs="宋体"/>
                <w:color w:val="000000"/>
                <w:sz w:val="18"/>
                <w:szCs w:val="18"/>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目录授权审批</w:t>
            </w:r>
          </w:p>
        </w:tc>
        <w:tc>
          <w:tcPr>
            <w:tcW w:w="6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对已经发布的目录进行审批授权操作</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项</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r>
      <w:tr>
        <w:tblPrEx>
          <w:tblCellMar>
            <w:top w:w="0" w:type="dxa"/>
            <w:left w:w="0" w:type="dxa"/>
            <w:bottom w:w="0" w:type="dxa"/>
            <w:right w:w="0" w:type="dxa"/>
          </w:tblCellMar>
        </w:tblPrEx>
        <w:trPr>
          <w:trHeight w:val="240" w:hRule="atLeast"/>
        </w:trPr>
        <w:tc>
          <w:tcPr>
            <w:tcW w:w="3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000000"/>
                <w:sz w:val="18"/>
                <w:szCs w:val="18"/>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宋体" w:hAnsi="宋体" w:cs="宋体"/>
                <w:color w:val="000000"/>
                <w:sz w:val="18"/>
                <w:szCs w:val="18"/>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目录授权撤销</w:t>
            </w:r>
          </w:p>
        </w:tc>
        <w:tc>
          <w:tcPr>
            <w:tcW w:w="6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对已经授权的目录权限进行撤销</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项</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r>
      <w:tr>
        <w:tblPrEx>
          <w:tblCellMar>
            <w:top w:w="0" w:type="dxa"/>
            <w:left w:w="0" w:type="dxa"/>
            <w:bottom w:w="0" w:type="dxa"/>
            <w:right w:w="0" w:type="dxa"/>
          </w:tblCellMar>
        </w:tblPrEx>
        <w:trPr>
          <w:trHeight w:val="240" w:hRule="atLeast"/>
        </w:trPr>
        <w:tc>
          <w:tcPr>
            <w:tcW w:w="3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000000"/>
                <w:sz w:val="18"/>
                <w:szCs w:val="18"/>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宋体" w:hAnsi="宋体" w:cs="宋体"/>
                <w:color w:val="000000"/>
                <w:sz w:val="18"/>
                <w:szCs w:val="18"/>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目录权限检查</w:t>
            </w:r>
          </w:p>
        </w:tc>
        <w:tc>
          <w:tcPr>
            <w:tcW w:w="6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检查已经授权的目录访问权限信息；</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项</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r>
      <w:tr>
        <w:tblPrEx>
          <w:tblCellMar>
            <w:top w:w="0" w:type="dxa"/>
            <w:left w:w="0" w:type="dxa"/>
            <w:bottom w:w="0" w:type="dxa"/>
            <w:right w:w="0" w:type="dxa"/>
          </w:tblCellMar>
        </w:tblPrEx>
        <w:trPr>
          <w:trHeight w:val="480" w:hRule="atLeast"/>
        </w:trPr>
        <w:tc>
          <w:tcPr>
            <w:tcW w:w="3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000000"/>
                <w:sz w:val="18"/>
                <w:szCs w:val="18"/>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宋体" w:hAnsi="宋体" w:cs="宋体"/>
                <w:color w:val="000000"/>
                <w:sz w:val="18"/>
                <w:szCs w:val="18"/>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编目信息手动发布</w:t>
            </w:r>
          </w:p>
        </w:tc>
        <w:tc>
          <w:tcPr>
            <w:tcW w:w="6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通过手动的方式将编目信息发布到数据门户</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项</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r>
      <w:tr>
        <w:tblPrEx>
          <w:tblCellMar>
            <w:top w:w="0" w:type="dxa"/>
            <w:left w:w="0" w:type="dxa"/>
            <w:bottom w:w="0" w:type="dxa"/>
            <w:right w:w="0" w:type="dxa"/>
          </w:tblCellMar>
        </w:tblPrEx>
        <w:trPr>
          <w:trHeight w:val="480" w:hRule="atLeast"/>
        </w:trPr>
        <w:tc>
          <w:tcPr>
            <w:tcW w:w="3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000000"/>
                <w:sz w:val="18"/>
                <w:szCs w:val="18"/>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宋体" w:hAnsi="宋体" w:cs="宋体"/>
                <w:color w:val="000000"/>
                <w:sz w:val="18"/>
                <w:szCs w:val="18"/>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编目信息自动发布</w:t>
            </w:r>
          </w:p>
        </w:tc>
        <w:tc>
          <w:tcPr>
            <w:tcW w:w="6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以自动的方式将编目信息发布到数据门户</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项</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r>
      <w:tr>
        <w:tblPrEx>
          <w:tblCellMar>
            <w:top w:w="0" w:type="dxa"/>
            <w:left w:w="0" w:type="dxa"/>
            <w:bottom w:w="0" w:type="dxa"/>
            <w:right w:w="0" w:type="dxa"/>
          </w:tblCellMar>
        </w:tblPrEx>
        <w:trPr>
          <w:trHeight w:val="480" w:hRule="atLeast"/>
        </w:trPr>
        <w:tc>
          <w:tcPr>
            <w:tcW w:w="3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000000"/>
                <w:sz w:val="18"/>
                <w:szCs w:val="18"/>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宋体" w:hAnsi="宋体" w:cs="宋体"/>
                <w:color w:val="000000"/>
                <w:sz w:val="18"/>
                <w:szCs w:val="18"/>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编目信息状态同步</w:t>
            </w:r>
          </w:p>
        </w:tc>
        <w:tc>
          <w:tcPr>
            <w:tcW w:w="6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同步编目信息状态到数据门户</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项</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r>
      <w:tr>
        <w:tblPrEx>
          <w:tblCellMar>
            <w:top w:w="0" w:type="dxa"/>
            <w:left w:w="0" w:type="dxa"/>
            <w:bottom w:w="0" w:type="dxa"/>
            <w:right w:w="0" w:type="dxa"/>
          </w:tblCellMar>
        </w:tblPrEx>
        <w:trPr>
          <w:trHeight w:val="240" w:hRule="atLeast"/>
        </w:trPr>
        <w:tc>
          <w:tcPr>
            <w:tcW w:w="3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000000"/>
                <w:sz w:val="18"/>
                <w:szCs w:val="18"/>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宋体" w:hAnsi="宋体" w:cs="宋体"/>
                <w:color w:val="000000"/>
                <w:sz w:val="18"/>
                <w:szCs w:val="18"/>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目录检索</w:t>
            </w:r>
          </w:p>
        </w:tc>
        <w:tc>
          <w:tcPr>
            <w:tcW w:w="6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通过目录进行检索</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项</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r>
      <w:tr>
        <w:tblPrEx>
          <w:tblCellMar>
            <w:top w:w="0" w:type="dxa"/>
            <w:left w:w="0" w:type="dxa"/>
            <w:bottom w:w="0" w:type="dxa"/>
            <w:right w:w="0" w:type="dxa"/>
          </w:tblCellMar>
        </w:tblPrEx>
        <w:trPr>
          <w:trHeight w:val="480" w:hRule="atLeast"/>
        </w:trPr>
        <w:tc>
          <w:tcPr>
            <w:tcW w:w="3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000000"/>
                <w:sz w:val="18"/>
                <w:szCs w:val="18"/>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宋体" w:hAnsi="宋体" w:cs="宋体"/>
                <w:color w:val="000000"/>
                <w:sz w:val="18"/>
                <w:szCs w:val="18"/>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目录检索结果提取</w:t>
            </w:r>
          </w:p>
        </w:tc>
        <w:tc>
          <w:tcPr>
            <w:tcW w:w="6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提前检索目录对应的资源目录树和列表信息内容</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项</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r>
      <w:tr>
        <w:tblPrEx>
          <w:tblCellMar>
            <w:top w:w="0" w:type="dxa"/>
            <w:left w:w="0" w:type="dxa"/>
            <w:bottom w:w="0" w:type="dxa"/>
            <w:right w:w="0" w:type="dxa"/>
          </w:tblCellMar>
        </w:tblPrEx>
        <w:trPr>
          <w:trHeight w:val="480" w:hRule="atLeast"/>
        </w:trPr>
        <w:tc>
          <w:tcPr>
            <w:tcW w:w="3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000000"/>
                <w:sz w:val="18"/>
                <w:szCs w:val="18"/>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宋体" w:hAnsi="宋体" w:cs="宋体"/>
                <w:color w:val="000000"/>
                <w:sz w:val="18"/>
                <w:szCs w:val="18"/>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基本查询（一般网页查询）</w:t>
            </w:r>
          </w:p>
        </w:tc>
        <w:tc>
          <w:tcPr>
            <w:tcW w:w="6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通过搜索栏检索页面内容</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项</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r>
      <w:tr>
        <w:tblPrEx>
          <w:tblCellMar>
            <w:top w:w="0" w:type="dxa"/>
            <w:left w:w="0" w:type="dxa"/>
            <w:bottom w:w="0" w:type="dxa"/>
            <w:right w:w="0" w:type="dxa"/>
          </w:tblCellMar>
        </w:tblPrEx>
        <w:trPr>
          <w:trHeight w:val="240" w:hRule="atLeast"/>
        </w:trPr>
        <w:tc>
          <w:tcPr>
            <w:tcW w:w="3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000000"/>
                <w:sz w:val="18"/>
                <w:szCs w:val="18"/>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宋体" w:hAnsi="宋体" w:cs="宋体"/>
                <w:color w:val="000000"/>
                <w:sz w:val="18"/>
                <w:szCs w:val="18"/>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自定义查询</w:t>
            </w:r>
          </w:p>
        </w:tc>
        <w:tc>
          <w:tcPr>
            <w:tcW w:w="6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通过自定义查询的方式提取检索结果</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项</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r>
      <w:tr>
        <w:tblPrEx>
          <w:tblCellMar>
            <w:top w:w="0" w:type="dxa"/>
            <w:left w:w="0" w:type="dxa"/>
            <w:bottom w:w="0" w:type="dxa"/>
            <w:right w:w="0" w:type="dxa"/>
          </w:tblCellMar>
        </w:tblPrEx>
        <w:trPr>
          <w:trHeight w:val="240" w:hRule="atLeast"/>
        </w:trPr>
        <w:tc>
          <w:tcPr>
            <w:tcW w:w="3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000000"/>
                <w:sz w:val="18"/>
                <w:szCs w:val="18"/>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宋体" w:hAnsi="宋体" w:cs="宋体"/>
                <w:color w:val="000000"/>
                <w:sz w:val="18"/>
                <w:szCs w:val="18"/>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集中式查询</w:t>
            </w:r>
          </w:p>
        </w:tc>
        <w:tc>
          <w:tcPr>
            <w:tcW w:w="6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通过集中式查询的方式提取检索结果</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项</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r>
      <w:tr>
        <w:tblPrEx>
          <w:tblCellMar>
            <w:top w:w="0" w:type="dxa"/>
            <w:left w:w="0" w:type="dxa"/>
            <w:bottom w:w="0" w:type="dxa"/>
            <w:right w:w="0" w:type="dxa"/>
          </w:tblCellMar>
        </w:tblPrEx>
        <w:trPr>
          <w:trHeight w:val="240" w:hRule="atLeast"/>
        </w:trPr>
        <w:tc>
          <w:tcPr>
            <w:tcW w:w="3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000000"/>
                <w:sz w:val="18"/>
                <w:szCs w:val="18"/>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宋体" w:hAnsi="宋体" w:cs="宋体"/>
                <w:color w:val="000000"/>
                <w:sz w:val="18"/>
                <w:szCs w:val="18"/>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分布式查询</w:t>
            </w:r>
          </w:p>
        </w:tc>
        <w:tc>
          <w:tcPr>
            <w:tcW w:w="6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通过分布式查询的方式提取检索结果</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项</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r>
      <w:tr>
        <w:tblPrEx>
          <w:tblCellMar>
            <w:top w:w="0" w:type="dxa"/>
            <w:left w:w="0" w:type="dxa"/>
            <w:bottom w:w="0" w:type="dxa"/>
            <w:right w:w="0" w:type="dxa"/>
          </w:tblCellMar>
        </w:tblPrEx>
        <w:trPr>
          <w:trHeight w:val="480" w:hRule="atLeast"/>
        </w:trPr>
        <w:tc>
          <w:tcPr>
            <w:tcW w:w="3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000000"/>
                <w:sz w:val="18"/>
                <w:szCs w:val="18"/>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宋体" w:hAnsi="宋体" w:cs="宋体"/>
                <w:color w:val="000000"/>
                <w:sz w:val="18"/>
                <w:szCs w:val="18"/>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查询结果树形显示</w:t>
            </w:r>
          </w:p>
        </w:tc>
        <w:tc>
          <w:tcPr>
            <w:tcW w:w="6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在资源目录树显示具体是资源目录信息</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项</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r>
      <w:tr>
        <w:tblPrEx>
          <w:tblCellMar>
            <w:top w:w="0" w:type="dxa"/>
            <w:left w:w="0" w:type="dxa"/>
            <w:bottom w:w="0" w:type="dxa"/>
            <w:right w:w="0" w:type="dxa"/>
          </w:tblCellMar>
        </w:tblPrEx>
        <w:trPr>
          <w:trHeight w:val="480" w:hRule="atLeast"/>
        </w:trPr>
        <w:tc>
          <w:tcPr>
            <w:tcW w:w="3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000000"/>
                <w:sz w:val="18"/>
                <w:szCs w:val="18"/>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宋体" w:hAnsi="宋体" w:cs="宋体"/>
                <w:color w:val="000000"/>
                <w:sz w:val="18"/>
                <w:szCs w:val="18"/>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查询结果列表显示</w:t>
            </w:r>
          </w:p>
        </w:tc>
        <w:tc>
          <w:tcPr>
            <w:tcW w:w="6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在资源列表显示具体是资源列表信息</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项</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r>
      <w:tr>
        <w:tblPrEx>
          <w:tblCellMar>
            <w:top w:w="0" w:type="dxa"/>
            <w:left w:w="0" w:type="dxa"/>
            <w:bottom w:w="0" w:type="dxa"/>
            <w:right w:w="0" w:type="dxa"/>
          </w:tblCellMar>
        </w:tblPrEx>
        <w:trPr>
          <w:trHeight w:val="480" w:hRule="atLeast"/>
        </w:trPr>
        <w:tc>
          <w:tcPr>
            <w:tcW w:w="3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000000"/>
                <w:sz w:val="18"/>
                <w:szCs w:val="18"/>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宋体" w:hAnsi="宋体" w:cs="宋体"/>
                <w:color w:val="000000"/>
                <w:sz w:val="18"/>
                <w:szCs w:val="18"/>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非授权用户结果显示</w:t>
            </w:r>
          </w:p>
        </w:tc>
        <w:tc>
          <w:tcPr>
            <w:tcW w:w="6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展示资源编目的非授权用户</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项</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r>
      <w:tr>
        <w:tblPrEx>
          <w:tblCellMar>
            <w:top w:w="0" w:type="dxa"/>
            <w:left w:w="0" w:type="dxa"/>
            <w:bottom w:w="0" w:type="dxa"/>
            <w:right w:w="0" w:type="dxa"/>
          </w:tblCellMar>
        </w:tblPrEx>
        <w:trPr>
          <w:trHeight w:val="240" w:hRule="atLeast"/>
        </w:trPr>
        <w:tc>
          <w:tcPr>
            <w:tcW w:w="3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000000"/>
                <w:sz w:val="18"/>
                <w:szCs w:val="18"/>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宋体" w:hAnsi="宋体" w:cs="宋体"/>
                <w:color w:val="000000"/>
                <w:sz w:val="18"/>
                <w:szCs w:val="18"/>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查询服务引擎</w:t>
            </w:r>
          </w:p>
        </w:tc>
        <w:tc>
          <w:tcPr>
            <w:tcW w:w="6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提供模糊查询服务的相关引擎</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项</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r>
      <w:tr>
        <w:tblPrEx>
          <w:tblCellMar>
            <w:top w:w="0" w:type="dxa"/>
            <w:left w:w="0" w:type="dxa"/>
            <w:bottom w:w="0" w:type="dxa"/>
            <w:right w:w="0" w:type="dxa"/>
          </w:tblCellMar>
        </w:tblPrEx>
        <w:trPr>
          <w:trHeight w:val="240" w:hRule="atLeast"/>
        </w:trPr>
        <w:tc>
          <w:tcPr>
            <w:tcW w:w="300"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c>
          <w:tcPr>
            <w:tcW w:w="570"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服务接口</w:t>
            </w: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应用注册</w:t>
            </w:r>
          </w:p>
        </w:tc>
        <w:tc>
          <w:tcPr>
            <w:tcW w:w="6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为相关的角色注册应用并且管理</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项</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r>
      <w:tr>
        <w:tblPrEx>
          <w:tblCellMar>
            <w:top w:w="0" w:type="dxa"/>
            <w:left w:w="0" w:type="dxa"/>
            <w:bottom w:w="0" w:type="dxa"/>
            <w:right w:w="0" w:type="dxa"/>
          </w:tblCellMar>
        </w:tblPrEx>
        <w:trPr>
          <w:trHeight w:val="240" w:hRule="atLeast"/>
        </w:trPr>
        <w:tc>
          <w:tcPr>
            <w:tcW w:w="3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000000"/>
                <w:sz w:val="18"/>
                <w:szCs w:val="18"/>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000000"/>
                <w:sz w:val="18"/>
                <w:szCs w:val="18"/>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接口列表</w:t>
            </w:r>
          </w:p>
        </w:tc>
        <w:tc>
          <w:tcPr>
            <w:tcW w:w="6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将平台内部资源封装为接口以列表展示</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项</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r>
      <w:tr>
        <w:tblPrEx>
          <w:tblCellMar>
            <w:top w:w="0" w:type="dxa"/>
            <w:left w:w="0" w:type="dxa"/>
            <w:bottom w:w="0" w:type="dxa"/>
            <w:right w:w="0" w:type="dxa"/>
          </w:tblCellMar>
        </w:tblPrEx>
        <w:trPr>
          <w:trHeight w:val="240" w:hRule="atLeast"/>
        </w:trPr>
        <w:tc>
          <w:tcPr>
            <w:tcW w:w="3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000000"/>
                <w:sz w:val="18"/>
                <w:szCs w:val="18"/>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000000"/>
                <w:sz w:val="18"/>
                <w:szCs w:val="18"/>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接口授权</w:t>
            </w:r>
          </w:p>
        </w:tc>
        <w:tc>
          <w:tcPr>
            <w:tcW w:w="6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对系统内的接口进行基于应用的授权</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项</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r>
      <w:tr>
        <w:tblPrEx>
          <w:tblCellMar>
            <w:top w:w="0" w:type="dxa"/>
            <w:left w:w="0" w:type="dxa"/>
            <w:bottom w:w="0" w:type="dxa"/>
            <w:right w:w="0" w:type="dxa"/>
          </w:tblCellMar>
        </w:tblPrEx>
        <w:trPr>
          <w:trHeight w:val="240" w:hRule="atLeast"/>
        </w:trPr>
        <w:tc>
          <w:tcPr>
            <w:tcW w:w="3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000000"/>
                <w:sz w:val="18"/>
                <w:szCs w:val="18"/>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000000"/>
                <w:sz w:val="18"/>
                <w:szCs w:val="18"/>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接口接入</w:t>
            </w:r>
          </w:p>
        </w:tc>
        <w:tc>
          <w:tcPr>
            <w:tcW w:w="6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将平台外部数据资源进行转发封装为标准统一的接口</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项</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r>
      <w:tr>
        <w:tblPrEx>
          <w:tblCellMar>
            <w:top w:w="0" w:type="dxa"/>
            <w:left w:w="0" w:type="dxa"/>
            <w:bottom w:w="0" w:type="dxa"/>
            <w:right w:w="0" w:type="dxa"/>
          </w:tblCellMar>
        </w:tblPrEx>
        <w:trPr>
          <w:trHeight w:val="240" w:hRule="atLeast"/>
        </w:trPr>
        <w:tc>
          <w:tcPr>
            <w:tcW w:w="3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000000"/>
                <w:sz w:val="18"/>
                <w:szCs w:val="18"/>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000000"/>
                <w:sz w:val="18"/>
                <w:szCs w:val="18"/>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接口监控日志</w:t>
            </w:r>
          </w:p>
        </w:tc>
        <w:tc>
          <w:tcPr>
            <w:tcW w:w="6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对接口的连接状态和调用信息进行监控统计</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项</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r>
      <w:tr>
        <w:tblPrEx>
          <w:tblCellMar>
            <w:top w:w="0" w:type="dxa"/>
            <w:left w:w="0" w:type="dxa"/>
            <w:bottom w:w="0" w:type="dxa"/>
            <w:right w:w="0" w:type="dxa"/>
          </w:tblCellMar>
        </w:tblPrEx>
        <w:trPr>
          <w:trHeight w:val="240" w:hRule="atLeast"/>
        </w:trPr>
        <w:tc>
          <w:tcPr>
            <w:tcW w:w="3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000000"/>
                <w:sz w:val="18"/>
                <w:szCs w:val="18"/>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000000"/>
                <w:sz w:val="18"/>
                <w:szCs w:val="18"/>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接口调用示例</w:t>
            </w:r>
          </w:p>
        </w:tc>
        <w:tc>
          <w:tcPr>
            <w:tcW w:w="6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为用户提供接口调用的示例内容</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项</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r>
      <w:tr>
        <w:tblPrEx>
          <w:tblCellMar>
            <w:top w:w="0" w:type="dxa"/>
            <w:left w:w="0" w:type="dxa"/>
            <w:bottom w:w="0" w:type="dxa"/>
            <w:right w:w="0" w:type="dxa"/>
          </w:tblCellMar>
        </w:tblPrEx>
        <w:trPr>
          <w:trHeight w:val="240" w:hRule="atLeast"/>
        </w:trPr>
        <w:tc>
          <w:tcPr>
            <w:tcW w:w="3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000000"/>
                <w:sz w:val="18"/>
                <w:szCs w:val="18"/>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000000"/>
                <w:sz w:val="18"/>
                <w:szCs w:val="18"/>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接口调试</w:t>
            </w:r>
          </w:p>
        </w:tc>
        <w:tc>
          <w:tcPr>
            <w:tcW w:w="6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调试接口信息，对接口进行管理</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项</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r>
      <w:tr>
        <w:tblPrEx>
          <w:tblCellMar>
            <w:top w:w="0" w:type="dxa"/>
            <w:left w:w="0" w:type="dxa"/>
            <w:bottom w:w="0" w:type="dxa"/>
            <w:right w:w="0" w:type="dxa"/>
          </w:tblCellMar>
        </w:tblPrEx>
        <w:trPr>
          <w:trHeight w:val="240" w:hRule="atLeast"/>
        </w:trPr>
        <w:tc>
          <w:tcPr>
            <w:tcW w:w="3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000000"/>
                <w:sz w:val="18"/>
                <w:szCs w:val="18"/>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000000"/>
                <w:sz w:val="18"/>
                <w:szCs w:val="18"/>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接口协议转换</w:t>
            </w:r>
          </w:p>
        </w:tc>
        <w:tc>
          <w:tcPr>
            <w:tcW w:w="6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提供web service类型接口转换为rest接口的协议</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项</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r>
      <w:tr>
        <w:tblPrEx>
          <w:tblCellMar>
            <w:top w:w="0" w:type="dxa"/>
            <w:left w:w="0" w:type="dxa"/>
            <w:bottom w:w="0" w:type="dxa"/>
            <w:right w:w="0" w:type="dxa"/>
          </w:tblCellMar>
        </w:tblPrEx>
        <w:trPr>
          <w:trHeight w:val="480" w:hRule="atLeast"/>
        </w:trPr>
        <w:tc>
          <w:tcPr>
            <w:tcW w:w="300"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w:t>
            </w:r>
          </w:p>
        </w:tc>
        <w:tc>
          <w:tcPr>
            <w:tcW w:w="570"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数据请求处理</w:t>
            </w: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表达式的解析和计算</w:t>
            </w:r>
          </w:p>
        </w:tc>
        <w:tc>
          <w:tcPr>
            <w:tcW w:w="6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对已经配置的数据处理表达式进行规则解析并进行计算</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项</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宋体" w:hAnsi="宋体" w:cs="Calibri"/>
                <w:color w:val="000000"/>
                <w:sz w:val="18"/>
                <w:szCs w:val="18"/>
              </w:rPr>
            </w:pPr>
            <w:r>
              <w:rPr>
                <w:rFonts w:hint="eastAsia" w:ascii="宋体" w:hAnsi="宋体" w:cs="Calibri"/>
                <w:color w:val="000000"/>
                <w:sz w:val="18"/>
                <w:szCs w:val="18"/>
              </w:rPr>
              <w:t>1</w:t>
            </w:r>
          </w:p>
        </w:tc>
      </w:tr>
      <w:tr>
        <w:tblPrEx>
          <w:tblCellMar>
            <w:top w:w="0" w:type="dxa"/>
            <w:left w:w="0" w:type="dxa"/>
            <w:bottom w:w="0" w:type="dxa"/>
            <w:right w:w="0" w:type="dxa"/>
          </w:tblCellMar>
        </w:tblPrEx>
        <w:trPr>
          <w:trHeight w:val="255" w:hRule="atLeast"/>
        </w:trPr>
        <w:tc>
          <w:tcPr>
            <w:tcW w:w="3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000000"/>
                <w:sz w:val="18"/>
                <w:szCs w:val="18"/>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000000"/>
                <w:sz w:val="18"/>
                <w:szCs w:val="18"/>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表达式的管理</w:t>
            </w:r>
          </w:p>
        </w:tc>
        <w:tc>
          <w:tcPr>
            <w:tcW w:w="6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对数据请求的表达式管理操作</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项</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宋体" w:hAnsi="宋体" w:cs="Calibri"/>
                <w:color w:val="000000"/>
                <w:sz w:val="18"/>
                <w:szCs w:val="18"/>
              </w:rPr>
            </w:pPr>
            <w:r>
              <w:rPr>
                <w:rFonts w:hint="eastAsia" w:ascii="宋体" w:hAnsi="宋体" w:cs="Calibri"/>
                <w:color w:val="000000"/>
                <w:sz w:val="18"/>
                <w:szCs w:val="18"/>
              </w:rPr>
              <w:t>1</w:t>
            </w:r>
          </w:p>
        </w:tc>
      </w:tr>
      <w:tr>
        <w:tblPrEx>
          <w:tblCellMar>
            <w:top w:w="0" w:type="dxa"/>
            <w:left w:w="0" w:type="dxa"/>
            <w:bottom w:w="0" w:type="dxa"/>
            <w:right w:w="0" w:type="dxa"/>
          </w:tblCellMar>
        </w:tblPrEx>
        <w:trPr>
          <w:trHeight w:val="255" w:hRule="atLeast"/>
        </w:trPr>
        <w:tc>
          <w:tcPr>
            <w:tcW w:w="3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000000"/>
                <w:sz w:val="18"/>
                <w:szCs w:val="18"/>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000000"/>
                <w:sz w:val="18"/>
                <w:szCs w:val="18"/>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数据校验</w:t>
            </w:r>
          </w:p>
        </w:tc>
        <w:tc>
          <w:tcPr>
            <w:tcW w:w="6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根据一定的规则，对数据进行校验</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项</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宋体" w:hAnsi="宋体" w:cs="Calibri"/>
                <w:color w:val="000000"/>
                <w:sz w:val="18"/>
                <w:szCs w:val="18"/>
              </w:rPr>
            </w:pPr>
            <w:r>
              <w:rPr>
                <w:rFonts w:hint="eastAsia" w:ascii="宋体" w:hAnsi="宋体" w:cs="Calibri"/>
                <w:color w:val="000000"/>
                <w:sz w:val="18"/>
                <w:szCs w:val="18"/>
              </w:rPr>
              <w:t>1</w:t>
            </w:r>
          </w:p>
        </w:tc>
      </w:tr>
      <w:tr>
        <w:tblPrEx>
          <w:tblCellMar>
            <w:top w:w="0" w:type="dxa"/>
            <w:left w:w="0" w:type="dxa"/>
            <w:bottom w:w="0" w:type="dxa"/>
            <w:right w:w="0" w:type="dxa"/>
          </w:tblCellMar>
        </w:tblPrEx>
        <w:trPr>
          <w:trHeight w:val="255" w:hRule="atLeast"/>
        </w:trPr>
        <w:tc>
          <w:tcPr>
            <w:tcW w:w="3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000000"/>
                <w:sz w:val="18"/>
                <w:szCs w:val="18"/>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000000"/>
                <w:sz w:val="18"/>
                <w:szCs w:val="18"/>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分配赋值</w:t>
            </w:r>
          </w:p>
        </w:tc>
        <w:tc>
          <w:tcPr>
            <w:tcW w:w="6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对某一字段直接进行赋值操作</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项</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宋体" w:hAnsi="宋体" w:cs="Calibri"/>
                <w:color w:val="000000"/>
                <w:sz w:val="18"/>
                <w:szCs w:val="18"/>
              </w:rPr>
            </w:pPr>
            <w:r>
              <w:rPr>
                <w:rFonts w:hint="eastAsia" w:ascii="宋体" w:hAnsi="宋体" w:cs="Calibri"/>
                <w:color w:val="000000"/>
                <w:sz w:val="18"/>
                <w:szCs w:val="18"/>
              </w:rPr>
              <w:t>1</w:t>
            </w:r>
          </w:p>
        </w:tc>
      </w:tr>
      <w:tr>
        <w:tblPrEx>
          <w:tblCellMar>
            <w:top w:w="0" w:type="dxa"/>
            <w:left w:w="0" w:type="dxa"/>
            <w:bottom w:w="0" w:type="dxa"/>
            <w:right w:w="0" w:type="dxa"/>
          </w:tblCellMar>
        </w:tblPrEx>
        <w:trPr>
          <w:trHeight w:val="255" w:hRule="atLeast"/>
        </w:trPr>
        <w:tc>
          <w:tcPr>
            <w:tcW w:w="3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000000"/>
                <w:sz w:val="18"/>
                <w:szCs w:val="18"/>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000000"/>
                <w:sz w:val="18"/>
                <w:szCs w:val="18"/>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计算字段</w:t>
            </w:r>
          </w:p>
        </w:tc>
        <w:tc>
          <w:tcPr>
            <w:tcW w:w="6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对数据库资源进行四则运算</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项</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宋体" w:hAnsi="宋体" w:cs="Calibri"/>
                <w:color w:val="000000"/>
                <w:sz w:val="18"/>
                <w:szCs w:val="18"/>
              </w:rPr>
            </w:pPr>
            <w:r>
              <w:rPr>
                <w:rFonts w:hint="eastAsia" w:ascii="宋体" w:hAnsi="宋体" w:cs="Calibri"/>
                <w:color w:val="000000"/>
                <w:sz w:val="18"/>
                <w:szCs w:val="18"/>
              </w:rPr>
              <w:t>1</w:t>
            </w:r>
          </w:p>
        </w:tc>
      </w:tr>
      <w:tr>
        <w:tblPrEx>
          <w:tblCellMar>
            <w:top w:w="0" w:type="dxa"/>
            <w:left w:w="0" w:type="dxa"/>
            <w:bottom w:w="0" w:type="dxa"/>
            <w:right w:w="0" w:type="dxa"/>
          </w:tblCellMar>
        </w:tblPrEx>
        <w:trPr>
          <w:trHeight w:val="255" w:hRule="atLeast"/>
        </w:trPr>
        <w:tc>
          <w:tcPr>
            <w:tcW w:w="300"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w:t>
            </w:r>
          </w:p>
        </w:tc>
        <w:tc>
          <w:tcPr>
            <w:tcW w:w="570"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安全管理</w:t>
            </w: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虚拟层权限</w:t>
            </w:r>
          </w:p>
        </w:tc>
        <w:tc>
          <w:tcPr>
            <w:tcW w:w="6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对数据逻辑层，虚拟层进行权限操作</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项</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宋体" w:hAnsi="宋体" w:cs="Calibri"/>
                <w:color w:val="000000"/>
                <w:sz w:val="18"/>
                <w:szCs w:val="18"/>
              </w:rPr>
            </w:pPr>
            <w:r>
              <w:rPr>
                <w:rFonts w:hint="eastAsia" w:ascii="宋体" w:hAnsi="宋体" w:cs="Calibri"/>
                <w:color w:val="000000"/>
                <w:sz w:val="18"/>
                <w:szCs w:val="18"/>
              </w:rPr>
              <w:t>1</w:t>
            </w:r>
          </w:p>
        </w:tc>
      </w:tr>
      <w:tr>
        <w:tblPrEx>
          <w:tblCellMar>
            <w:top w:w="0" w:type="dxa"/>
            <w:left w:w="0" w:type="dxa"/>
            <w:bottom w:w="0" w:type="dxa"/>
            <w:right w:w="0" w:type="dxa"/>
          </w:tblCellMar>
        </w:tblPrEx>
        <w:trPr>
          <w:trHeight w:val="255" w:hRule="atLeast"/>
        </w:trPr>
        <w:tc>
          <w:tcPr>
            <w:tcW w:w="3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000000"/>
                <w:sz w:val="18"/>
                <w:szCs w:val="18"/>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000000"/>
                <w:sz w:val="18"/>
                <w:szCs w:val="18"/>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库权限</w:t>
            </w:r>
          </w:p>
        </w:tc>
        <w:tc>
          <w:tcPr>
            <w:tcW w:w="6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对数据库的访问权限进行授权管理</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项</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宋体" w:hAnsi="宋体" w:cs="Calibri"/>
                <w:color w:val="000000"/>
                <w:sz w:val="18"/>
                <w:szCs w:val="18"/>
              </w:rPr>
            </w:pPr>
            <w:r>
              <w:rPr>
                <w:rFonts w:hint="eastAsia" w:ascii="宋体" w:hAnsi="宋体" w:cs="Calibri"/>
                <w:color w:val="000000"/>
                <w:sz w:val="18"/>
                <w:szCs w:val="18"/>
              </w:rPr>
              <w:t>1</w:t>
            </w:r>
          </w:p>
        </w:tc>
      </w:tr>
      <w:tr>
        <w:tblPrEx>
          <w:tblCellMar>
            <w:top w:w="0" w:type="dxa"/>
            <w:left w:w="0" w:type="dxa"/>
            <w:bottom w:w="0" w:type="dxa"/>
            <w:right w:w="0" w:type="dxa"/>
          </w:tblCellMar>
        </w:tblPrEx>
        <w:trPr>
          <w:trHeight w:val="255" w:hRule="atLeast"/>
        </w:trPr>
        <w:tc>
          <w:tcPr>
            <w:tcW w:w="3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000000"/>
                <w:sz w:val="18"/>
                <w:szCs w:val="18"/>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000000"/>
                <w:sz w:val="18"/>
                <w:szCs w:val="18"/>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表权限</w:t>
            </w:r>
          </w:p>
        </w:tc>
        <w:tc>
          <w:tcPr>
            <w:tcW w:w="6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对数据表的访问权限进行授权管理</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项</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宋体" w:hAnsi="宋体" w:cs="Calibri"/>
                <w:color w:val="000000"/>
                <w:sz w:val="18"/>
                <w:szCs w:val="18"/>
              </w:rPr>
            </w:pPr>
            <w:r>
              <w:rPr>
                <w:rFonts w:hint="eastAsia" w:ascii="宋体" w:hAnsi="宋体" w:cs="Calibri"/>
                <w:color w:val="000000"/>
                <w:sz w:val="18"/>
                <w:szCs w:val="18"/>
              </w:rPr>
              <w:t>1</w:t>
            </w:r>
          </w:p>
        </w:tc>
      </w:tr>
      <w:tr>
        <w:tblPrEx>
          <w:tblCellMar>
            <w:top w:w="0" w:type="dxa"/>
            <w:left w:w="0" w:type="dxa"/>
            <w:bottom w:w="0" w:type="dxa"/>
            <w:right w:w="0" w:type="dxa"/>
          </w:tblCellMar>
        </w:tblPrEx>
        <w:trPr>
          <w:trHeight w:val="255" w:hRule="atLeast"/>
        </w:trPr>
        <w:tc>
          <w:tcPr>
            <w:tcW w:w="3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000000"/>
                <w:sz w:val="18"/>
                <w:szCs w:val="18"/>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000000"/>
                <w:sz w:val="18"/>
                <w:szCs w:val="18"/>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字段权限</w:t>
            </w:r>
          </w:p>
        </w:tc>
        <w:tc>
          <w:tcPr>
            <w:tcW w:w="6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对数据表中字段权限进行授权管理</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项</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宋体" w:hAnsi="宋体" w:cs="Calibri"/>
                <w:color w:val="000000"/>
                <w:sz w:val="18"/>
                <w:szCs w:val="18"/>
              </w:rPr>
            </w:pPr>
            <w:r>
              <w:rPr>
                <w:rFonts w:hint="eastAsia" w:ascii="宋体" w:hAnsi="宋体" w:cs="Calibri"/>
                <w:color w:val="000000"/>
                <w:sz w:val="18"/>
                <w:szCs w:val="18"/>
              </w:rPr>
              <w:t>1</w:t>
            </w:r>
          </w:p>
        </w:tc>
      </w:tr>
      <w:tr>
        <w:tblPrEx>
          <w:tblCellMar>
            <w:top w:w="0" w:type="dxa"/>
            <w:left w:w="0" w:type="dxa"/>
            <w:bottom w:w="0" w:type="dxa"/>
            <w:right w:w="0" w:type="dxa"/>
          </w:tblCellMar>
        </w:tblPrEx>
        <w:trPr>
          <w:trHeight w:val="255" w:hRule="atLeast"/>
        </w:trPr>
        <w:tc>
          <w:tcPr>
            <w:tcW w:w="3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000000"/>
                <w:sz w:val="18"/>
                <w:szCs w:val="18"/>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000000"/>
                <w:sz w:val="18"/>
                <w:szCs w:val="18"/>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记录权限</w:t>
            </w:r>
          </w:p>
        </w:tc>
        <w:tc>
          <w:tcPr>
            <w:tcW w:w="6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对权限操作日志进行记录</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项</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宋体" w:hAnsi="宋体" w:cs="Calibri"/>
                <w:color w:val="000000"/>
                <w:sz w:val="18"/>
                <w:szCs w:val="18"/>
              </w:rPr>
            </w:pPr>
            <w:r>
              <w:rPr>
                <w:rFonts w:hint="eastAsia" w:ascii="宋体" w:hAnsi="宋体" w:cs="Calibri"/>
                <w:color w:val="000000"/>
                <w:sz w:val="18"/>
                <w:szCs w:val="18"/>
              </w:rPr>
              <w:t>1</w:t>
            </w:r>
          </w:p>
        </w:tc>
      </w:tr>
      <w:tr>
        <w:tblPrEx>
          <w:tblCellMar>
            <w:top w:w="0" w:type="dxa"/>
            <w:left w:w="0" w:type="dxa"/>
            <w:bottom w:w="0" w:type="dxa"/>
            <w:right w:w="0" w:type="dxa"/>
          </w:tblCellMar>
        </w:tblPrEx>
        <w:trPr>
          <w:trHeight w:val="480" w:hRule="atLeast"/>
        </w:trPr>
        <w:tc>
          <w:tcPr>
            <w:tcW w:w="300"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c>
          <w:tcPr>
            <w:tcW w:w="570"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元数据管理</w:t>
            </w: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数据来源元数据管理</w:t>
            </w:r>
          </w:p>
        </w:tc>
        <w:tc>
          <w:tcPr>
            <w:tcW w:w="6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对平台中数据来源元数据管理</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项</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宋体" w:hAnsi="宋体" w:cs="Calibri"/>
                <w:color w:val="000000"/>
                <w:sz w:val="18"/>
                <w:szCs w:val="18"/>
              </w:rPr>
            </w:pPr>
            <w:r>
              <w:rPr>
                <w:rFonts w:hint="eastAsia" w:ascii="宋体" w:hAnsi="宋体" w:cs="Calibri"/>
                <w:color w:val="000000"/>
                <w:sz w:val="18"/>
                <w:szCs w:val="18"/>
              </w:rPr>
              <w:t>1</w:t>
            </w:r>
          </w:p>
        </w:tc>
      </w:tr>
      <w:tr>
        <w:tblPrEx>
          <w:tblCellMar>
            <w:top w:w="0" w:type="dxa"/>
            <w:left w:w="0" w:type="dxa"/>
            <w:bottom w:w="0" w:type="dxa"/>
            <w:right w:w="0" w:type="dxa"/>
          </w:tblCellMar>
        </w:tblPrEx>
        <w:trPr>
          <w:trHeight w:val="480" w:hRule="atLeast"/>
        </w:trPr>
        <w:tc>
          <w:tcPr>
            <w:tcW w:w="3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000000"/>
                <w:sz w:val="18"/>
                <w:szCs w:val="18"/>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000000"/>
                <w:sz w:val="18"/>
                <w:szCs w:val="18"/>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数据变迁元数据管理</w:t>
            </w:r>
          </w:p>
        </w:tc>
        <w:tc>
          <w:tcPr>
            <w:tcW w:w="6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数据治理过程中元数据变化的动态管理及调整；</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项</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宋体" w:hAnsi="宋体" w:cs="Calibri"/>
                <w:color w:val="000000"/>
                <w:sz w:val="18"/>
                <w:szCs w:val="18"/>
              </w:rPr>
            </w:pPr>
            <w:r>
              <w:rPr>
                <w:rFonts w:hint="eastAsia" w:ascii="宋体" w:hAnsi="宋体" w:cs="Calibri"/>
                <w:color w:val="000000"/>
                <w:sz w:val="18"/>
                <w:szCs w:val="18"/>
              </w:rPr>
              <w:t>1</w:t>
            </w:r>
          </w:p>
        </w:tc>
      </w:tr>
      <w:tr>
        <w:tblPrEx>
          <w:tblCellMar>
            <w:top w:w="0" w:type="dxa"/>
            <w:left w:w="0" w:type="dxa"/>
            <w:bottom w:w="0" w:type="dxa"/>
            <w:right w:w="0" w:type="dxa"/>
          </w:tblCellMar>
        </w:tblPrEx>
        <w:trPr>
          <w:trHeight w:val="480" w:hRule="atLeast"/>
        </w:trPr>
        <w:tc>
          <w:tcPr>
            <w:tcW w:w="3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000000"/>
                <w:sz w:val="18"/>
                <w:szCs w:val="18"/>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000000"/>
                <w:sz w:val="18"/>
                <w:szCs w:val="18"/>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信息资源元数据管理</w:t>
            </w:r>
          </w:p>
        </w:tc>
        <w:tc>
          <w:tcPr>
            <w:tcW w:w="6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对数据信息资源的元数据进行各种管理功能</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项</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宋体" w:hAnsi="宋体" w:cs="Calibri"/>
                <w:color w:val="000000"/>
                <w:sz w:val="18"/>
                <w:szCs w:val="18"/>
              </w:rPr>
            </w:pPr>
            <w:r>
              <w:rPr>
                <w:rFonts w:hint="eastAsia" w:ascii="宋体" w:hAnsi="宋体" w:cs="Calibri"/>
                <w:color w:val="000000"/>
                <w:sz w:val="18"/>
                <w:szCs w:val="18"/>
              </w:rPr>
              <w:t>1</w:t>
            </w:r>
          </w:p>
        </w:tc>
      </w:tr>
      <w:tr>
        <w:tblPrEx>
          <w:tblCellMar>
            <w:top w:w="0" w:type="dxa"/>
            <w:left w:w="0" w:type="dxa"/>
            <w:bottom w:w="0" w:type="dxa"/>
            <w:right w:w="0" w:type="dxa"/>
          </w:tblCellMar>
        </w:tblPrEx>
        <w:trPr>
          <w:trHeight w:val="480" w:hRule="atLeast"/>
        </w:trPr>
        <w:tc>
          <w:tcPr>
            <w:tcW w:w="3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000000"/>
                <w:sz w:val="18"/>
                <w:szCs w:val="18"/>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000000"/>
                <w:sz w:val="18"/>
                <w:szCs w:val="18"/>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系统运行元数据管理</w:t>
            </w:r>
          </w:p>
        </w:tc>
        <w:tc>
          <w:tcPr>
            <w:tcW w:w="6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对软件系统运行过程中的相关内容进行元数据管理</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项</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宋体" w:hAnsi="宋体" w:cs="Calibri"/>
                <w:color w:val="000000"/>
                <w:sz w:val="18"/>
                <w:szCs w:val="18"/>
              </w:rPr>
            </w:pPr>
            <w:r>
              <w:rPr>
                <w:rFonts w:hint="eastAsia" w:ascii="宋体" w:hAnsi="宋体" w:cs="Calibri"/>
                <w:color w:val="000000"/>
                <w:sz w:val="18"/>
                <w:szCs w:val="18"/>
              </w:rPr>
              <w:t>1</w:t>
            </w:r>
          </w:p>
        </w:tc>
      </w:tr>
      <w:tr>
        <w:tblPrEx>
          <w:tblCellMar>
            <w:top w:w="0" w:type="dxa"/>
            <w:left w:w="0" w:type="dxa"/>
            <w:bottom w:w="0" w:type="dxa"/>
            <w:right w:w="0" w:type="dxa"/>
          </w:tblCellMar>
        </w:tblPrEx>
        <w:trPr>
          <w:trHeight w:val="255" w:hRule="atLeast"/>
        </w:trPr>
        <w:tc>
          <w:tcPr>
            <w:tcW w:w="300"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w:t>
            </w:r>
          </w:p>
        </w:tc>
        <w:tc>
          <w:tcPr>
            <w:tcW w:w="570"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标准化管理</w:t>
            </w: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数据元管理</w:t>
            </w:r>
          </w:p>
        </w:tc>
        <w:tc>
          <w:tcPr>
            <w:tcW w:w="6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通过标准化规范管理数据元</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项</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宋体" w:hAnsi="宋体" w:cs="Calibri"/>
                <w:color w:val="000000"/>
                <w:sz w:val="18"/>
                <w:szCs w:val="18"/>
              </w:rPr>
            </w:pPr>
            <w:r>
              <w:rPr>
                <w:rFonts w:hint="eastAsia" w:ascii="宋体" w:hAnsi="宋体" w:cs="Calibri"/>
                <w:color w:val="000000"/>
                <w:sz w:val="18"/>
                <w:szCs w:val="18"/>
              </w:rPr>
              <w:t>1</w:t>
            </w:r>
          </w:p>
        </w:tc>
      </w:tr>
      <w:tr>
        <w:tblPrEx>
          <w:tblCellMar>
            <w:top w:w="0" w:type="dxa"/>
            <w:left w:w="0" w:type="dxa"/>
            <w:bottom w:w="0" w:type="dxa"/>
            <w:right w:w="0" w:type="dxa"/>
          </w:tblCellMar>
        </w:tblPrEx>
        <w:trPr>
          <w:trHeight w:val="255" w:hRule="atLeast"/>
        </w:trPr>
        <w:tc>
          <w:tcPr>
            <w:tcW w:w="3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000000"/>
                <w:sz w:val="18"/>
                <w:szCs w:val="18"/>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000000"/>
                <w:sz w:val="18"/>
                <w:szCs w:val="18"/>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数据字典管理</w:t>
            </w:r>
          </w:p>
        </w:tc>
        <w:tc>
          <w:tcPr>
            <w:tcW w:w="6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使用数据字典对平台进行标准管理</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项</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宋体" w:hAnsi="宋体" w:cs="Calibri"/>
                <w:color w:val="000000"/>
                <w:sz w:val="18"/>
                <w:szCs w:val="18"/>
              </w:rPr>
            </w:pPr>
            <w:r>
              <w:rPr>
                <w:rFonts w:hint="eastAsia" w:ascii="宋体" w:hAnsi="宋体" w:cs="Calibri"/>
                <w:color w:val="000000"/>
                <w:sz w:val="18"/>
                <w:szCs w:val="18"/>
              </w:rPr>
              <w:t>1</w:t>
            </w:r>
          </w:p>
        </w:tc>
      </w:tr>
      <w:tr>
        <w:tblPrEx>
          <w:tblCellMar>
            <w:top w:w="0" w:type="dxa"/>
            <w:left w:w="0" w:type="dxa"/>
            <w:bottom w:w="0" w:type="dxa"/>
            <w:right w:w="0" w:type="dxa"/>
          </w:tblCellMar>
        </w:tblPrEx>
        <w:trPr>
          <w:trHeight w:val="255" w:hRule="atLeast"/>
        </w:trPr>
        <w:tc>
          <w:tcPr>
            <w:tcW w:w="3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000000"/>
                <w:sz w:val="18"/>
                <w:szCs w:val="18"/>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000000"/>
                <w:sz w:val="18"/>
                <w:szCs w:val="18"/>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核心模型管理</w:t>
            </w:r>
          </w:p>
        </w:tc>
        <w:tc>
          <w:tcPr>
            <w:tcW w:w="6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基于标准化规范管理数据核心模型</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项</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宋体" w:hAnsi="宋体" w:cs="Calibri"/>
                <w:color w:val="000000"/>
                <w:sz w:val="18"/>
                <w:szCs w:val="18"/>
              </w:rPr>
            </w:pPr>
            <w:r>
              <w:rPr>
                <w:rFonts w:hint="eastAsia" w:ascii="宋体" w:hAnsi="宋体" w:cs="Calibri"/>
                <w:color w:val="000000"/>
                <w:sz w:val="18"/>
                <w:szCs w:val="18"/>
              </w:rPr>
              <w:t>1</w:t>
            </w:r>
          </w:p>
        </w:tc>
      </w:tr>
      <w:tr>
        <w:tblPrEx>
          <w:tblCellMar>
            <w:top w:w="0" w:type="dxa"/>
            <w:left w:w="0" w:type="dxa"/>
            <w:bottom w:w="0" w:type="dxa"/>
            <w:right w:w="0" w:type="dxa"/>
          </w:tblCellMar>
        </w:tblPrEx>
        <w:trPr>
          <w:trHeight w:val="480" w:hRule="atLeast"/>
        </w:trPr>
        <w:tc>
          <w:tcPr>
            <w:tcW w:w="30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 w:val="18"/>
                <w:szCs w:val="18"/>
                <w:lang w:bidi="ar"/>
              </w:rPr>
              <w:t>7</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资源审批</w:t>
            </w: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资源审批</w:t>
            </w:r>
          </w:p>
        </w:tc>
        <w:tc>
          <w:tcPr>
            <w:tcW w:w="6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对资源申请（如，数据门户的申请）进行审批</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项</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宋体" w:hAnsi="宋体" w:cs="Calibri"/>
                <w:color w:val="000000"/>
                <w:sz w:val="18"/>
                <w:szCs w:val="18"/>
              </w:rPr>
            </w:pPr>
            <w:r>
              <w:rPr>
                <w:rFonts w:hint="eastAsia" w:ascii="宋体" w:hAnsi="宋体" w:cs="Calibri"/>
                <w:color w:val="000000"/>
                <w:sz w:val="18"/>
                <w:szCs w:val="18"/>
              </w:rPr>
              <w:t>1</w:t>
            </w:r>
          </w:p>
        </w:tc>
      </w:tr>
      <w:tr>
        <w:tblPrEx>
          <w:tblCellMar>
            <w:top w:w="0" w:type="dxa"/>
            <w:left w:w="0" w:type="dxa"/>
            <w:bottom w:w="0" w:type="dxa"/>
            <w:right w:w="0" w:type="dxa"/>
          </w:tblCellMar>
        </w:tblPrEx>
        <w:trPr>
          <w:trHeight w:val="255" w:hRule="atLeast"/>
        </w:trPr>
        <w:tc>
          <w:tcPr>
            <w:tcW w:w="300"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w:t>
            </w:r>
          </w:p>
        </w:tc>
        <w:tc>
          <w:tcPr>
            <w:tcW w:w="570"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数据管理中心</w:t>
            </w: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主题库目录</w:t>
            </w:r>
          </w:p>
        </w:tc>
        <w:tc>
          <w:tcPr>
            <w:tcW w:w="6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对主题库目录进行管理</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项</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宋体" w:hAnsi="宋体" w:cs="Calibri"/>
                <w:color w:val="000000"/>
                <w:sz w:val="18"/>
                <w:szCs w:val="18"/>
              </w:rPr>
            </w:pPr>
            <w:r>
              <w:rPr>
                <w:rFonts w:hint="eastAsia" w:ascii="宋体" w:hAnsi="宋体" w:cs="Calibri"/>
                <w:color w:val="000000"/>
                <w:sz w:val="18"/>
                <w:szCs w:val="18"/>
              </w:rPr>
              <w:t>1</w:t>
            </w:r>
          </w:p>
        </w:tc>
      </w:tr>
      <w:tr>
        <w:tblPrEx>
          <w:tblCellMar>
            <w:top w:w="0" w:type="dxa"/>
            <w:left w:w="0" w:type="dxa"/>
            <w:bottom w:w="0" w:type="dxa"/>
            <w:right w:w="0" w:type="dxa"/>
          </w:tblCellMar>
        </w:tblPrEx>
        <w:trPr>
          <w:trHeight w:val="255" w:hRule="atLeast"/>
        </w:trPr>
        <w:tc>
          <w:tcPr>
            <w:tcW w:w="3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000000"/>
                <w:sz w:val="18"/>
                <w:szCs w:val="18"/>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000000"/>
                <w:sz w:val="18"/>
                <w:szCs w:val="18"/>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数据浏览</w:t>
            </w:r>
          </w:p>
        </w:tc>
        <w:tc>
          <w:tcPr>
            <w:tcW w:w="6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提供平台数据内容的展示</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项</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宋体" w:hAnsi="宋体" w:cs="Calibri"/>
                <w:color w:val="000000"/>
                <w:sz w:val="18"/>
                <w:szCs w:val="18"/>
              </w:rPr>
            </w:pPr>
            <w:r>
              <w:rPr>
                <w:rFonts w:hint="eastAsia" w:ascii="宋体" w:hAnsi="宋体" w:cs="Calibri"/>
                <w:color w:val="000000"/>
                <w:sz w:val="18"/>
                <w:szCs w:val="18"/>
              </w:rPr>
              <w:t>1</w:t>
            </w:r>
          </w:p>
        </w:tc>
      </w:tr>
      <w:tr>
        <w:tblPrEx>
          <w:tblCellMar>
            <w:top w:w="0" w:type="dxa"/>
            <w:left w:w="0" w:type="dxa"/>
            <w:bottom w:w="0" w:type="dxa"/>
            <w:right w:w="0" w:type="dxa"/>
          </w:tblCellMar>
        </w:tblPrEx>
        <w:trPr>
          <w:trHeight w:val="255" w:hRule="atLeast"/>
        </w:trPr>
        <w:tc>
          <w:tcPr>
            <w:tcW w:w="3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000000"/>
                <w:sz w:val="18"/>
                <w:szCs w:val="18"/>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000000"/>
                <w:sz w:val="18"/>
                <w:szCs w:val="18"/>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数据融合管理</w:t>
            </w:r>
          </w:p>
        </w:tc>
        <w:tc>
          <w:tcPr>
            <w:tcW w:w="6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对平台数据融合进行管理</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项</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宋体" w:hAnsi="宋体" w:cs="Calibri"/>
                <w:color w:val="000000"/>
                <w:sz w:val="18"/>
                <w:szCs w:val="18"/>
              </w:rPr>
            </w:pPr>
            <w:r>
              <w:rPr>
                <w:rFonts w:hint="eastAsia" w:ascii="宋体" w:hAnsi="宋体" w:cs="Calibri"/>
                <w:color w:val="000000"/>
                <w:sz w:val="18"/>
                <w:szCs w:val="18"/>
              </w:rPr>
              <w:t>1</w:t>
            </w:r>
          </w:p>
        </w:tc>
      </w:tr>
      <w:tr>
        <w:tblPrEx>
          <w:tblCellMar>
            <w:top w:w="0" w:type="dxa"/>
            <w:left w:w="0" w:type="dxa"/>
            <w:bottom w:w="0" w:type="dxa"/>
            <w:right w:w="0" w:type="dxa"/>
          </w:tblCellMar>
        </w:tblPrEx>
        <w:trPr>
          <w:trHeight w:val="255" w:hRule="atLeast"/>
        </w:trPr>
        <w:tc>
          <w:tcPr>
            <w:tcW w:w="3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000000"/>
                <w:sz w:val="18"/>
                <w:szCs w:val="18"/>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000000"/>
                <w:sz w:val="18"/>
                <w:szCs w:val="18"/>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清晰规则</w:t>
            </w:r>
          </w:p>
        </w:tc>
        <w:tc>
          <w:tcPr>
            <w:tcW w:w="6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基于标准化规范管理数据核心模型</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项</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宋体" w:hAnsi="宋体" w:cs="Calibri"/>
                <w:color w:val="000000"/>
                <w:sz w:val="18"/>
                <w:szCs w:val="18"/>
              </w:rPr>
            </w:pPr>
            <w:r>
              <w:rPr>
                <w:rFonts w:hint="eastAsia" w:ascii="宋体" w:hAnsi="宋体" w:cs="Calibri"/>
                <w:color w:val="000000"/>
                <w:sz w:val="18"/>
                <w:szCs w:val="18"/>
              </w:rPr>
              <w:t>1</w:t>
            </w:r>
          </w:p>
        </w:tc>
      </w:tr>
      <w:tr>
        <w:tblPrEx>
          <w:tblCellMar>
            <w:top w:w="0" w:type="dxa"/>
            <w:left w:w="0" w:type="dxa"/>
            <w:bottom w:w="0" w:type="dxa"/>
            <w:right w:w="0" w:type="dxa"/>
          </w:tblCellMar>
        </w:tblPrEx>
        <w:trPr>
          <w:trHeight w:val="255" w:hRule="atLeast"/>
        </w:trPr>
        <w:tc>
          <w:tcPr>
            <w:tcW w:w="3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000000"/>
                <w:sz w:val="18"/>
                <w:szCs w:val="18"/>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000000"/>
                <w:sz w:val="18"/>
                <w:szCs w:val="18"/>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对比规则</w:t>
            </w:r>
          </w:p>
        </w:tc>
        <w:tc>
          <w:tcPr>
            <w:tcW w:w="6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对平台数据的对比规则进行管理</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项</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宋体" w:hAnsi="宋体" w:cs="Calibri"/>
                <w:color w:val="000000"/>
                <w:sz w:val="18"/>
                <w:szCs w:val="18"/>
              </w:rPr>
            </w:pPr>
            <w:r>
              <w:rPr>
                <w:rFonts w:hint="eastAsia" w:ascii="宋体" w:hAnsi="宋体" w:cs="Calibri"/>
                <w:color w:val="000000"/>
                <w:sz w:val="18"/>
                <w:szCs w:val="18"/>
              </w:rPr>
              <w:t>1</w:t>
            </w:r>
          </w:p>
        </w:tc>
      </w:tr>
      <w:tr>
        <w:tblPrEx>
          <w:tblCellMar>
            <w:top w:w="0" w:type="dxa"/>
            <w:left w:w="0" w:type="dxa"/>
            <w:bottom w:w="0" w:type="dxa"/>
            <w:right w:w="0" w:type="dxa"/>
          </w:tblCellMar>
        </w:tblPrEx>
        <w:trPr>
          <w:trHeight w:val="255" w:hRule="atLeast"/>
        </w:trPr>
        <w:tc>
          <w:tcPr>
            <w:tcW w:w="3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000000"/>
                <w:sz w:val="18"/>
                <w:szCs w:val="18"/>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000000"/>
                <w:sz w:val="18"/>
                <w:szCs w:val="18"/>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资源发布管理</w:t>
            </w:r>
          </w:p>
        </w:tc>
        <w:tc>
          <w:tcPr>
            <w:tcW w:w="6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对平台数据的资源发布进行管理</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项</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宋体" w:hAnsi="宋体" w:cs="Calibri"/>
                <w:color w:val="000000"/>
                <w:sz w:val="18"/>
                <w:szCs w:val="18"/>
              </w:rPr>
            </w:pPr>
            <w:r>
              <w:rPr>
                <w:rFonts w:hint="eastAsia" w:ascii="宋体" w:hAnsi="宋体" w:cs="Calibri"/>
                <w:color w:val="000000"/>
                <w:sz w:val="18"/>
                <w:szCs w:val="18"/>
              </w:rPr>
              <w:t>1</w:t>
            </w:r>
          </w:p>
        </w:tc>
      </w:tr>
      <w:tr>
        <w:tblPrEx>
          <w:tblCellMar>
            <w:top w:w="0" w:type="dxa"/>
            <w:left w:w="0" w:type="dxa"/>
            <w:bottom w:w="0" w:type="dxa"/>
            <w:right w:w="0" w:type="dxa"/>
          </w:tblCellMar>
        </w:tblPrEx>
        <w:trPr>
          <w:trHeight w:val="255" w:hRule="atLeast"/>
        </w:trPr>
        <w:tc>
          <w:tcPr>
            <w:tcW w:w="3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000000"/>
                <w:sz w:val="18"/>
                <w:szCs w:val="18"/>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000000"/>
                <w:sz w:val="18"/>
                <w:szCs w:val="18"/>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原始数据</w:t>
            </w:r>
          </w:p>
        </w:tc>
        <w:tc>
          <w:tcPr>
            <w:tcW w:w="6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对平台原始数据进行管理</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项</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宋体" w:hAnsi="宋体" w:cs="Calibri"/>
                <w:color w:val="000000"/>
                <w:sz w:val="18"/>
                <w:szCs w:val="18"/>
              </w:rPr>
            </w:pPr>
            <w:r>
              <w:rPr>
                <w:rFonts w:hint="eastAsia" w:ascii="宋体" w:hAnsi="宋体" w:cs="Calibri"/>
                <w:color w:val="000000"/>
                <w:sz w:val="18"/>
                <w:szCs w:val="18"/>
              </w:rPr>
              <w:t>1</w:t>
            </w:r>
          </w:p>
        </w:tc>
      </w:tr>
      <w:tr>
        <w:tblPrEx>
          <w:tblCellMar>
            <w:top w:w="0" w:type="dxa"/>
            <w:left w:w="0" w:type="dxa"/>
            <w:bottom w:w="0" w:type="dxa"/>
            <w:right w:w="0" w:type="dxa"/>
          </w:tblCellMar>
        </w:tblPrEx>
        <w:trPr>
          <w:trHeight w:val="255" w:hRule="atLeast"/>
        </w:trPr>
        <w:tc>
          <w:tcPr>
            <w:tcW w:w="3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000000"/>
                <w:sz w:val="18"/>
                <w:szCs w:val="18"/>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000000"/>
                <w:sz w:val="18"/>
                <w:szCs w:val="18"/>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主题数据</w:t>
            </w:r>
          </w:p>
        </w:tc>
        <w:tc>
          <w:tcPr>
            <w:tcW w:w="6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对平台主题数据进行管理</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项</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宋体" w:hAnsi="宋体" w:cs="Calibri"/>
                <w:color w:val="000000"/>
                <w:sz w:val="18"/>
                <w:szCs w:val="18"/>
              </w:rPr>
            </w:pPr>
            <w:r>
              <w:rPr>
                <w:rFonts w:hint="eastAsia" w:ascii="宋体" w:hAnsi="宋体" w:cs="Calibri"/>
                <w:color w:val="000000"/>
                <w:sz w:val="18"/>
                <w:szCs w:val="18"/>
              </w:rPr>
              <w:t>1</w:t>
            </w:r>
          </w:p>
        </w:tc>
      </w:tr>
      <w:tr>
        <w:tblPrEx>
          <w:tblCellMar>
            <w:top w:w="0" w:type="dxa"/>
            <w:left w:w="0" w:type="dxa"/>
            <w:bottom w:w="0" w:type="dxa"/>
            <w:right w:w="0" w:type="dxa"/>
          </w:tblCellMar>
        </w:tblPrEx>
        <w:trPr>
          <w:trHeight w:val="255" w:hRule="atLeast"/>
        </w:trPr>
        <w:tc>
          <w:tcPr>
            <w:tcW w:w="3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000000"/>
                <w:sz w:val="18"/>
                <w:szCs w:val="18"/>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000000"/>
                <w:sz w:val="18"/>
                <w:szCs w:val="18"/>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服务管理</w:t>
            </w:r>
          </w:p>
        </w:tc>
        <w:tc>
          <w:tcPr>
            <w:tcW w:w="6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对平台数据的服务进行管理</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项</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宋体" w:hAnsi="宋体" w:cs="Calibri"/>
                <w:color w:val="000000"/>
                <w:sz w:val="18"/>
                <w:szCs w:val="18"/>
              </w:rPr>
            </w:pPr>
            <w:r>
              <w:rPr>
                <w:rFonts w:hint="eastAsia" w:ascii="宋体" w:hAnsi="宋体" w:cs="Calibri"/>
                <w:color w:val="000000"/>
                <w:sz w:val="18"/>
                <w:szCs w:val="18"/>
              </w:rPr>
              <w:t>1</w:t>
            </w:r>
          </w:p>
        </w:tc>
      </w:tr>
      <w:tr>
        <w:tblPrEx>
          <w:tblCellMar>
            <w:top w:w="0" w:type="dxa"/>
            <w:left w:w="0" w:type="dxa"/>
            <w:bottom w:w="0" w:type="dxa"/>
            <w:right w:w="0" w:type="dxa"/>
          </w:tblCellMar>
        </w:tblPrEx>
        <w:trPr>
          <w:trHeight w:val="255" w:hRule="atLeast"/>
        </w:trPr>
        <w:tc>
          <w:tcPr>
            <w:tcW w:w="3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000000"/>
                <w:sz w:val="18"/>
                <w:szCs w:val="18"/>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000000"/>
                <w:sz w:val="18"/>
                <w:szCs w:val="18"/>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应用注册</w:t>
            </w:r>
          </w:p>
        </w:tc>
        <w:tc>
          <w:tcPr>
            <w:tcW w:w="6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对平台数据的应用注册进行管理</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项</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宋体" w:hAnsi="宋体" w:cs="Calibri"/>
                <w:color w:val="000000"/>
                <w:sz w:val="18"/>
                <w:szCs w:val="18"/>
              </w:rPr>
            </w:pPr>
            <w:r>
              <w:rPr>
                <w:rFonts w:hint="eastAsia" w:ascii="宋体" w:hAnsi="宋体" w:cs="Calibri"/>
                <w:color w:val="000000"/>
                <w:sz w:val="18"/>
                <w:szCs w:val="18"/>
              </w:rPr>
              <w:t>1</w:t>
            </w:r>
          </w:p>
        </w:tc>
      </w:tr>
      <w:tr>
        <w:tblPrEx>
          <w:tblCellMar>
            <w:top w:w="0" w:type="dxa"/>
            <w:left w:w="0" w:type="dxa"/>
            <w:bottom w:w="0" w:type="dxa"/>
            <w:right w:w="0" w:type="dxa"/>
          </w:tblCellMar>
        </w:tblPrEx>
        <w:trPr>
          <w:trHeight w:val="255" w:hRule="atLeast"/>
        </w:trPr>
        <w:tc>
          <w:tcPr>
            <w:tcW w:w="3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000000"/>
                <w:sz w:val="18"/>
                <w:szCs w:val="18"/>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000000"/>
                <w:sz w:val="18"/>
                <w:szCs w:val="18"/>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服务定义</w:t>
            </w:r>
          </w:p>
        </w:tc>
        <w:tc>
          <w:tcPr>
            <w:tcW w:w="6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对平台数据的服务定义进行管理</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项</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宋体" w:hAnsi="宋体" w:cs="Calibri"/>
                <w:color w:val="000000"/>
                <w:sz w:val="18"/>
                <w:szCs w:val="18"/>
              </w:rPr>
            </w:pPr>
            <w:r>
              <w:rPr>
                <w:rFonts w:hint="eastAsia" w:ascii="宋体" w:hAnsi="宋体" w:cs="Calibri"/>
                <w:color w:val="000000"/>
                <w:sz w:val="18"/>
                <w:szCs w:val="18"/>
              </w:rPr>
              <w:t>1</w:t>
            </w:r>
          </w:p>
        </w:tc>
      </w:tr>
      <w:tr>
        <w:tblPrEx>
          <w:tblCellMar>
            <w:top w:w="0" w:type="dxa"/>
            <w:left w:w="0" w:type="dxa"/>
            <w:bottom w:w="0" w:type="dxa"/>
            <w:right w:w="0" w:type="dxa"/>
          </w:tblCellMar>
        </w:tblPrEx>
        <w:trPr>
          <w:trHeight w:val="255" w:hRule="atLeast"/>
        </w:trPr>
        <w:tc>
          <w:tcPr>
            <w:tcW w:w="3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000000"/>
                <w:sz w:val="18"/>
                <w:szCs w:val="18"/>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000000"/>
                <w:sz w:val="18"/>
                <w:szCs w:val="18"/>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服务授权</w:t>
            </w:r>
          </w:p>
        </w:tc>
        <w:tc>
          <w:tcPr>
            <w:tcW w:w="6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对平台数据的服务授权进行管理</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项</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宋体" w:hAnsi="宋体" w:cs="Calibri"/>
                <w:color w:val="000000"/>
                <w:sz w:val="18"/>
                <w:szCs w:val="18"/>
              </w:rPr>
            </w:pPr>
            <w:r>
              <w:rPr>
                <w:rFonts w:hint="eastAsia" w:ascii="宋体" w:hAnsi="宋体" w:cs="Calibri"/>
                <w:color w:val="000000"/>
                <w:sz w:val="18"/>
                <w:szCs w:val="18"/>
              </w:rPr>
              <w:t>1</w:t>
            </w:r>
          </w:p>
        </w:tc>
      </w:tr>
      <w:tr>
        <w:tblPrEx>
          <w:tblCellMar>
            <w:top w:w="0" w:type="dxa"/>
            <w:left w:w="0" w:type="dxa"/>
            <w:bottom w:w="0" w:type="dxa"/>
            <w:right w:w="0" w:type="dxa"/>
          </w:tblCellMar>
        </w:tblPrEx>
        <w:trPr>
          <w:trHeight w:val="255" w:hRule="atLeast"/>
        </w:trPr>
        <w:tc>
          <w:tcPr>
            <w:tcW w:w="3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000000"/>
                <w:sz w:val="18"/>
                <w:szCs w:val="18"/>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000000"/>
                <w:sz w:val="18"/>
                <w:szCs w:val="18"/>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调用日志</w:t>
            </w:r>
          </w:p>
        </w:tc>
        <w:tc>
          <w:tcPr>
            <w:tcW w:w="6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对平台数据的调用日志进行记录查看等管理</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项</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宋体" w:hAnsi="宋体" w:cs="Calibri"/>
                <w:color w:val="000000"/>
                <w:sz w:val="18"/>
                <w:szCs w:val="18"/>
              </w:rPr>
            </w:pPr>
            <w:r>
              <w:rPr>
                <w:rFonts w:hint="eastAsia" w:ascii="宋体" w:hAnsi="宋体" w:cs="Calibri"/>
                <w:color w:val="000000"/>
                <w:sz w:val="18"/>
                <w:szCs w:val="18"/>
              </w:rPr>
              <w:t>1</w:t>
            </w:r>
          </w:p>
        </w:tc>
      </w:tr>
      <w:tr>
        <w:tblPrEx>
          <w:tblCellMar>
            <w:top w:w="0" w:type="dxa"/>
            <w:left w:w="0" w:type="dxa"/>
            <w:bottom w:w="0" w:type="dxa"/>
            <w:right w:w="0" w:type="dxa"/>
          </w:tblCellMar>
        </w:tblPrEx>
        <w:trPr>
          <w:trHeight w:val="255" w:hRule="atLeast"/>
        </w:trPr>
        <w:tc>
          <w:tcPr>
            <w:tcW w:w="3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000000"/>
                <w:sz w:val="18"/>
                <w:szCs w:val="18"/>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000000"/>
                <w:sz w:val="18"/>
                <w:szCs w:val="18"/>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审批中心</w:t>
            </w:r>
          </w:p>
        </w:tc>
        <w:tc>
          <w:tcPr>
            <w:tcW w:w="6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对平台数据的审批中心中相关的审批进行管理</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项</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宋体" w:hAnsi="宋体" w:cs="Calibri"/>
                <w:color w:val="000000"/>
                <w:sz w:val="18"/>
                <w:szCs w:val="18"/>
              </w:rPr>
            </w:pPr>
            <w:r>
              <w:rPr>
                <w:rFonts w:hint="eastAsia" w:ascii="宋体" w:hAnsi="宋体" w:cs="Calibri"/>
                <w:color w:val="000000"/>
                <w:sz w:val="18"/>
                <w:szCs w:val="18"/>
              </w:rPr>
              <w:t>1</w:t>
            </w:r>
          </w:p>
        </w:tc>
      </w:tr>
      <w:tr>
        <w:tblPrEx>
          <w:tblCellMar>
            <w:top w:w="0" w:type="dxa"/>
            <w:left w:w="0" w:type="dxa"/>
            <w:bottom w:w="0" w:type="dxa"/>
            <w:right w:w="0" w:type="dxa"/>
          </w:tblCellMar>
        </w:tblPrEx>
        <w:trPr>
          <w:trHeight w:val="255" w:hRule="atLeast"/>
        </w:trPr>
        <w:tc>
          <w:tcPr>
            <w:tcW w:w="3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000000"/>
                <w:sz w:val="18"/>
                <w:szCs w:val="18"/>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000000"/>
                <w:sz w:val="18"/>
                <w:szCs w:val="18"/>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数据审批</w:t>
            </w:r>
          </w:p>
        </w:tc>
        <w:tc>
          <w:tcPr>
            <w:tcW w:w="6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对平台数据的数据审批进行管理</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项</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宋体" w:hAnsi="宋体" w:cs="Calibri"/>
                <w:color w:val="000000"/>
                <w:sz w:val="18"/>
                <w:szCs w:val="18"/>
              </w:rPr>
            </w:pPr>
            <w:r>
              <w:rPr>
                <w:rFonts w:hint="eastAsia" w:ascii="宋体" w:hAnsi="宋体" w:cs="Calibri"/>
                <w:color w:val="000000"/>
                <w:sz w:val="18"/>
                <w:szCs w:val="18"/>
              </w:rPr>
              <w:t>1</w:t>
            </w:r>
          </w:p>
        </w:tc>
      </w:tr>
      <w:tr>
        <w:tblPrEx>
          <w:tblCellMar>
            <w:top w:w="0" w:type="dxa"/>
            <w:left w:w="0" w:type="dxa"/>
            <w:bottom w:w="0" w:type="dxa"/>
            <w:right w:w="0" w:type="dxa"/>
          </w:tblCellMar>
        </w:tblPrEx>
        <w:trPr>
          <w:trHeight w:val="255" w:hRule="atLeast"/>
        </w:trPr>
        <w:tc>
          <w:tcPr>
            <w:tcW w:w="3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000000"/>
                <w:sz w:val="18"/>
                <w:szCs w:val="18"/>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000000"/>
                <w:sz w:val="18"/>
                <w:szCs w:val="18"/>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服务审批</w:t>
            </w:r>
          </w:p>
        </w:tc>
        <w:tc>
          <w:tcPr>
            <w:tcW w:w="6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对平台数据的服务审批进行管理</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项</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宋体" w:hAnsi="宋体" w:cs="Calibri"/>
                <w:color w:val="000000"/>
                <w:sz w:val="18"/>
                <w:szCs w:val="18"/>
              </w:rPr>
            </w:pPr>
            <w:r>
              <w:rPr>
                <w:rFonts w:hint="eastAsia" w:ascii="宋体" w:hAnsi="宋体" w:cs="Calibri"/>
                <w:color w:val="000000"/>
                <w:sz w:val="18"/>
                <w:szCs w:val="18"/>
              </w:rPr>
              <w:t>1</w:t>
            </w:r>
          </w:p>
        </w:tc>
      </w:tr>
      <w:tr>
        <w:tblPrEx>
          <w:tblCellMar>
            <w:top w:w="0" w:type="dxa"/>
            <w:left w:w="0" w:type="dxa"/>
            <w:bottom w:w="0" w:type="dxa"/>
            <w:right w:w="0" w:type="dxa"/>
          </w:tblCellMar>
        </w:tblPrEx>
        <w:trPr>
          <w:trHeight w:val="240" w:hRule="atLeast"/>
        </w:trPr>
        <w:tc>
          <w:tcPr>
            <w:tcW w:w="9660" w:type="dxa"/>
            <w:gridSpan w:val="6"/>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hAnsi="宋体" w:cs="宋体"/>
                <w:sz w:val="18"/>
                <w:szCs w:val="18"/>
              </w:rPr>
              <w:t>大数据指挥大厅平台管理系统</w:t>
            </w:r>
          </w:p>
        </w:tc>
      </w:tr>
      <w:tr>
        <w:tblPrEx>
          <w:tblCellMar>
            <w:top w:w="0" w:type="dxa"/>
            <w:left w:w="0" w:type="dxa"/>
            <w:bottom w:w="0" w:type="dxa"/>
            <w:right w:w="0" w:type="dxa"/>
          </w:tblCellMar>
        </w:tblPrEx>
        <w:trPr>
          <w:trHeight w:val="480" w:hRule="atLeast"/>
        </w:trPr>
        <w:tc>
          <w:tcPr>
            <w:tcW w:w="30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序号</w:t>
            </w:r>
          </w:p>
        </w:tc>
        <w:tc>
          <w:tcPr>
            <w:tcW w:w="57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产品名称</w:t>
            </w: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功能模块</w:t>
            </w:r>
          </w:p>
        </w:tc>
        <w:tc>
          <w:tcPr>
            <w:tcW w:w="6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功能描述</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单位</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数量</w:t>
            </w:r>
          </w:p>
        </w:tc>
      </w:tr>
      <w:tr>
        <w:tblPrEx>
          <w:tblCellMar>
            <w:top w:w="0" w:type="dxa"/>
            <w:left w:w="0" w:type="dxa"/>
            <w:bottom w:w="0" w:type="dxa"/>
            <w:right w:w="0" w:type="dxa"/>
          </w:tblCellMar>
        </w:tblPrEx>
        <w:trPr>
          <w:trHeight w:val="240" w:hRule="atLeast"/>
        </w:trPr>
        <w:tc>
          <w:tcPr>
            <w:tcW w:w="300"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57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指挥中心权限管理系统</w:t>
            </w: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bottom"/>
          </w:tcPr>
          <w:p>
            <w:pPr>
              <w:widowControl/>
              <w:jc w:val="center"/>
              <w:textAlignment w:val="bottom"/>
              <w:rPr>
                <w:rFonts w:ascii="宋体" w:hAnsi="宋体" w:cs="宋体"/>
                <w:color w:val="000000"/>
                <w:sz w:val="18"/>
                <w:szCs w:val="18"/>
              </w:rPr>
            </w:pPr>
            <w:r>
              <w:rPr>
                <w:rFonts w:hint="eastAsia" w:ascii="宋体" w:hAnsi="宋体" w:cs="宋体"/>
                <w:color w:val="000000"/>
                <w:kern w:val="0"/>
                <w:sz w:val="18"/>
                <w:szCs w:val="18"/>
                <w:lang w:bidi="ar"/>
              </w:rPr>
              <w:t>组织结构管理</w:t>
            </w:r>
          </w:p>
        </w:tc>
        <w:tc>
          <w:tcPr>
            <w:tcW w:w="6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bottom"/>
          </w:tcPr>
          <w:p>
            <w:pPr>
              <w:widowControl/>
              <w:jc w:val="left"/>
              <w:textAlignment w:val="bottom"/>
              <w:rPr>
                <w:rFonts w:ascii="宋体" w:hAnsi="宋体" w:cs="宋体"/>
                <w:color w:val="000000"/>
                <w:sz w:val="18"/>
                <w:szCs w:val="18"/>
              </w:rPr>
            </w:pPr>
            <w:r>
              <w:rPr>
                <w:rFonts w:hint="eastAsia" w:ascii="宋体" w:hAnsi="宋体" w:cs="宋体"/>
                <w:color w:val="000000"/>
                <w:kern w:val="0"/>
                <w:sz w:val="18"/>
                <w:szCs w:val="18"/>
                <w:lang w:bidi="ar"/>
              </w:rPr>
              <w:t>许昌经开区各级别组织结构维护</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项</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r>
      <w:tr>
        <w:tblPrEx>
          <w:tblCellMar>
            <w:top w:w="0" w:type="dxa"/>
            <w:left w:w="0" w:type="dxa"/>
            <w:bottom w:w="0" w:type="dxa"/>
            <w:right w:w="0" w:type="dxa"/>
          </w:tblCellMar>
        </w:tblPrEx>
        <w:trPr>
          <w:trHeight w:val="240" w:hRule="atLeast"/>
        </w:trPr>
        <w:tc>
          <w:tcPr>
            <w:tcW w:w="3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000000"/>
                <w:sz w:val="18"/>
                <w:szCs w:val="18"/>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宋体" w:hAnsi="宋体" w:cs="宋体"/>
                <w:color w:val="000000"/>
                <w:sz w:val="18"/>
                <w:szCs w:val="18"/>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bottom"/>
          </w:tcPr>
          <w:p>
            <w:pPr>
              <w:widowControl/>
              <w:jc w:val="center"/>
              <w:textAlignment w:val="bottom"/>
              <w:rPr>
                <w:rFonts w:ascii="宋体" w:hAnsi="宋体" w:cs="宋体"/>
                <w:color w:val="000000"/>
                <w:sz w:val="18"/>
                <w:szCs w:val="18"/>
              </w:rPr>
            </w:pPr>
            <w:r>
              <w:rPr>
                <w:rFonts w:hint="eastAsia" w:ascii="宋体" w:hAnsi="宋体" w:cs="宋体"/>
                <w:color w:val="000000"/>
                <w:kern w:val="0"/>
                <w:sz w:val="18"/>
                <w:szCs w:val="18"/>
                <w:lang w:bidi="ar"/>
              </w:rPr>
              <w:t>人员管理</w:t>
            </w:r>
          </w:p>
        </w:tc>
        <w:tc>
          <w:tcPr>
            <w:tcW w:w="6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bottom"/>
          </w:tcPr>
          <w:p>
            <w:pPr>
              <w:widowControl/>
              <w:jc w:val="left"/>
              <w:textAlignment w:val="bottom"/>
              <w:rPr>
                <w:rFonts w:ascii="宋体" w:hAnsi="宋体" w:cs="宋体"/>
                <w:color w:val="000000"/>
                <w:sz w:val="18"/>
                <w:szCs w:val="18"/>
              </w:rPr>
            </w:pPr>
            <w:r>
              <w:rPr>
                <w:rFonts w:hint="eastAsia" w:ascii="宋体" w:hAnsi="宋体" w:cs="宋体"/>
                <w:color w:val="000000"/>
                <w:kern w:val="0"/>
                <w:sz w:val="18"/>
                <w:szCs w:val="18"/>
                <w:lang w:bidi="ar"/>
              </w:rPr>
              <w:t>指挥大厅工作人员信息管理</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项</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r>
      <w:tr>
        <w:tblPrEx>
          <w:tblCellMar>
            <w:top w:w="0" w:type="dxa"/>
            <w:left w:w="0" w:type="dxa"/>
            <w:bottom w:w="0" w:type="dxa"/>
            <w:right w:w="0" w:type="dxa"/>
          </w:tblCellMar>
        </w:tblPrEx>
        <w:trPr>
          <w:trHeight w:val="240" w:hRule="atLeast"/>
        </w:trPr>
        <w:tc>
          <w:tcPr>
            <w:tcW w:w="3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000000"/>
                <w:sz w:val="18"/>
                <w:szCs w:val="18"/>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宋体" w:hAnsi="宋体" w:cs="宋体"/>
                <w:color w:val="000000"/>
                <w:sz w:val="18"/>
                <w:szCs w:val="18"/>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bottom"/>
          </w:tcPr>
          <w:p>
            <w:pPr>
              <w:widowControl/>
              <w:jc w:val="center"/>
              <w:textAlignment w:val="bottom"/>
              <w:rPr>
                <w:rFonts w:ascii="宋体" w:hAnsi="宋体" w:cs="宋体"/>
                <w:color w:val="000000"/>
                <w:sz w:val="18"/>
                <w:szCs w:val="18"/>
              </w:rPr>
            </w:pPr>
            <w:r>
              <w:rPr>
                <w:rFonts w:hint="eastAsia" w:ascii="宋体" w:hAnsi="宋体" w:cs="宋体"/>
                <w:color w:val="000000"/>
                <w:kern w:val="0"/>
                <w:sz w:val="18"/>
                <w:szCs w:val="18"/>
                <w:lang w:bidi="ar"/>
              </w:rPr>
              <w:t>设备管理</w:t>
            </w:r>
          </w:p>
        </w:tc>
        <w:tc>
          <w:tcPr>
            <w:tcW w:w="6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bottom"/>
          </w:tcPr>
          <w:p>
            <w:pPr>
              <w:widowControl/>
              <w:jc w:val="left"/>
              <w:textAlignment w:val="bottom"/>
              <w:rPr>
                <w:rFonts w:ascii="宋体" w:hAnsi="宋体" w:cs="宋体"/>
                <w:color w:val="000000"/>
                <w:sz w:val="18"/>
                <w:szCs w:val="18"/>
              </w:rPr>
            </w:pPr>
            <w:r>
              <w:rPr>
                <w:rFonts w:hint="eastAsia" w:ascii="宋体" w:hAnsi="宋体" w:cs="宋体"/>
                <w:color w:val="000000"/>
                <w:kern w:val="0"/>
                <w:sz w:val="18"/>
                <w:szCs w:val="18"/>
                <w:lang w:bidi="ar"/>
              </w:rPr>
              <w:t>指挥大厅设备管理</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项</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r>
      <w:tr>
        <w:tblPrEx>
          <w:tblCellMar>
            <w:top w:w="0" w:type="dxa"/>
            <w:left w:w="0" w:type="dxa"/>
            <w:bottom w:w="0" w:type="dxa"/>
            <w:right w:w="0" w:type="dxa"/>
          </w:tblCellMar>
        </w:tblPrEx>
        <w:trPr>
          <w:trHeight w:val="240" w:hRule="atLeast"/>
        </w:trPr>
        <w:tc>
          <w:tcPr>
            <w:tcW w:w="3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000000"/>
                <w:sz w:val="18"/>
                <w:szCs w:val="18"/>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宋体" w:hAnsi="宋体" w:cs="宋体"/>
                <w:color w:val="000000"/>
                <w:sz w:val="18"/>
                <w:szCs w:val="18"/>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bottom"/>
          </w:tcPr>
          <w:p>
            <w:pPr>
              <w:widowControl/>
              <w:jc w:val="center"/>
              <w:textAlignment w:val="bottom"/>
              <w:rPr>
                <w:rFonts w:ascii="宋体" w:hAnsi="宋体" w:cs="宋体"/>
                <w:color w:val="000000"/>
                <w:sz w:val="18"/>
                <w:szCs w:val="18"/>
              </w:rPr>
            </w:pPr>
            <w:r>
              <w:rPr>
                <w:rFonts w:hint="eastAsia" w:ascii="宋体" w:hAnsi="宋体" w:cs="宋体"/>
                <w:color w:val="000000"/>
                <w:kern w:val="0"/>
                <w:sz w:val="18"/>
                <w:szCs w:val="18"/>
                <w:lang w:bidi="ar"/>
              </w:rPr>
              <w:t>账号管理</w:t>
            </w:r>
          </w:p>
        </w:tc>
        <w:tc>
          <w:tcPr>
            <w:tcW w:w="6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bottom"/>
          </w:tcPr>
          <w:p>
            <w:pPr>
              <w:widowControl/>
              <w:jc w:val="left"/>
              <w:textAlignment w:val="bottom"/>
              <w:rPr>
                <w:rFonts w:ascii="宋体" w:hAnsi="宋体" w:cs="宋体"/>
                <w:color w:val="000000"/>
                <w:sz w:val="18"/>
                <w:szCs w:val="18"/>
              </w:rPr>
            </w:pPr>
            <w:r>
              <w:rPr>
                <w:rFonts w:hint="eastAsia" w:ascii="宋体" w:hAnsi="宋体" w:cs="宋体"/>
                <w:color w:val="000000"/>
                <w:kern w:val="0"/>
                <w:sz w:val="18"/>
                <w:szCs w:val="18"/>
                <w:lang w:bidi="ar"/>
              </w:rPr>
              <w:t>人员与账号对应关系维护</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项</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r>
      <w:tr>
        <w:tblPrEx>
          <w:tblCellMar>
            <w:top w:w="0" w:type="dxa"/>
            <w:left w:w="0" w:type="dxa"/>
            <w:bottom w:w="0" w:type="dxa"/>
            <w:right w:w="0" w:type="dxa"/>
          </w:tblCellMar>
        </w:tblPrEx>
        <w:trPr>
          <w:trHeight w:val="240" w:hRule="atLeast"/>
        </w:trPr>
        <w:tc>
          <w:tcPr>
            <w:tcW w:w="3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000000"/>
                <w:sz w:val="18"/>
                <w:szCs w:val="18"/>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宋体" w:hAnsi="宋体" w:cs="宋体"/>
                <w:color w:val="000000"/>
                <w:sz w:val="18"/>
                <w:szCs w:val="18"/>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bottom"/>
          </w:tcPr>
          <w:p>
            <w:pPr>
              <w:widowControl/>
              <w:jc w:val="center"/>
              <w:textAlignment w:val="bottom"/>
              <w:rPr>
                <w:rFonts w:ascii="宋体" w:hAnsi="宋体" w:cs="宋体"/>
                <w:color w:val="000000"/>
                <w:sz w:val="18"/>
                <w:szCs w:val="18"/>
              </w:rPr>
            </w:pPr>
            <w:r>
              <w:rPr>
                <w:rFonts w:hint="eastAsia" w:ascii="宋体" w:hAnsi="宋体" w:cs="宋体"/>
                <w:color w:val="000000"/>
                <w:kern w:val="0"/>
                <w:sz w:val="18"/>
                <w:szCs w:val="18"/>
                <w:lang w:bidi="ar"/>
              </w:rPr>
              <w:t>接入系统管理</w:t>
            </w:r>
          </w:p>
        </w:tc>
        <w:tc>
          <w:tcPr>
            <w:tcW w:w="6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bottom"/>
          </w:tcPr>
          <w:p>
            <w:pPr>
              <w:widowControl/>
              <w:jc w:val="left"/>
              <w:textAlignment w:val="bottom"/>
              <w:rPr>
                <w:rFonts w:ascii="宋体" w:hAnsi="宋体" w:cs="宋体"/>
                <w:color w:val="000000"/>
                <w:sz w:val="18"/>
                <w:szCs w:val="18"/>
              </w:rPr>
            </w:pPr>
            <w:r>
              <w:rPr>
                <w:rFonts w:hint="eastAsia" w:ascii="宋体" w:hAnsi="宋体" w:cs="宋体"/>
                <w:color w:val="000000"/>
                <w:kern w:val="0"/>
                <w:sz w:val="18"/>
                <w:szCs w:val="18"/>
                <w:lang w:bidi="ar"/>
              </w:rPr>
              <w:t>各业务系统接入维护</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项</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r>
      <w:tr>
        <w:tblPrEx>
          <w:tblCellMar>
            <w:top w:w="0" w:type="dxa"/>
            <w:left w:w="0" w:type="dxa"/>
            <w:bottom w:w="0" w:type="dxa"/>
            <w:right w:w="0" w:type="dxa"/>
          </w:tblCellMar>
        </w:tblPrEx>
        <w:trPr>
          <w:trHeight w:val="240" w:hRule="atLeast"/>
        </w:trPr>
        <w:tc>
          <w:tcPr>
            <w:tcW w:w="3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000000"/>
                <w:sz w:val="18"/>
                <w:szCs w:val="18"/>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宋体" w:hAnsi="宋体" w:cs="宋体"/>
                <w:color w:val="000000"/>
                <w:sz w:val="18"/>
                <w:szCs w:val="18"/>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bottom"/>
          </w:tcPr>
          <w:p>
            <w:pPr>
              <w:widowControl/>
              <w:jc w:val="center"/>
              <w:textAlignment w:val="bottom"/>
              <w:rPr>
                <w:rFonts w:ascii="宋体" w:hAnsi="宋体" w:cs="宋体"/>
                <w:color w:val="000000"/>
                <w:sz w:val="18"/>
                <w:szCs w:val="18"/>
              </w:rPr>
            </w:pPr>
            <w:r>
              <w:rPr>
                <w:rFonts w:hint="eastAsia" w:ascii="宋体" w:hAnsi="宋体" w:cs="宋体"/>
                <w:color w:val="000000"/>
                <w:kern w:val="0"/>
                <w:sz w:val="18"/>
                <w:szCs w:val="18"/>
                <w:lang w:bidi="ar"/>
              </w:rPr>
              <w:t>功能及权限配置</w:t>
            </w:r>
          </w:p>
        </w:tc>
        <w:tc>
          <w:tcPr>
            <w:tcW w:w="6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bottom"/>
          </w:tcPr>
          <w:p>
            <w:pPr>
              <w:widowControl/>
              <w:jc w:val="left"/>
              <w:textAlignment w:val="bottom"/>
              <w:rPr>
                <w:rFonts w:ascii="宋体" w:hAnsi="宋体" w:cs="宋体"/>
                <w:color w:val="000000"/>
                <w:sz w:val="18"/>
                <w:szCs w:val="18"/>
              </w:rPr>
            </w:pPr>
            <w:r>
              <w:rPr>
                <w:rFonts w:hint="eastAsia" w:ascii="宋体" w:hAnsi="宋体" w:cs="宋体"/>
                <w:color w:val="000000"/>
                <w:kern w:val="0"/>
                <w:sz w:val="18"/>
                <w:szCs w:val="18"/>
                <w:lang w:bidi="ar"/>
              </w:rPr>
              <w:t>用户可使用功能和数据权限管理</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项</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r>
      <w:tr>
        <w:tblPrEx>
          <w:tblCellMar>
            <w:top w:w="0" w:type="dxa"/>
            <w:left w:w="0" w:type="dxa"/>
            <w:bottom w:w="0" w:type="dxa"/>
            <w:right w:w="0" w:type="dxa"/>
          </w:tblCellMar>
        </w:tblPrEx>
        <w:trPr>
          <w:trHeight w:val="240" w:hRule="atLeast"/>
        </w:trPr>
        <w:tc>
          <w:tcPr>
            <w:tcW w:w="3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000000"/>
                <w:sz w:val="18"/>
                <w:szCs w:val="18"/>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宋体" w:hAnsi="宋体" w:cs="宋体"/>
                <w:color w:val="000000"/>
                <w:sz w:val="18"/>
                <w:szCs w:val="18"/>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bottom"/>
          </w:tcPr>
          <w:p>
            <w:pPr>
              <w:widowControl/>
              <w:jc w:val="center"/>
              <w:textAlignment w:val="bottom"/>
              <w:rPr>
                <w:rFonts w:ascii="宋体" w:hAnsi="宋体" w:cs="宋体"/>
                <w:color w:val="000000"/>
                <w:sz w:val="18"/>
                <w:szCs w:val="18"/>
              </w:rPr>
            </w:pPr>
            <w:r>
              <w:rPr>
                <w:rFonts w:hint="eastAsia" w:ascii="宋体" w:hAnsi="宋体" w:cs="宋体"/>
                <w:color w:val="000000"/>
                <w:kern w:val="0"/>
                <w:sz w:val="18"/>
                <w:szCs w:val="18"/>
                <w:lang w:bidi="ar"/>
              </w:rPr>
              <w:t>使用日志</w:t>
            </w:r>
          </w:p>
        </w:tc>
        <w:tc>
          <w:tcPr>
            <w:tcW w:w="6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bottom"/>
          </w:tcPr>
          <w:p>
            <w:pPr>
              <w:widowControl/>
              <w:jc w:val="left"/>
              <w:textAlignment w:val="bottom"/>
              <w:rPr>
                <w:rFonts w:ascii="宋体" w:hAnsi="宋体" w:cs="等线"/>
                <w:color w:val="000000"/>
                <w:sz w:val="18"/>
                <w:szCs w:val="18"/>
              </w:rPr>
            </w:pPr>
            <w:r>
              <w:rPr>
                <w:rFonts w:ascii="宋体" w:hAnsi="宋体" w:cs="等线"/>
                <w:color w:val="000000"/>
                <w:kern w:val="0"/>
                <w:sz w:val="18"/>
                <w:szCs w:val="18"/>
                <w:lang w:bidi="ar"/>
              </w:rPr>
              <w:t>日志记录</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项</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r>
      <w:tr>
        <w:tblPrEx>
          <w:tblCellMar>
            <w:top w:w="0" w:type="dxa"/>
            <w:left w:w="0" w:type="dxa"/>
            <w:bottom w:w="0" w:type="dxa"/>
            <w:right w:w="0" w:type="dxa"/>
          </w:tblCellMar>
        </w:tblPrEx>
        <w:trPr>
          <w:trHeight w:val="240" w:hRule="atLeast"/>
        </w:trPr>
        <w:tc>
          <w:tcPr>
            <w:tcW w:w="3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000000"/>
                <w:sz w:val="18"/>
                <w:szCs w:val="18"/>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宋体" w:hAnsi="宋体" w:cs="宋体"/>
                <w:color w:val="000000"/>
                <w:sz w:val="18"/>
                <w:szCs w:val="18"/>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bottom"/>
          </w:tcPr>
          <w:p>
            <w:pPr>
              <w:widowControl/>
              <w:jc w:val="center"/>
              <w:textAlignment w:val="bottom"/>
              <w:rPr>
                <w:rFonts w:ascii="宋体" w:hAnsi="宋体" w:cs="宋体"/>
                <w:color w:val="000000"/>
                <w:sz w:val="18"/>
                <w:szCs w:val="18"/>
              </w:rPr>
            </w:pPr>
            <w:r>
              <w:rPr>
                <w:rFonts w:hint="eastAsia" w:ascii="宋体" w:hAnsi="宋体" w:cs="宋体"/>
                <w:color w:val="000000"/>
                <w:kern w:val="0"/>
                <w:sz w:val="18"/>
                <w:szCs w:val="18"/>
                <w:lang w:bidi="ar"/>
              </w:rPr>
              <w:t>系统账户接口</w:t>
            </w:r>
          </w:p>
        </w:tc>
        <w:tc>
          <w:tcPr>
            <w:tcW w:w="6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bottom"/>
          </w:tcPr>
          <w:p>
            <w:pPr>
              <w:widowControl/>
              <w:jc w:val="left"/>
              <w:textAlignment w:val="bottom"/>
              <w:rPr>
                <w:rFonts w:ascii="宋体" w:hAnsi="宋体" w:cs="宋体"/>
                <w:color w:val="000000"/>
                <w:sz w:val="18"/>
                <w:szCs w:val="18"/>
              </w:rPr>
            </w:pPr>
            <w:r>
              <w:rPr>
                <w:rFonts w:hint="eastAsia" w:ascii="宋体" w:hAnsi="宋体" w:cs="宋体"/>
                <w:color w:val="000000"/>
                <w:kern w:val="0"/>
                <w:sz w:val="18"/>
                <w:szCs w:val="18"/>
                <w:lang w:bidi="ar"/>
              </w:rPr>
              <w:t>系统账户接口</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项</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r>
      <w:tr>
        <w:tblPrEx>
          <w:tblCellMar>
            <w:top w:w="0" w:type="dxa"/>
            <w:left w:w="0" w:type="dxa"/>
            <w:bottom w:w="0" w:type="dxa"/>
            <w:right w:w="0" w:type="dxa"/>
          </w:tblCellMar>
        </w:tblPrEx>
        <w:trPr>
          <w:trHeight w:val="240" w:hRule="atLeast"/>
        </w:trPr>
        <w:tc>
          <w:tcPr>
            <w:tcW w:w="300"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c>
          <w:tcPr>
            <w:tcW w:w="57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指挥中心坐席终端授权</w:t>
            </w: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bottom"/>
          </w:tcPr>
          <w:p>
            <w:pPr>
              <w:widowControl/>
              <w:jc w:val="center"/>
              <w:textAlignment w:val="bottom"/>
              <w:rPr>
                <w:rFonts w:ascii="宋体" w:hAnsi="宋体" w:cs="宋体"/>
                <w:color w:val="000000"/>
                <w:sz w:val="18"/>
                <w:szCs w:val="18"/>
              </w:rPr>
            </w:pPr>
            <w:r>
              <w:rPr>
                <w:rFonts w:hint="eastAsia" w:ascii="宋体" w:hAnsi="宋体" w:cs="宋体"/>
                <w:color w:val="000000"/>
                <w:kern w:val="0"/>
                <w:sz w:val="18"/>
                <w:szCs w:val="18"/>
                <w:lang w:bidi="ar"/>
              </w:rPr>
              <w:t>用户登录</w:t>
            </w:r>
          </w:p>
        </w:tc>
        <w:tc>
          <w:tcPr>
            <w:tcW w:w="6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bottom"/>
          </w:tcPr>
          <w:p>
            <w:pPr>
              <w:widowControl/>
              <w:jc w:val="left"/>
              <w:textAlignment w:val="bottom"/>
              <w:rPr>
                <w:rFonts w:ascii="宋体" w:hAnsi="宋体" w:cs="宋体"/>
                <w:color w:val="000000"/>
                <w:sz w:val="18"/>
                <w:szCs w:val="18"/>
              </w:rPr>
            </w:pPr>
            <w:r>
              <w:rPr>
                <w:rFonts w:hint="eastAsia" w:ascii="宋体" w:hAnsi="宋体" w:cs="宋体"/>
                <w:color w:val="000000"/>
                <w:kern w:val="0"/>
                <w:sz w:val="18"/>
                <w:szCs w:val="18"/>
                <w:lang w:bidi="ar"/>
              </w:rPr>
              <w:t>用户登录</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项</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r>
      <w:tr>
        <w:tblPrEx>
          <w:tblCellMar>
            <w:top w:w="0" w:type="dxa"/>
            <w:left w:w="0" w:type="dxa"/>
            <w:bottom w:w="0" w:type="dxa"/>
            <w:right w:w="0" w:type="dxa"/>
          </w:tblCellMar>
        </w:tblPrEx>
        <w:trPr>
          <w:trHeight w:val="480" w:hRule="atLeast"/>
        </w:trPr>
        <w:tc>
          <w:tcPr>
            <w:tcW w:w="3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000000"/>
                <w:sz w:val="18"/>
                <w:szCs w:val="18"/>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宋体" w:hAnsi="宋体" w:cs="宋体"/>
                <w:color w:val="000000"/>
                <w:sz w:val="18"/>
                <w:szCs w:val="18"/>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bottom"/>
          </w:tcPr>
          <w:p>
            <w:pPr>
              <w:widowControl/>
              <w:jc w:val="center"/>
              <w:textAlignment w:val="bottom"/>
              <w:rPr>
                <w:rFonts w:ascii="宋体" w:hAnsi="宋体" w:cs="宋体"/>
                <w:color w:val="000000"/>
                <w:sz w:val="18"/>
                <w:szCs w:val="18"/>
              </w:rPr>
            </w:pPr>
            <w:r>
              <w:rPr>
                <w:rFonts w:hint="eastAsia" w:ascii="宋体" w:hAnsi="宋体" w:cs="宋体"/>
                <w:color w:val="000000"/>
                <w:kern w:val="0"/>
                <w:sz w:val="18"/>
                <w:szCs w:val="18"/>
                <w:lang w:bidi="ar"/>
              </w:rPr>
              <w:t>人脸识别验证模块</w:t>
            </w:r>
          </w:p>
        </w:tc>
        <w:tc>
          <w:tcPr>
            <w:tcW w:w="6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bottom"/>
          </w:tcPr>
          <w:p>
            <w:pPr>
              <w:widowControl/>
              <w:jc w:val="left"/>
              <w:textAlignment w:val="bottom"/>
              <w:rPr>
                <w:rFonts w:ascii="宋体" w:hAnsi="宋体" w:cs="宋体"/>
                <w:color w:val="000000"/>
                <w:sz w:val="18"/>
                <w:szCs w:val="18"/>
              </w:rPr>
            </w:pPr>
            <w:r>
              <w:rPr>
                <w:rFonts w:hint="eastAsia" w:ascii="宋体" w:hAnsi="宋体" w:cs="宋体"/>
                <w:color w:val="000000"/>
                <w:kern w:val="0"/>
                <w:sz w:val="18"/>
                <w:szCs w:val="18"/>
                <w:lang w:bidi="ar"/>
              </w:rPr>
              <w:t>人脸识别验证模块</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项</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r>
      <w:tr>
        <w:tblPrEx>
          <w:tblCellMar>
            <w:top w:w="0" w:type="dxa"/>
            <w:left w:w="0" w:type="dxa"/>
            <w:bottom w:w="0" w:type="dxa"/>
            <w:right w:w="0" w:type="dxa"/>
          </w:tblCellMar>
        </w:tblPrEx>
        <w:trPr>
          <w:trHeight w:val="480" w:hRule="atLeast"/>
        </w:trPr>
        <w:tc>
          <w:tcPr>
            <w:tcW w:w="3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000000"/>
                <w:sz w:val="18"/>
                <w:szCs w:val="18"/>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宋体" w:hAnsi="宋体" w:cs="宋体"/>
                <w:color w:val="000000"/>
                <w:sz w:val="18"/>
                <w:szCs w:val="18"/>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bottom"/>
          </w:tcPr>
          <w:p>
            <w:pPr>
              <w:widowControl/>
              <w:jc w:val="center"/>
              <w:textAlignment w:val="bottom"/>
              <w:rPr>
                <w:rFonts w:ascii="宋体" w:hAnsi="宋体" w:cs="宋体"/>
                <w:color w:val="000000"/>
                <w:sz w:val="18"/>
                <w:szCs w:val="18"/>
              </w:rPr>
            </w:pPr>
            <w:r>
              <w:rPr>
                <w:rFonts w:hint="eastAsia" w:ascii="宋体" w:hAnsi="宋体" w:cs="宋体"/>
                <w:color w:val="000000"/>
                <w:kern w:val="0"/>
                <w:sz w:val="18"/>
                <w:szCs w:val="18"/>
                <w:lang w:bidi="ar"/>
              </w:rPr>
              <w:t>业务系统选择入口</w:t>
            </w:r>
          </w:p>
        </w:tc>
        <w:tc>
          <w:tcPr>
            <w:tcW w:w="6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bottom"/>
          </w:tcPr>
          <w:p>
            <w:pPr>
              <w:widowControl/>
              <w:jc w:val="left"/>
              <w:textAlignment w:val="bottom"/>
              <w:rPr>
                <w:rFonts w:ascii="宋体" w:hAnsi="宋体" w:cs="宋体"/>
                <w:color w:val="000000"/>
                <w:sz w:val="18"/>
                <w:szCs w:val="18"/>
              </w:rPr>
            </w:pPr>
            <w:r>
              <w:rPr>
                <w:rFonts w:hint="eastAsia" w:ascii="宋体" w:hAnsi="宋体" w:cs="宋体"/>
                <w:color w:val="000000"/>
                <w:kern w:val="0"/>
                <w:sz w:val="18"/>
                <w:szCs w:val="18"/>
                <w:lang w:bidi="ar"/>
              </w:rPr>
              <w:t>业务系统选择入口</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项</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r>
      <w:tr>
        <w:tblPrEx>
          <w:tblCellMar>
            <w:top w:w="0" w:type="dxa"/>
            <w:left w:w="0" w:type="dxa"/>
            <w:bottom w:w="0" w:type="dxa"/>
            <w:right w:w="0" w:type="dxa"/>
          </w:tblCellMar>
        </w:tblPrEx>
        <w:trPr>
          <w:trHeight w:val="480" w:hRule="atLeast"/>
        </w:trPr>
        <w:tc>
          <w:tcPr>
            <w:tcW w:w="3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000000"/>
                <w:sz w:val="18"/>
                <w:szCs w:val="18"/>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宋体" w:hAnsi="宋体" w:cs="宋体"/>
                <w:color w:val="000000"/>
                <w:sz w:val="18"/>
                <w:szCs w:val="18"/>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bottom"/>
          </w:tcPr>
          <w:p>
            <w:pPr>
              <w:widowControl/>
              <w:jc w:val="center"/>
              <w:textAlignment w:val="bottom"/>
              <w:rPr>
                <w:rFonts w:ascii="宋体" w:hAnsi="宋体" w:cs="宋体"/>
                <w:color w:val="000000"/>
                <w:sz w:val="18"/>
                <w:szCs w:val="18"/>
              </w:rPr>
            </w:pPr>
            <w:r>
              <w:rPr>
                <w:rFonts w:hint="eastAsia" w:ascii="宋体" w:hAnsi="宋体" w:cs="宋体"/>
                <w:color w:val="000000"/>
                <w:kern w:val="0"/>
                <w:sz w:val="18"/>
                <w:szCs w:val="18"/>
                <w:lang w:bidi="ar"/>
              </w:rPr>
              <w:t>业务系统统一认证模块</w:t>
            </w:r>
          </w:p>
        </w:tc>
        <w:tc>
          <w:tcPr>
            <w:tcW w:w="6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bottom"/>
          </w:tcPr>
          <w:p>
            <w:pPr>
              <w:widowControl/>
              <w:jc w:val="left"/>
              <w:textAlignment w:val="bottom"/>
              <w:rPr>
                <w:rFonts w:ascii="宋体" w:hAnsi="宋体" w:cs="宋体"/>
                <w:color w:val="000000"/>
                <w:sz w:val="18"/>
                <w:szCs w:val="18"/>
              </w:rPr>
            </w:pPr>
            <w:r>
              <w:rPr>
                <w:rFonts w:hint="eastAsia" w:ascii="宋体" w:hAnsi="宋体" w:cs="宋体"/>
                <w:color w:val="000000"/>
                <w:kern w:val="0"/>
                <w:sz w:val="18"/>
                <w:szCs w:val="18"/>
                <w:lang w:bidi="ar"/>
              </w:rPr>
              <w:t>业务系统统一认证模块</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项</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r>
      <w:tr>
        <w:tblPrEx>
          <w:tblCellMar>
            <w:top w:w="0" w:type="dxa"/>
            <w:left w:w="0" w:type="dxa"/>
            <w:bottom w:w="0" w:type="dxa"/>
            <w:right w:w="0" w:type="dxa"/>
          </w:tblCellMar>
        </w:tblPrEx>
        <w:trPr>
          <w:trHeight w:val="480" w:hRule="atLeast"/>
        </w:trPr>
        <w:tc>
          <w:tcPr>
            <w:tcW w:w="300"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w:t>
            </w:r>
          </w:p>
        </w:tc>
        <w:tc>
          <w:tcPr>
            <w:tcW w:w="57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指挥中心坐席控制系统</w:t>
            </w: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bottom"/>
          </w:tcPr>
          <w:p>
            <w:pPr>
              <w:widowControl/>
              <w:jc w:val="center"/>
              <w:textAlignment w:val="bottom"/>
              <w:rPr>
                <w:rFonts w:ascii="宋体" w:hAnsi="宋体" w:cs="宋体"/>
                <w:color w:val="000000"/>
                <w:sz w:val="18"/>
                <w:szCs w:val="18"/>
              </w:rPr>
            </w:pPr>
            <w:r>
              <w:rPr>
                <w:rFonts w:hint="eastAsia" w:ascii="宋体" w:hAnsi="宋体" w:cs="宋体"/>
                <w:color w:val="000000"/>
                <w:kern w:val="0"/>
                <w:sz w:val="18"/>
                <w:szCs w:val="18"/>
                <w:lang w:bidi="ar"/>
              </w:rPr>
              <w:t>大屏展示内容切换</w:t>
            </w:r>
          </w:p>
        </w:tc>
        <w:tc>
          <w:tcPr>
            <w:tcW w:w="6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bottom"/>
          </w:tcPr>
          <w:p>
            <w:pPr>
              <w:widowControl/>
              <w:jc w:val="left"/>
              <w:textAlignment w:val="bottom"/>
              <w:rPr>
                <w:rFonts w:ascii="宋体" w:hAnsi="宋体" w:cs="宋体"/>
                <w:color w:val="000000"/>
                <w:sz w:val="18"/>
                <w:szCs w:val="18"/>
              </w:rPr>
            </w:pPr>
            <w:r>
              <w:rPr>
                <w:rFonts w:hint="eastAsia" w:ascii="宋体" w:hAnsi="宋体" w:cs="宋体"/>
                <w:color w:val="000000"/>
                <w:kern w:val="0"/>
                <w:sz w:val="18"/>
                <w:szCs w:val="18"/>
                <w:lang w:bidi="ar"/>
              </w:rPr>
              <w:t>大屏展示内容切换</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项</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r>
      <w:tr>
        <w:tblPrEx>
          <w:tblCellMar>
            <w:top w:w="0" w:type="dxa"/>
            <w:left w:w="0" w:type="dxa"/>
            <w:bottom w:w="0" w:type="dxa"/>
            <w:right w:w="0" w:type="dxa"/>
          </w:tblCellMar>
        </w:tblPrEx>
        <w:trPr>
          <w:trHeight w:val="240" w:hRule="atLeast"/>
        </w:trPr>
        <w:tc>
          <w:tcPr>
            <w:tcW w:w="3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000000"/>
                <w:sz w:val="18"/>
                <w:szCs w:val="18"/>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宋体" w:hAnsi="宋体" w:cs="宋体"/>
                <w:color w:val="000000"/>
                <w:sz w:val="18"/>
                <w:szCs w:val="18"/>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bottom"/>
          </w:tcPr>
          <w:p>
            <w:pPr>
              <w:widowControl/>
              <w:jc w:val="left"/>
              <w:textAlignment w:val="bottom"/>
              <w:rPr>
                <w:rFonts w:ascii="宋体" w:hAnsi="宋体" w:cs="宋体"/>
                <w:color w:val="000000"/>
                <w:sz w:val="18"/>
                <w:szCs w:val="18"/>
              </w:rPr>
            </w:pPr>
            <w:r>
              <w:rPr>
                <w:rFonts w:hint="eastAsia" w:ascii="宋体" w:hAnsi="宋体" w:cs="宋体"/>
                <w:color w:val="000000"/>
                <w:kern w:val="0"/>
                <w:sz w:val="18"/>
                <w:szCs w:val="18"/>
                <w:lang w:bidi="ar"/>
              </w:rPr>
              <w:t>音响系统控制</w:t>
            </w:r>
          </w:p>
        </w:tc>
        <w:tc>
          <w:tcPr>
            <w:tcW w:w="6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bottom"/>
          </w:tcPr>
          <w:p>
            <w:pPr>
              <w:widowControl/>
              <w:jc w:val="left"/>
              <w:textAlignment w:val="bottom"/>
              <w:rPr>
                <w:rFonts w:ascii="宋体" w:hAnsi="宋体" w:cs="宋体"/>
                <w:color w:val="000000"/>
                <w:sz w:val="18"/>
                <w:szCs w:val="18"/>
              </w:rPr>
            </w:pPr>
            <w:r>
              <w:rPr>
                <w:rFonts w:hint="eastAsia" w:ascii="宋体" w:hAnsi="宋体" w:cs="宋体"/>
                <w:color w:val="000000"/>
                <w:kern w:val="0"/>
                <w:sz w:val="18"/>
                <w:szCs w:val="18"/>
                <w:lang w:bidi="ar"/>
              </w:rPr>
              <w:t>音响系统控制</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项</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r>
      <w:tr>
        <w:tblPrEx>
          <w:tblCellMar>
            <w:top w:w="0" w:type="dxa"/>
            <w:left w:w="0" w:type="dxa"/>
            <w:bottom w:w="0" w:type="dxa"/>
            <w:right w:w="0" w:type="dxa"/>
          </w:tblCellMar>
        </w:tblPrEx>
        <w:trPr>
          <w:trHeight w:val="240" w:hRule="atLeast"/>
        </w:trPr>
        <w:tc>
          <w:tcPr>
            <w:tcW w:w="3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000000"/>
                <w:sz w:val="18"/>
                <w:szCs w:val="18"/>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宋体" w:hAnsi="宋体" w:cs="宋体"/>
                <w:color w:val="000000"/>
                <w:sz w:val="18"/>
                <w:szCs w:val="18"/>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bottom"/>
          </w:tcPr>
          <w:p>
            <w:pPr>
              <w:widowControl/>
              <w:jc w:val="left"/>
              <w:textAlignment w:val="bottom"/>
              <w:rPr>
                <w:rFonts w:ascii="宋体" w:hAnsi="宋体" w:cs="宋体"/>
                <w:color w:val="000000"/>
                <w:sz w:val="18"/>
                <w:szCs w:val="18"/>
              </w:rPr>
            </w:pPr>
            <w:r>
              <w:rPr>
                <w:rFonts w:hint="eastAsia" w:ascii="宋体" w:hAnsi="宋体" w:cs="宋体"/>
                <w:color w:val="000000"/>
                <w:kern w:val="0"/>
                <w:sz w:val="18"/>
                <w:szCs w:val="18"/>
                <w:lang w:bidi="ar"/>
              </w:rPr>
              <w:t>照明系统控制</w:t>
            </w:r>
          </w:p>
        </w:tc>
        <w:tc>
          <w:tcPr>
            <w:tcW w:w="6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bottom"/>
          </w:tcPr>
          <w:p>
            <w:pPr>
              <w:widowControl/>
              <w:jc w:val="left"/>
              <w:textAlignment w:val="bottom"/>
              <w:rPr>
                <w:rFonts w:ascii="宋体" w:hAnsi="宋体" w:cs="宋体"/>
                <w:color w:val="000000"/>
                <w:sz w:val="18"/>
                <w:szCs w:val="18"/>
              </w:rPr>
            </w:pPr>
            <w:r>
              <w:rPr>
                <w:rFonts w:hint="eastAsia" w:ascii="宋体" w:hAnsi="宋体" w:cs="宋体"/>
                <w:color w:val="000000"/>
                <w:kern w:val="0"/>
                <w:sz w:val="18"/>
                <w:szCs w:val="18"/>
                <w:lang w:bidi="ar"/>
              </w:rPr>
              <w:t>照明系统控制</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项</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r>
      <w:tr>
        <w:tblPrEx>
          <w:tblCellMar>
            <w:top w:w="0" w:type="dxa"/>
            <w:left w:w="0" w:type="dxa"/>
            <w:bottom w:w="0" w:type="dxa"/>
            <w:right w:w="0" w:type="dxa"/>
          </w:tblCellMar>
        </w:tblPrEx>
        <w:trPr>
          <w:trHeight w:val="240" w:hRule="atLeast"/>
        </w:trPr>
        <w:tc>
          <w:tcPr>
            <w:tcW w:w="3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000000"/>
                <w:sz w:val="18"/>
                <w:szCs w:val="18"/>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宋体" w:hAnsi="宋体" w:cs="宋体"/>
                <w:color w:val="000000"/>
                <w:sz w:val="18"/>
                <w:szCs w:val="18"/>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bottom"/>
          </w:tcPr>
          <w:p>
            <w:pPr>
              <w:widowControl/>
              <w:jc w:val="left"/>
              <w:textAlignment w:val="bottom"/>
              <w:rPr>
                <w:rFonts w:ascii="宋体" w:hAnsi="宋体" w:cs="宋体"/>
                <w:color w:val="000000"/>
                <w:sz w:val="18"/>
                <w:szCs w:val="18"/>
              </w:rPr>
            </w:pPr>
            <w:r>
              <w:rPr>
                <w:rFonts w:hint="eastAsia" w:ascii="宋体" w:hAnsi="宋体" w:cs="宋体"/>
                <w:color w:val="000000"/>
                <w:kern w:val="0"/>
                <w:sz w:val="18"/>
                <w:szCs w:val="18"/>
                <w:lang w:bidi="ar"/>
              </w:rPr>
              <w:t>空调系统控制</w:t>
            </w:r>
          </w:p>
        </w:tc>
        <w:tc>
          <w:tcPr>
            <w:tcW w:w="6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bottom"/>
          </w:tcPr>
          <w:p>
            <w:pPr>
              <w:widowControl/>
              <w:jc w:val="left"/>
              <w:textAlignment w:val="bottom"/>
              <w:rPr>
                <w:rFonts w:ascii="宋体" w:hAnsi="宋体" w:cs="宋体"/>
                <w:color w:val="000000"/>
                <w:sz w:val="18"/>
                <w:szCs w:val="18"/>
              </w:rPr>
            </w:pPr>
            <w:r>
              <w:rPr>
                <w:rFonts w:hint="eastAsia" w:ascii="宋体" w:hAnsi="宋体" w:cs="宋体"/>
                <w:color w:val="000000"/>
                <w:kern w:val="0"/>
                <w:sz w:val="18"/>
                <w:szCs w:val="18"/>
                <w:lang w:bidi="ar"/>
              </w:rPr>
              <w:t>空调系统控制</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项</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r>
      <w:tr>
        <w:tblPrEx>
          <w:tblCellMar>
            <w:top w:w="0" w:type="dxa"/>
            <w:left w:w="0" w:type="dxa"/>
            <w:bottom w:w="0" w:type="dxa"/>
            <w:right w:w="0" w:type="dxa"/>
          </w:tblCellMar>
        </w:tblPrEx>
        <w:trPr>
          <w:trHeight w:val="240" w:hRule="atLeast"/>
        </w:trPr>
        <w:tc>
          <w:tcPr>
            <w:tcW w:w="3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000000"/>
                <w:sz w:val="18"/>
                <w:szCs w:val="18"/>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宋体" w:hAnsi="宋体" w:cs="宋体"/>
                <w:color w:val="000000"/>
                <w:sz w:val="18"/>
                <w:szCs w:val="18"/>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bottom"/>
          </w:tcPr>
          <w:p>
            <w:pPr>
              <w:widowControl/>
              <w:jc w:val="left"/>
              <w:textAlignment w:val="bottom"/>
              <w:rPr>
                <w:rFonts w:ascii="宋体" w:hAnsi="宋体" w:cs="宋体"/>
                <w:color w:val="000000"/>
                <w:sz w:val="18"/>
                <w:szCs w:val="18"/>
              </w:rPr>
            </w:pPr>
            <w:r>
              <w:rPr>
                <w:rFonts w:hint="eastAsia" w:ascii="宋体" w:hAnsi="宋体" w:cs="宋体"/>
                <w:color w:val="000000"/>
                <w:kern w:val="0"/>
                <w:sz w:val="18"/>
                <w:szCs w:val="18"/>
                <w:lang w:bidi="ar"/>
              </w:rPr>
              <w:t>门禁控制系统</w:t>
            </w:r>
          </w:p>
        </w:tc>
        <w:tc>
          <w:tcPr>
            <w:tcW w:w="6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bottom"/>
          </w:tcPr>
          <w:p>
            <w:pPr>
              <w:widowControl/>
              <w:jc w:val="left"/>
              <w:textAlignment w:val="bottom"/>
              <w:rPr>
                <w:rFonts w:ascii="宋体" w:hAnsi="宋体" w:cs="宋体"/>
                <w:color w:val="000000"/>
                <w:sz w:val="18"/>
                <w:szCs w:val="18"/>
              </w:rPr>
            </w:pPr>
            <w:r>
              <w:rPr>
                <w:rFonts w:hint="eastAsia" w:ascii="宋体" w:hAnsi="宋体" w:cs="宋体"/>
                <w:color w:val="000000"/>
                <w:kern w:val="0"/>
                <w:sz w:val="18"/>
                <w:szCs w:val="18"/>
                <w:lang w:bidi="ar"/>
              </w:rPr>
              <w:t>门禁控制系统</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项</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r>
      <w:tr>
        <w:tblPrEx>
          <w:tblCellMar>
            <w:top w:w="0" w:type="dxa"/>
            <w:left w:w="0" w:type="dxa"/>
            <w:bottom w:w="0" w:type="dxa"/>
            <w:right w:w="0" w:type="dxa"/>
          </w:tblCellMar>
        </w:tblPrEx>
        <w:trPr>
          <w:trHeight w:val="480" w:hRule="atLeast"/>
        </w:trPr>
        <w:tc>
          <w:tcPr>
            <w:tcW w:w="300"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w:t>
            </w:r>
          </w:p>
        </w:tc>
        <w:tc>
          <w:tcPr>
            <w:tcW w:w="57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指挥中心数据融合展示系统</w:t>
            </w: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bottom"/>
          </w:tcPr>
          <w:p>
            <w:pPr>
              <w:widowControl/>
              <w:jc w:val="left"/>
              <w:textAlignment w:val="bottom"/>
              <w:rPr>
                <w:rFonts w:ascii="宋体" w:hAnsi="宋体" w:cs="宋体"/>
                <w:color w:val="000000"/>
                <w:sz w:val="18"/>
                <w:szCs w:val="18"/>
              </w:rPr>
            </w:pPr>
            <w:r>
              <w:rPr>
                <w:rFonts w:hint="eastAsia" w:ascii="宋体" w:hAnsi="宋体" w:cs="宋体"/>
                <w:color w:val="000000"/>
                <w:kern w:val="0"/>
                <w:sz w:val="18"/>
                <w:szCs w:val="18"/>
                <w:lang w:bidi="ar"/>
              </w:rPr>
              <w:t>一级数据展示内容定制</w:t>
            </w:r>
          </w:p>
        </w:tc>
        <w:tc>
          <w:tcPr>
            <w:tcW w:w="6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bottom"/>
          </w:tcPr>
          <w:p>
            <w:pPr>
              <w:widowControl/>
              <w:jc w:val="left"/>
              <w:textAlignment w:val="bottom"/>
              <w:rPr>
                <w:rFonts w:ascii="宋体" w:hAnsi="宋体" w:cs="宋体"/>
                <w:color w:val="000000"/>
                <w:sz w:val="18"/>
                <w:szCs w:val="18"/>
              </w:rPr>
            </w:pPr>
            <w:r>
              <w:rPr>
                <w:rFonts w:hint="eastAsia" w:ascii="宋体" w:hAnsi="宋体" w:cs="宋体"/>
                <w:color w:val="000000"/>
                <w:kern w:val="0"/>
                <w:sz w:val="18"/>
                <w:szCs w:val="18"/>
                <w:lang w:bidi="ar"/>
              </w:rPr>
              <w:t>综合大屏内容显示</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项</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r>
      <w:tr>
        <w:tblPrEx>
          <w:tblCellMar>
            <w:top w:w="0" w:type="dxa"/>
            <w:left w:w="0" w:type="dxa"/>
            <w:bottom w:w="0" w:type="dxa"/>
            <w:right w:w="0" w:type="dxa"/>
          </w:tblCellMar>
        </w:tblPrEx>
        <w:trPr>
          <w:trHeight w:val="480" w:hRule="atLeast"/>
        </w:trPr>
        <w:tc>
          <w:tcPr>
            <w:tcW w:w="3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000000"/>
                <w:sz w:val="18"/>
                <w:szCs w:val="18"/>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宋体" w:hAnsi="宋体" w:cs="宋体"/>
                <w:color w:val="000000"/>
                <w:sz w:val="18"/>
                <w:szCs w:val="18"/>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bottom"/>
          </w:tcPr>
          <w:p>
            <w:pPr>
              <w:widowControl/>
              <w:jc w:val="left"/>
              <w:textAlignment w:val="bottom"/>
              <w:rPr>
                <w:rFonts w:ascii="宋体" w:hAnsi="宋体" w:cs="宋体"/>
                <w:color w:val="000000"/>
                <w:sz w:val="18"/>
                <w:szCs w:val="18"/>
              </w:rPr>
            </w:pPr>
            <w:r>
              <w:rPr>
                <w:rFonts w:hint="eastAsia" w:ascii="宋体" w:hAnsi="宋体" w:cs="宋体"/>
                <w:color w:val="000000"/>
                <w:kern w:val="0"/>
                <w:sz w:val="18"/>
                <w:szCs w:val="18"/>
                <w:lang w:bidi="ar"/>
              </w:rPr>
              <w:t>二级数据钻取内容展示定制</w:t>
            </w:r>
          </w:p>
        </w:tc>
        <w:tc>
          <w:tcPr>
            <w:tcW w:w="6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bottom"/>
          </w:tcPr>
          <w:p>
            <w:pPr>
              <w:widowControl/>
              <w:jc w:val="left"/>
              <w:textAlignment w:val="bottom"/>
              <w:rPr>
                <w:rFonts w:ascii="宋体" w:hAnsi="宋体" w:cs="宋体"/>
                <w:color w:val="000000"/>
                <w:sz w:val="18"/>
                <w:szCs w:val="18"/>
              </w:rPr>
            </w:pPr>
            <w:r>
              <w:rPr>
                <w:rFonts w:hint="eastAsia" w:ascii="宋体" w:hAnsi="宋体" w:cs="宋体"/>
                <w:color w:val="000000"/>
                <w:kern w:val="0"/>
                <w:sz w:val="18"/>
                <w:szCs w:val="18"/>
                <w:lang w:bidi="ar"/>
              </w:rPr>
              <w:t>二级数据钻取内容展示定制</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项</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r>
      <w:tr>
        <w:tblPrEx>
          <w:tblCellMar>
            <w:top w:w="0" w:type="dxa"/>
            <w:left w:w="0" w:type="dxa"/>
            <w:bottom w:w="0" w:type="dxa"/>
            <w:right w:w="0" w:type="dxa"/>
          </w:tblCellMar>
        </w:tblPrEx>
        <w:trPr>
          <w:trHeight w:val="480" w:hRule="atLeast"/>
        </w:trPr>
        <w:tc>
          <w:tcPr>
            <w:tcW w:w="3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000000"/>
                <w:sz w:val="18"/>
                <w:szCs w:val="18"/>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宋体" w:hAnsi="宋体" w:cs="宋体"/>
                <w:color w:val="000000"/>
                <w:sz w:val="18"/>
                <w:szCs w:val="18"/>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bottom"/>
          </w:tcPr>
          <w:p>
            <w:pPr>
              <w:widowControl/>
              <w:jc w:val="left"/>
              <w:textAlignment w:val="bottom"/>
              <w:rPr>
                <w:rFonts w:ascii="宋体" w:hAnsi="宋体" w:cs="宋体"/>
                <w:color w:val="000000"/>
                <w:sz w:val="18"/>
                <w:szCs w:val="18"/>
              </w:rPr>
            </w:pPr>
            <w:r>
              <w:rPr>
                <w:rFonts w:hint="eastAsia" w:ascii="宋体" w:hAnsi="宋体" w:cs="宋体"/>
                <w:color w:val="000000"/>
                <w:kern w:val="0"/>
                <w:sz w:val="18"/>
                <w:szCs w:val="18"/>
                <w:lang w:bidi="ar"/>
              </w:rPr>
              <w:t>分屏信息展示内容配置</w:t>
            </w:r>
          </w:p>
        </w:tc>
        <w:tc>
          <w:tcPr>
            <w:tcW w:w="6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bottom"/>
          </w:tcPr>
          <w:p>
            <w:pPr>
              <w:widowControl/>
              <w:jc w:val="left"/>
              <w:textAlignment w:val="bottom"/>
              <w:rPr>
                <w:rFonts w:ascii="宋体" w:hAnsi="宋体" w:cs="宋体"/>
                <w:color w:val="000000"/>
                <w:sz w:val="18"/>
                <w:szCs w:val="18"/>
              </w:rPr>
            </w:pPr>
            <w:r>
              <w:rPr>
                <w:rFonts w:hint="eastAsia" w:ascii="宋体" w:hAnsi="宋体" w:cs="宋体"/>
                <w:color w:val="000000"/>
                <w:kern w:val="0"/>
                <w:sz w:val="18"/>
                <w:szCs w:val="18"/>
                <w:lang w:bidi="ar"/>
              </w:rPr>
              <w:t>大屏内容分主题内容分屏显示设定</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项</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r>
      <w:tr>
        <w:tblPrEx>
          <w:tblCellMar>
            <w:top w:w="0" w:type="dxa"/>
            <w:left w:w="0" w:type="dxa"/>
            <w:bottom w:w="0" w:type="dxa"/>
            <w:right w:w="0" w:type="dxa"/>
          </w:tblCellMar>
        </w:tblPrEx>
        <w:trPr>
          <w:trHeight w:val="240" w:hRule="atLeast"/>
        </w:trPr>
        <w:tc>
          <w:tcPr>
            <w:tcW w:w="3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000000"/>
                <w:sz w:val="18"/>
                <w:szCs w:val="18"/>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宋体" w:hAnsi="宋体" w:cs="宋体"/>
                <w:color w:val="000000"/>
                <w:sz w:val="18"/>
                <w:szCs w:val="18"/>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bottom"/>
          </w:tcPr>
          <w:p>
            <w:pPr>
              <w:widowControl/>
              <w:jc w:val="left"/>
              <w:textAlignment w:val="bottom"/>
              <w:rPr>
                <w:rFonts w:ascii="宋体" w:hAnsi="宋体" w:cs="宋体"/>
                <w:color w:val="000000"/>
                <w:sz w:val="18"/>
                <w:szCs w:val="18"/>
              </w:rPr>
            </w:pPr>
            <w:r>
              <w:rPr>
                <w:rFonts w:hint="eastAsia" w:ascii="宋体" w:hAnsi="宋体" w:cs="宋体"/>
                <w:color w:val="000000"/>
                <w:kern w:val="0"/>
                <w:sz w:val="18"/>
                <w:szCs w:val="18"/>
                <w:lang w:bidi="ar"/>
              </w:rPr>
              <w:t>数据预处理引擎</w:t>
            </w:r>
          </w:p>
        </w:tc>
        <w:tc>
          <w:tcPr>
            <w:tcW w:w="6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bottom"/>
          </w:tcPr>
          <w:p>
            <w:pPr>
              <w:widowControl/>
              <w:jc w:val="left"/>
              <w:textAlignment w:val="bottom"/>
              <w:rPr>
                <w:rFonts w:ascii="宋体" w:hAnsi="宋体" w:cs="宋体"/>
                <w:color w:val="000000"/>
                <w:sz w:val="18"/>
                <w:szCs w:val="18"/>
              </w:rPr>
            </w:pPr>
            <w:r>
              <w:rPr>
                <w:rFonts w:hint="eastAsia" w:ascii="宋体" w:hAnsi="宋体" w:cs="宋体"/>
                <w:color w:val="000000"/>
                <w:kern w:val="0"/>
                <w:sz w:val="18"/>
                <w:szCs w:val="18"/>
                <w:lang w:bidi="ar"/>
              </w:rPr>
              <w:t>展示数据信息前置处理模块</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项</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r>
      <w:tr>
        <w:tblPrEx>
          <w:tblCellMar>
            <w:top w:w="0" w:type="dxa"/>
            <w:left w:w="0" w:type="dxa"/>
            <w:bottom w:w="0" w:type="dxa"/>
            <w:right w:w="0" w:type="dxa"/>
          </w:tblCellMar>
        </w:tblPrEx>
        <w:trPr>
          <w:trHeight w:val="240" w:hRule="atLeast"/>
        </w:trPr>
        <w:tc>
          <w:tcPr>
            <w:tcW w:w="3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000000"/>
                <w:sz w:val="18"/>
                <w:szCs w:val="18"/>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宋体" w:hAnsi="宋体" w:cs="宋体"/>
                <w:color w:val="000000"/>
                <w:sz w:val="18"/>
                <w:szCs w:val="18"/>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bottom"/>
          </w:tcPr>
          <w:p>
            <w:pPr>
              <w:widowControl/>
              <w:jc w:val="left"/>
              <w:textAlignment w:val="bottom"/>
              <w:rPr>
                <w:rFonts w:ascii="宋体" w:hAnsi="宋体" w:cs="宋体"/>
                <w:color w:val="000000"/>
                <w:sz w:val="18"/>
                <w:szCs w:val="18"/>
              </w:rPr>
            </w:pPr>
            <w:r>
              <w:rPr>
                <w:rFonts w:hint="eastAsia" w:ascii="宋体" w:hAnsi="宋体" w:cs="宋体"/>
                <w:color w:val="000000"/>
                <w:kern w:val="0"/>
                <w:sz w:val="18"/>
                <w:szCs w:val="18"/>
                <w:lang w:bidi="ar"/>
              </w:rPr>
              <w:t>数据融合引擎</w:t>
            </w:r>
          </w:p>
        </w:tc>
        <w:tc>
          <w:tcPr>
            <w:tcW w:w="6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bottom"/>
          </w:tcPr>
          <w:p>
            <w:pPr>
              <w:widowControl/>
              <w:jc w:val="left"/>
              <w:textAlignment w:val="bottom"/>
              <w:rPr>
                <w:rFonts w:ascii="宋体" w:hAnsi="宋体" w:cs="宋体"/>
                <w:color w:val="000000"/>
                <w:sz w:val="18"/>
                <w:szCs w:val="18"/>
              </w:rPr>
            </w:pPr>
            <w:r>
              <w:rPr>
                <w:rFonts w:hint="eastAsia" w:ascii="宋体" w:hAnsi="宋体" w:cs="宋体"/>
                <w:color w:val="000000"/>
                <w:kern w:val="0"/>
                <w:sz w:val="18"/>
                <w:szCs w:val="18"/>
                <w:lang w:bidi="ar"/>
              </w:rPr>
              <w:t>多业务系统融合展示设置</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项</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r>
      <w:tr>
        <w:tblPrEx>
          <w:tblCellMar>
            <w:top w:w="0" w:type="dxa"/>
            <w:left w:w="0" w:type="dxa"/>
            <w:bottom w:w="0" w:type="dxa"/>
            <w:right w:w="0" w:type="dxa"/>
          </w:tblCellMar>
        </w:tblPrEx>
        <w:trPr>
          <w:trHeight w:val="480" w:hRule="atLeast"/>
        </w:trPr>
        <w:tc>
          <w:tcPr>
            <w:tcW w:w="3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000000"/>
                <w:sz w:val="18"/>
                <w:szCs w:val="18"/>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宋体" w:hAnsi="宋体" w:cs="宋体"/>
                <w:color w:val="000000"/>
                <w:sz w:val="18"/>
                <w:szCs w:val="18"/>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bottom"/>
          </w:tcPr>
          <w:p>
            <w:pPr>
              <w:widowControl/>
              <w:jc w:val="left"/>
              <w:textAlignment w:val="bottom"/>
              <w:rPr>
                <w:rFonts w:ascii="宋体" w:hAnsi="宋体" w:cs="宋体"/>
                <w:color w:val="000000"/>
                <w:sz w:val="18"/>
                <w:szCs w:val="18"/>
              </w:rPr>
            </w:pPr>
            <w:r>
              <w:rPr>
                <w:rFonts w:hint="eastAsia" w:ascii="宋体" w:hAnsi="宋体" w:cs="宋体"/>
                <w:color w:val="000000"/>
                <w:kern w:val="0"/>
                <w:sz w:val="18"/>
                <w:szCs w:val="18"/>
                <w:lang w:bidi="ar"/>
              </w:rPr>
              <w:t>数据预警模式管理</w:t>
            </w:r>
          </w:p>
        </w:tc>
        <w:tc>
          <w:tcPr>
            <w:tcW w:w="6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bottom"/>
          </w:tcPr>
          <w:p>
            <w:pPr>
              <w:widowControl/>
              <w:jc w:val="left"/>
              <w:textAlignment w:val="bottom"/>
              <w:rPr>
                <w:rFonts w:ascii="宋体" w:hAnsi="宋体" w:cs="宋体"/>
                <w:color w:val="000000"/>
                <w:sz w:val="18"/>
                <w:szCs w:val="18"/>
              </w:rPr>
            </w:pPr>
            <w:r>
              <w:rPr>
                <w:rFonts w:hint="eastAsia" w:ascii="宋体" w:hAnsi="宋体" w:cs="宋体"/>
                <w:color w:val="000000"/>
                <w:kern w:val="0"/>
                <w:sz w:val="18"/>
                <w:szCs w:val="18"/>
                <w:lang w:bidi="ar"/>
              </w:rPr>
              <w:t>异常数据触发模式设定（短信、警灯、消息推送）</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项</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r>
      <w:tr>
        <w:tblPrEx>
          <w:tblCellMar>
            <w:top w:w="0" w:type="dxa"/>
            <w:left w:w="0" w:type="dxa"/>
            <w:bottom w:w="0" w:type="dxa"/>
            <w:right w:w="0" w:type="dxa"/>
          </w:tblCellMar>
        </w:tblPrEx>
        <w:trPr>
          <w:trHeight w:val="480" w:hRule="atLeast"/>
        </w:trPr>
        <w:tc>
          <w:tcPr>
            <w:tcW w:w="3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000000"/>
                <w:sz w:val="18"/>
                <w:szCs w:val="18"/>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宋体" w:hAnsi="宋体" w:cs="宋体"/>
                <w:color w:val="000000"/>
                <w:sz w:val="18"/>
                <w:szCs w:val="18"/>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bottom"/>
          </w:tcPr>
          <w:p>
            <w:pPr>
              <w:widowControl/>
              <w:jc w:val="left"/>
              <w:textAlignment w:val="bottom"/>
              <w:rPr>
                <w:rFonts w:ascii="宋体" w:hAnsi="宋体" w:cs="宋体"/>
                <w:color w:val="000000"/>
                <w:sz w:val="18"/>
                <w:szCs w:val="18"/>
              </w:rPr>
            </w:pPr>
            <w:r>
              <w:rPr>
                <w:rFonts w:hint="eastAsia" w:ascii="宋体" w:hAnsi="宋体" w:cs="宋体"/>
                <w:color w:val="000000"/>
                <w:kern w:val="0"/>
                <w:sz w:val="18"/>
                <w:szCs w:val="18"/>
                <w:lang w:bidi="ar"/>
              </w:rPr>
              <w:t>数据信息响应管理</w:t>
            </w:r>
          </w:p>
        </w:tc>
        <w:tc>
          <w:tcPr>
            <w:tcW w:w="6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bottom"/>
          </w:tcPr>
          <w:p>
            <w:pPr>
              <w:widowControl/>
              <w:jc w:val="left"/>
              <w:textAlignment w:val="bottom"/>
              <w:rPr>
                <w:rFonts w:ascii="宋体" w:hAnsi="宋体" w:cs="宋体"/>
                <w:color w:val="000000"/>
                <w:sz w:val="18"/>
                <w:szCs w:val="18"/>
              </w:rPr>
            </w:pPr>
            <w:r>
              <w:rPr>
                <w:rFonts w:hint="eastAsia" w:ascii="宋体" w:hAnsi="宋体" w:cs="宋体"/>
                <w:color w:val="000000"/>
                <w:kern w:val="0"/>
                <w:sz w:val="18"/>
                <w:szCs w:val="18"/>
                <w:lang w:bidi="ar"/>
              </w:rPr>
              <w:t>配置哪些数据需要重点处理</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项</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r>
      <w:tr>
        <w:tblPrEx>
          <w:tblCellMar>
            <w:top w:w="0" w:type="dxa"/>
            <w:left w:w="0" w:type="dxa"/>
            <w:bottom w:w="0" w:type="dxa"/>
            <w:right w:w="0" w:type="dxa"/>
          </w:tblCellMar>
        </w:tblPrEx>
        <w:trPr>
          <w:trHeight w:val="480" w:hRule="atLeast"/>
        </w:trPr>
        <w:tc>
          <w:tcPr>
            <w:tcW w:w="3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ascii="宋体" w:hAnsi="宋体" w:cs="宋体"/>
                <w:color w:val="000000"/>
                <w:sz w:val="18"/>
                <w:szCs w:val="18"/>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宋体" w:hAnsi="宋体" w:cs="宋体"/>
                <w:color w:val="000000"/>
                <w:sz w:val="18"/>
                <w:szCs w:val="18"/>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bottom"/>
          </w:tcPr>
          <w:p>
            <w:pPr>
              <w:widowControl/>
              <w:jc w:val="left"/>
              <w:textAlignment w:val="bottom"/>
              <w:rPr>
                <w:rFonts w:ascii="宋体" w:hAnsi="宋体" w:cs="宋体"/>
                <w:color w:val="000000"/>
                <w:sz w:val="18"/>
                <w:szCs w:val="18"/>
              </w:rPr>
            </w:pPr>
            <w:r>
              <w:rPr>
                <w:rFonts w:hint="eastAsia" w:ascii="宋体" w:hAnsi="宋体" w:cs="宋体"/>
                <w:color w:val="000000"/>
                <w:kern w:val="0"/>
                <w:sz w:val="18"/>
                <w:szCs w:val="18"/>
                <w:lang w:bidi="ar"/>
              </w:rPr>
              <w:t>异常响应责任管理</w:t>
            </w:r>
          </w:p>
        </w:tc>
        <w:tc>
          <w:tcPr>
            <w:tcW w:w="6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bottom"/>
          </w:tcPr>
          <w:p>
            <w:pPr>
              <w:widowControl/>
              <w:jc w:val="left"/>
              <w:textAlignment w:val="bottom"/>
              <w:rPr>
                <w:rFonts w:ascii="宋体" w:hAnsi="宋体" w:cs="宋体"/>
                <w:color w:val="000000"/>
                <w:sz w:val="18"/>
                <w:szCs w:val="18"/>
              </w:rPr>
            </w:pPr>
            <w:r>
              <w:rPr>
                <w:rFonts w:hint="eastAsia" w:ascii="宋体" w:hAnsi="宋体" w:cs="宋体"/>
                <w:color w:val="000000"/>
                <w:kern w:val="0"/>
                <w:sz w:val="18"/>
                <w:szCs w:val="18"/>
                <w:lang w:bidi="ar"/>
              </w:rPr>
              <w:t>相关主题异常数据责任组织、责任人配置</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项</w:t>
            </w:r>
          </w:p>
        </w:tc>
        <w:tc>
          <w:tcPr>
            <w:tcW w:w="4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r>
    </w:tbl>
    <w:p>
      <w:pPr>
        <w:jc w:val="center"/>
        <w:rPr>
          <w:b/>
          <w:bCs/>
          <w:sz w:val="28"/>
          <w:szCs w:val="28"/>
        </w:rPr>
      </w:pPr>
    </w:p>
    <w:p>
      <w:pPr>
        <w:jc w:val="center"/>
        <w:rPr>
          <w:rFonts w:hint="eastAsia"/>
          <w:b/>
          <w:bCs/>
          <w:sz w:val="28"/>
          <w:szCs w:val="28"/>
        </w:rPr>
      </w:pPr>
    </w:p>
    <w:p>
      <w:pPr>
        <w:jc w:val="center"/>
        <w:rPr>
          <w:b/>
          <w:bCs/>
          <w:sz w:val="28"/>
          <w:szCs w:val="28"/>
        </w:rPr>
      </w:pPr>
    </w:p>
    <w:p>
      <w:pPr>
        <w:jc w:val="center"/>
        <w:rPr>
          <w:b/>
          <w:bCs/>
          <w:sz w:val="28"/>
          <w:szCs w:val="28"/>
        </w:rPr>
      </w:pPr>
      <w:r>
        <w:rPr>
          <w:rFonts w:hint="eastAsia"/>
          <w:b/>
          <w:bCs/>
          <w:sz w:val="28"/>
          <w:szCs w:val="28"/>
        </w:rPr>
        <w:t>智慧联动中心及附属空间材料设备采购及安装清单</w:t>
      </w:r>
    </w:p>
    <w:tbl>
      <w:tblPr>
        <w:tblStyle w:val="24"/>
        <w:tblW w:w="8788" w:type="dxa"/>
        <w:tblInd w:w="0" w:type="dxa"/>
        <w:tblLayout w:type="autofit"/>
        <w:tblCellMar>
          <w:top w:w="0" w:type="dxa"/>
          <w:left w:w="0" w:type="dxa"/>
          <w:bottom w:w="0" w:type="dxa"/>
          <w:right w:w="0" w:type="dxa"/>
        </w:tblCellMar>
      </w:tblPr>
      <w:tblGrid>
        <w:gridCol w:w="315"/>
        <w:gridCol w:w="915"/>
        <w:gridCol w:w="6030"/>
        <w:gridCol w:w="555"/>
        <w:gridCol w:w="973"/>
      </w:tblGrid>
      <w:tr>
        <w:trPr>
          <w:trHeight w:val="545"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lang w:bidi="ar"/>
              </w:rPr>
              <w:t>序号</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lang w:bidi="ar"/>
              </w:rPr>
              <w:t>采购内容</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lang w:bidi="ar"/>
              </w:rPr>
              <w:t>规格型号及安装方式</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lang w:bidi="ar"/>
              </w:rPr>
              <w:t>单位</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lang w:bidi="ar"/>
              </w:rPr>
              <w:t>数量</w:t>
            </w:r>
          </w:p>
        </w:tc>
      </w:tr>
      <w:tr>
        <w:tblPrEx>
          <w:tblCellMar>
            <w:top w:w="0" w:type="dxa"/>
            <w:left w:w="0" w:type="dxa"/>
            <w:bottom w:w="0" w:type="dxa"/>
            <w:right w:w="0" w:type="dxa"/>
          </w:tblCellMar>
        </w:tblPrEx>
        <w:trPr>
          <w:trHeight w:val="251" w:hRule="atLeast"/>
        </w:trPr>
        <w:tc>
          <w:tcPr>
            <w:tcW w:w="8788" w:type="dxa"/>
            <w:gridSpan w:val="5"/>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电气部分</w:t>
            </w:r>
          </w:p>
        </w:tc>
      </w:tr>
      <w:tr>
        <w:tblPrEx>
          <w:tblCellMar>
            <w:top w:w="0" w:type="dxa"/>
            <w:left w:w="0" w:type="dxa"/>
            <w:bottom w:w="0" w:type="dxa"/>
            <w:right w:w="0" w:type="dxa"/>
          </w:tblCellMar>
        </w:tblPrEx>
        <w:trPr>
          <w:trHeight w:val="72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配电箱</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1.名称:照明配电箱1AL主户箱</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2.规格:1000*1000</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3.安装方式:明装 距地1.6米</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台</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r>
      <w:tr>
        <w:tblPrEx>
          <w:tblCellMar>
            <w:top w:w="0" w:type="dxa"/>
            <w:left w:w="0" w:type="dxa"/>
            <w:bottom w:w="0" w:type="dxa"/>
            <w:right w:w="0" w:type="dxa"/>
          </w:tblCellMar>
        </w:tblPrEx>
        <w:trPr>
          <w:trHeight w:val="96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配电箱</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1.名称:多功能会议厅配电箱</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2.规格:430*550</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3.安装方式: 距地1.6米</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4.接线端子</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台</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r>
      <w:tr>
        <w:trPr>
          <w:trHeight w:val="96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配电箱</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1.名称:指挥大厅配电箱</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2.规格:430*550</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3.安装方式:距地1.6米</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4.接线端子</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台</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r>
      <w:tr>
        <w:tblPrEx>
          <w:tblCellMar>
            <w:top w:w="0" w:type="dxa"/>
            <w:left w:w="0" w:type="dxa"/>
            <w:bottom w:w="0" w:type="dxa"/>
            <w:right w:w="0" w:type="dxa"/>
          </w:tblCellMar>
        </w:tblPrEx>
        <w:trPr>
          <w:trHeight w:val="96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配电箱</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1.名称:办公室1配电箱</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2.规格:300*450</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3.安装方式: 距地1.6米</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4.接线端子</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台</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r>
      <w:tr>
        <w:trPr>
          <w:trHeight w:val="96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配电箱</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1.名称:办公室2配电箱</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2.规格:300*450</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3.安装方式:距地1.6米</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4.接线端子</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台</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r>
      <w:tr>
        <w:tblPrEx>
          <w:tblCellMar>
            <w:top w:w="0" w:type="dxa"/>
            <w:left w:w="0" w:type="dxa"/>
            <w:bottom w:w="0" w:type="dxa"/>
            <w:right w:w="0" w:type="dxa"/>
          </w:tblCellMar>
        </w:tblPrEx>
        <w:trPr>
          <w:trHeight w:val="349"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配电箱</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1.名称:卫生间配电箱</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2.规格:300*450</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3.安装方式:距地1.6米</w:t>
            </w:r>
            <w:r>
              <w:rPr>
                <w:rFonts w:hint="eastAsia" w:ascii="宋体" w:hAnsi="宋体" w:cs="宋体"/>
                <w:color w:val="000000"/>
                <w:kern w:val="0"/>
                <w:sz w:val="18"/>
                <w:szCs w:val="18"/>
                <w:lang w:val="en-US" w:eastAsia="zh-CN" w:bidi="ar"/>
              </w:rPr>
              <w:t xml:space="preserve">       </w:t>
            </w:r>
            <w:r>
              <w:rPr>
                <w:rFonts w:hint="eastAsia" w:ascii="宋体" w:hAnsi="宋体" w:cs="宋体"/>
                <w:color w:val="000000"/>
                <w:kern w:val="0"/>
                <w:sz w:val="18"/>
                <w:szCs w:val="18"/>
                <w:lang w:bidi="ar"/>
              </w:rPr>
              <w:t>4.接线端子</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台</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r>
      <w:tr>
        <w:tblPrEx>
          <w:tblCellMar>
            <w:top w:w="0" w:type="dxa"/>
            <w:left w:w="0" w:type="dxa"/>
            <w:bottom w:w="0" w:type="dxa"/>
            <w:right w:w="0" w:type="dxa"/>
          </w:tblCellMar>
        </w:tblPrEx>
        <w:trPr>
          <w:trHeight w:val="96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7</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配电箱</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1.名称:值班室配电箱</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2.规格:300*450</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3.安装方式:距地1.6米</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4.接线端子 4mm2、2.5mm2</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台</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r>
      <w:tr>
        <w:tblPrEx>
          <w:tblCellMar>
            <w:top w:w="0" w:type="dxa"/>
            <w:left w:w="0" w:type="dxa"/>
            <w:bottom w:w="0" w:type="dxa"/>
            <w:right w:w="0" w:type="dxa"/>
          </w:tblCellMar>
        </w:tblPrEx>
        <w:trPr>
          <w:trHeight w:val="96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配电箱</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1.名称:室外空调主机配电箱</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2.规格:300*450</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3.安装方式:距地1.6米</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4.接线端子</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台</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r>
      <w:tr>
        <w:tblPrEx>
          <w:tblCellMar>
            <w:top w:w="0" w:type="dxa"/>
            <w:left w:w="0" w:type="dxa"/>
            <w:bottom w:w="0" w:type="dxa"/>
            <w:right w:w="0" w:type="dxa"/>
          </w:tblCellMar>
        </w:tblPrEx>
        <w:trPr>
          <w:trHeight w:val="48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9</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桥架</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1.名称:桥架</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2.型号、规格: 200*100</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179.99</w:t>
            </w:r>
          </w:p>
        </w:tc>
      </w:tr>
      <w:tr>
        <w:tblPrEx>
          <w:tblCellMar>
            <w:top w:w="0" w:type="dxa"/>
            <w:left w:w="0" w:type="dxa"/>
            <w:bottom w:w="0" w:type="dxa"/>
            <w:right w:w="0" w:type="dxa"/>
          </w:tblCellMar>
        </w:tblPrEx>
        <w:trPr>
          <w:trHeight w:val="24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小电器</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1.名称;300*300换风扇</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台</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r>
      <w:tr>
        <w:tblPrEx>
          <w:tblCellMar>
            <w:top w:w="0" w:type="dxa"/>
            <w:left w:w="0" w:type="dxa"/>
            <w:bottom w:w="0" w:type="dxa"/>
            <w:right w:w="0" w:type="dxa"/>
          </w:tblCellMar>
        </w:tblPrEx>
        <w:trPr>
          <w:trHeight w:val="48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11</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照明开关</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1.名称：单联单控开关</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2.安装方式：距地1.3m</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个</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15</w:t>
            </w:r>
          </w:p>
        </w:tc>
      </w:tr>
      <w:tr>
        <w:tblPrEx>
          <w:tblCellMar>
            <w:top w:w="0" w:type="dxa"/>
            <w:left w:w="0" w:type="dxa"/>
            <w:bottom w:w="0" w:type="dxa"/>
            <w:right w:w="0" w:type="dxa"/>
          </w:tblCellMar>
        </w:tblPrEx>
        <w:trPr>
          <w:trHeight w:val="48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12</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照明开关</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1.名称：双联单控开关</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2.安装方式：距地1.3m</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个</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r>
      <w:tr>
        <w:tblPrEx>
          <w:tblCellMar>
            <w:top w:w="0" w:type="dxa"/>
            <w:left w:w="0" w:type="dxa"/>
            <w:bottom w:w="0" w:type="dxa"/>
            <w:right w:w="0" w:type="dxa"/>
          </w:tblCellMar>
        </w:tblPrEx>
        <w:trPr>
          <w:trHeight w:val="48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13</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照明开关</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1.名称：三联单控开关</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2.安装方式：距地1.3m</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个</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r>
      <w:tr>
        <w:tblPrEx>
          <w:tblCellMar>
            <w:top w:w="0" w:type="dxa"/>
            <w:left w:w="0" w:type="dxa"/>
            <w:bottom w:w="0" w:type="dxa"/>
            <w:right w:w="0" w:type="dxa"/>
          </w:tblCellMar>
        </w:tblPrEx>
        <w:trPr>
          <w:trHeight w:val="48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14</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照明开关</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1.名称:中央空调控制面板</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2.安装方式:距地1.3米</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个</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7</w:t>
            </w:r>
          </w:p>
        </w:tc>
      </w:tr>
      <w:tr>
        <w:tblPrEx>
          <w:tblCellMar>
            <w:top w:w="0" w:type="dxa"/>
            <w:left w:w="0" w:type="dxa"/>
            <w:bottom w:w="0" w:type="dxa"/>
            <w:right w:w="0" w:type="dxa"/>
          </w:tblCellMar>
        </w:tblPrEx>
        <w:trPr>
          <w:trHeight w:val="72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15</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插座</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1.名称:单相二、三极插座</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2.型号:250V 10A</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3.安装高度:距地0.3m</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个</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34</w:t>
            </w:r>
          </w:p>
        </w:tc>
      </w:tr>
      <w:tr>
        <w:tblPrEx>
          <w:tblCellMar>
            <w:top w:w="0" w:type="dxa"/>
            <w:left w:w="0" w:type="dxa"/>
            <w:bottom w:w="0" w:type="dxa"/>
            <w:right w:w="0" w:type="dxa"/>
          </w:tblCellMar>
        </w:tblPrEx>
        <w:trPr>
          <w:trHeight w:val="639"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16</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电力电缆</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1.名称:电力电缆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2.规格:YJV-4x50+1x25</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3.材质:铜芯</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4.敷设方式：室内</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5.电压等级(kV):1KV</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100</w:t>
            </w:r>
          </w:p>
        </w:tc>
      </w:tr>
      <w:tr>
        <w:tblPrEx>
          <w:tblCellMar>
            <w:top w:w="0" w:type="dxa"/>
            <w:left w:w="0" w:type="dxa"/>
            <w:bottom w:w="0" w:type="dxa"/>
            <w:right w:w="0" w:type="dxa"/>
          </w:tblCellMar>
        </w:tblPrEx>
        <w:trPr>
          <w:trHeight w:val="120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17</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电力电缆</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1.名称:电力电缆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2.规格:YJV-4x25+1x16</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3.材质:铜芯</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4.敷设方式：室内</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5.电压等级(kV):1KV</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w:t>
            </w:r>
          </w:p>
        </w:tc>
      </w:tr>
      <w:tr>
        <w:tblPrEx>
          <w:tblCellMar>
            <w:top w:w="0" w:type="dxa"/>
            <w:left w:w="0" w:type="dxa"/>
            <w:bottom w:w="0" w:type="dxa"/>
            <w:right w:w="0" w:type="dxa"/>
          </w:tblCellMar>
        </w:tblPrEx>
        <w:trPr>
          <w:trHeight w:val="120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18</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电力电缆</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1.名称:电力电缆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2.规格:YJV-5x16</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3.材质:铜芯</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4.敷设方式：室内</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5.电压等级(kV):1KV</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53.19</w:t>
            </w:r>
          </w:p>
        </w:tc>
      </w:tr>
      <w:tr>
        <w:trPr>
          <w:trHeight w:val="120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19</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电力电缆</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1.名称:电力电缆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2.规格:YJV-5x10</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3.材质:铜芯</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4.敷设方式：室内</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5.电压等级(kV):1KV</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109.86</w:t>
            </w:r>
          </w:p>
        </w:tc>
      </w:tr>
      <w:tr>
        <w:tblPrEx>
          <w:tblCellMar>
            <w:top w:w="0" w:type="dxa"/>
            <w:left w:w="0" w:type="dxa"/>
            <w:bottom w:w="0" w:type="dxa"/>
            <w:right w:w="0" w:type="dxa"/>
          </w:tblCellMar>
        </w:tblPrEx>
        <w:trPr>
          <w:trHeight w:val="72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20</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电力电缆头</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1.名称:电力电缆头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2.规格:YJV-4x50+1x25</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3.材质、类型:铜芯</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个</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r>
      <w:tr>
        <w:tblPrEx>
          <w:tblCellMar>
            <w:top w:w="0" w:type="dxa"/>
            <w:left w:w="0" w:type="dxa"/>
            <w:bottom w:w="0" w:type="dxa"/>
            <w:right w:w="0" w:type="dxa"/>
          </w:tblCellMar>
        </w:tblPrEx>
        <w:trPr>
          <w:trHeight w:val="72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21</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电力电缆头</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1.名称:电力电缆头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2.规格:YJV-4x25+1*16</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3.材质、类型:铜芯</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个</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r>
      <w:tr>
        <w:trPr>
          <w:trHeight w:val="72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22</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电力电缆头</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1.名称:电力电缆头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2.规格:YJV-5x16</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3.材质、类型:铜芯</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个</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w:t>
            </w:r>
          </w:p>
        </w:tc>
      </w:tr>
      <w:tr>
        <w:tblPrEx>
          <w:tblCellMar>
            <w:top w:w="0" w:type="dxa"/>
            <w:left w:w="0" w:type="dxa"/>
            <w:bottom w:w="0" w:type="dxa"/>
            <w:right w:w="0" w:type="dxa"/>
          </w:tblCellMar>
        </w:tblPrEx>
        <w:trPr>
          <w:trHeight w:val="72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23</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电力电缆头</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1.名称:电力电缆头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2.规格:YJV-5x10</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3.材质、类型:铜芯</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个</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w:t>
            </w:r>
          </w:p>
        </w:tc>
      </w:tr>
      <w:tr>
        <w:tblPrEx>
          <w:tblCellMar>
            <w:top w:w="0" w:type="dxa"/>
            <w:left w:w="0" w:type="dxa"/>
            <w:bottom w:w="0" w:type="dxa"/>
            <w:right w:w="0" w:type="dxa"/>
          </w:tblCellMar>
        </w:tblPrEx>
        <w:trPr>
          <w:trHeight w:val="72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24</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配管</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1.名称：电气配管</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2.材质： JDG50</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3.配置形式：明敷</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23.03</w:t>
            </w:r>
          </w:p>
        </w:tc>
      </w:tr>
      <w:tr>
        <w:tblPrEx>
          <w:tblCellMar>
            <w:top w:w="0" w:type="dxa"/>
            <w:left w:w="0" w:type="dxa"/>
            <w:bottom w:w="0" w:type="dxa"/>
            <w:right w:w="0" w:type="dxa"/>
          </w:tblCellMar>
        </w:tblPrEx>
        <w:trPr>
          <w:trHeight w:val="72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25</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配管</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1.名称：电气配管</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2.材质： JDG50</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3.配置形式：暗敷</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14.88</w:t>
            </w:r>
          </w:p>
        </w:tc>
      </w:tr>
      <w:tr>
        <w:tblPrEx>
          <w:tblCellMar>
            <w:top w:w="0" w:type="dxa"/>
            <w:left w:w="0" w:type="dxa"/>
            <w:bottom w:w="0" w:type="dxa"/>
            <w:right w:w="0" w:type="dxa"/>
          </w:tblCellMar>
        </w:tblPrEx>
        <w:trPr>
          <w:trHeight w:val="72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26</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配管</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1.名称：电气配管</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2.材质： JDG20</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3.配置形式：明敷</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746</w:t>
            </w:r>
          </w:p>
        </w:tc>
      </w:tr>
      <w:tr>
        <w:tblPrEx>
          <w:tblCellMar>
            <w:top w:w="0" w:type="dxa"/>
            <w:left w:w="0" w:type="dxa"/>
            <w:bottom w:w="0" w:type="dxa"/>
            <w:right w:w="0" w:type="dxa"/>
          </w:tblCellMar>
        </w:tblPrEx>
        <w:trPr>
          <w:trHeight w:val="72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27</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配管</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1.名称：电气配管</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2.材质： JDG20</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3.配置形式：暗敷</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194</w:t>
            </w:r>
          </w:p>
        </w:tc>
      </w:tr>
      <w:tr>
        <w:tblPrEx>
          <w:tblCellMar>
            <w:top w:w="0" w:type="dxa"/>
            <w:left w:w="0" w:type="dxa"/>
            <w:bottom w:w="0" w:type="dxa"/>
            <w:right w:w="0" w:type="dxa"/>
          </w:tblCellMar>
        </w:tblPrEx>
        <w:trPr>
          <w:trHeight w:val="72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28</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配线</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1.名称：电气配线</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2.配线形式：管内敷设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3.规格型号：BV-10</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39.37</w:t>
            </w:r>
          </w:p>
        </w:tc>
      </w:tr>
      <w:tr>
        <w:tblPrEx>
          <w:tblCellMar>
            <w:top w:w="0" w:type="dxa"/>
            <w:left w:w="0" w:type="dxa"/>
            <w:bottom w:w="0" w:type="dxa"/>
            <w:right w:w="0" w:type="dxa"/>
          </w:tblCellMar>
        </w:tblPrEx>
        <w:trPr>
          <w:trHeight w:val="72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29</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配线</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1.名称：电气配线</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2.配线形式：管内敷设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3.规格型号：BV-6</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124.02</w:t>
            </w:r>
          </w:p>
        </w:tc>
      </w:tr>
      <w:tr>
        <w:tblPrEx>
          <w:tblCellMar>
            <w:top w:w="0" w:type="dxa"/>
            <w:left w:w="0" w:type="dxa"/>
            <w:bottom w:w="0" w:type="dxa"/>
            <w:right w:w="0" w:type="dxa"/>
          </w:tblCellMar>
        </w:tblPrEx>
        <w:trPr>
          <w:trHeight w:val="72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30</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配线</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1.名称：电气配线</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2.配线形式：管内敷设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3.规格型号：BV-2.5</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1257</w:t>
            </w:r>
          </w:p>
        </w:tc>
      </w:tr>
      <w:tr>
        <w:tblPrEx>
          <w:tblCellMar>
            <w:top w:w="0" w:type="dxa"/>
            <w:left w:w="0" w:type="dxa"/>
            <w:bottom w:w="0" w:type="dxa"/>
            <w:right w:w="0" w:type="dxa"/>
          </w:tblCellMar>
        </w:tblPrEx>
        <w:trPr>
          <w:trHeight w:val="72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31</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配线</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1.名称：电气配线</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2.配线形式：管内敷设</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3.规格型号：BV-4</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1346.91</w:t>
            </w:r>
          </w:p>
        </w:tc>
      </w:tr>
      <w:tr>
        <w:tblPrEx>
          <w:tblCellMar>
            <w:top w:w="0" w:type="dxa"/>
            <w:left w:w="0" w:type="dxa"/>
            <w:bottom w:w="0" w:type="dxa"/>
            <w:right w:w="0" w:type="dxa"/>
          </w:tblCellMar>
        </w:tblPrEx>
        <w:trPr>
          <w:trHeight w:val="48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32</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接线盒</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1.名称:地面插座接线盒</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2.材质;钢制</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个</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56</w:t>
            </w:r>
          </w:p>
        </w:tc>
      </w:tr>
      <w:tr>
        <w:tblPrEx>
          <w:tblCellMar>
            <w:top w:w="0" w:type="dxa"/>
            <w:left w:w="0" w:type="dxa"/>
            <w:bottom w:w="0" w:type="dxa"/>
            <w:right w:w="0" w:type="dxa"/>
          </w:tblCellMar>
        </w:tblPrEx>
        <w:trPr>
          <w:trHeight w:val="48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33</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接线盒</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1.名称:开关、插座盒</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2.材质;钢制</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个</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52</w:t>
            </w:r>
          </w:p>
        </w:tc>
      </w:tr>
      <w:tr>
        <w:tblPrEx>
          <w:tblCellMar>
            <w:top w:w="0" w:type="dxa"/>
            <w:left w:w="0" w:type="dxa"/>
            <w:bottom w:w="0" w:type="dxa"/>
            <w:right w:w="0" w:type="dxa"/>
          </w:tblCellMar>
        </w:tblPrEx>
        <w:trPr>
          <w:trHeight w:val="48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34</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接线盒</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1.名称:接线盒</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2.材质;钢制</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个</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189</w:t>
            </w:r>
          </w:p>
        </w:tc>
      </w:tr>
      <w:tr>
        <w:tblPrEx>
          <w:tblCellMar>
            <w:top w:w="0" w:type="dxa"/>
            <w:left w:w="0" w:type="dxa"/>
            <w:bottom w:w="0" w:type="dxa"/>
            <w:right w:w="0" w:type="dxa"/>
          </w:tblCellMar>
        </w:tblPrEx>
        <w:trPr>
          <w:trHeight w:val="72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35</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装饰灯</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1.名称:LED筒灯</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2.型号:直径12cm,9W</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3.安装方式:嵌入式安装</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套</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152</w:t>
            </w:r>
          </w:p>
        </w:tc>
      </w:tr>
      <w:tr>
        <w:tblPrEx>
          <w:tblCellMar>
            <w:top w:w="0" w:type="dxa"/>
            <w:left w:w="0" w:type="dxa"/>
            <w:bottom w:w="0" w:type="dxa"/>
            <w:right w:w="0" w:type="dxa"/>
          </w:tblCellMar>
        </w:tblPrEx>
        <w:trPr>
          <w:trHeight w:val="72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36</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装饰灯</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1.名称:双头可调节射灯</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2.型号:面经310mm*165mm，15W</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3.安装方式:嵌入式安装</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套</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w:t>
            </w:r>
          </w:p>
        </w:tc>
      </w:tr>
      <w:tr>
        <w:tblPrEx>
          <w:tblCellMar>
            <w:top w:w="0" w:type="dxa"/>
            <w:left w:w="0" w:type="dxa"/>
            <w:bottom w:w="0" w:type="dxa"/>
            <w:right w:w="0" w:type="dxa"/>
          </w:tblCellMar>
        </w:tblPrEx>
        <w:trPr>
          <w:trHeight w:val="72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37</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装饰灯</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1.名称:三头可调节射灯</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2.型号:面经425mm*165mm，15W</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3.安装方式:嵌入式安装</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套</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17</w:t>
            </w:r>
          </w:p>
        </w:tc>
      </w:tr>
      <w:tr>
        <w:tblPrEx>
          <w:tblCellMar>
            <w:top w:w="0" w:type="dxa"/>
            <w:left w:w="0" w:type="dxa"/>
            <w:bottom w:w="0" w:type="dxa"/>
            <w:right w:w="0" w:type="dxa"/>
          </w:tblCellMar>
        </w:tblPrEx>
        <w:trPr>
          <w:trHeight w:val="24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38</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装饰灯</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1.名称; 灯带</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55.28</w:t>
            </w:r>
          </w:p>
        </w:tc>
      </w:tr>
      <w:tr>
        <w:trPr>
          <w:trHeight w:val="24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39</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普通灯具</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1.名称; 长条吊灯</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套</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r>
      <w:tr>
        <w:tblPrEx>
          <w:tblCellMar>
            <w:top w:w="0" w:type="dxa"/>
            <w:left w:w="0" w:type="dxa"/>
            <w:bottom w:w="0" w:type="dxa"/>
            <w:right w:w="0" w:type="dxa"/>
          </w:tblCellMar>
        </w:tblPrEx>
        <w:trPr>
          <w:trHeight w:val="48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40</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凿（压)槽</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1.名称:剔砖槽</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60</w:t>
            </w:r>
          </w:p>
        </w:tc>
      </w:tr>
      <w:tr>
        <w:tblPrEx>
          <w:tblCellMar>
            <w:top w:w="0" w:type="dxa"/>
            <w:left w:w="0" w:type="dxa"/>
            <w:bottom w:w="0" w:type="dxa"/>
            <w:right w:w="0" w:type="dxa"/>
          </w:tblCellMar>
        </w:tblPrEx>
        <w:trPr>
          <w:trHeight w:val="72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41</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打洞（孔）</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1.名称:打洞（孔）</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2.规格:200*100</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3.堵洞</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个</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r>
      <w:tr>
        <w:tblPrEx>
          <w:tblCellMar>
            <w:top w:w="0" w:type="dxa"/>
            <w:left w:w="0" w:type="dxa"/>
            <w:bottom w:w="0" w:type="dxa"/>
            <w:right w:w="0" w:type="dxa"/>
          </w:tblCellMar>
        </w:tblPrEx>
        <w:trPr>
          <w:trHeight w:val="48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42</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送配电装置系统</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1.送配电装置系统调试</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系统</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r>
      <w:tr>
        <w:trPr>
          <w:trHeight w:val="240" w:hRule="atLeast"/>
        </w:trPr>
        <w:tc>
          <w:tcPr>
            <w:tcW w:w="8788" w:type="dxa"/>
            <w:gridSpan w:val="5"/>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给排水部分</w:t>
            </w:r>
          </w:p>
        </w:tc>
      </w:tr>
      <w:tr>
        <w:tblPrEx>
          <w:tblCellMar>
            <w:top w:w="0" w:type="dxa"/>
            <w:left w:w="0" w:type="dxa"/>
            <w:bottom w:w="0" w:type="dxa"/>
            <w:right w:w="0" w:type="dxa"/>
          </w:tblCellMar>
        </w:tblPrEx>
        <w:trPr>
          <w:trHeight w:val="120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塑料管</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1.安装部位：室内</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2.介质：给水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3.材质、规格：PPR管De32</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4.连接形式:热熔</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5.消毒冲洗</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w:t>
            </w:r>
          </w:p>
        </w:tc>
      </w:tr>
      <w:tr>
        <w:tblPrEx>
          <w:tblCellMar>
            <w:top w:w="0" w:type="dxa"/>
            <w:left w:w="0" w:type="dxa"/>
            <w:bottom w:w="0" w:type="dxa"/>
            <w:right w:w="0" w:type="dxa"/>
          </w:tblCellMar>
        </w:tblPrEx>
        <w:trPr>
          <w:trHeight w:val="120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塑料管</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1.安装部位：室内</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2.介质：给水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3.材质、规格：PPR管De25</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4.连接形式:热熔</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5.消毒冲洗</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29.4</w:t>
            </w:r>
          </w:p>
        </w:tc>
      </w:tr>
      <w:tr>
        <w:tblPrEx>
          <w:tblCellMar>
            <w:top w:w="0" w:type="dxa"/>
            <w:left w:w="0" w:type="dxa"/>
            <w:bottom w:w="0" w:type="dxa"/>
            <w:right w:w="0" w:type="dxa"/>
          </w:tblCellMar>
        </w:tblPrEx>
        <w:trPr>
          <w:trHeight w:val="120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塑料管</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1.安装部位：室内</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2.介质：排水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3.材质、规格：UPVC管 De110</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4.连接形式:粘接</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5.阻火圈设计要求：按设计要求</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10.78</w:t>
            </w:r>
          </w:p>
        </w:tc>
      </w:tr>
      <w:tr>
        <w:tblPrEx>
          <w:tblCellMar>
            <w:top w:w="0" w:type="dxa"/>
            <w:left w:w="0" w:type="dxa"/>
            <w:bottom w:w="0" w:type="dxa"/>
            <w:right w:w="0" w:type="dxa"/>
          </w:tblCellMar>
        </w:tblPrEx>
        <w:trPr>
          <w:trHeight w:val="120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塑料管</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1.安装部位：室内</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2.介质：排水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3.材质、规格：UPVC管 De75</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4.连接形式:粘接</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5.阻火圈设计要求：按设计要求</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7.15</w:t>
            </w:r>
          </w:p>
        </w:tc>
      </w:tr>
      <w:tr>
        <w:tblPrEx>
          <w:tblCellMar>
            <w:top w:w="0" w:type="dxa"/>
            <w:left w:w="0" w:type="dxa"/>
            <w:bottom w:w="0" w:type="dxa"/>
            <w:right w:w="0" w:type="dxa"/>
          </w:tblCellMar>
        </w:tblPrEx>
        <w:trPr>
          <w:trHeight w:val="120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塑料管</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1.安装部位：室内</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2.介质：排水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3.材质、规格：UPVC管 De50</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4.连接形式:粘接</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5.阻火圈设计要求：按设计要求</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21.48</w:t>
            </w:r>
          </w:p>
        </w:tc>
      </w:tr>
      <w:tr>
        <w:tblPrEx>
          <w:tblCellMar>
            <w:top w:w="0" w:type="dxa"/>
            <w:left w:w="0" w:type="dxa"/>
            <w:bottom w:w="0" w:type="dxa"/>
            <w:right w:w="0" w:type="dxa"/>
          </w:tblCellMar>
        </w:tblPrEx>
        <w:trPr>
          <w:trHeight w:val="24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大便器</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1.名称:坐便（含五金配件）</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组</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r>
      <w:tr>
        <w:tblPrEx>
          <w:tblCellMar>
            <w:top w:w="0" w:type="dxa"/>
            <w:left w:w="0" w:type="dxa"/>
            <w:bottom w:w="0" w:type="dxa"/>
            <w:right w:w="0" w:type="dxa"/>
          </w:tblCellMar>
        </w:tblPrEx>
        <w:trPr>
          <w:trHeight w:val="24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7</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大便器</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1.名称:蹲便（含五金配件）</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组</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w:t>
            </w:r>
          </w:p>
        </w:tc>
      </w:tr>
      <w:tr>
        <w:tblPrEx>
          <w:tblCellMar>
            <w:top w:w="0" w:type="dxa"/>
            <w:left w:w="0" w:type="dxa"/>
            <w:bottom w:w="0" w:type="dxa"/>
            <w:right w:w="0" w:type="dxa"/>
          </w:tblCellMar>
        </w:tblPrEx>
        <w:trPr>
          <w:trHeight w:val="24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小便器</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1.名称:智能感应小便器（含五金配件）</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组</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w:t>
            </w:r>
          </w:p>
        </w:tc>
      </w:tr>
      <w:tr>
        <w:tblPrEx>
          <w:tblCellMar>
            <w:top w:w="0" w:type="dxa"/>
            <w:left w:w="0" w:type="dxa"/>
            <w:bottom w:w="0" w:type="dxa"/>
            <w:right w:w="0" w:type="dxa"/>
          </w:tblCellMar>
        </w:tblPrEx>
        <w:trPr>
          <w:trHeight w:val="48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9</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给、排水附(配)件</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1.名称:地漏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2.型号、规格:DN50</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个</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w:t>
            </w:r>
          </w:p>
        </w:tc>
      </w:tr>
      <w:tr>
        <w:tblPrEx>
          <w:tblCellMar>
            <w:top w:w="0" w:type="dxa"/>
            <w:left w:w="0" w:type="dxa"/>
            <w:bottom w:w="0" w:type="dxa"/>
            <w:right w:w="0" w:type="dxa"/>
          </w:tblCellMar>
        </w:tblPrEx>
        <w:trPr>
          <w:trHeight w:val="48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给、排水附(配)件</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1.名称:洗手台水龙头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2.型号、规格:DN15</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个</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w:t>
            </w:r>
          </w:p>
        </w:tc>
      </w:tr>
      <w:tr>
        <w:tblPrEx>
          <w:tblCellMar>
            <w:top w:w="0" w:type="dxa"/>
            <w:left w:w="0" w:type="dxa"/>
            <w:bottom w:w="0" w:type="dxa"/>
            <w:right w:w="0" w:type="dxa"/>
          </w:tblCellMar>
        </w:tblPrEx>
        <w:trPr>
          <w:trHeight w:val="48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11</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给、排水附(配)件</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1.名称:拖布池水龙头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2.型号、规格:DN15</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个</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r>
      <w:tr>
        <w:tblPrEx>
          <w:tblCellMar>
            <w:top w:w="0" w:type="dxa"/>
            <w:left w:w="0" w:type="dxa"/>
            <w:bottom w:w="0" w:type="dxa"/>
            <w:right w:w="0" w:type="dxa"/>
          </w:tblCellMar>
        </w:tblPrEx>
        <w:trPr>
          <w:trHeight w:val="48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12</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凿（压)槽</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1.剔砖槽</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23.88</w:t>
            </w:r>
          </w:p>
        </w:tc>
      </w:tr>
      <w:tr>
        <w:tblPrEx>
          <w:tblCellMar>
            <w:top w:w="0" w:type="dxa"/>
            <w:left w:w="0" w:type="dxa"/>
            <w:bottom w:w="0" w:type="dxa"/>
            <w:right w:w="0" w:type="dxa"/>
          </w:tblCellMar>
        </w:tblPrEx>
        <w:trPr>
          <w:trHeight w:val="240" w:hRule="atLeast"/>
        </w:trPr>
        <w:tc>
          <w:tcPr>
            <w:tcW w:w="8788" w:type="dxa"/>
            <w:gridSpan w:val="5"/>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新风系统</w:t>
            </w:r>
          </w:p>
        </w:tc>
      </w:tr>
      <w:tr>
        <w:trPr>
          <w:trHeight w:val="48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风机盘管</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1.名称:双向流新风机</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2.型号: CVD2-2500J </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台</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r>
      <w:tr>
        <w:tblPrEx>
          <w:tblCellMar>
            <w:top w:w="0" w:type="dxa"/>
            <w:left w:w="0" w:type="dxa"/>
            <w:bottom w:w="0" w:type="dxa"/>
            <w:right w:w="0" w:type="dxa"/>
          </w:tblCellMar>
        </w:tblPrEx>
        <w:trPr>
          <w:trHeight w:val="72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铝及铝合金风口、散流器</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1.名称:外墙侧送风口</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2.规格:320*200</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个</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w:t>
            </w:r>
          </w:p>
        </w:tc>
      </w:tr>
      <w:tr>
        <w:trPr>
          <w:trHeight w:val="72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铝及铝合金风口、散流器</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1.名称:双层活动百叶风口</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2.规格:300*300</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个</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w:t>
            </w:r>
          </w:p>
        </w:tc>
      </w:tr>
      <w:tr>
        <w:trPr>
          <w:trHeight w:val="72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铝及铝合金风口、散流器</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1.名称:单层活动百叶风口</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2.规格:400*400</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个</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r>
      <w:tr>
        <w:tblPrEx>
          <w:tblCellMar>
            <w:top w:w="0" w:type="dxa"/>
            <w:left w:w="0" w:type="dxa"/>
            <w:bottom w:w="0" w:type="dxa"/>
            <w:right w:w="0" w:type="dxa"/>
          </w:tblCellMar>
        </w:tblPrEx>
        <w:trPr>
          <w:trHeight w:val="72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铝及铝合金风口、散流器</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1.名称:双层活动百叶风口</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2.规格:250*250</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个</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r>
      <w:tr>
        <w:tblPrEx>
          <w:tblCellMar>
            <w:top w:w="0" w:type="dxa"/>
            <w:left w:w="0" w:type="dxa"/>
            <w:bottom w:w="0" w:type="dxa"/>
            <w:right w:w="0" w:type="dxa"/>
          </w:tblCellMar>
        </w:tblPrEx>
        <w:trPr>
          <w:trHeight w:val="72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铝及铝合金风口、散流器</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1.名称:单层活动百叶风口</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2.规格:500*160</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个</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r>
      <w:tr>
        <w:trPr>
          <w:trHeight w:val="72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7</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复合型风管</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1.名称:A6钢面型酚醛复合风管</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2.规格:200*160</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3.板材厚度:20mm,单面复合0.2mm,压花镀锌航班内复合铝箔</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m2</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2.18</w:t>
            </w:r>
          </w:p>
        </w:tc>
      </w:tr>
      <w:tr>
        <w:tblPrEx>
          <w:tblCellMar>
            <w:top w:w="0" w:type="dxa"/>
            <w:left w:w="0" w:type="dxa"/>
            <w:bottom w:w="0" w:type="dxa"/>
            <w:right w:w="0" w:type="dxa"/>
          </w:tblCellMar>
        </w:tblPrEx>
        <w:trPr>
          <w:trHeight w:val="72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复合型风管</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1.名称:A6钢面型酚醛复合风管</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2.规格:250*120</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3.板材厚度:20mm,单面复合0.2mm,压花镀锌航班内复合铝箔</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m2</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10.56</w:t>
            </w:r>
          </w:p>
        </w:tc>
      </w:tr>
      <w:tr>
        <w:tblPrEx>
          <w:tblCellMar>
            <w:top w:w="0" w:type="dxa"/>
            <w:left w:w="0" w:type="dxa"/>
            <w:bottom w:w="0" w:type="dxa"/>
            <w:right w:w="0" w:type="dxa"/>
          </w:tblCellMar>
        </w:tblPrEx>
        <w:trPr>
          <w:trHeight w:val="72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9</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复合型风管</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1.名称:A6钢面型酚醛复合风管</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2.规格:320*160</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3.板材厚度:20mm,单面复合0.2mm,压花镀锌航班内复合铝箔</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m2</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5.73</w:t>
            </w:r>
          </w:p>
        </w:tc>
      </w:tr>
      <w:tr>
        <w:tblPrEx>
          <w:tblCellMar>
            <w:top w:w="0" w:type="dxa"/>
            <w:left w:w="0" w:type="dxa"/>
            <w:bottom w:w="0" w:type="dxa"/>
            <w:right w:w="0" w:type="dxa"/>
          </w:tblCellMar>
        </w:tblPrEx>
        <w:trPr>
          <w:trHeight w:val="72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复合型风管</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1.名称:A6钢面型酚醛复合风管</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2.规格:320*200</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3.板材厚度:20mm,单面复合0.2mm,压花镀锌航班内复合铝箔</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m2</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5.66</w:t>
            </w:r>
          </w:p>
        </w:tc>
      </w:tr>
      <w:tr>
        <w:trPr>
          <w:trHeight w:val="72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11</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复合型风管</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1.名称:A6钢面型酚醛复合风管</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2.规格:400*160</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3.板材厚度:20mm,单面复合0.2mm,压花镀锌航班内复合铝箔</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m2</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8.85</w:t>
            </w:r>
          </w:p>
        </w:tc>
      </w:tr>
      <w:tr>
        <w:tblPrEx>
          <w:tblCellMar>
            <w:top w:w="0" w:type="dxa"/>
            <w:left w:w="0" w:type="dxa"/>
            <w:bottom w:w="0" w:type="dxa"/>
            <w:right w:w="0" w:type="dxa"/>
          </w:tblCellMar>
        </w:tblPrEx>
        <w:trPr>
          <w:trHeight w:val="72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12</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复合型风管</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1.名称:A6钢面型酚醛复合风管</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2.规格:400*200</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3.板材厚度:20mm,单面复合0.2mm,压花镀锌航班内复合铝箔</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m2</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12.71</w:t>
            </w:r>
          </w:p>
        </w:tc>
      </w:tr>
      <w:tr>
        <w:tblPrEx>
          <w:tblCellMar>
            <w:top w:w="0" w:type="dxa"/>
            <w:left w:w="0" w:type="dxa"/>
            <w:bottom w:w="0" w:type="dxa"/>
            <w:right w:w="0" w:type="dxa"/>
          </w:tblCellMar>
        </w:tblPrEx>
        <w:trPr>
          <w:trHeight w:val="72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13</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复合型风管</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1.名称:A6钢面型酚醛复合风管</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2.规格:500*200</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3.板材厚度:20mm,单面复合0.2mm,压花镀锌航班内复合铝箔</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m2</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41.57</w:t>
            </w:r>
          </w:p>
        </w:tc>
      </w:tr>
      <w:tr>
        <w:tblPrEx>
          <w:tblCellMar>
            <w:top w:w="0" w:type="dxa"/>
            <w:left w:w="0" w:type="dxa"/>
            <w:bottom w:w="0" w:type="dxa"/>
            <w:right w:w="0" w:type="dxa"/>
          </w:tblCellMar>
        </w:tblPrEx>
        <w:trPr>
          <w:trHeight w:val="72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14</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复合型风管</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1.名称:A6钢面型酚醛复合风管</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2.规格:630*200</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3.板材厚度:20mm,单面复合0.2mm,压花镀锌航班内复合铝箔</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m2</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45.28</w:t>
            </w:r>
          </w:p>
        </w:tc>
      </w:tr>
      <w:tr>
        <w:tblPrEx>
          <w:tblCellMar>
            <w:top w:w="0" w:type="dxa"/>
            <w:left w:w="0" w:type="dxa"/>
            <w:bottom w:w="0" w:type="dxa"/>
            <w:right w:w="0" w:type="dxa"/>
          </w:tblCellMar>
        </w:tblPrEx>
        <w:trPr>
          <w:trHeight w:val="267" w:hRule="atLeast"/>
        </w:trPr>
        <w:tc>
          <w:tcPr>
            <w:tcW w:w="8788" w:type="dxa"/>
            <w:gridSpan w:val="5"/>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空调部分</w:t>
            </w:r>
          </w:p>
        </w:tc>
      </w:tr>
      <w:tr>
        <w:tblPrEx>
          <w:tblCellMar>
            <w:top w:w="0" w:type="dxa"/>
            <w:left w:w="0" w:type="dxa"/>
            <w:bottom w:w="0" w:type="dxa"/>
            <w:right w:w="0" w:type="dxa"/>
          </w:tblCellMar>
        </w:tblPrEx>
        <w:trPr>
          <w:trHeight w:val="72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风机盘管</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1.名称:风机盘管</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2.型号:FP-102WA-Y</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3.安装形式:吊顶式</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台</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r>
      <w:tr>
        <w:tblPrEx>
          <w:tblCellMar>
            <w:top w:w="0" w:type="dxa"/>
            <w:left w:w="0" w:type="dxa"/>
            <w:bottom w:w="0" w:type="dxa"/>
            <w:right w:w="0" w:type="dxa"/>
          </w:tblCellMar>
        </w:tblPrEx>
        <w:trPr>
          <w:trHeight w:val="72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风机盘管</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1.名称:风机盘管</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2.型号:FP-204WA-Y</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3.安装形式:吊顶式</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台</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r>
      <w:tr>
        <w:tblPrEx>
          <w:tblCellMar>
            <w:top w:w="0" w:type="dxa"/>
            <w:left w:w="0" w:type="dxa"/>
            <w:bottom w:w="0" w:type="dxa"/>
            <w:right w:w="0" w:type="dxa"/>
          </w:tblCellMar>
        </w:tblPrEx>
        <w:trPr>
          <w:trHeight w:val="72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风机盘管</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1.名称:风机盘管</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2.型号:FP-238WA-Z</w:t>
            </w:r>
            <w:r>
              <w:rPr>
                <w:rFonts w:hint="eastAsia" w:ascii="宋体" w:hAnsi="宋体" w:cs="宋体"/>
                <w:color w:val="000000"/>
                <w:kern w:val="0"/>
                <w:sz w:val="18"/>
                <w:szCs w:val="18"/>
                <w:lang w:val="en-US" w:eastAsia="zh-CN" w:bidi="ar"/>
              </w:rPr>
              <w:t xml:space="preserve">      </w:t>
            </w:r>
            <w:r>
              <w:rPr>
                <w:rFonts w:hint="eastAsia" w:ascii="宋体" w:hAnsi="宋体" w:cs="宋体"/>
                <w:color w:val="000000"/>
                <w:kern w:val="0"/>
                <w:sz w:val="18"/>
                <w:szCs w:val="18"/>
                <w:lang w:bidi="ar"/>
              </w:rPr>
              <w:t>3.安装形式:吊顶式</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台</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w:t>
            </w:r>
          </w:p>
        </w:tc>
      </w:tr>
      <w:tr>
        <w:tblPrEx>
          <w:tblCellMar>
            <w:top w:w="0" w:type="dxa"/>
            <w:left w:w="0" w:type="dxa"/>
            <w:bottom w:w="0" w:type="dxa"/>
            <w:right w:w="0" w:type="dxa"/>
          </w:tblCellMar>
        </w:tblPrEx>
        <w:trPr>
          <w:trHeight w:val="72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铝及铝合金风口、散流器</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1.名称:单层活动百叶风口</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2.规格:900*300</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个</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r>
      <w:tr>
        <w:tblPrEx>
          <w:tblCellMar>
            <w:top w:w="0" w:type="dxa"/>
            <w:left w:w="0" w:type="dxa"/>
            <w:bottom w:w="0" w:type="dxa"/>
            <w:right w:w="0" w:type="dxa"/>
          </w:tblCellMar>
        </w:tblPrEx>
        <w:trPr>
          <w:trHeight w:val="72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铝及铝合金风口、散流器</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1.名称:双层活动百叶风口</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2.规格:800*200</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个</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r>
      <w:tr>
        <w:tblPrEx>
          <w:tblCellMar>
            <w:top w:w="0" w:type="dxa"/>
            <w:left w:w="0" w:type="dxa"/>
            <w:bottom w:w="0" w:type="dxa"/>
            <w:right w:w="0" w:type="dxa"/>
          </w:tblCellMar>
        </w:tblPrEx>
        <w:trPr>
          <w:trHeight w:val="72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铝及铝合金风口、散流器</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1.名称:单层活动百叶风口</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2.规格:1600*300</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个</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11</w:t>
            </w:r>
          </w:p>
        </w:tc>
      </w:tr>
      <w:tr>
        <w:tblPrEx>
          <w:tblCellMar>
            <w:top w:w="0" w:type="dxa"/>
            <w:left w:w="0" w:type="dxa"/>
            <w:bottom w:w="0" w:type="dxa"/>
            <w:right w:w="0" w:type="dxa"/>
          </w:tblCellMar>
        </w:tblPrEx>
        <w:trPr>
          <w:trHeight w:val="72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7</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铝及铝合金风口、散流器</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1.名称:双层活动百叶风口</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2.规格:1600*200</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个</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w:t>
            </w:r>
          </w:p>
        </w:tc>
      </w:tr>
      <w:tr>
        <w:tblPrEx>
          <w:tblCellMar>
            <w:top w:w="0" w:type="dxa"/>
            <w:left w:w="0" w:type="dxa"/>
            <w:bottom w:w="0" w:type="dxa"/>
            <w:right w:w="0" w:type="dxa"/>
          </w:tblCellMar>
        </w:tblPrEx>
        <w:trPr>
          <w:trHeight w:val="72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铝及铝合金风口、散流器</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1.名称:双层活动百叶风口</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2.规格:1500*200</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个</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r>
      <w:tr>
        <w:tblPrEx>
          <w:tblCellMar>
            <w:top w:w="0" w:type="dxa"/>
            <w:left w:w="0" w:type="dxa"/>
            <w:bottom w:w="0" w:type="dxa"/>
            <w:right w:w="0" w:type="dxa"/>
          </w:tblCellMar>
        </w:tblPrEx>
        <w:trPr>
          <w:trHeight w:val="72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9</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复合型风管</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1.名称:A6钢面型酚醛复合风管</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2.规格:900*150</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3.板材厚度:20mm,单面复合0.2mm,压花镀锌航班内复合铝箔</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m2</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6.55</w:t>
            </w:r>
          </w:p>
        </w:tc>
      </w:tr>
      <w:tr>
        <w:tblPrEx>
          <w:tblCellMar>
            <w:top w:w="0" w:type="dxa"/>
            <w:left w:w="0" w:type="dxa"/>
            <w:bottom w:w="0" w:type="dxa"/>
            <w:right w:w="0" w:type="dxa"/>
          </w:tblCellMar>
        </w:tblPrEx>
        <w:trPr>
          <w:trHeight w:val="72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复合型风管</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1.名称:A6钢面型酚醛复合风管</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2.规格:1600*150</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3.板材厚度:20mm,单面复合0.2mm,压花镀锌航班内复合铝箔</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m2</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7.58</w:t>
            </w:r>
          </w:p>
        </w:tc>
      </w:tr>
      <w:tr>
        <w:tblPrEx>
          <w:tblCellMar>
            <w:top w:w="0" w:type="dxa"/>
            <w:left w:w="0" w:type="dxa"/>
            <w:bottom w:w="0" w:type="dxa"/>
            <w:right w:w="0" w:type="dxa"/>
          </w:tblCellMar>
        </w:tblPrEx>
        <w:trPr>
          <w:trHeight w:val="72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11</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复合型风管</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1.名称:A6钢面型酚醛复合风管</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2.规格:1800*150</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3.板材厚度:20mm,单面复合0.2mm,压花镀锌航班内复合铝箔</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m2</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92.41</w:t>
            </w:r>
          </w:p>
        </w:tc>
      </w:tr>
      <w:tr>
        <w:tblPrEx>
          <w:tblCellMar>
            <w:top w:w="0" w:type="dxa"/>
            <w:left w:w="0" w:type="dxa"/>
            <w:bottom w:w="0" w:type="dxa"/>
            <w:right w:w="0" w:type="dxa"/>
          </w:tblCellMar>
        </w:tblPrEx>
        <w:trPr>
          <w:trHeight w:val="96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12</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镀锌钢管</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1.安装部位;室内</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2.材质;镀锌钢管</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3.规格、压力等级;DN20</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4.连接形式; 丝扣连接</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51.48</w:t>
            </w:r>
          </w:p>
        </w:tc>
      </w:tr>
      <w:tr>
        <w:tblPrEx>
          <w:tblCellMar>
            <w:top w:w="0" w:type="dxa"/>
            <w:left w:w="0" w:type="dxa"/>
            <w:bottom w:w="0" w:type="dxa"/>
            <w:right w:w="0" w:type="dxa"/>
          </w:tblCellMar>
        </w:tblPrEx>
        <w:trPr>
          <w:trHeight w:val="96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13</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镀锌钢管</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1.安装部位;室内</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2.材质;镀锌钢管</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3.规格、压力等级;DN25</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4.连接形式; 丝扣连接</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28.09</w:t>
            </w:r>
          </w:p>
        </w:tc>
      </w:tr>
      <w:tr>
        <w:tblPrEx>
          <w:tblCellMar>
            <w:top w:w="0" w:type="dxa"/>
            <w:left w:w="0" w:type="dxa"/>
            <w:bottom w:w="0" w:type="dxa"/>
            <w:right w:w="0" w:type="dxa"/>
          </w:tblCellMar>
        </w:tblPrEx>
        <w:trPr>
          <w:trHeight w:val="96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14</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镀锌钢管</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1.安装部位;室内</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2.材质;镀锌钢管</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3.规格、压力等级;DN32</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4.连接形式; 丝扣连接</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8.55</w:t>
            </w:r>
          </w:p>
        </w:tc>
      </w:tr>
      <w:tr>
        <w:tblPrEx>
          <w:tblCellMar>
            <w:top w:w="0" w:type="dxa"/>
            <w:left w:w="0" w:type="dxa"/>
            <w:bottom w:w="0" w:type="dxa"/>
            <w:right w:w="0" w:type="dxa"/>
          </w:tblCellMar>
        </w:tblPrEx>
        <w:trPr>
          <w:trHeight w:val="96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15</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镀锌钢管</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1.安装部位;室内</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2.材质;镀锌钢管</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3.规格、压力等级;DN50</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4.连接形式; 丝扣连接</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6.63</w:t>
            </w:r>
          </w:p>
        </w:tc>
      </w:tr>
      <w:tr>
        <w:tblPrEx>
          <w:tblCellMar>
            <w:top w:w="0" w:type="dxa"/>
            <w:left w:w="0" w:type="dxa"/>
            <w:bottom w:w="0" w:type="dxa"/>
            <w:right w:w="0" w:type="dxa"/>
          </w:tblCellMar>
        </w:tblPrEx>
        <w:trPr>
          <w:trHeight w:val="96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16</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镀锌钢管</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1.安装部位;室内</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2.材质;镀锌钢管</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3.规格、压力等级;DN70</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4.连接形式; 焊接</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15.1</w:t>
            </w:r>
          </w:p>
        </w:tc>
      </w:tr>
      <w:tr>
        <w:tblPrEx>
          <w:tblCellMar>
            <w:top w:w="0" w:type="dxa"/>
            <w:left w:w="0" w:type="dxa"/>
            <w:bottom w:w="0" w:type="dxa"/>
            <w:right w:w="0" w:type="dxa"/>
          </w:tblCellMar>
        </w:tblPrEx>
        <w:trPr>
          <w:trHeight w:val="96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17</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镀锌钢管</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1.安装部位;室内</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2.材质;镀锌钢管</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3.规格、压力等级;DN80</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4.连接形式; 丝扣连接</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28.23</w:t>
            </w:r>
          </w:p>
        </w:tc>
      </w:tr>
      <w:tr>
        <w:tblPrEx>
          <w:tblCellMar>
            <w:top w:w="0" w:type="dxa"/>
            <w:left w:w="0" w:type="dxa"/>
            <w:bottom w:w="0" w:type="dxa"/>
            <w:right w:w="0" w:type="dxa"/>
          </w:tblCellMar>
        </w:tblPrEx>
        <w:trPr>
          <w:trHeight w:val="96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18</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塑料管</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1.安装部位;室内</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2.材质;UPVC管</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3.规格、压力等级;DN20</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4.连接形式; 粘接</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36.95</w:t>
            </w:r>
          </w:p>
        </w:tc>
      </w:tr>
      <w:tr>
        <w:tblPrEx>
          <w:tblCellMar>
            <w:top w:w="0" w:type="dxa"/>
            <w:left w:w="0" w:type="dxa"/>
            <w:bottom w:w="0" w:type="dxa"/>
            <w:right w:w="0" w:type="dxa"/>
          </w:tblCellMar>
        </w:tblPrEx>
        <w:trPr>
          <w:trHeight w:val="96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19</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塑料管</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1.安装部位;室内</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2.材质;UPVC管</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3.规格、压力等级;DN25</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4.连接形式; 粘接</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4.32</w:t>
            </w:r>
          </w:p>
        </w:tc>
      </w:tr>
      <w:tr>
        <w:tblPrEx>
          <w:tblCellMar>
            <w:top w:w="0" w:type="dxa"/>
            <w:left w:w="0" w:type="dxa"/>
            <w:bottom w:w="0" w:type="dxa"/>
            <w:right w:w="0" w:type="dxa"/>
          </w:tblCellMar>
        </w:tblPrEx>
        <w:trPr>
          <w:trHeight w:val="96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20</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塑料管</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1.安装部位;室内</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2.材质;UPVC管</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3.规格、压力等级;DN32</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4.连接形式; 粘接</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10.87</w:t>
            </w:r>
          </w:p>
        </w:tc>
      </w:tr>
      <w:tr>
        <w:tblPrEx>
          <w:tblCellMar>
            <w:top w:w="0" w:type="dxa"/>
            <w:left w:w="0" w:type="dxa"/>
            <w:bottom w:w="0" w:type="dxa"/>
            <w:right w:w="0" w:type="dxa"/>
          </w:tblCellMar>
        </w:tblPrEx>
        <w:trPr>
          <w:trHeight w:val="96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21</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塑料管</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1.安装部位;室内</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2.材质;UPVC管</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3.规格、压力等级;DN40</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4.连接形式; 粘接</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14.26</w:t>
            </w:r>
          </w:p>
        </w:tc>
      </w:tr>
      <w:tr>
        <w:tblPrEx>
          <w:tblCellMar>
            <w:top w:w="0" w:type="dxa"/>
            <w:left w:w="0" w:type="dxa"/>
            <w:bottom w:w="0" w:type="dxa"/>
            <w:right w:w="0" w:type="dxa"/>
          </w:tblCellMar>
        </w:tblPrEx>
        <w:trPr>
          <w:trHeight w:val="48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22</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管道绝热</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1.绝热材料品种:难燃B1级发泡橡塑保温</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2.管道外径:DN80以下</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m3</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0.52</w:t>
            </w:r>
          </w:p>
        </w:tc>
      </w:tr>
      <w:tr>
        <w:tblPrEx>
          <w:tblCellMar>
            <w:top w:w="0" w:type="dxa"/>
            <w:left w:w="0" w:type="dxa"/>
            <w:bottom w:w="0" w:type="dxa"/>
            <w:right w:w="0" w:type="dxa"/>
          </w:tblCellMar>
        </w:tblPrEx>
        <w:trPr>
          <w:trHeight w:val="48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23</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管道绝热</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1.绝热材料品种:难燃B1级发泡橡塑保温</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2.管道外径:DN50以下</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m3</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0.75</w:t>
            </w:r>
          </w:p>
        </w:tc>
      </w:tr>
      <w:tr>
        <w:tblPrEx>
          <w:tblCellMar>
            <w:top w:w="0" w:type="dxa"/>
            <w:left w:w="0" w:type="dxa"/>
            <w:bottom w:w="0" w:type="dxa"/>
            <w:right w:w="0" w:type="dxa"/>
          </w:tblCellMar>
        </w:tblPrEx>
        <w:trPr>
          <w:trHeight w:val="72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24</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焊接法兰阀门</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1.类型:蝶阀</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2.规格、压力等级:DN80</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3.连接形式:焊接</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个</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r>
      <w:tr>
        <w:tblPrEx>
          <w:tblCellMar>
            <w:top w:w="0" w:type="dxa"/>
            <w:left w:w="0" w:type="dxa"/>
            <w:bottom w:w="0" w:type="dxa"/>
            <w:right w:w="0" w:type="dxa"/>
          </w:tblCellMar>
        </w:tblPrEx>
        <w:trPr>
          <w:trHeight w:val="72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25</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螺纹阀门</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1.类型:铜球阀</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2.规格、压力等级:DN20</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3.连接形式:丝接</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个</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24</w:t>
            </w:r>
          </w:p>
        </w:tc>
      </w:tr>
      <w:tr>
        <w:tblPrEx>
          <w:tblCellMar>
            <w:top w:w="0" w:type="dxa"/>
            <w:left w:w="0" w:type="dxa"/>
            <w:bottom w:w="0" w:type="dxa"/>
            <w:right w:w="0" w:type="dxa"/>
          </w:tblCellMar>
        </w:tblPrEx>
        <w:trPr>
          <w:trHeight w:val="72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26</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软接头(软管）</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1.类型:不锈钢软连接</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2.规格、压力等级:DN20</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3.连接形式:丝接</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个</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24</w:t>
            </w:r>
          </w:p>
        </w:tc>
      </w:tr>
      <w:tr>
        <w:tblPrEx>
          <w:tblCellMar>
            <w:top w:w="0" w:type="dxa"/>
            <w:left w:w="0" w:type="dxa"/>
            <w:bottom w:w="0" w:type="dxa"/>
            <w:right w:w="0" w:type="dxa"/>
          </w:tblCellMar>
        </w:tblPrEx>
        <w:trPr>
          <w:trHeight w:val="72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27</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螺纹阀门</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1.类型:Y型过滤器</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2.规格、压力等级:DN20</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3.连接形式:丝接</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个</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12</w:t>
            </w:r>
          </w:p>
        </w:tc>
      </w:tr>
      <w:tr>
        <w:tblPrEx>
          <w:tblCellMar>
            <w:top w:w="0" w:type="dxa"/>
            <w:left w:w="0" w:type="dxa"/>
            <w:bottom w:w="0" w:type="dxa"/>
            <w:right w:w="0" w:type="dxa"/>
          </w:tblCellMar>
        </w:tblPrEx>
        <w:trPr>
          <w:trHeight w:val="72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28</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螺纹阀门</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1.类型:手动放气阀</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2.规格、压力等级:按设计要求</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3.连接形式:丝接</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个</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12</w:t>
            </w:r>
          </w:p>
        </w:tc>
      </w:tr>
      <w:tr>
        <w:tblPrEx>
          <w:tblCellMar>
            <w:top w:w="0" w:type="dxa"/>
            <w:left w:w="0" w:type="dxa"/>
            <w:bottom w:w="0" w:type="dxa"/>
            <w:right w:w="0" w:type="dxa"/>
          </w:tblCellMar>
        </w:tblPrEx>
        <w:trPr>
          <w:trHeight w:val="48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29</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管道支架</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1、名称：管道支架制作安装</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2、工作内容：除锈后刷银粉漆两道</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kg</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74.57</w:t>
            </w:r>
          </w:p>
        </w:tc>
      </w:tr>
      <w:tr>
        <w:tblPrEx>
          <w:tblCellMar>
            <w:top w:w="0" w:type="dxa"/>
            <w:left w:w="0" w:type="dxa"/>
            <w:bottom w:w="0" w:type="dxa"/>
            <w:right w:w="0" w:type="dxa"/>
          </w:tblCellMar>
        </w:tblPrEx>
        <w:trPr>
          <w:trHeight w:val="240" w:hRule="atLeast"/>
        </w:trPr>
        <w:tc>
          <w:tcPr>
            <w:tcW w:w="8788" w:type="dxa"/>
            <w:gridSpan w:val="5"/>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墙体部分</w:t>
            </w:r>
          </w:p>
        </w:tc>
      </w:tr>
      <w:tr>
        <w:trPr>
          <w:trHeight w:val="48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实心砖墙</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1.部位：茶水间门洞处</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2.墙体规格：120墙体，高度5.2m</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m3</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0.468</w:t>
            </w:r>
          </w:p>
        </w:tc>
      </w:tr>
      <w:tr>
        <w:tblPrEx>
          <w:tblCellMar>
            <w:top w:w="0" w:type="dxa"/>
            <w:left w:w="0" w:type="dxa"/>
            <w:bottom w:w="0" w:type="dxa"/>
            <w:right w:w="0" w:type="dxa"/>
          </w:tblCellMar>
        </w:tblPrEx>
        <w:trPr>
          <w:trHeight w:val="72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基础梁</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1.混凝土种类:商砼</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2.混凝土强度等级:C20</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3.混凝土运距:自行考虑</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m3</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0.254</w:t>
            </w:r>
          </w:p>
        </w:tc>
      </w:tr>
      <w:tr>
        <w:tblPrEx>
          <w:tblCellMar>
            <w:top w:w="0" w:type="dxa"/>
            <w:left w:w="0" w:type="dxa"/>
            <w:bottom w:w="0" w:type="dxa"/>
            <w:right w:w="0" w:type="dxa"/>
          </w:tblCellMar>
        </w:tblPrEx>
        <w:trPr>
          <w:trHeight w:val="96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过梁</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1.混凝土种类:商砼</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2.混凝土强度等级:C20</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3.混凝土运距:自行考虑</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4.型材4*4*3角钢</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m3</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0.2784</w:t>
            </w:r>
          </w:p>
        </w:tc>
      </w:tr>
      <w:tr>
        <w:trPr>
          <w:trHeight w:val="72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墙面一般抹灰</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1.名称 普通砖墙凿门洞处墙面抹灰</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 砖墙 240+两侧抹灰层</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3.加固钢丝网</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m2</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2.5</w:t>
            </w:r>
          </w:p>
        </w:tc>
      </w:tr>
      <w:tr>
        <w:tblPrEx>
          <w:tblCellMar>
            <w:top w:w="0" w:type="dxa"/>
            <w:left w:w="0" w:type="dxa"/>
            <w:bottom w:w="0" w:type="dxa"/>
            <w:right w:w="0" w:type="dxa"/>
          </w:tblCellMar>
        </w:tblPrEx>
        <w:trPr>
          <w:trHeight w:val="192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金属隔断</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1.部位：多功能会议厅与办公室交接隔墙、指挥大厅于过道交接隔墙（一侧为硬包，一侧为壁布，面层另见清单项）</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2.高度：5.2m</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3.150隔墙轻钢龙骨骨架</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4.内填充隔音岩棉，厚50mm</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5.一侧双层18mm细木工板基层</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6.一侧9mm厚双层石膏板封面</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7.石膏板缝隙做纸胶带补缝</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m2</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82.176</w:t>
            </w:r>
          </w:p>
        </w:tc>
      </w:tr>
      <w:tr>
        <w:tblPrEx>
          <w:tblCellMar>
            <w:top w:w="0" w:type="dxa"/>
            <w:left w:w="0" w:type="dxa"/>
            <w:bottom w:w="0" w:type="dxa"/>
            <w:right w:w="0" w:type="dxa"/>
          </w:tblCellMar>
        </w:tblPrEx>
        <w:trPr>
          <w:trHeight w:val="144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金属隔断</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1.部位：多功能会议厅与指挥大厅交接隔墙（两侧均为硬包，面层另见清单项）</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2.高度：5.2m</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3.150隔墙轻钢龙骨骨架</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4.内填充隔音岩棉，厚50mm</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5.两侧双层18mm细木工板基层</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m2</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46.145</w:t>
            </w:r>
          </w:p>
        </w:tc>
      </w:tr>
      <w:tr>
        <w:tblPrEx>
          <w:tblCellMar>
            <w:top w:w="0" w:type="dxa"/>
            <w:left w:w="0" w:type="dxa"/>
            <w:bottom w:w="0" w:type="dxa"/>
            <w:right w:w="0" w:type="dxa"/>
          </w:tblCellMar>
        </w:tblPrEx>
        <w:trPr>
          <w:trHeight w:val="168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7</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金属隔断</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1.部位：办公室/值班室与过道交接隔墙（两侧为壁布，面层另见清单项）</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2.高度：5.2m</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3.75隔墙轻钢龙骨骨架</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4.内填充隔音岩棉，厚50mm</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5.两侧9mm厚双层石膏板封面</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6.石膏板缝隙做纸胶带补缝</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m2</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62.44</w:t>
            </w:r>
          </w:p>
        </w:tc>
      </w:tr>
      <w:tr>
        <w:tblPrEx>
          <w:tblCellMar>
            <w:top w:w="0" w:type="dxa"/>
            <w:left w:w="0" w:type="dxa"/>
            <w:bottom w:w="0" w:type="dxa"/>
            <w:right w:w="0" w:type="dxa"/>
          </w:tblCellMar>
        </w:tblPrEx>
        <w:trPr>
          <w:trHeight w:val="168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金属隔断</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1.部位：机房新建隔墙（双面）</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2.高度：5.2m</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3.隔墙轻钢龙骨骨架</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4.内填50mm充防火岩棉</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5.12mm石膏板封面</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6.彩钢压型墙板0.5mm厚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7.石膏板缝隙做纸胶带补缝</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m2</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116.22</w:t>
            </w:r>
          </w:p>
        </w:tc>
      </w:tr>
      <w:tr>
        <w:tblPrEx>
          <w:tblCellMar>
            <w:top w:w="0" w:type="dxa"/>
            <w:left w:w="0" w:type="dxa"/>
            <w:bottom w:w="0" w:type="dxa"/>
            <w:right w:w="0" w:type="dxa"/>
          </w:tblCellMar>
        </w:tblPrEx>
        <w:trPr>
          <w:trHeight w:val="72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9</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玻璃隔断</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1.部位：多功能会议厅与指挥厅交界处</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2.材质：雾化调光玻璃隔断</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3.高度：3.6m</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m2</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23.76</w:t>
            </w:r>
          </w:p>
        </w:tc>
      </w:tr>
      <w:tr>
        <w:tblPrEx>
          <w:tblCellMar>
            <w:top w:w="0" w:type="dxa"/>
            <w:left w:w="0" w:type="dxa"/>
            <w:bottom w:w="0" w:type="dxa"/>
            <w:right w:w="0" w:type="dxa"/>
          </w:tblCellMar>
        </w:tblPrEx>
        <w:trPr>
          <w:trHeight w:val="240" w:hRule="atLeast"/>
        </w:trPr>
        <w:tc>
          <w:tcPr>
            <w:tcW w:w="8788" w:type="dxa"/>
            <w:gridSpan w:val="5"/>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指挥大厅部分</w:t>
            </w:r>
          </w:p>
        </w:tc>
      </w:tr>
      <w:tr>
        <w:tblPrEx>
          <w:tblCellMar>
            <w:top w:w="0" w:type="dxa"/>
            <w:left w:w="0" w:type="dxa"/>
            <w:bottom w:w="0" w:type="dxa"/>
            <w:right w:w="0" w:type="dxa"/>
          </w:tblCellMar>
        </w:tblPrEx>
        <w:trPr>
          <w:trHeight w:val="72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零星砌砖</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1.零星砌体 指挥大厅主席台地台</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2.水泥砂浆抹灰</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3.15mm厚实木踏步板，胡桃木饰面板饰面工艺</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m3</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6.45</w:t>
            </w:r>
          </w:p>
        </w:tc>
      </w:tr>
      <w:tr>
        <w:tblPrEx>
          <w:tblCellMar>
            <w:top w:w="0" w:type="dxa"/>
            <w:left w:w="0" w:type="dxa"/>
            <w:bottom w:w="0" w:type="dxa"/>
            <w:right w:w="0" w:type="dxa"/>
          </w:tblCellMar>
        </w:tblPrEx>
        <w:trPr>
          <w:trHeight w:val="120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块料楼地面</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1.800*800珍珠米白地砖铺贴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2.30厚水泥砂浆找平层</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3.30厚水泥砂浆防水保护层</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4.20厚水泥砂浆粘结层</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5.界面剂一道</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m2</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173.15</w:t>
            </w:r>
          </w:p>
        </w:tc>
      </w:tr>
      <w:tr>
        <w:tblPrEx>
          <w:tblCellMar>
            <w:top w:w="0" w:type="dxa"/>
            <w:left w:w="0" w:type="dxa"/>
            <w:bottom w:w="0" w:type="dxa"/>
            <w:right w:w="0" w:type="dxa"/>
          </w:tblCellMar>
        </w:tblPrEx>
        <w:trPr>
          <w:trHeight w:val="48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地毯楼地面</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1.地面防静电带垫地毯</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m2</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173.15</w:t>
            </w:r>
          </w:p>
        </w:tc>
      </w:tr>
      <w:tr>
        <w:tblPrEx>
          <w:tblCellMar>
            <w:top w:w="0" w:type="dxa"/>
            <w:left w:w="0" w:type="dxa"/>
            <w:bottom w:w="0" w:type="dxa"/>
            <w:right w:w="0" w:type="dxa"/>
          </w:tblCellMar>
        </w:tblPrEx>
        <w:trPr>
          <w:trHeight w:val="72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金属踢脚线</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1.材质：80mm高1.5mm黑色拉丝不锈钢踢脚线</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2.18mm厚木工板基层</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3.刷防火涂料三遍</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m2</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4.518</w:t>
            </w:r>
          </w:p>
        </w:tc>
      </w:tr>
      <w:tr>
        <w:trPr>
          <w:trHeight w:val="72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石材墙面</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1.部位：指挥大厅显示屏背景墙</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2.镀锌钢结构基层框架，外挂黑金沙石材装饰</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3.中填隔音棉</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m2</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57.6</w:t>
            </w:r>
          </w:p>
        </w:tc>
      </w:tr>
      <w:tr>
        <w:tblPrEx>
          <w:tblCellMar>
            <w:top w:w="0" w:type="dxa"/>
            <w:left w:w="0" w:type="dxa"/>
            <w:bottom w:w="0" w:type="dxa"/>
            <w:right w:w="0" w:type="dxa"/>
          </w:tblCellMar>
        </w:tblPrEx>
        <w:trPr>
          <w:trHeight w:val="72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墙面装饰板</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1.原有墙体硬包造型</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2.12mm多层板基层</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3.刷防火涂料三遍</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m2</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49.52</w:t>
            </w:r>
          </w:p>
        </w:tc>
      </w:tr>
      <w:tr>
        <w:tblPrEx>
          <w:tblCellMar>
            <w:top w:w="0" w:type="dxa"/>
            <w:left w:w="0" w:type="dxa"/>
            <w:bottom w:w="0" w:type="dxa"/>
            <w:right w:w="0" w:type="dxa"/>
          </w:tblCellMar>
        </w:tblPrEx>
        <w:trPr>
          <w:trHeight w:val="48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7</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墙面装饰板</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1.新建墙体面层</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2.硬包造型厚度15mm</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m2</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60.57</w:t>
            </w:r>
          </w:p>
        </w:tc>
      </w:tr>
      <w:tr>
        <w:tblPrEx>
          <w:tblCellMar>
            <w:top w:w="0" w:type="dxa"/>
            <w:left w:w="0" w:type="dxa"/>
            <w:bottom w:w="0" w:type="dxa"/>
            <w:right w:w="0" w:type="dxa"/>
          </w:tblCellMar>
        </w:tblPrEx>
        <w:trPr>
          <w:trHeight w:val="72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柱面装饰</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1.原立柱硬包造型</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2.12mm多层板及基层</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3.刷防火涂料三遍</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m2</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17.28</w:t>
            </w:r>
          </w:p>
        </w:tc>
      </w:tr>
      <w:tr>
        <w:tblPrEx>
          <w:tblCellMar>
            <w:top w:w="0" w:type="dxa"/>
            <w:left w:w="0" w:type="dxa"/>
            <w:bottom w:w="0" w:type="dxa"/>
            <w:right w:w="0" w:type="dxa"/>
          </w:tblCellMar>
        </w:tblPrEx>
        <w:trPr>
          <w:trHeight w:val="144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9</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柱（梁）面装饰</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1.新建立柱造型爵士白石材干挂装饰</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2.规格厚度：20mm</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3.双层18木工板造型基层</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4.8#镀锌槽钢、5#镀锌角铁</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5.5mm*5mm石材倒角</w:t>
            </w:r>
            <w:r>
              <w:rPr>
                <w:rFonts w:hint="eastAsia" w:ascii="宋体" w:hAnsi="宋体" w:cs="宋体"/>
                <w:color w:val="000000"/>
                <w:kern w:val="0"/>
                <w:sz w:val="18"/>
                <w:szCs w:val="18"/>
                <w:lang w:val="en-US" w:eastAsia="zh-CN" w:bidi="ar"/>
              </w:rPr>
              <w:t xml:space="preserve">        </w:t>
            </w:r>
            <w:r>
              <w:rPr>
                <w:rFonts w:hint="eastAsia" w:ascii="宋体" w:hAnsi="宋体" w:cs="宋体"/>
                <w:color w:val="000000"/>
                <w:kern w:val="0"/>
                <w:sz w:val="18"/>
                <w:szCs w:val="18"/>
                <w:lang w:bidi="ar"/>
              </w:rPr>
              <w:t>6.部位:指挥大厅</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m2</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15.4</w:t>
            </w:r>
          </w:p>
        </w:tc>
      </w:tr>
      <w:tr>
        <w:tblPrEx>
          <w:tblCellMar>
            <w:top w:w="0" w:type="dxa"/>
            <w:left w:w="0" w:type="dxa"/>
            <w:bottom w:w="0" w:type="dxa"/>
            <w:right w:w="0" w:type="dxa"/>
          </w:tblCellMar>
        </w:tblPrEx>
        <w:trPr>
          <w:trHeight w:val="144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吊顶天棚</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1.天棚艺术吊顶</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2.9mm双层纸面石膏饰面</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3.刷乳胶漆三遍</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4.凹龛18mm细木工板造型，刷防火涂料三遍</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5.50系轻钢龙骨</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6.石膏板吊顶做纸胶带补缝</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m2</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172.2568</w:t>
            </w:r>
          </w:p>
        </w:tc>
      </w:tr>
      <w:tr>
        <w:tblPrEx>
          <w:tblCellMar>
            <w:top w:w="0" w:type="dxa"/>
            <w:left w:w="0" w:type="dxa"/>
            <w:bottom w:w="0" w:type="dxa"/>
            <w:right w:w="0" w:type="dxa"/>
          </w:tblCellMar>
        </w:tblPrEx>
        <w:trPr>
          <w:trHeight w:val="48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11</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地砖美缝</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1.地砖留缝2mm铺贴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2.专业地砖美缝剂（立邦美缝剂）</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m2</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173.15</w:t>
            </w:r>
          </w:p>
        </w:tc>
      </w:tr>
      <w:tr>
        <w:tblPrEx>
          <w:tblCellMar>
            <w:top w:w="0" w:type="dxa"/>
            <w:left w:w="0" w:type="dxa"/>
            <w:bottom w:w="0" w:type="dxa"/>
            <w:right w:w="0" w:type="dxa"/>
          </w:tblCellMar>
        </w:tblPrEx>
        <w:trPr>
          <w:trHeight w:val="24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12</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挖灯孔</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1.挖灯孔、消防喇叭孔</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个</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56</w:t>
            </w:r>
          </w:p>
        </w:tc>
      </w:tr>
      <w:tr>
        <w:tblPrEx>
          <w:tblCellMar>
            <w:top w:w="0" w:type="dxa"/>
            <w:left w:w="0" w:type="dxa"/>
            <w:bottom w:w="0" w:type="dxa"/>
            <w:right w:w="0" w:type="dxa"/>
          </w:tblCellMar>
        </w:tblPrEx>
        <w:trPr>
          <w:trHeight w:val="240" w:hRule="atLeast"/>
        </w:trPr>
        <w:tc>
          <w:tcPr>
            <w:tcW w:w="8788" w:type="dxa"/>
            <w:gridSpan w:val="5"/>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多功能会议厅</w:t>
            </w:r>
          </w:p>
        </w:tc>
      </w:tr>
      <w:tr>
        <w:tblPrEx>
          <w:tblCellMar>
            <w:top w:w="0" w:type="dxa"/>
            <w:left w:w="0" w:type="dxa"/>
            <w:bottom w:w="0" w:type="dxa"/>
            <w:right w:w="0" w:type="dxa"/>
          </w:tblCellMar>
        </w:tblPrEx>
        <w:trPr>
          <w:trHeight w:val="72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木窗帘盒</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1.窗帘盒</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2.18mm细木工板基层，防火涂料三遍</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3.石膏板面层，乳胶漆三遍</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17.3</w:t>
            </w:r>
          </w:p>
        </w:tc>
      </w:tr>
      <w:tr>
        <w:tblPrEx>
          <w:tblCellMar>
            <w:top w:w="0" w:type="dxa"/>
            <w:left w:w="0" w:type="dxa"/>
            <w:bottom w:w="0" w:type="dxa"/>
            <w:right w:w="0" w:type="dxa"/>
          </w:tblCellMar>
        </w:tblPrEx>
        <w:trPr>
          <w:trHeight w:val="120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块料楼地面</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1.800*800珍珠米白地砖铺贴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2.30厚水泥砂浆找平层</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3.30厚水泥砂浆防水保护层</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4.20厚水泥砂浆粘结层</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5.界面剂一道</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m2</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120.6</w:t>
            </w:r>
          </w:p>
        </w:tc>
      </w:tr>
      <w:tr>
        <w:tblPrEx>
          <w:tblCellMar>
            <w:top w:w="0" w:type="dxa"/>
            <w:left w:w="0" w:type="dxa"/>
            <w:bottom w:w="0" w:type="dxa"/>
            <w:right w:w="0" w:type="dxa"/>
          </w:tblCellMar>
        </w:tblPrEx>
        <w:trPr>
          <w:trHeight w:val="48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地毯楼地面</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1.地面防静电带垫地毯</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m2</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120.6</w:t>
            </w:r>
          </w:p>
        </w:tc>
      </w:tr>
      <w:tr>
        <w:tblPrEx>
          <w:tblCellMar>
            <w:top w:w="0" w:type="dxa"/>
            <w:left w:w="0" w:type="dxa"/>
            <w:bottom w:w="0" w:type="dxa"/>
            <w:right w:w="0" w:type="dxa"/>
          </w:tblCellMar>
        </w:tblPrEx>
        <w:trPr>
          <w:trHeight w:val="72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金属踢脚线</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1.材质：80mm高1.5mm黑色拉丝不锈钢踢脚线</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2.18mm厚木工板基层</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3.刷防火涂料三遍</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m2</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4.652</w:t>
            </w:r>
          </w:p>
        </w:tc>
      </w:tr>
      <w:tr>
        <w:tblPrEx>
          <w:tblCellMar>
            <w:top w:w="0" w:type="dxa"/>
            <w:left w:w="0" w:type="dxa"/>
            <w:bottom w:w="0" w:type="dxa"/>
            <w:right w:w="0" w:type="dxa"/>
          </w:tblCellMar>
        </w:tblPrEx>
        <w:trPr>
          <w:trHeight w:val="96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石材墙面</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1.大屏背景石材品种：黑金沙</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2.规格厚度：20mm</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3.钢挂石材钢骨架40*40*5mm镀锌角钢、40*40*5mm镀锌方钢</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4.中填隔音棉</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m2</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25.92</w:t>
            </w:r>
          </w:p>
        </w:tc>
      </w:tr>
      <w:tr>
        <w:tblPrEx>
          <w:tblCellMar>
            <w:top w:w="0" w:type="dxa"/>
            <w:left w:w="0" w:type="dxa"/>
            <w:bottom w:w="0" w:type="dxa"/>
            <w:right w:w="0" w:type="dxa"/>
          </w:tblCellMar>
        </w:tblPrEx>
        <w:trPr>
          <w:trHeight w:val="96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柱（梁）面装饰</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1.新建3mm原木纹立柱（实木，胡桃木饰面板工艺）</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2.18mm厚细木工板框架造型</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3.5#镀锌角钢连接加固</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4.刷防火涂料三遍</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m2</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7.056</w:t>
            </w:r>
          </w:p>
        </w:tc>
      </w:tr>
      <w:tr>
        <w:tblPrEx>
          <w:tblCellMar>
            <w:top w:w="0" w:type="dxa"/>
            <w:left w:w="0" w:type="dxa"/>
            <w:bottom w:w="0" w:type="dxa"/>
            <w:right w:w="0" w:type="dxa"/>
          </w:tblCellMar>
        </w:tblPrEx>
        <w:trPr>
          <w:trHeight w:val="72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7</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柱面装饰</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1.原立柱硬包造型</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2.12mm多层板及基层</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3.刷防火涂料三遍</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m2</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25.95</w:t>
            </w:r>
          </w:p>
        </w:tc>
      </w:tr>
      <w:tr>
        <w:tblPrEx>
          <w:tblCellMar>
            <w:top w:w="0" w:type="dxa"/>
            <w:left w:w="0" w:type="dxa"/>
            <w:bottom w:w="0" w:type="dxa"/>
            <w:right w:w="0" w:type="dxa"/>
          </w:tblCellMar>
        </w:tblPrEx>
        <w:trPr>
          <w:trHeight w:val="48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墙面装饰板</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1.新建墙体面层</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2.硬包造型厚度15mm</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m2</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51.178</w:t>
            </w:r>
          </w:p>
        </w:tc>
      </w:tr>
      <w:tr>
        <w:tblPrEx>
          <w:tblCellMar>
            <w:top w:w="0" w:type="dxa"/>
            <w:left w:w="0" w:type="dxa"/>
            <w:bottom w:w="0" w:type="dxa"/>
            <w:right w:w="0" w:type="dxa"/>
          </w:tblCellMar>
        </w:tblPrEx>
        <w:trPr>
          <w:trHeight w:val="72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9</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墙面装饰板</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1.原有墙体硬包造型</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2.12mm多层板及基层</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3.刷防火涂料三遍</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m2</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19.04</w:t>
            </w:r>
          </w:p>
        </w:tc>
      </w:tr>
      <w:tr>
        <w:tblPrEx>
          <w:tblCellMar>
            <w:top w:w="0" w:type="dxa"/>
            <w:left w:w="0" w:type="dxa"/>
            <w:bottom w:w="0" w:type="dxa"/>
            <w:right w:w="0" w:type="dxa"/>
          </w:tblCellMar>
        </w:tblPrEx>
        <w:trPr>
          <w:trHeight w:val="96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墙面装饰板</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红旗墙红旗底座及边框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val="en-US" w:eastAsia="zh-CN" w:bidi="ar"/>
              </w:rPr>
              <w:t>1.</w:t>
            </w:r>
            <w:r>
              <w:rPr>
                <w:rFonts w:hint="eastAsia" w:ascii="宋体" w:hAnsi="宋体" w:cs="宋体"/>
                <w:color w:val="000000"/>
                <w:kern w:val="0"/>
                <w:sz w:val="18"/>
                <w:szCs w:val="18"/>
                <w:lang w:bidi="ar"/>
              </w:rPr>
              <w:t>18mm细木工板框架，防火涂料三遍，12mm成品木饰面，胡桃木饰面板工艺</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w:t>
            </w:r>
            <w:r>
              <w:rPr>
                <w:rFonts w:hint="eastAsia" w:ascii="宋体" w:hAnsi="宋体" w:cs="宋体"/>
                <w:color w:val="000000"/>
                <w:kern w:val="0"/>
                <w:sz w:val="18"/>
                <w:szCs w:val="18"/>
                <w:lang w:val="en-US" w:eastAsia="zh-CN" w:bidi="ar"/>
              </w:rPr>
              <w:t>.</w:t>
            </w:r>
            <w:r>
              <w:rPr>
                <w:rFonts w:hint="eastAsia" w:ascii="宋体" w:hAnsi="宋体" w:cs="宋体"/>
                <w:color w:val="000000"/>
                <w:kern w:val="0"/>
                <w:sz w:val="18"/>
                <w:szCs w:val="18"/>
                <w:lang w:bidi="ar"/>
              </w:rPr>
              <w:t>底座150*80mm</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m2</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5.48</w:t>
            </w:r>
          </w:p>
        </w:tc>
      </w:tr>
      <w:tr>
        <w:tblPrEx>
          <w:tblCellMar>
            <w:top w:w="0" w:type="dxa"/>
            <w:left w:w="0" w:type="dxa"/>
            <w:bottom w:w="0" w:type="dxa"/>
            <w:right w:w="0" w:type="dxa"/>
          </w:tblCellMar>
        </w:tblPrEx>
        <w:trPr>
          <w:trHeight w:val="168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11</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吊顶天棚</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1.跌级天棚吊顶</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2.9mm双层纸面石膏饰面</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3.灯箱位置18mm细木工板</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4.刷乳胶漆三遍</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5.刷腻子三遍</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6.50系轻钢龙骨</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7.石膏吊顶板缝隙做纸胶带补缝</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m2</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120.6</w:t>
            </w:r>
          </w:p>
        </w:tc>
      </w:tr>
      <w:tr>
        <w:tblPrEx>
          <w:tblCellMar>
            <w:top w:w="0" w:type="dxa"/>
            <w:left w:w="0" w:type="dxa"/>
            <w:bottom w:w="0" w:type="dxa"/>
            <w:right w:w="0" w:type="dxa"/>
          </w:tblCellMar>
        </w:tblPrEx>
        <w:trPr>
          <w:trHeight w:val="120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12</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灯带（槽）</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1.灯槽</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2.18mm细木工板</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3.防火涂料三遍</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4.石膏板面层</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5.乳胶漆三遍</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m2</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56.6884</w:t>
            </w:r>
          </w:p>
        </w:tc>
      </w:tr>
      <w:tr>
        <w:tblPrEx>
          <w:tblCellMar>
            <w:top w:w="0" w:type="dxa"/>
            <w:left w:w="0" w:type="dxa"/>
            <w:bottom w:w="0" w:type="dxa"/>
            <w:right w:w="0" w:type="dxa"/>
          </w:tblCellMar>
        </w:tblPrEx>
        <w:trPr>
          <w:trHeight w:val="96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13</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国旗、党旗造型展示、党徽装饰</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1.党徽材质：电镀铜640mm</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2.党红旗及杆3m</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项</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r>
      <w:tr>
        <w:tblPrEx>
          <w:tblCellMar>
            <w:top w:w="0" w:type="dxa"/>
            <w:left w:w="0" w:type="dxa"/>
            <w:bottom w:w="0" w:type="dxa"/>
            <w:right w:w="0" w:type="dxa"/>
          </w:tblCellMar>
        </w:tblPrEx>
        <w:trPr>
          <w:trHeight w:val="48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14</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地砖美缝</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1.地砖留缝2mm铺贴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2.专业地砖美缝剂（立邦美缝剂）</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m2</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120.6</w:t>
            </w:r>
          </w:p>
        </w:tc>
      </w:tr>
      <w:tr>
        <w:tblPrEx>
          <w:tblCellMar>
            <w:top w:w="0" w:type="dxa"/>
            <w:left w:w="0" w:type="dxa"/>
            <w:bottom w:w="0" w:type="dxa"/>
            <w:right w:w="0" w:type="dxa"/>
          </w:tblCellMar>
        </w:tblPrEx>
        <w:trPr>
          <w:trHeight w:val="24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15</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挖灯孔</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1.挖灯孔、消防喇叭孔</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个</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28</w:t>
            </w:r>
          </w:p>
        </w:tc>
      </w:tr>
      <w:tr>
        <w:tblPrEx>
          <w:tblCellMar>
            <w:top w:w="0" w:type="dxa"/>
            <w:left w:w="0" w:type="dxa"/>
            <w:bottom w:w="0" w:type="dxa"/>
            <w:right w:w="0" w:type="dxa"/>
          </w:tblCellMar>
        </w:tblPrEx>
        <w:trPr>
          <w:trHeight w:val="240" w:hRule="atLeast"/>
        </w:trPr>
        <w:tc>
          <w:tcPr>
            <w:tcW w:w="8788" w:type="dxa"/>
            <w:gridSpan w:val="5"/>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机房部分</w:t>
            </w:r>
          </w:p>
        </w:tc>
      </w:tr>
      <w:tr>
        <w:tblPrEx>
          <w:tblCellMar>
            <w:top w:w="0" w:type="dxa"/>
            <w:left w:w="0" w:type="dxa"/>
            <w:bottom w:w="0" w:type="dxa"/>
            <w:right w:w="0" w:type="dxa"/>
          </w:tblCellMar>
        </w:tblPrEx>
        <w:trPr>
          <w:trHeight w:val="120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平面砂浆找平层</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1.机房地面找平30mm</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2.环氧树脂地坪防潮层</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3.地面保温防护层20mm厚保温棉</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4.环氧自流平</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5.地面底面防腐油漆</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m2</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126.6</w:t>
            </w:r>
          </w:p>
        </w:tc>
      </w:tr>
      <w:tr>
        <w:tblPrEx>
          <w:tblCellMar>
            <w:top w:w="0" w:type="dxa"/>
            <w:left w:w="0" w:type="dxa"/>
            <w:bottom w:w="0" w:type="dxa"/>
            <w:right w:w="0" w:type="dxa"/>
          </w:tblCellMar>
        </w:tblPrEx>
        <w:trPr>
          <w:trHeight w:val="72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防静电活动地板</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1.全钢PVC防静电活动地板</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2.规格600*600*35</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3.30x30边角钢</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m2</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123.37</w:t>
            </w:r>
          </w:p>
        </w:tc>
      </w:tr>
      <w:tr>
        <w:tblPrEx>
          <w:tblCellMar>
            <w:top w:w="0" w:type="dxa"/>
            <w:left w:w="0" w:type="dxa"/>
            <w:bottom w:w="0" w:type="dxa"/>
            <w:right w:w="0" w:type="dxa"/>
          </w:tblCellMar>
        </w:tblPrEx>
        <w:trPr>
          <w:trHeight w:val="72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金属踢脚线</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1.踢脚线高度 80mm高1mm压光不锈钢踢脚</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2.基层材料种类、规格   9mm板基层</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3.刷防火涂料三遍</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m2</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5.11</w:t>
            </w:r>
          </w:p>
        </w:tc>
      </w:tr>
      <w:tr>
        <w:tblPrEx>
          <w:tblCellMar>
            <w:top w:w="0" w:type="dxa"/>
            <w:left w:w="0" w:type="dxa"/>
            <w:bottom w:w="0" w:type="dxa"/>
            <w:right w:w="0" w:type="dxa"/>
          </w:tblCellMar>
        </w:tblPrEx>
        <w:trPr>
          <w:trHeight w:val="96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吊顶天棚</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1.原顶面做清理及水泥砂浆找平厚度30mm</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2.聚合物水泥防水涂料 （做两遍）并向下延伸20公分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3.防尘油漆二遍</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4.轻钢龙骨微孔铝板天花吊顶</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m2</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123.37</w:t>
            </w:r>
          </w:p>
        </w:tc>
      </w:tr>
      <w:tr>
        <w:tblPrEx>
          <w:tblCellMar>
            <w:top w:w="0" w:type="dxa"/>
            <w:left w:w="0" w:type="dxa"/>
            <w:bottom w:w="0" w:type="dxa"/>
            <w:right w:w="0" w:type="dxa"/>
          </w:tblCellMar>
        </w:tblPrEx>
        <w:trPr>
          <w:trHeight w:val="96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墙面装饰板</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1.部位：机房原有墙体</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2.18mm厚细木工板基层打底，制作高度4米</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3.彩钢压型墙板0.5mm厚，制作高度3.6米</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4.刷防火涂料三遍</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m2</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147.82</w:t>
            </w:r>
          </w:p>
        </w:tc>
      </w:tr>
      <w:tr>
        <w:tblPrEx>
          <w:tblCellMar>
            <w:top w:w="0" w:type="dxa"/>
            <w:left w:w="0" w:type="dxa"/>
            <w:bottom w:w="0" w:type="dxa"/>
            <w:right w:w="0" w:type="dxa"/>
          </w:tblCellMar>
        </w:tblPrEx>
        <w:trPr>
          <w:trHeight w:val="240" w:hRule="atLeast"/>
        </w:trPr>
        <w:tc>
          <w:tcPr>
            <w:tcW w:w="8788" w:type="dxa"/>
            <w:gridSpan w:val="5"/>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中控室部分</w:t>
            </w:r>
          </w:p>
        </w:tc>
      </w:tr>
      <w:tr>
        <w:tblPrEx>
          <w:tblCellMar>
            <w:top w:w="0" w:type="dxa"/>
            <w:left w:w="0" w:type="dxa"/>
            <w:bottom w:w="0" w:type="dxa"/>
            <w:right w:w="0" w:type="dxa"/>
          </w:tblCellMar>
        </w:tblPrEx>
        <w:trPr>
          <w:trHeight w:val="120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块料楼地面</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1.800*800珍珠米白地砖铺贴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2.30厚水泥砂浆找平层</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3.30厚水泥砂浆防水保护层</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4.20厚水泥砂浆粘结层</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5.界面剂一道</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m2</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6.8</w:t>
            </w:r>
          </w:p>
        </w:tc>
      </w:tr>
      <w:tr>
        <w:tblPrEx>
          <w:tblCellMar>
            <w:top w:w="0" w:type="dxa"/>
            <w:left w:w="0" w:type="dxa"/>
            <w:bottom w:w="0" w:type="dxa"/>
            <w:right w:w="0" w:type="dxa"/>
          </w:tblCellMar>
        </w:tblPrEx>
        <w:trPr>
          <w:trHeight w:val="72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金属踢脚线</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1.材质：80mm高1.5mm黑色拉丝不锈钢踢脚线</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2.18mm厚木工板基层</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3.刷防火涂料三遍</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m2</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1.06</w:t>
            </w:r>
          </w:p>
        </w:tc>
      </w:tr>
      <w:tr>
        <w:tblPrEx>
          <w:tblCellMar>
            <w:top w:w="0" w:type="dxa"/>
            <w:left w:w="0" w:type="dxa"/>
            <w:bottom w:w="0" w:type="dxa"/>
            <w:right w:w="0" w:type="dxa"/>
          </w:tblCellMar>
        </w:tblPrEx>
        <w:trPr>
          <w:trHeight w:val="120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吊顶天棚</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1.天棚吊顶</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2.9mm双层纸面石膏饰面</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3.刷乳胶漆三遍</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4.50系轻钢龙骨</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5.石膏吊顶板缝隙做纸胶带补缝</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m2</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6.8</w:t>
            </w:r>
          </w:p>
        </w:tc>
      </w:tr>
      <w:tr>
        <w:tblPrEx>
          <w:tblCellMar>
            <w:top w:w="0" w:type="dxa"/>
            <w:left w:w="0" w:type="dxa"/>
            <w:bottom w:w="0" w:type="dxa"/>
            <w:right w:w="0" w:type="dxa"/>
          </w:tblCellMar>
        </w:tblPrEx>
        <w:trPr>
          <w:trHeight w:val="120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墙纸裱糊</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1.基层类型  腻子基层</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2.裱糊部位  墙面</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3.腻子种类  成品腻子</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4.刮腻子遍数  三遍</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5.专用壁布</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m2</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39.15</w:t>
            </w:r>
          </w:p>
        </w:tc>
      </w:tr>
      <w:tr>
        <w:tblPrEx>
          <w:tblCellMar>
            <w:top w:w="0" w:type="dxa"/>
            <w:left w:w="0" w:type="dxa"/>
            <w:bottom w:w="0" w:type="dxa"/>
            <w:right w:w="0" w:type="dxa"/>
          </w:tblCellMar>
        </w:tblPrEx>
        <w:trPr>
          <w:trHeight w:val="48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地砖美缝</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1.地砖留缝2mm铺贴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2.专业地砖美缝剂（立邦美缝剂）</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m2</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6.8</w:t>
            </w:r>
          </w:p>
        </w:tc>
      </w:tr>
      <w:tr>
        <w:tblPrEx>
          <w:tblCellMar>
            <w:top w:w="0" w:type="dxa"/>
            <w:left w:w="0" w:type="dxa"/>
            <w:bottom w:w="0" w:type="dxa"/>
            <w:right w:w="0" w:type="dxa"/>
          </w:tblCellMar>
        </w:tblPrEx>
        <w:trPr>
          <w:trHeight w:val="24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挖灯孔</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1.挖灯孔、消防喇叭孔</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个</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w:t>
            </w:r>
          </w:p>
        </w:tc>
      </w:tr>
      <w:tr>
        <w:tblPrEx>
          <w:tblCellMar>
            <w:top w:w="0" w:type="dxa"/>
            <w:left w:w="0" w:type="dxa"/>
            <w:bottom w:w="0" w:type="dxa"/>
            <w:right w:w="0" w:type="dxa"/>
          </w:tblCellMar>
        </w:tblPrEx>
        <w:trPr>
          <w:trHeight w:val="240" w:hRule="atLeast"/>
        </w:trPr>
        <w:tc>
          <w:tcPr>
            <w:tcW w:w="8788" w:type="dxa"/>
            <w:gridSpan w:val="5"/>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值班室</w:t>
            </w:r>
          </w:p>
        </w:tc>
      </w:tr>
      <w:tr>
        <w:trPr>
          <w:trHeight w:val="72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木窗帘盒</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1.窗帘盒</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2.18mm细木工板基层，防火涂料三遍</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3.石膏板面层、乳胶漆三遍</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3.1</w:t>
            </w:r>
          </w:p>
        </w:tc>
      </w:tr>
      <w:tr>
        <w:tblPrEx>
          <w:tblCellMar>
            <w:top w:w="0" w:type="dxa"/>
            <w:left w:w="0" w:type="dxa"/>
            <w:bottom w:w="0" w:type="dxa"/>
            <w:right w:w="0" w:type="dxa"/>
          </w:tblCellMar>
        </w:tblPrEx>
        <w:trPr>
          <w:trHeight w:val="120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块料楼地面</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1.800*800珍珠米白地砖铺贴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2.30厚水泥砂浆找平层</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3.30厚水泥砂浆防水保护层</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4.20厚水泥砂浆粘结层</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5.界面剂一道</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m2</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17.7</w:t>
            </w:r>
          </w:p>
        </w:tc>
      </w:tr>
      <w:tr>
        <w:tblPrEx>
          <w:tblCellMar>
            <w:top w:w="0" w:type="dxa"/>
            <w:left w:w="0" w:type="dxa"/>
            <w:bottom w:w="0" w:type="dxa"/>
            <w:right w:w="0" w:type="dxa"/>
          </w:tblCellMar>
        </w:tblPrEx>
        <w:trPr>
          <w:trHeight w:val="72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金属踢脚线</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1.材质：80mm高1.5mm黑色拉丝不锈钢踢脚线</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2.18mm厚木工板基层</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3.刷防火涂料三遍</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m2</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1.53</w:t>
            </w:r>
          </w:p>
        </w:tc>
      </w:tr>
      <w:tr>
        <w:trPr>
          <w:trHeight w:val="705"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吊顶天棚</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1.天棚吊顶</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2.9mm双层纸面石膏饰面</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3.刷乳胶漆三遍</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4.50系轻钢龙骨</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5.石膏吊顶板缝隙做纸胶带补缝</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m2</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17.7</w:t>
            </w:r>
          </w:p>
        </w:tc>
      </w:tr>
      <w:tr>
        <w:tblPrEx>
          <w:tblCellMar>
            <w:top w:w="0" w:type="dxa"/>
            <w:left w:w="0" w:type="dxa"/>
            <w:bottom w:w="0" w:type="dxa"/>
            <w:right w:w="0" w:type="dxa"/>
          </w:tblCellMar>
        </w:tblPrEx>
        <w:trPr>
          <w:trHeight w:val="120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墙纸裱糊</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1.基层类型  腻子基层</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2.裱糊部位  墙面</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3.腻子种类  成品腻子</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4.刮腻子遍数  三遍</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5.专用壁布</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m2</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46.87</w:t>
            </w:r>
          </w:p>
        </w:tc>
      </w:tr>
      <w:tr>
        <w:tblPrEx>
          <w:tblCellMar>
            <w:top w:w="0" w:type="dxa"/>
            <w:left w:w="0" w:type="dxa"/>
            <w:bottom w:w="0" w:type="dxa"/>
            <w:right w:w="0" w:type="dxa"/>
          </w:tblCellMar>
        </w:tblPrEx>
        <w:trPr>
          <w:trHeight w:val="48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地砖美缝</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1.地砖留缝2mm铺贴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2.专业地砖美缝剂（立邦美缝剂）</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m2</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17.7</w:t>
            </w:r>
          </w:p>
        </w:tc>
      </w:tr>
      <w:tr>
        <w:tblPrEx>
          <w:tblCellMar>
            <w:top w:w="0" w:type="dxa"/>
            <w:left w:w="0" w:type="dxa"/>
            <w:bottom w:w="0" w:type="dxa"/>
            <w:right w:w="0" w:type="dxa"/>
          </w:tblCellMar>
        </w:tblPrEx>
        <w:trPr>
          <w:trHeight w:val="24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7</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挖灯孔</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1.挖灯孔、消防喇叭孔</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个</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7</w:t>
            </w:r>
          </w:p>
        </w:tc>
      </w:tr>
      <w:tr>
        <w:tblPrEx>
          <w:tblCellMar>
            <w:top w:w="0" w:type="dxa"/>
            <w:left w:w="0" w:type="dxa"/>
            <w:bottom w:w="0" w:type="dxa"/>
            <w:right w:w="0" w:type="dxa"/>
          </w:tblCellMar>
        </w:tblPrEx>
        <w:trPr>
          <w:trHeight w:val="240" w:hRule="atLeast"/>
        </w:trPr>
        <w:tc>
          <w:tcPr>
            <w:tcW w:w="8788" w:type="dxa"/>
            <w:gridSpan w:val="5"/>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办公室2及办公室1</w:t>
            </w:r>
          </w:p>
        </w:tc>
      </w:tr>
      <w:tr>
        <w:tblPrEx>
          <w:tblCellMar>
            <w:top w:w="0" w:type="dxa"/>
            <w:left w:w="0" w:type="dxa"/>
            <w:bottom w:w="0" w:type="dxa"/>
            <w:right w:w="0" w:type="dxa"/>
          </w:tblCellMar>
        </w:tblPrEx>
        <w:trPr>
          <w:trHeight w:val="72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木窗帘盒</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1.窗帘盒</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2.18mm细木工板基层，防火涂料三遍</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3.石膏板面层、乳胶漆三遍</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9.4</w:t>
            </w:r>
          </w:p>
        </w:tc>
      </w:tr>
      <w:tr>
        <w:tblPrEx>
          <w:tblCellMar>
            <w:top w:w="0" w:type="dxa"/>
            <w:left w:w="0" w:type="dxa"/>
            <w:bottom w:w="0" w:type="dxa"/>
            <w:right w:w="0" w:type="dxa"/>
          </w:tblCellMar>
        </w:tblPrEx>
        <w:trPr>
          <w:trHeight w:val="120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块料楼地面</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1.800*800珍珠米白地砖铺贴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2.30厚水泥砂浆找平层</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3.30厚水泥砂浆防水保护层</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4.20厚水泥砂浆粘结层</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5.界面剂一道</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m2</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84.1</w:t>
            </w:r>
          </w:p>
        </w:tc>
      </w:tr>
      <w:tr>
        <w:tblPrEx>
          <w:tblCellMar>
            <w:top w:w="0" w:type="dxa"/>
            <w:left w:w="0" w:type="dxa"/>
            <w:bottom w:w="0" w:type="dxa"/>
            <w:right w:w="0" w:type="dxa"/>
          </w:tblCellMar>
        </w:tblPrEx>
        <w:trPr>
          <w:trHeight w:val="72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金属踢脚线</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1.材质：80mm高1.5mm黑色拉丝不锈钢踢脚线</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2.18mm厚木工板基层</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3.刷防火涂料三遍</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m2</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3.92</w:t>
            </w:r>
          </w:p>
        </w:tc>
      </w:tr>
      <w:tr>
        <w:tblPrEx>
          <w:tblCellMar>
            <w:top w:w="0" w:type="dxa"/>
            <w:left w:w="0" w:type="dxa"/>
            <w:bottom w:w="0" w:type="dxa"/>
            <w:right w:w="0" w:type="dxa"/>
          </w:tblCellMar>
        </w:tblPrEx>
        <w:trPr>
          <w:trHeight w:val="120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吊顶天棚</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1.天棚吊顶</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2.9mm双层纸面石膏饰面</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3.刷乳胶漆三遍</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4.50系轻钢龙骨</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5.石膏吊顶板缝隙做纸胶带补缝</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m2</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84.1</w:t>
            </w:r>
          </w:p>
        </w:tc>
      </w:tr>
      <w:tr>
        <w:tblPrEx>
          <w:tblCellMar>
            <w:top w:w="0" w:type="dxa"/>
            <w:left w:w="0" w:type="dxa"/>
            <w:bottom w:w="0" w:type="dxa"/>
            <w:right w:w="0" w:type="dxa"/>
          </w:tblCellMar>
        </w:tblPrEx>
        <w:trPr>
          <w:trHeight w:val="120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墙纸裱糊</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1.基层类型  腻子基层</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2.裱糊部位  墙面</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3.腻子种类  成品腻子</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4.刮腻子遍数  三遍</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5.专用壁布</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m2</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158.28</w:t>
            </w:r>
          </w:p>
        </w:tc>
      </w:tr>
      <w:tr>
        <w:tblPrEx>
          <w:tblCellMar>
            <w:top w:w="0" w:type="dxa"/>
            <w:left w:w="0" w:type="dxa"/>
            <w:bottom w:w="0" w:type="dxa"/>
            <w:right w:w="0" w:type="dxa"/>
          </w:tblCellMar>
        </w:tblPrEx>
        <w:trPr>
          <w:trHeight w:val="48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地砖美缝</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1.地砖留缝2mm铺贴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2.专业地砖美缝剂（立邦美缝剂）</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m2</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84.1</w:t>
            </w:r>
          </w:p>
        </w:tc>
      </w:tr>
      <w:tr>
        <w:tblPrEx>
          <w:tblCellMar>
            <w:top w:w="0" w:type="dxa"/>
            <w:left w:w="0" w:type="dxa"/>
            <w:bottom w:w="0" w:type="dxa"/>
            <w:right w:w="0" w:type="dxa"/>
          </w:tblCellMar>
        </w:tblPrEx>
        <w:trPr>
          <w:trHeight w:val="24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7</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挖灯孔</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1.挖灯孔、消防喇叭孔</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个</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20</w:t>
            </w:r>
          </w:p>
        </w:tc>
      </w:tr>
      <w:tr>
        <w:tblPrEx>
          <w:tblCellMar>
            <w:top w:w="0" w:type="dxa"/>
            <w:left w:w="0" w:type="dxa"/>
            <w:bottom w:w="0" w:type="dxa"/>
            <w:right w:w="0" w:type="dxa"/>
          </w:tblCellMar>
        </w:tblPrEx>
        <w:trPr>
          <w:trHeight w:val="240" w:hRule="atLeast"/>
        </w:trPr>
        <w:tc>
          <w:tcPr>
            <w:tcW w:w="8788" w:type="dxa"/>
            <w:gridSpan w:val="5"/>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过道部分</w:t>
            </w:r>
          </w:p>
        </w:tc>
      </w:tr>
      <w:tr>
        <w:tblPrEx>
          <w:tblCellMar>
            <w:top w:w="0" w:type="dxa"/>
            <w:left w:w="0" w:type="dxa"/>
            <w:bottom w:w="0" w:type="dxa"/>
            <w:right w:w="0" w:type="dxa"/>
          </w:tblCellMar>
        </w:tblPrEx>
        <w:trPr>
          <w:trHeight w:val="72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木窗帘盒</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1.窗帘盒</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2.18mm细木工板基层，防火涂料三遍</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3.石膏板面层、乳胶漆三遍</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15.3</w:t>
            </w:r>
          </w:p>
        </w:tc>
      </w:tr>
      <w:tr>
        <w:tblPrEx>
          <w:tblCellMar>
            <w:top w:w="0" w:type="dxa"/>
            <w:left w:w="0" w:type="dxa"/>
            <w:bottom w:w="0" w:type="dxa"/>
            <w:right w:w="0" w:type="dxa"/>
          </w:tblCellMar>
        </w:tblPrEx>
        <w:trPr>
          <w:trHeight w:val="120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块料楼地面</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1.800*800珍珠米白地砖铺贴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2.30厚水泥砂浆找平层</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3.30厚水泥砂浆防水保护层</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4.20厚水泥砂浆粘结层</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5.界面剂一道</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m2</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105.8</w:t>
            </w:r>
          </w:p>
        </w:tc>
      </w:tr>
      <w:tr>
        <w:tblPrEx>
          <w:tblCellMar>
            <w:top w:w="0" w:type="dxa"/>
            <w:left w:w="0" w:type="dxa"/>
            <w:bottom w:w="0" w:type="dxa"/>
            <w:right w:w="0" w:type="dxa"/>
          </w:tblCellMar>
        </w:tblPrEx>
        <w:trPr>
          <w:trHeight w:val="72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金属踢脚线</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1.材质：80mm高1.5mm黑色拉丝不锈钢踢脚线</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2.18mm厚木工板基层</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3.刷防火涂料三遍</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m2</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5.5992</w:t>
            </w:r>
          </w:p>
        </w:tc>
      </w:tr>
      <w:tr>
        <w:tblPrEx>
          <w:tblCellMar>
            <w:top w:w="0" w:type="dxa"/>
            <w:left w:w="0" w:type="dxa"/>
            <w:bottom w:w="0" w:type="dxa"/>
            <w:right w:w="0" w:type="dxa"/>
          </w:tblCellMar>
        </w:tblPrEx>
        <w:trPr>
          <w:trHeight w:val="120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吊顶天棚</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1.天棚吊顶</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2.9mm双层纸面石膏饰面</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3.刷乳胶漆三遍</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4.50系轻钢龙骨</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5.石膏吊顶板缝隙做纸胶带补缝</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m2</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105.8</w:t>
            </w:r>
          </w:p>
        </w:tc>
      </w:tr>
      <w:tr>
        <w:tblPrEx>
          <w:tblCellMar>
            <w:top w:w="0" w:type="dxa"/>
            <w:left w:w="0" w:type="dxa"/>
            <w:bottom w:w="0" w:type="dxa"/>
            <w:right w:w="0" w:type="dxa"/>
          </w:tblCellMar>
        </w:tblPrEx>
        <w:trPr>
          <w:trHeight w:val="120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墙纸裱糊</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1.基层类型  腻子基层</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2.裱糊部位  墙面</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3.腻子种类  成品腻子</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4.刮腻子遍数  三遍</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5.专用壁布</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m2</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237.72</w:t>
            </w:r>
          </w:p>
        </w:tc>
      </w:tr>
      <w:tr>
        <w:tblPrEx>
          <w:tblCellMar>
            <w:top w:w="0" w:type="dxa"/>
            <w:left w:w="0" w:type="dxa"/>
            <w:bottom w:w="0" w:type="dxa"/>
            <w:right w:w="0" w:type="dxa"/>
          </w:tblCellMar>
        </w:tblPrEx>
        <w:trPr>
          <w:trHeight w:val="48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地砖美缝</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1.地砖留缝2mm铺贴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2.专业地砖美缝剂（立邦美缝剂）</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m2</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105.8</w:t>
            </w:r>
          </w:p>
        </w:tc>
      </w:tr>
      <w:tr>
        <w:tblPrEx>
          <w:tblCellMar>
            <w:top w:w="0" w:type="dxa"/>
            <w:left w:w="0" w:type="dxa"/>
            <w:bottom w:w="0" w:type="dxa"/>
            <w:right w:w="0" w:type="dxa"/>
          </w:tblCellMar>
        </w:tblPrEx>
        <w:trPr>
          <w:trHeight w:val="24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7</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挖灯孔</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1.挖灯孔、消防喇叭孔</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个</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21</w:t>
            </w:r>
          </w:p>
        </w:tc>
      </w:tr>
      <w:tr>
        <w:tblPrEx>
          <w:tblCellMar>
            <w:top w:w="0" w:type="dxa"/>
            <w:left w:w="0" w:type="dxa"/>
            <w:bottom w:w="0" w:type="dxa"/>
            <w:right w:w="0" w:type="dxa"/>
          </w:tblCellMar>
        </w:tblPrEx>
        <w:trPr>
          <w:trHeight w:val="240" w:hRule="atLeast"/>
        </w:trPr>
        <w:tc>
          <w:tcPr>
            <w:tcW w:w="8788" w:type="dxa"/>
            <w:gridSpan w:val="5"/>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卫生间\水吧间</w:t>
            </w:r>
          </w:p>
        </w:tc>
      </w:tr>
      <w:tr>
        <w:tblPrEx>
          <w:tblCellMar>
            <w:top w:w="0" w:type="dxa"/>
            <w:left w:w="0" w:type="dxa"/>
            <w:bottom w:w="0" w:type="dxa"/>
            <w:right w:w="0" w:type="dxa"/>
          </w:tblCellMar>
        </w:tblPrEx>
        <w:trPr>
          <w:trHeight w:val="96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拖布池</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1.拖布池</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2.砖砌拖布池</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3.水泥砂浆批灰层</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4.爵士白大理石铺贴</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个</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r>
      <w:tr>
        <w:tblPrEx>
          <w:tblCellMar>
            <w:top w:w="0" w:type="dxa"/>
            <w:left w:w="0" w:type="dxa"/>
            <w:bottom w:w="0" w:type="dxa"/>
            <w:right w:w="0" w:type="dxa"/>
          </w:tblCellMar>
        </w:tblPrEx>
        <w:trPr>
          <w:trHeight w:val="72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零星砌砖</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1.地台</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2.砖砌拖地台</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3.抹灰层</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m3</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2.12</w:t>
            </w:r>
          </w:p>
        </w:tc>
      </w:tr>
      <w:tr>
        <w:tblPrEx>
          <w:tblCellMar>
            <w:top w:w="0" w:type="dxa"/>
            <w:left w:w="0" w:type="dxa"/>
            <w:bottom w:w="0" w:type="dxa"/>
            <w:right w:w="0" w:type="dxa"/>
          </w:tblCellMar>
        </w:tblPrEx>
        <w:trPr>
          <w:trHeight w:val="144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块料楼地面</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1.300*300爵士白地砖铺贴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2.20厚水泥砂浆粘接层层</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3.1.5mm厚丙纶防水层</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4.30厚水泥砂浆防水保护层</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5.30厚水泥砂浆找平层</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6.界面剂一道</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m2</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51.36</w:t>
            </w:r>
          </w:p>
        </w:tc>
      </w:tr>
      <w:tr>
        <w:tblPrEx>
          <w:tblCellMar>
            <w:top w:w="0" w:type="dxa"/>
            <w:left w:w="0" w:type="dxa"/>
            <w:bottom w:w="0" w:type="dxa"/>
            <w:right w:w="0" w:type="dxa"/>
          </w:tblCellMar>
        </w:tblPrEx>
        <w:trPr>
          <w:trHeight w:val="96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块料墙面</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1.300*600爵士白石材砖粘贴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2.聚合物砂浆或专用粘合剂粘贴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3.1.5厚丙纶防水层，墙面高度按2米</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4.15厚水泥砂浆找平层</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m2</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155.48</w:t>
            </w:r>
          </w:p>
        </w:tc>
      </w:tr>
      <w:tr>
        <w:tblPrEx>
          <w:tblCellMar>
            <w:top w:w="0" w:type="dxa"/>
            <w:left w:w="0" w:type="dxa"/>
            <w:bottom w:w="0" w:type="dxa"/>
            <w:right w:w="0" w:type="dxa"/>
          </w:tblCellMar>
        </w:tblPrEx>
        <w:trPr>
          <w:trHeight w:val="24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成品隔断</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1.烟灰色效果专用防潮防火板隔断</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m2</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71.71</w:t>
            </w:r>
          </w:p>
        </w:tc>
      </w:tr>
      <w:tr>
        <w:tblPrEx>
          <w:tblCellMar>
            <w:top w:w="0" w:type="dxa"/>
            <w:left w:w="0" w:type="dxa"/>
            <w:bottom w:w="0" w:type="dxa"/>
            <w:right w:w="0" w:type="dxa"/>
          </w:tblCellMar>
        </w:tblPrEx>
        <w:trPr>
          <w:trHeight w:val="144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吊顶天棚</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1.卫生间茶水间天棚吊顶</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2.9mm双层防水纸面石膏饰面</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3.刷乳胶漆三遍</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4.批腻子灰三遍</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5.50系轻钢龙骨</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6.石膏吊顶板缝隙作纸胶带补缝</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m2</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51.36</w:t>
            </w:r>
          </w:p>
        </w:tc>
      </w:tr>
      <w:tr>
        <w:tblPrEx>
          <w:tblCellMar>
            <w:top w:w="0" w:type="dxa"/>
            <w:left w:w="0" w:type="dxa"/>
            <w:bottom w:w="0" w:type="dxa"/>
            <w:right w:w="0" w:type="dxa"/>
          </w:tblCellMar>
        </w:tblPrEx>
        <w:trPr>
          <w:trHeight w:val="48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7</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开水间物品柜</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1.开水间物品柜</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2.规格:2640*2620mm</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个</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r>
      <w:tr>
        <w:tblPrEx>
          <w:tblCellMar>
            <w:top w:w="0" w:type="dxa"/>
            <w:left w:w="0" w:type="dxa"/>
            <w:bottom w:w="0" w:type="dxa"/>
            <w:right w:w="0" w:type="dxa"/>
          </w:tblCellMar>
        </w:tblPrEx>
        <w:trPr>
          <w:trHeight w:val="24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厨房低柜</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1.茶水间茶水低柜</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2.3</w:t>
            </w:r>
          </w:p>
        </w:tc>
      </w:tr>
      <w:tr>
        <w:tblPrEx>
          <w:tblCellMar>
            <w:top w:w="0" w:type="dxa"/>
            <w:left w:w="0" w:type="dxa"/>
            <w:bottom w:w="0" w:type="dxa"/>
            <w:right w:w="0" w:type="dxa"/>
          </w:tblCellMar>
        </w:tblPrEx>
        <w:trPr>
          <w:trHeight w:val="24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9</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厨房吊柜</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1.茶水间茶水吊柜</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3.15</w:t>
            </w:r>
          </w:p>
        </w:tc>
      </w:tr>
      <w:tr>
        <w:tblPrEx>
          <w:tblCellMar>
            <w:top w:w="0" w:type="dxa"/>
            <w:left w:w="0" w:type="dxa"/>
            <w:bottom w:w="0" w:type="dxa"/>
            <w:right w:w="0" w:type="dxa"/>
          </w:tblCellMar>
        </w:tblPrEx>
        <w:trPr>
          <w:trHeight w:val="96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洗漱台</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1.大理石洗漱台</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2.爵士白大理石面层</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3.防潮板基层</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4.原木色实木多层免漆洗面柜</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m2</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2.0608</w:t>
            </w:r>
          </w:p>
        </w:tc>
      </w:tr>
      <w:tr>
        <w:tblPrEx>
          <w:tblCellMar>
            <w:top w:w="0" w:type="dxa"/>
            <w:left w:w="0" w:type="dxa"/>
            <w:bottom w:w="0" w:type="dxa"/>
            <w:right w:w="0" w:type="dxa"/>
          </w:tblCellMar>
        </w:tblPrEx>
        <w:trPr>
          <w:trHeight w:val="48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11</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镜面玻璃</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1.镜面玻璃带框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2.磨砂黑色不锈钢边框</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m2</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4.51</w:t>
            </w:r>
          </w:p>
        </w:tc>
      </w:tr>
      <w:tr>
        <w:tblPrEx>
          <w:tblCellMar>
            <w:top w:w="0" w:type="dxa"/>
            <w:left w:w="0" w:type="dxa"/>
            <w:bottom w:w="0" w:type="dxa"/>
            <w:right w:w="0" w:type="dxa"/>
          </w:tblCellMar>
        </w:tblPrEx>
        <w:trPr>
          <w:trHeight w:val="48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12</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地砖美缝</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1.地砖留缝2mm铺贴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2.专业地砖美缝剂（立邦美缝剂）</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m2</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51.36</w:t>
            </w:r>
          </w:p>
        </w:tc>
      </w:tr>
      <w:tr>
        <w:tblPrEx>
          <w:tblCellMar>
            <w:top w:w="0" w:type="dxa"/>
            <w:left w:w="0" w:type="dxa"/>
            <w:bottom w:w="0" w:type="dxa"/>
            <w:right w:w="0" w:type="dxa"/>
          </w:tblCellMar>
        </w:tblPrEx>
        <w:trPr>
          <w:trHeight w:val="48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13</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墙面美缝</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1.墙面留缝2mm铺贴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2.专业墙砖美缝剂（立邦美缝剂）</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m2</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156.88</w:t>
            </w:r>
          </w:p>
        </w:tc>
      </w:tr>
      <w:tr>
        <w:tblPrEx>
          <w:tblCellMar>
            <w:top w:w="0" w:type="dxa"/>
            <w:left w:w="0" w:type="dxa"/>
            <w:bottom w:w="0" w:type="dxa"/>
            <w:right w:w="0" w:type="dxa"/>
          </w:tblCellMar>
        </w:tblPrEx>
        <w:trPr>
          <w:trHeight w:val="24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14</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挖灯孔</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1.挖灯孔、消防喇叭孔</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个</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25</w:t>
            </w:r>
          </w:p>
        </w:tc>
      </w:tr>
      <w:tr>
        <w:tblPrEx>
          <w:tblCellMar>
            <w:top w:w="0" w:type="dxa"/>
            <w:left w:w="0" w:type="dxa"/>
            <w:bottom w:w="0" w:type="dxa"/>
            <w:right w:w="0" w:type="dxa"/>
          </w:tblCellMar>
        </w:tblPrEx>
        <w:trPr>
          <w:trHeight w:val="240" w:hRule="atLeast"/>
        </w:trPr>
        <w:tc>
          <w:tcPr>
            <w:tcW w:w="8788" w:type="dxa"/>
            <w:gridSpan w:val="5"/>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其他</w:t>
            </w:r>
          </w:p>
        </w:tc>
      </w:tr>
      <w:tr>
        <w:tblPrEx>
          <w:tblCellMar>
            <w:top w:w="0" w:type="dxa"/>
            <w:left w:w="0" w:type="dxa"/>
            <w:bottom w:w="0" w:type="dxa"/>
            <w:right w:w="0" w:type="dxa"/>
          </w:tblCellMar>
        </w:tblPrEx>
        <w:trPr>
          <w:trHeight w:val="48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木质门带套</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1.实木单扇平开门，面层胡桃木饰面板工艺</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2.门头造型</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樘</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w:t>
            </w:r>
          </w:p>
        </w:tc>
      </w:tr>
      <w:tr>
        <w:tblPrEx>
          <w:tblCellMar>
            <w:top w:w="0" w:type="dxa"/>
            <w:left w:w="0" w:type="dxa"/>
            <w:bottom w:w="0" w:type="dxa"/>
            <w:right w:w="0" w:type="dxa"/>
          </w:tblCellMar>
        </w:tblPrEx>
        <w:trPr>
          <w:trHeight w:val="48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木质门带套</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1.实木双扇平开门，面层胡桃木饰面板工艺</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2.门头造型</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樘</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7</w:t>
            </w:r>
          </w:p>
        </w:tc>
      </w:tr>
      <w:tr>
        <w:tblPrEx>
          <w:tblCellMar>
            <w:top w:w="0" w:type="dxa"/>
            <w:left w:w="0" w:type="dxa"/>
            <w:bottom w:w="0" w:type="dxa"/>
            <w:right w:w="0" w:type="dxa"/>
          </w:tblCellMar>
        </w:tblPrEx>
        <w:trPr>
          <w:trHeight w:val="48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木质门带套</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1.卫生间实木单扇平开门，面层胡桃木饰面板工艺</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樘</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r>
      <w:tr>
        <w:tblPrEx>
          <w:tblCellMar>
            <w:top w:w="0" w:type="dxa"/>
            <w:left w:w="0" w:type="dxa"/>
            <w:bottom w:w="0" w:type="dxa"/>
            <w:right w:w="0" w:type="dxa"/>
          </w:tblCellMar>
        </w:tblPrEx>
        <w:trPr>
          <w:trHeight w:val="96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钢质防火门</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1.机房钢质防火门尺寸：2.7*1.72</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1.全钢甲级防火门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2.防火门五金件</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3.防火门用隐蔽式闭门器（含顺位器）</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樘</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r>
      <w:tr>
        <w:tblPrEx>
          <w:tblCellMar>
            <w:top w:w="0" w:type="dxa"/>
            <w:left w:w="0" w:type="dxa"/>
            <w:bottom w:w="0" w:type="dxa"/>
            <w:right w:w="0" w:type="dxa"/>
          </w:tblCellMar>
        </w:tblPrEx>
        <w:trPr>
          <w:trHeight w:val="48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石材窗台板</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1.咖网石材窗台板</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m2</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14.73</w:t>
            </w:r>
          </w:p>
        </w:tc>
      </w:tr>
      <w:tr>
        <w:tblPrEx>
          <w:tblCellMar>
            <w:top w:w="0" w:type="dxa"/>
            <w:left w:w="0" w:type="dxa"/>
            <w:bottom w:w="0" w:type="dxa"/>
            <w:right w:w="0" w:type="dxa"/>
          </w:tblCellMar>
        </w:tblPrEx>
        <w:trPr>
          <w:trHeight w:val="72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石材零星项目</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1.800*1600大板啡网过门石（其他房间）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2.水泥砂浆结合层</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3.1:2水泥砂浆垫层</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m2</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2.94</w:t>
            </w:r>
          </w:p>
        </w:tc>
      </w:tr>
      <w:tr>
        <w:tblPrEx>
          <w:tblCellMar>
            <w:top w:w="0" w:type="dxa"/>
            <w:left w:w="0" w:type="dxa"/>
            <w:bottom w:w="0" w:type="dxa"/>
            <w:right w:w="0" w:type="dxa"/>
          </w:tblCellMar>
        </w:tblPrEx>
        <w:trPr>
          <w:trHeight w:val="72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7</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块料零星项目</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1.800*1600大板啡网过门石（卫生间、茶水间）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2.20厚1:3水泥砂浆结合层</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3.1.5mm厚丙纶防水层</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m2</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0.7176</w:t>
            </w:r>
          </w:p>
        </w:tc>
      </w:tr>
      <w:tr>
        <w:tblPrEx>
          <w:tblCellMar>
            <w:top w:w="0" w:type="dxa"/>
            <w:left w:w="0" w:type="dxa"/>
            <w:bottom w:w="0" w:type="dxa"/>
            <w:right w:w="0" w:type="dxa"/>
          </w:tblCellMar>
        </w:tblPrEx>
        <w:trPr>
          <w:trHeight w:val="72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机房隐形门制作及安装</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1.部位：机房</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樘</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w:t>
            </w:r>
          </w:p>
        </w:tc>
      </w:tr>
      <w:tr>
        <w:tblPrEx>
          <w:tblCellMar>
            <w:top w:w="0" w:type="dxa"/>
            <w:left w:w="0" w:type="dxa"/>
            <w:bottom w:w="0" w:type="dxa"/>
            <w:right w:w="0" w:type="dxa"/>
          </w:tblCellMar>
        </w:tblPrEx>
        <w:trPr>
          <w:trHeight w:val="72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9</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风口制作</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1.风口基层板制作、15mm厚细木工板</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2.刷防火涂料三遍</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3.乳胶漆三遍</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m2</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3.9</w:t>
            </w:r>
          </w:p>
        </w:tc>
      </w:tr>
      <w:tr>
        <w:tblPrEx>
          <w:tblCellMar>
            <w:top w:w="0" w:type="dxa"/>
            <w:left w:w="0" w:type="dxa"/>
            <w:bottom w:w="0" w:type="dxa"/>
            <w:right w:w="0" w:type="dxa"/>
          </w:tblCellMar>
        </w:tblPrEx>
        <w:trPr>
          <w:trHeight w:val="72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窗帘</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1.窗帘设计为双层帘：布艺遮光和纱帘</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2.窗帘高度3.9m</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3.范围：指挥大厅、会议室、两个办公室、值班室及过道的窗户处</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85.11</w:t>
            </w:r>
          </w:p>
        </w:tc>
      </w:tr>
      <w:tr>
        <w:tblPrEx>
          <w:tblCellMar>
            <w:top w:w="0" w:type="dxa"/>
            <w:left w:w="0" w:type="dxa"/>
            <w:bottom w:w="0" w:type="dxa"/>
            <w:right w:w="0" w:type="dxa"/>
          </w:tblCellMar>
        </w:tblPrEx>
        <w:trPr>
          <w:trHeight w:val="240" w:hRule="atLeast"/>
        </w:trPr>
        <w:tc>
          <w:tcPr>
            <w:tcW w:w="8788" w:type="dxa"/>
            <w:gridSpan w:val="5"/>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楼梯间外</w:t>
            </w:r>
          </w:p>
        </w:tc>
      </w:tr>
      <w:tr>
        <w:tblPrEx>
          <w:tblCellMar>
            <w:top w:w="0" w:type="dxa"/>
            <w:left w:w="0" w:type="dxa"/>
            <w:bottom w:w="0" w:type="dxa"/>
            <w:right w:w="0" w:type="dxa"/>
          </w:tblCellMar>
        </w:tblPrEx>
        <w:trPr>
          <w:trHeight w:val="24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挖灯孔</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1.挖灯孔、消防喇叭孔</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个</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w:t>
            </w:r>
          </w:p>
        </w:tc>
      </w:tr>
      <w:tr>
        <w:trPr>
          <w:trHeight w:val="120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吊顶天棚</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1.天棚吊顶</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2.9mm双层纸面石膏饰面</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3.刷乳胶漆三遍</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4.50系轻钢龙骨</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5.石膏板吊顶做纸胶带补缝</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m2</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12.9</w:t>
            </w:r>
          </w:p>
        </w:tc>
      </w:tr>
      <w:tr>
        <w:tblPrEx>
          <w:tblCellMar>
            <w:top w:w="0" w:type="dxa"/>
            <w:left w:w="0" w:type="dxa"/>
            <w:bottom w:w="0" w:type="dxa"/>
            <w:right w:w="0" w:type="dxa"/>
          </w:tblCellMar>
        </w:tblPrEx>
        <w:trPr>
          <w:trHeight w:val="48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满堂脚手架</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1.满堂脚手架</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m2</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684.96</w:t>
            </w:r>
          </w:p>
        </w:tc>
      </w:tr>
      <w:tr>
        <w:tblPrEx>
          <w:tblCellMar>
            <w:top w:w="0" w:type="dxa"/>
            <w:left w:w="0" w:type="dxa"/>
            <w:bottom w:w="0" w:type="dxa"/>
            <w:right w:w="0" w:type="dxa"/>
          </w:tblCellMar>
        </w:tblPrEx>
        <w:trPr>
          <w:trHeight w:val="240" w:hRule="atLeast"/>
        </w:trPr>
        <w:tc>
          <w:tcPr>
            <w:tcW w:w="8788" w:type="dxa"/>
            <w:gridSpan w:val="5"/>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加固部分</w:t>
            </w:r>
          </w:p>
        </w:tc>
      </w:tr>
      <w:tr>
        <w:tblPrEx>
          <w:tblCellMar>
            <w:top w:w="0" w:type="dxa"/>
            <w:left w:w="0" w:type="dxa"/>
            <w:bottom w:w="0" w:type="dxa"/>
            <w:right w:w="0" w:type="dxa"/>
          </w:tblCellMar>
        </w:tblPrEx>
        <w:trPr>
          <w:trHeight w:val="72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钢梁</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1.梁类型:HN350*175*7*11</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2.钢材品种、规格:Q345</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3.构件运距:自行考虑</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t</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3.234</w:t>
            </w:r>
          </w:p>
        </w:tc>
      </w:tr>
      <w:tr>
        <w:tblPrEx>
          <w:tblCellMar>
            <w:top w:w="0" w:type="dxa"/>
            <w:left w:w="0" w:type="dxa"/>
            <w:bottom w:w="0" w:type="dxa"/>
            <w:right w:w="0" w:type="dxa"/>
          </w:tblCellMar>
        </w:tblPrEx>
        <w:trPr>
          <w:trHeight w:val="72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钢梁</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1.梁类型:HN300*150*6.5*9</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2.钢材品种、规格:Q345</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3.构件运距:自行考虑</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t</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2.821</w:t>
            </w:r>
          </w:p>
        </w:tc>
      </w:tr>
      <w:tr>
        <w:tblPrEx>
          <w:tblCellMar>
            <w:top w:w="0" w:type="dxa"/>
            <w:left w:w="0" w:type="dxa"/>
            <w:bottom w:w="0" w:type="dxa"/>
            <w:right w:w="0" w:type="dxa"/>
          </w:tblCellMar>
        </w:tblPrEx>
        <w:trPr>
          <w:trHeight w:val="48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现浇构件钢筋</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1.钢筋种类、规格:Φ10以内</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2.部位:型钢组合混凝土构件</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t</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0.789</w:t>
            </w:r>
          </w:p>
        </w:tc>
      </w:tr>
      <w:tr>
        <w:trPr>
          <w:trHeight w:val="24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预埋铁件</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1.预埋钢板</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t</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0.449</w:t>
            </w:r>
          </w:p>
        </w:tc>
      </w:tr>
      <w:tr>
        <w:tblPrEx>
          <w:tblCellMar>
            <w:top w:w="0" w:type="dxa"/>
            <w:left w:w="0" w:type="dxa"/>
            <w:bottom w:w="0" w:type="dxa"/>
            <w:right w:w="0" w:type="dxa"/>
          </w:tblCellMar>
        </w:tblPrEx>
        <w:trPr>
          <w:trHeight w:val="48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金属面油漆</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1.钢结构除锈，喷两遍灰漆</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t</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6.504</w:t>
            </w:r>
          </w:p>
        </w:tc>
      </w:tr>
      <w:tr>
        <w:tblPrEx>
          <w:tblCellMar>
            <w:top w:w="0" w:type="dxa"/>
            <w:left w:w="0" w:type="dxa"/>
            <w:bottom w:w="0" w:type="dxa"/>
            <w:right w:w="0" w:type="dxa"/>
          </w:tblCellMar>
        </w:tblPrEx>
        <w:trPr>
          <w:trHeight w:val="48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钢板楼板</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1.钢材品种、规格:YZY76-344-688-1.2，Q235</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2.钢板厚度:1.2mm</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m2</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123.37</w:t>
            </w:r>
          </w:p>
        </w:tc>
      </w:tr>
      <w:tr>
        <w:tblPrEx>
          <w:tblCellMar>
            <w:top w:w="0" w:type="dxa"/>
            <w:left w:w="0" w:type="dxa"/>
            <w:bottom w:w="0" w:type="dxa"/>
            <w:right w:w="0" w:type="dxa"/>
          </w:tblCellMar>
        </w:tblPrEx>
        <w:trPr>
          <w:trHeight w:val="72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7</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平板</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1.混凝土种类:商品砼</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2.混凝土强度等级:C20</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3.商砼运距:自行考虑</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m3</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11.25</w:t>
            </w:r>
          </w:p>
        </w:tc>
      </w:tr>
      <w:tr>
        <w:tblPrEx>
          <w:tblCellMar>
            <w:top w:w="0" w:type="dxa"/>
            <w:left w:w="0" w:type="dxa"/>
            <w:bottom w:w="0" w:type="dxa"/>
            <w:right w:w="0" w:type="dxa"/>
          </w:tblCellMar>
        </w:tblPrEx>
        <w:trPr>
          <w:trHeight w:val="240" w:hRule="atLeast"/>
        </w:trPr>
        <w:tc>
          <w:tcPr>
            <w:tcW w:w="8788" w:type="dxa"/>
            <w:gridSpan w:val="5"/>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行政大厅</w:t>
            </w:r>
          </w:p>
        </w:tc>
      </w:tr>
      <w:tr>
        <w:tblPrEx>
          <w:tblCellMar>
            <w:top w:w="0" w:type="dxa"/>
            <w:left w:w="0" w:type="dxa"/>
            <w:bottom w:w="0" w:type="dxa"/>
            <w:right w:w="0" w:type="dxa"/>
          </w:tblCellMar>
        </w:tblPrEx>
        <w:trPr>
          <w:trHeight w:val="72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天棚面龙骨及饰面拆除</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1.拆除铝塑板吊顶</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m2</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256.17</w:t>
            </w:r>
          </w:p>
        </w:tc>
      </w:tr>
      <w:tr>
        <w:tblPrEx>
          <w:tblCellMar>
            <w:top w:w="0" w:type="dxa"/>
            <w:left w:w="0" w:type="dxa"/>
            <w:bottom w:w="0" w:type="dxa"/>
            <w:right w:w="0" w:type="dxa"/>
          </w:tblCellMar>
        </w:tblPrEx>
        <w:trPr>
          <w:trHeight w:val="392"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天棚面龙骨及饰面拆除</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1.拆除大厅南侧生态木吊顶</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m2</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86.4</w:t>
            </w:r>
          </w:p>
        </w:tc>
      </w:tr>
      <w:tr>
        <w:tblPrEx>
          <w:tblCellMar>
            <w:top w:w="0" w:type="dxa"/>
            <w:left w:w="0" w:type="dxa"/>
            <w:bottom w:w="0" w:type="dxa"/>
            <w:right w:w="0" w:type="dxa"/>
          </w:tblCellMar>
        </w:tblPrEx>
        <w:trPr>
          <w:trHeight w:val="48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隔断隔墙拆除</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1.大厅南侧蓝色隔墙拆除</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m2</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12.97</w:t>
            </w:r>
          </w:p>
        </w:tc>
      </w:tr>
      <w:tr>
        <w:tblPrEx>
          <w:tblCellMar>
            <w:top w:w="0" w:type="dxa"/>
            <w:left w:w="0" w:type="dxa"/>
            <w:bottom w:w="0" w:type="dxa"/>
            <w:right w:w="0" w:type="dxa"/>
          </w:tblCellMar>
        </w:tblPrEx>
        <w:trPr>
          <w:trHeight w:val="72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平面块料拆除</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1.大厅地砖拆除</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2.地砖规格800*800</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3.铲除水泥砂浆找平层</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m2</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342.57</w:t>
            </w:r>
          </w:p>
        </w:tc>
      </w:tr>
      <w:tr>
        <w:tblPrEx>
          <w:tblCellMar>
            <w:top w:w="0" w:type="dxa"/>
            <w:left w:w="0" w:type="dxa"/>
            <w:bottom w:w="0" w:type="dxa"/>
            <w:right w:w="0" w:type="dxa"/>
          </w:tblCellMar>
        </w:tblPrEx>
        <w:trPr>
          <w:trHeight w:val="48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立面块料拆除</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1.墙柱干挂瓷砖拆除</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m2</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132.224</w:t>
            </w:r>
          </w:p>
        </w:tc>
      </w:tr>
      <w:tr>
        <w:tblPrEx>
          <w:tblCellMar>
            <w:top w:w="0" w:type="dxa"/>
            <w:left w:w="0" w:type="dxa"/>
            <w:bottom w:w="0" w:type="dxa"/>
            <w:right w:w="0" w:type="dxa"/>
          </w:tblCellMar>
        </w:tblPrEx>
        <w:trPr>
          <w:trHeight w:val="24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垃圾外运</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1.垃圾外运运距自行考虑</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m3</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91.312</w:t>
            </w:r>
          </w:p>
        </w:tc>
      </w:tr>
      <w:tr>
        <w:tblPrEx>
          <w:tblCellMar>
            <w:top w:w="0" w:type="dxa"/>
            <w:left w:w="0" w:type="dxa"/>
            <w:bottom w:w="0" w:type="dxa"/>
            <w:right w:w="0" w:type="dxa"/>
          </w:tblCellMar>
        </w:tblPrEx>
        <w:trPr>
          <w:trHeight w:val="240" w:hRule="atLeast"/>
        </w:trPr>
        <w:tc>
          <w:tcPr>
            <w:tcW w:w="8788" w:type="dxa"/>
            <w:gridSpan w:val="5"/>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办公室1（原值班室）</w:t>
            </w:r>
          </w:p>
        </w:tc>
      </w:tr>
      <w:tr>
        <w:tblPrEx>
          <w:tblCellMar>
            <w:top w:w="0" w:type="dxa"/>
            <w:left w:w="0" w:type="dxa"/>
            <w:bottom w:w="0" w:type="dxa"/>
            <w:right w:w="0" w:type="dxa"/>
          </w:tblCellMar>
        </w:tblPrEx>
        <w:trPr>
          <w:trHeight w:val="72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天棚面龙骨及饰面拆除</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1.拆除石膏吊顶</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m2</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37.2</w:t>
            </w:r>
          </w:p>
        </w:tc>
      </w:tr>
      <w:tr>
        <w:tblPrEx>
          <w:tblCellMar>
            <w:top w:w="0" w:type="dxa"/>
            <w:left w:w="0" w:type="dxa"/>
            <w:bottom w:w="0" w:type="dxa"/>
            <w:right w:w="0" w:type="dxa"/>
          </w:tblCellMar>
        </w:tblPrEx>
        <w:trPr>
          <w:trHeight w:val="48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隔断隔墙拆除</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1.轻质隔墙高3.93m</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m2</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23.58</w:t>
            </w:r>
          </w:p>
        </w:tc>
      </w:tr>
      <w:tr>
        <w:tblPrEx>
          <w:tblCellMar>
            <w:top w:w="0" w:type="dxa"/>
            <w:left w:w="0" w:type="dxa"/>
            <w:bottom w:w="0" w:type="dxa"/>
            <w:right w:w="0" w:type="dxa"/>
          </w:tblCellMar>
        </w:tblPrEx>
        <w:trPr>
          <w:trHeight w:val="48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平面块料拆除</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1.地砖拆除</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2.铲除水泥砂浆找平层</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m2</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37.2</w:t>
            </w:r>
          </w:p>
        </w:tc>
      </w:tr>
      <w:tr>
        <w:tblPrEx>
          <w:tblCellMar>
            <w:top w:w="0" w:type="dxa"/>
            <w:left w:w="0" w:type="dxa"/>
            <w:bottom w:w="0" w:type="dxa"/>
            <w:right w:w="0" w:type="dxa"/>
          </w:tblCellMar>
        </w:tblPrEx>
        <w:trPr>
          <w:trHeight w:val="48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铲除油漆面</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1.墙面乳胶漆涂料</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m2</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90.06</w:t>
            </w:r>
          </w:p>
        </w:tc>
      </w:tr>
      <w:tr>
        <w:tblPrEx>
          <w:tblCellMar>
            <w:top w:w="0" w:type="dxa"/>
            <w:left w:w="0" w:type="dxa"/>
            <w:bottom w:w="0" w:type="dxa"/>
            <w:right w:w="0" w:type="dxa"/>
          </w:tblCellMar>
        </w:tblPrEx>
        <w:trPr>
          <w:trHeight w:val="24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垃圾外运</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1.垃圾外运运距自行考虑</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m3</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16.373</w:t>
            </w:r>
          </w:p>
        </w:tc>
      </w:tr>
      <w:tr>
        <w:tblPrEx>
          <w:tblCellMar>
            <w:top w:w="0" w:type="dxa"/>
            <w:left w:w="0" w:type="dxa"/>
            <w:bottom w:w="0" w:type="dxa"/>
            <w:right w:w="0" w:type="dxa"/>
          </w:tblCellMar>
        </w:tblPrEx>
        <w:trPr>
          <w:trHeight w:val="240" w:hRule="atLeast"/>
        </w:trPr>
        <w:tc>
          <w:tcPr>
            <w:tcW w:w="8788" w:type="dxa"/>
            <w:gridSpan w:val="5"/>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茶水间</w:t>
            </w:r>
          </w:p>
        </w:tc>
      </w:tr>
      <w:tr>
        <w:tblPrEx>
          <w:tblCellMar>
            <w:top w:w="0" w:type="dxa"/>
            <w:left w:w="0" w:type="dxa"/>
            <w:bottom w:w="0" w:type="dxa"/>
            <w:right w:w="0" w:type="dxa"/>
          </w:tblCellMar>
        </w:tblPrEx>
        <w:trPr>
          <w:trHeight w:val="72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天棚面龙骨及饰面拆除</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1.拆除石膏吊顶</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m2</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8.35</w:t>
            </w:r>
          </w:p>
        </w:tc>
      </w:tr>
      <w:tr>
        <w:tblPrEx>
          <w:tblCellMar>
            <w:top w:w="0" w:type="dxa"/>
            <w:left w:w="0" w:type="dxa"/>
            <w:bottom w:w="0" w:type="dxa"/>
            <w:right w:w="0" w:type="dxa"/>
          </w:tblCellMar>
        </w:tblPrEx>
        <w:trPr>
          <w:trHeight w:val="48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平面块料拆除</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1.地砖拆除</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2.铲除水泥砂浆找平层</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m2</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8.35</w:t>
            </w:r>
          </w:p>
        </w:tc>
      </w:tr>
      <w:tr>
        <w:tblPrEx>
          <w:tblCellMar>
            <w:top w:w="0" w:type="dxa"/>
            <w:left w:w="0" w:type="dxa"/>
            <w:bottom w:w="0" w:type="dxa"/>
            <w:right w:w="0" w:type="dxa"/>
          </w:tblCellMar>
        </w:tblPrEx>
        <w:trPr>
          <w:trHeight w:val="48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立面块料拆除</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1.墙面瓷砖拆除</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m2</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17.1288</w:t>
            </w:r>
          </w:p>
        </w:tc>
      </w:tr>
      <w:tr>
        <w:tblPrEx>
          <w:tblCellMar>
            <w:top w:w="0" w:type="dxa"/>
            <w:left w:w="0" w:type="dxa"/>
            <w:bottom w:w="0" w:type="dxa"/>
            <w:right w:w="0" w:type="dxa"/>
          </w:tblCellMar>
        </w:tblPrEx>
        <w:trPr>
          <w:trHeight w:val="48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砖砌体拆除</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1.拆除砖墙</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m3</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15.17</w:t>
            </w:r>
          </w:p>
        </w:tc>
      </w:tr>
      <w:tr>
        <w:tblPrEx>
          <w:tblCellMar>
            <w:top w:w="0" w:type="dxa"/>
            <w:left w:w="0" w:type="dxa"/>
            <w:bottom w:w="0" w:type="dxa"/>
            <w:right w:w="0" w:type="dxa"/>
          </w:tblCellMar>
        </w:tblPrEx>
        <w:trPr>
          <w:trHeight w:val="24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垃圾外运</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1.垃圾外运运距自行考虑</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m3</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26.6097</w:t>
            </w:r>
          </w:p>
        </w:tc>
      </w:tr>
      <w:tr>
        <w:tblPrEx>
          <w:tblCellMar>
            <w:top w:w="0" w:type="dxa"/>
            <w:left w:w="0" w:type="dxa"/>
            <w:bottom w:w="0" w:type="dxa"/>
            <w:right w:w="0" w:type="dxa"/>
          </w:tblCellMar>
        </w:tblPrEx>
        <w:trPr>
          <w:trHeight w:val="240" w:hRule="atLeast"/>
        </w:trPr>
        <w:tc>
          <w:tcPr>
            <w:tcW w:w="8788" w:type="dxa"/>
            <w:gridSpan w:val="5"/>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卫生间</w:t>
            </w:r>
          </w:p>
        </w:tc>
      </w:tr>
      <w:tr>
        <w:tblPrEx>
          <w:tblCellMar>
            <w:top w:w="0" w:type="dxa"/>
            <w:left w:w="0" w:type="dxa"/>
            <w:bottom w:w="0" w:type="dxa"/>
            <w:right w:w="0" w:type="dxa"/>
          </w:tblCellMar>
        </w:tblPrEx>
        <w:trPr>
          <w:trHeight w:val="48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立面块料拆除</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1.墙面瓷砖拆除</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2.铲除水泥砂浆找平层</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m2</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96.02</w:t>
            </w:r>
          </w:p>
        </w:tc>
      </w:tr>
      <w:tr>
        <w:trPr>
          <w:trHeight w:val="48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平面块料拆除</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1.地面瓷砖拆除</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2.铲除水泥砂浆找平层</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m2</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44.98</w:t>
            </w:r>
          </w:p>
        </w:tc>
      </w:tr>
      <w:tr>
        <w:tblPrEx>
          <w:tblCellMar>
            <w:top w:w="0" w:type="dxa"/>
            <w:left w:w="0" w:type="dxa"/>
            <w:bottom w:w="0" w:type="dxa"/>
            <w:right w:w="0" w:type="dxa"/>
          </w:tblCellMar>
        </w:tblPrEx>
        <w:trPr>
          <w:trHeight w:val="48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隔断隔墙拆除</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1.男女厕所蹲坑轻质隔断拆除</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m2</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33.85</w:t>
            </w:r>
          </w:p>
        </w:tc>
      </w:tr>
      <w:tr>
        <w:tblPrEx>
          <w:tblCellMar>
            <w:top w:w="0" w:type="dxa"/>
            <w:left w:w="0" w:type="dxa"/>
            <w:bottom w:w="0" w:type="dxa"/>
            <w:right w:w="0" w:type="dxa"/>
          </w:tblCellMar>
        </w:tblPrEx>
        <w:trPr>
          <w:trHeight w:val="72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天棚面龙骨及饰面拆除</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1.拆除铝扣板吊顶</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m2</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44.98</w:t>
            </w:r>
          </w:p>
        </w:tc>
      </w:tr>
      <w:tr>
        <w:tblPrEx>
          <w:tblCellMar>
            <w:top w:w="0" w:type="dxa"/>
            <w:left w:w="0" w:type="dxa"/>
            <w:bottom w:w="0" w:type="dxa"/>
            <w:right w:w="0" w:type="dxa"/>
          </w:tblCellMar>
        </w:tblPrEx>
        <w:trPr>
          <w:trHeight w:val="72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木门窗拆除</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1.男女厕所处木门拆除</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2.门尺寸：2m*0.9m</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3.个数：2个</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樘</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r>
      <w:tr>
        <w:tblPrEx>
          <w:tblCellMar>
            <w:top w:w="0" w:type="dxa"/>
            <w:left w:w="0" w:type="dxa"/>
            <w:bottom w:w="0" w:type="dxa"/>
            <w:right w:w="0" w:type="dxa"/>
          </w:tblCellMar>
        </w:tblPrEx>
        <w:trPr>
          <w:trHeight w:val="48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卫生洁具拆除</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1.洗手台拆除</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2.规格：长3.5m 宽0.8m 高0.6m 厚度0.018m</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套</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r>
      <w:tr>
        <w:tblPrEx>
          <w:tblCellMar>
            <w:top w:w="0" w:type="dxa"/>
            <w:left w:w="0" w:type="dxa"/>
            <w:bottom w:w="0" w:type="dxa"/>
            <w:right w:w="0" w:type="dxa"/>
          </w:tblCellMar>
        </w:tblPrEx>
        <w:trPr>
          <w:trHeight w:val="48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7</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砖砌体拆除</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1.拆除男女厕所蹲便地台</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m3</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1.054</w:t>
            </w:r>
          </w:p>
        </w:tc>
      </w:tr>
      <w:tr>
        <w:tblPrEx>
          <w:tblCellMar>
            <w:top w:w="0" w:type="dxa"/>
            <w:left w:w="0" w:type="dxa"/>
            <w:bottom w:w="0" w:type="dxa"/>
            <w:right w:w="0" w:type="dxa"/>
          </w:tblCellMar>
        </w:tblPrEx>
        <w:trPr>
          <w:trHeight w:val="24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垃圾外运</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1.垃圾外运运距自行考虑</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m3</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22.568</w:t>
            </w:r>
          </w:p>
        </w:tc>
      </w:tr>
      <w:tr>
        <w:tblPrEx>
          <w:tblCellMar>
            <w:top w:w="0" w:type="dxa"/>
            <w:left w:w="0" w:type="dxa"/>
            <w:bottom w:w="0" w:type="dxa"/>
            <w:right w:w="0" w:type="dxa"/>
          </w:tblCellMar>
        </w:tblPrEx>
        <w:trPr>
          <w:trHeight w:val="240" w:hRule="atLeast"/>
        </w:trPr>
        <w:tc>
          <w:tcPr>
            <w:tcW w:w="8788" w:type="dxa"/>
            <w:gridSpan w:val="5"/>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办公室2</w:t>
            </w:r>
          </w:p>
        </w:tc>
      </w:tr>
      <w:tr>
        <w:tblPrEx>
          <w:tblCellMar>
            <w:top w:w="0" w:type="dxa"/>
            <w:left w:w="0" w:type="dxa"/>
            <w:bottom w:w="0" w:type="dxa"/>
            <w:right w:w="0" w:type="dxa"/>
          </w:tblCellMar>
        </w:tblPrEx>
        <w:trPr>
          <w:trHeight w:val="72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天棚面龙骨及饰面拆除</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1.拆除铝塑板吊顶</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m2</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28.2</w:t>
            </w:r>
          </w:p>
        </w:tc>
      </w:tr>
      <w:tr>
        <w:tblPrEx>
          <w:tblCellMar>
            <w:top w:w="0" w:type="dxa"/>
            <w:left w:w="0" w:type="dxa"/>
            <w:bottom w:w="0" w:type="dxa"/>
            <w:right w:w="0" w:type="dxa"/>
          </w:tblCellMar>
        </w:tblPrEx>
        <w:trPr>
          <w:trHeight w:val="48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铲除油漆面</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1.墙面乳胶漆涂料</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m2</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66.82</w:t>
            </w:r>
          </w:p>
        </w:tc>
      </w:tr>
      <w:tr>
        <w:tblPrEx>
          <w:tblCellMar>
            <w:top w:w="0" w:type="dxa"/>
            <w:left w:w="0" w:type="dxa"/>
            <w:bottom w:w="0" w:type="dxa"/>
            <w:right w:w="0" w:type="dxa"/>
          </w:tblCellMar>
        </w:tblPrEx>
        <w:trPr>
          <w:trHeight w:val="48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隔断隔墙拆除</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1.隔墙拆除高3.3m</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m2</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35.31</w:t>
            </w:r>
          </w:p>
        </w:tc>
      </w:tr>
      <w:tr>
        <w:trPr>
          <w:trHeight w:val="48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平面块料拆除</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1.地面地板砖拆除</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2.铲除水泥砂浆找平层</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m2</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28.2</w:t>
            </w:r>
          </w:p>
        </w:tc>
      </w:tr>
      <w:tr>
        <w:tblPrEx>
          <w:tblCellMar>
            <w:top w:w="0" w:type="dxa"/>
            <w:left w:w="0" w:type="dxa"/>
            <w:bottom w:w="0" w:type="dxa"/>
            <w:right w:w="0" w:type="dxa"/>
          </w:tblCellMar>
        </w:tblPrEx>
        <w:trPr>
          <w:trHeight w:val="24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垃圾外运</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1.垃圾外运运距自行考虑</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m3</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15.039</w:t>
            </w:r>
          </w:p>
        </w:tc>
      </w:tr>
      <w:tr>
        <w:tblPrEx>
          <w:tblCellMar>
            <w:top w:w="0" w:type="dxa"/>
            <w:left w:w="0" w:type="dxa"/>
            <w:bottom w:w="0" w:type="dxa"/>
            <w:right w:w="0" w:type="dxa"/>
          </w:tblCellMar>
        </w:tblPrEx>
        <w:trPr>
          <w:trHeight w:val="240" w:hRule="atLeast"/>
        </w:trPr>
        <w:tc>
          <w:tcPr>
            <w:tcW w:w="8788" w:type="dxa"/>
            <w:gridSpan w:val="5"/>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过道</w:t>
            </w:r>
          </w:p>
        </w:tc>
      </w:tr>
      <w:tr>
        <w:tblPrEx>
          <w:tblCellMar>
            <w:top w:w="0" w:type="dxa"/>
            <w:left w:w="0" w:type="dxa"/>
            <w:bottom w:w="0" w:type="dxa"/>
            <w:right w:w="0" w:type="dxa"/>
          </w:tblCellMar>
        </w:tblPrEx>
        <w:trPr>
          <w:trHeight w:val="72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天棚面龙骨及饰面拆除</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1.拆除铝塑板吊顶</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m2</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43.21</w:t>
            </w:r>
          </w:p>
        </w:tc>
      </w:tr>
      <w:tr>
        <w:tblPrEx>
          <w:tblCellMar>
            <w:top w:w="0" w:type="dxa"/>
            <w:left w:w="0" w:type="dxa"/>
            <w:bottom w:w="0" w:type="dxa"/>
            <w:right w:w="0" w:type="dxa"/>
          </w:tblCellMar>
        </w:tblPrEx>
        <w:trPr>
          <w:trHeight w:val="72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天棚面龙骨及饰面拆除</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1.拆除石膏板吊顶</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m2</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37.54</w:t>
            </w:r>
          </w:p>
        </w:tc>
      </w:tr>
      <w:tr>
        <w:tblPrEx>
          <w:tblCellMar>
            <w:top w:w="0" w:type="dxa"/>
            <w:left w:w="0" w:type="dxa"/>
            <w:bottom w:w="0" w:type="dxa"/>
            <w:right w:w="0" w:type="dxa"/>
          </w:tblCellMar>
        </w:tblPrEx>
        <w:trPr>
          <w:trHeight w:val="48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平面块料拆除</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1.大厅地砖拆除</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2.铲除水泥砂浆找平层</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m2</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80.75</w:t>
            </w:r>
          </w:p>
        </w:tc>
      </w:tr>
      <w:tr>
        <w:tblPrEx>
          <w:tblCellMar>
            <w:top w:w="0" w:type="dxa"/>
            <w:left w:w="0" w:type="dxa"/>
            <w:bottom w:w="0" w:type="dxa"/>
            <w:right w:w="0" w:type="dxa"/>
          </w:tblCellMar>
        </w:tblPrEx>
        <w:trPr>
          <w:trHeight w:val="48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立面块料拆除</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1.墙柱干挂瓷砖拆除</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m2</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128.76</w:t>
            </w:r>
          </w:p>
        </w:tc>
      </w:tr>
      <w:tr>
        <w:tblPrEx>
          <w:tblCellMar>
            <w:top w:w="0" w:type="dxa"/>
            <w:left w:w="0" w:type="dxa"/>
            <w:bottom w:w="0" w:type="dxa"/>
            <w:right w:w="0" w:type="dxa"/>
          </w:tblCellMar>
        </w:tblPrEx>
        <w:trPr>
          <w:trHeight w:val="48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铲除油漆面</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1.墙柱乳胶漆拆除</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m2</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62.48</w:t>
            </w:r>
          </w:p>
        </w:tc>
      </w:tr>
      <w:tr>
        <w:tblPrEx>
          <w:tblCellMar>
            <w:top w:w="0" w:type="dxa"/>
            <w:left w:w="0" w:type="dxa"/>
            <w:bottom w:w="0" w:type="dxa"/>
            <w:right w:w="0" w:type="dxa"/>
          </w:tblCellMar>
        </w:tblPrEx>
        <w:trPr>
          <w:trHeight w:val="24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垃圾外运</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1.垃圾外运运距自行考虑</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m3</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31.4544</w:t>
            </w:r>
          </w:p>
        </w:tc>
      </w:tr>
      <w:tr>
        <w:tblPrEx>
          <w:tblCellMar>
            <w:top w:w="0" w:type="dxa"/>
            <w:left w:w="0" w:type="dxa"/>
            <w:bottom w:w="0" w:type="dxa"/>
            <w:right w:w="0" w:type="dxa"/>
          </w:tblCellMar>
        </w:tblPrEx>
        <w:trPr>
          <w:trHeight w:val="240" w:hRule="atLeast"/>
        </w:trPr>
        <w:tc>
          <w:tcPr>
            <w:tcW w:w="8788" w:type="dxa"/>
            <w:gridSpan w:val="5"/>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档案室</w:t>
            </w:r>
          </w:p>
        </w:tc>
      </w:tr>
      <w:tr>
        <w:tblPrEx>
          <w:tblCellMar>
            <w:top w:w="0" w:type="dxa"/>
            <w:left w:w="0" w:type="dxa"/>
            <w:bottom w:w="0" w:type="dxa"/>
            <w:right w:w="0" w:type="dxa"/>
          </w:tblCellMar>
        </w:tblPrEx>
        <w:trPr>
          <w:trHeight w:val="72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天棚面龙骨及饰面拆除</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1.拆除石膏吊顶</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m2</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60.14</w:t>
            </w:r>
          </w:p>
        </w:tc>
      </w:tr>
      <w:tr>
        <w:tblPrEx>
          <w:tblCellMar>
            <w:top w:w="0" w:type="dxa"/>
            <w:left w:w="0" w:type="dxa"/>
            <w:bottom w:w="0" w:type="dxa"/>
            <w:right w:w="0" w:type="dxa"/>
          </w:tblCellMar>
        </w:tblPrEx>
        <w:trPr>
          <w:trHeight w:val="48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平面块料拆除</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1.地砖拆除</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2.铲除水泥砂浆找平层</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m2</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60.14</w:t>
            </w:r>
          </w:p>
        </w:tc>
      </w:tr>
      <w:tr>
        <w:trPr>
          <w:trHeight w:val="48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铲除油漆面</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1.墙体乳胶漆拆除</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m2</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78.32</w:t>
            </w:r>
          </w:p>
        </w:tc>
      </w:tr>
      <w:tr>
        <w:tblPrEx>
          <w:tblCellMar>
            <w:top w:w="0" w:type="dxa"/>
            <w:left w:w="0" w:type="dxa"/>
            <w:bottom w:w="0" w:type="dxa"/>
            <w:right w:w="0" w:type="dxa"/>
          </w:tblCellMar>
        </w:tblPrEx>
        <w:trPr>
          <w:trHeight w:val="48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砖砌体拆除</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1.拆除砖墙</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m3</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16.099</w:t>
            </w:r>
          </w:p>
        </w:tc>
      </w:tr>
      <w:tr>
        <w:tblPrEx>
          <w:tblCellMar>
            <w:top w:w="0" w:type="dxa"/>
            <w:left w:w="0" w:type="dxa"/>
            <w:bottom w:w="0" w:type="dxa"/>
            <w:right w:w="0" w:type="dxa"/>
          </w:tblCellMar>
        </w:tblPrEx>
        <w:trPr>
          <w:trHeight w:val="24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垃圾外运</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1.垃圾外运运距自行考虑</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m3</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42.3048</w:t>
            </w:r>
          </w:p>
        </w:tc>
      </w:tr>
      <w:tr>
        <w:trPr>
          <w:trHeight w:val="240" w:hRule="atLeast"/>
        </w:trPr>
        <w:tc>
          <w:tcPr>
            <w:tcW w:w="8788" w:type="dxa"/>
            <w:gridSpan w:val="5"/>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文体活动室</w:t>
            </w:r>
          </w:p>
        </w:tc>
      </w:tr>
      <w:tr>
        <w:tblPrEx>
          <w:tblCellMar>
            <w:top w:w="0" w:type="dxa"/>
            <w:left w:w="0" w:type="dxa"/>
            <w:bottom w:w="0" w:type="dxa"/>
            <w:right w:w="0" w:type="dxa"/>
          </w:tblCellMar>
        </w:tblPrEx>
        <w:trPr>
          <w:trHeight w:val="72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天棚面龙骨及饰面拆除</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1.拆除石膏板吊顶</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m2</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64.76</w:t>
            </w:r>
          </w:p>
        </w:tc>
      </w:tr>
      <w:tr>
        <w:tblPrEx>
          <w:tblCellMar>
            <w:top w:w="0" w:type="dxa"/>
            <w:left w:w="0" w:type="dxa"/>
            <w:bottom w:w="0" w:type="dxa"/>
            <w:right w:w="0" w:type="dxa"/>
          </w:tblCellMar>
        </w:tblPrEx>
        <w:trPr>
          <w:trHeight w:val="48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铲除油漆面</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1.墙面乳胶漆涂料</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m2</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100.97</w:t>
            </w:r>
          </w:p>
        </w:tc>
      </w:tr>
      <w:tr>
        <w:tblPrEx>
          <w:tblCellMar>
            <w:top w:w="0" w:type="dxa"/>
            <w:left w:w="0" w:type="dxa"/>
            <w:bottom w:w="0" w:type="dxa"/>
            <w:right w:w="0" w:type="dxa"/>
          </w:tblCellMar>
        </w:tblPrEx>
        <w:trPr>
          <w:trHeight w:val="48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隔断隔墙拆除</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1.隔墙拆除</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m2</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17.09</w:t>
            </w:r>
          </w:p>
        </w:tc>
      </w:tr>
      <w:tr>
        <w:tblPrEx>
          <w:tblCellMar>
            <w:top w:w="0" w:type="dxa"/>
            <w:left w:w="0" w:type="dxa"/>
            <w:bottom w:w="0" w:type="dxa"/>
            <w:right w:w="0" w:type="dxa"/>
          </w:tblCellMar>
        </w:tblPrEx>
        <w:trPr>
          <w:trHeight w:val="48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平面块料拆除</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1.地面地板砖拆除</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2.铲除水泥砂浆找平层</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m2</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64.76</w:t>
            </w:r>
          </w:p>
        </w:tc>
      </w:tr>
      <w:tr>
        <w:tblPrEx>
          <w:tblCellMar>
            <w:top w:w="0" w:type="dxa"/>
            <w:left w:w="0" w:type="dxa"/>
            <w:bottom w:w="0" w:type="dxa"/>
            <w:right w:w="0" w:type="dxa"/>
          </w:tblCellMar>
        </w:tblPrEx>
        <w:trPr>
          <w:trHeight w:val="24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垃圾外运</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1.垃圾外运运距自行考虑</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m3</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22.2562</w:t>
            </w:r>
          </w:p>
        </w:tc>
      </w:tr>
      <w:tr>
        <w:tblPrEx>
          <w:tblCellMar>
            <w:top w:w="0" w:type="dxa"/>
            <w:left w:w="0" w:type="dxa"/>
            <w:bottom w:w="0" w:type="dxa"/>
            <w:right w:w="0" w:type="dxa"/>
          </w:tblCellMar>
        </w:tblPrEx>
        <w:trPr>
          <w:trHeight w:val="240" w:hRule="atLeast"/>
        </w:trPr>
        <w:tc>
          <w:tcPr>
            <w:tcW w:w="8788" w:type="dxa"/>
            <w:gridSpan w:val="5"/>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新建值班室</w:t>
            </w:r>
          </w:p>
        </w:tc>
      </w:tr>
      <w:tr>
        <w:trPr>
          <w:trHeight w:val="72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天棚面龙骨及饰面拆除</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1.拆除铝塑板吊顶</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m2</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17.66</w:t>
            </w:r>
          </w:p>
        </w:tc>
      </w:tr>
      <w:tr>
        <w:trPr>
          <w:trHeight w:val="48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平面块料拆除</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1.值班室地砖拆除</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2.铲除水泥砂浆找平层</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m2</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17.66</w:t>
            </w:r>
          </w:p>
        </w:tc>
      </w:tr>
      <w:tr>
        <w:tblPrEx>
          <w:tblCellMar>
            <w:top w:w="0" w:type="dxa"/>
            <w:left w:w="0" w:type="dxa"/>
            <w:bottom w:w="0" w:type="dxa"/>
            <w:right w:w="0" w:type="dxa"/>
          </w:tblCellMar>
        </w:tblPrEx>
        <w:trPr>
          <w:trHeight w:val="48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铲除油漆面</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1.墙面乳胶漆涂料</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m2</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59.616</w:t>
            </w:r>
          </w:p>
        </w:tc>
      </w:tr>
      <w:tr>
        <w:tblPrEx>
          <w:tblCellMar>
            <w:top w:w="0" w:type="dxa"/>
            <w:left w:w="0" w:type="dxa"/>
            <w:bottom w:w="0" w:type="dxa"/>
            <w:right w:w="0" w:type="dxa"/>
          </w:tblCellMar>
        </w:tblPrEx>
        <w:trPr>
          <w:trHeight w:val="48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隔断隔墙拆除</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1.轻质隔墙高3.93m</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m2</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28.588</w:t>
            </w:r>
          </w:p>
        </w:tc>
      </w:tr>
      <w:tr>
        <w:tblPrEx>
          <w:tblCellMar>
            <w:top w:w="0" w:type="dxa"/>
            <w:left w:w="0" w:type="dxa"/>
            <w:bottom w:w="0" w:type="dxa"/>
            <w:right w:w="0" w:type="dxa"/>
          </w:tblCellMar>
        </w:tblPrEx>
        <w:trPr>
          <w:trHeight w:val="24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垃圾外运</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1.垃圾外运运距自行考虑</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m3</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13.4358</w:t>
            </w:r>
          </w:p>
        </w:tc>
      </w:tr>
      <w:tr>
        <w:tblPrEx>
          <w:tblCellMar>
            <w:top w:w="0" w:type="dxa"/>
            <w:left w:w="0" w:type="dxa"/>
            <w:bottom w:w="0" w:type="dxa"/>
            <w:right w:w="0" w:type="dxa"/>
          </w:tblCellMar>
        </w:tblPrEx>
        <w:trPr>
          <w:trHeight w:val="24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宋体" w:hAnsi="宋体" w:cs="宋体"/>
                <w:color w:val="000000"/>
                <w:sz w:val="18"/>
                <w:szCs w:val="18"/>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楼梯厅</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left"/>
              <w:rPr>
                <w:rFonts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left"/>
              <w:rPr>
                <w:rFonts w:ascii="宋体" w:hAnsi="宋体" w:cs="宋体"/>
                <w:color w:val="000000"/>
                <w:sz w:val="18"/>
                <w:szCs w:val="18"/>
              </w:rPr>
            </w:pP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宋体" w:hAnsi="宋体" w:cs="宋体"/>
                <w:color w:val="000000"/>
                <w:sz w:val="18"/>
                <w:szCs w:val="18"/>
              </w:rPr>
            </w:pPr>
          </w:p>
        </w:tc>
      </w:tr>
      <w:tr>
        <w:tblPrEx>
          <w:tblCellMar>
            <w:top w:w="0" w:type="dxa"/>
            <w:left w:w="0" w:type="dxa"/>
            <w:bottom w:w="0" w:type="dxa"/>
            <w:right w:w="0" w:type="dxa"/>
          </w:tblCellMar>
        </w:tblPrEx>
        <w:trPr>
          <w:trHeight w:val="72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天棚面龙骨及饰面拆除</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1.拆除石膏板吊顶</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m2</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13</w:t>
            </w:r>
          </w:p>
        </w:tc>
      </w:tr>
      <w:tr>
        <w:tblPrEx>
          <w:tblCellMar>
            <w:top w:w="0" w:type="dxa"/>
            <w:left w:w="0" w:type="dxa"/>
            <w:bottom w:w="0" w:type="dxa"/>
            <w:right w:w="0" w:type="dxa"/>
          </w:tblCellMar>
        </w:tblPrEx>
        <w:trPr>
          <w:trHeight w:val="24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垃圾外运</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1.垃圾外运运距自行考虑</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m3</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2.002</w:t>
            </w:r>
          </w:p>
        </w:tc>
      </w:tr>
      <w:tr>
        <w:tblPrEx>
          <w:tblCellMar>
            <w:top w:w="0" w:type="dxa"/>
            <w:left w:w="0" w:type="dxa"/>
            <w:bottom w:w="0" w:type="dxa"/>
            <w:right w:w="0" w:type="dxa"/>
          </w:tblCellMar>
        </w:tblPrEx>
        <w:trPr>
          <w:trHeight w:val="24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宋体" w:hAnsi="宋体" w:cs="宋体"/>
                <w:color w:val="000000"/>
                <w:sz w:val="18"/>
                <w:szCs w:val="18"/>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中控室</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left"/>
              <w:rPr>
                <w:rFonts w:ascii="宋体" w:hAnsi="宋体" w:cs="宋体"/>
                <w:color w:val="000000"/>
                <w:sz w:val="18"/>
                <w:szCs w:val="18"/>
              </w:rPr>
            </w:pP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left"/>
              <w:rPr>
                <w:rFonts w:ascii="宋体" w:hAnsi="宋体" w:cs="宋体"/>
                <w:color w:val="000000"/>
                <w:sz w:val="18"/>
                <w:szCs w:val="18"/>
              </w:rPr>
            </w:pP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宋体" w:hAnsi="宋体" w:cs="宋体"/>
                <w:color w:val="000000"/>
                <w:sz w:val="18"/>
                <w:szCs w:val="18"/>
              </w:rPr>
            </w:pPr>
          </w:p>
        </w:tc>
      </w:tr>
      <w:tr>
        <w:tblPrEx>
          <w:tblCellMar>
            <w:top w:w="0" w:type="dxa"/>
            <w:left w:w="0" w:type="dxa"/>
            <w:bottom w:w="0" w:type="dxa"/>
            <w:right w:w="0" w:type="dxa"/>
          </w:tblCellMar>
        </w:tblPrEx>
        <w:trPr>
          <w:trHeight w:val="48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隔断隔墙拆除</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1.轻质隔墙高3.93m</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m2</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0.4716</w:t>
            </w:r>
          </w:p>
        </w:tc>
      </w:tr>
      <w:tr>
        <w:tblPrEx>
          <w:tblCellMar>
            <w:top w:w="0" w:type="dxa"/>
            <w:left w:w="0" w:type="dxa"/>
            <w:bottom w:w="0" w:type="dxa"/>
            <w:right w:w="0" w:type="dxa"/>
          </w:tblCellMar>
        </w:tblPrEx>
        <w:trPr>
          <w:trHeight w:val="72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天棚面龙骨及饰面拆除</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1.拆除石膏板吊顶</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m2</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6.11</w:t>
            </w:r>
          </w:p>
        </w:tc>
      </w:tr>
      <w:tr>
        <w:tblPrEx>
          <w:tblCellMar>
            <w:top w:w="0" w:type="dxa"/>
            <w:left w:w="0" w:type="dxa"/>
            <w:bottom w:w="0" w:type="dxa"/>
            <w:right w:w="0" w:type="dxa"/>
          </w:tblCellMar>
        </w:tblPrEx>
        <w:trPr>
          <w:trHeight w:val="48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平面块料拆除</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1.地砖拆除</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2.铲除水泥砂浆找平层</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m2</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6.11</w:t>
            </w:r>
          </w:p>
        </w:tc>
      </w:tr>
      <w:tr>
        <w:trPr>
          <w:trHeight w:val="48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铲除油漆面</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1.墙面乳胶漆涂料</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m2</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37.4648</w:t>
            </w:r>
          </w:p>
        </w:tc>
      </w:tr>
      <w:tr>
        <w:tblPrEx>
          <w:tblCellMar>
            <w:top w:w="0" w:type="dxa"/>
            <w:left w:w="0" w:type="dxa"/>
            <w:bottom w:w="0" w:type="dxa"/>
            <w:right w:w="0" w:type="dxa"/>
          </w:tblCellMar>
        </w:tblPrEx>
        <w:trPr>
          <w:trHeight w:val="240" w:hRule="atLeast"/>
        </w:trPr>
        <w:tc>
          <w:tcPr>
            <w:tcW w:w="3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c>
          <w:tcPr>
            <w:tcW w:w="9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垃圾外运</w:t>
            </w:r>
          </w:p>
        </w:tc>
        <w:tc>
          <w:tcPr>
            <w:tcW w:w="60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1.垃圾外运运距自行考虑</w:t>
            </w:r>
          </w:p>
        </w:tc>
        <w:tc>
          <w:tcPr>
            <w:tcW w:w="5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m3</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3.2864</w:t>
            </w:r>
          </w:p>
        </w:tc>
      </w:tr>
    </w:tbl>
    <w:p>
      <w:pPr>
        <w:pStyle w:val="2"/>
        <w:ind w:firstLine="0" w:firstLineChars="0"/>
        <w:jc w:val="center"/>
        <w:rPr>
          <w:rFonts w:hAnsi="宋体" w:cs="宋体"/>
          <w:b/>
          <w:bCs/>
          <w:sz w:val="28"/>
          <w:szCs w:val="28"/>
        </w:rPr>
      </w:pPr>
      <w:r>
        <w:rPr>
          <w:rFonts w:hint="eastAsia" w:hAnsi="宋体" w:cs="宋体"/>
          <w:b/>
          <w:bCs/>
          <w:sz w:val="28"/>
          <w:szCs w:val="28"/>
        </w:rPr>
        <w:t>智慧中心家具采购清单（由中标供应商按以下规格负责采购，已包含在总预算中）</w:t>
      </w:r>
    </w:p>
    <w:tbl>
      <w:tblPr>
        <w:tblStyle w:val="24"/>
        <w:tblW w:w="9071" w:type="dxa"/>
        <w:tblInd w:w="0" w:type="dxa"/>
        <w:tblLayout w:type="fixed"/>
        <w:tblCellMar>
          <w:top w:w="0" w:type="dxa"/>
          <w:left w:w="0" w:type="dxa"/>
          <w:bottom w:w="0" w:type="dxa"/>
          <w:right w:w="0" w:type="dxa"/>
        </w:tblCellMar>
      </w:tblPr>
      <w:tblGrid>
        <w:gridCol w:w="630"/>
        <w:gridCol w:w="1815"/>
        <w:gridCol w:w="5226"/>
        <w:gridCol w:w="717"/>
        <w:gridCol w:w="683"/>
      </w:tblGrid>
      <w:tr>
        <w:tblPrEx>
          <w:tblCellMar>
            <w:top w:w="0" w:type="dxa"/>
            <w:left w:w="0" w:type="dxa"/>
            <w:bottom w:w="0" w:type="dxa"/>
            <w:right w:w="0" w:type="dxa"/>
          </w:tblCellMar>
        </w:tblPrEx>
        <w:trPr>
          <w:trHeight w:val="240"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lang w:bidi="ar"/>
              </w:rPr>
              <w:t>序号</w:t>
            </w:r>
          </w:p>
        </w:tc>
        <w:tc>
          <w:tcPr>
            <w:tcW w:w="18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lang w:bidi="ar"/>
              </w:rPr>
              <w:t>采购内容</w:t>
            </w:r>
          </w:p>
        </w:tc>
        <w:tc>
          <w:tcPr>
            <w:tcW w:w="522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lang w:bidi="ar"/>
              </w:rPr>
              <w:t>规格型号</w:t>
            </w:r>
          </w:p>
        </w:tc>
        <w:tc>
          <w:tcPr>
            <w:tcW w:w="71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lang w:bidi="ar"/>
              </w:rPr>
              <w:t>单位</w:t>
            </w:r>
          </w:p>
        </w:tc>
        <w:tc>
          <w:tcPr>
            <w:tcW w:w="68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lang w:bidi="ar"/>
              </w:rPr>
              <w:t>数量</w:t>
            </w:r>
          </w:p>
        </w:tc>
      </w:tr>
      <w:tr>
        <w:tblPrEx>
          <w:tblCellMar>
            <w:top w:w="0" w:type="dxa"/>
            <w:left w:w="0" w:type="dxa"/>
            <w:bottom w:w="0" w:type="dxa"/>
            <w:right w:w="0" w:type="dxa"/>
          </w:tblCellMar>
        </w:tblPrEx>
        <w:trPr>
          <w:trHeight w:val="240"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18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主席台弧形办公桌</w:t>
            </w:r>
          </w:p>
        </w:tc>
        <w:tc>
          <w:tcPr>
            <w:tcW w:w="522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1.成品定制专业配套设施办公桌</w:t>
            </w:r>
          </w:p>
        </w:tc>
        <w:tc>
          <w:tcPr>
            <w:tcW w:w="71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w:t>
            </w:r>
          </w:p>
        </w:tc>
        <w:tc>
          <w:tcPr>
            <w:tcW w:w="68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7.2</w:t>
            </w:r>
          </w:p>
        </w:tc>
      </w:tr>
      <w:tr>
        <w:tblPrEx>
          <w:tblCellMar>
            <w:top w:w="0" w:type="dxa"/>
            <w:left w:w="0" w:type="dxa"/>
            <w:bottom w:w="0" w:type="dxa"/>
            <w:right w:w="0" w:type="dxa"/>
          </w:tblCellMar>
        </w:tblPrEx>
        <w:trPr>
          <w:trHeight w:val="240"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c>
          <w:tcPr>
            <w:tcW w:w="18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主席台办公椅</w:t>
            </w:r>
          </w:p>
        </w:tc>
        <w:tc>
          <w:tcPr>
            <w:tcW w:w="522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1.成品采购</w:t>
            </w:r>
          </w:p>
        </w:tc>
        <w:tc>
          <w:tcPr>
            <w:tcW w:w="71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把</w:t>
            </w:r>
          </w:p>
        </w:tc>
        <w:tc>
          <w:tcPr>
            <w:tcW w:w="68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r>
      <w:tr>
        <w:tblPrEx>
          <w:tblCellMar>
            <w:top w:w="0" w:type="dxa"/>
            <w:left w:w="0" w:type="dxa"/>
            <w:bottom w:w="0" w:type="dxa"/>
            <w:right w:w="0" w:type="dxa"/>
          </w:tblCellMar>
        </w:tblPrEx>
        <w:trPr>
          <w:trHeight w:val="720"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w:t>
            </w:r>
          </w:p>
        </w:tc>
        <w:tc>
          <w:tcPr>
            <w:tcW w:w="18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弧形办公桌子</w:t>
            </w:r>
          </w:p>
        </w:tc>
        <w:tc>
          <w:tcPr>
            <w:tcW w:w="522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bottom"/>
          </w:tcPr>
          <w:p>
            <w:pPr>
              <w:widowControl/>
              <w:jc w:val="left"/>
              <w:textAlignment w:val="bottom"/>
              <w:rPr>
                <w:rFonts w:ascii="宋体" w:hAnsi="宋体" w:cs="宋体"/>
                <w:color w:val="000000"/>
                <w:sz w:val="18"/>
                <w:szCs w:val="18"/>
              </w:rPr>
            </w:pPr>
            <w:r>
              <w:rPr>
                <w:rFonts w:hint="eastAsia" w:ascii="宋体" w:hAnsi="宋体" w:cs="宋体"/>
                <w:color w:val="000000"/>
                <w:kern w:val="0"/>
                <w:sz w:val="18"/>
                <w:szCs w:val="18"/>
                <w:lang w:bidi="ar"/>
              </w:rPr>
              <w:t>1.成品定制专业办公桌</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2.每组3.1米  共4组</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3.总计:12.4米</w:t>
            </w:r>
          </w:p>
        </w:tc>
        <w:tc>
          <w:tcPr>
            <w:tcW w:w="71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w:t>
            </w:r>
          </w:p>
        </w:tc>
        <w:tc>
          <w:tcPr>
            <w:tcW w:w="68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12.4</w:t>
            </w:r>
          </w:p>
        </w:tc>
      </w:tr>
      <w:tr>
        <w:tblPrEx>
          <w:tblCellMar>
            <w:top w:w="0" w:type="dxa"/>
            <w:left w:w="0" w:type="dxa"/>
            <w:bottom w:w="0" w:type="dxa"/>
            <w:right w:w="0" w:type="dxa"/>
          </w:tblCellMar>
        </w:tblPrEx>
        <w:trPr>
          <w:trHeight w:val="240"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w:t>
            </w:r>
          </w:p>
        </w:tc>
        <w:tc>
          <w:tcPr>
            <w:tcW w:w="18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办公椅</w:t>
            </w:r>
          </w:p>
        </w:tc>
        <w:tc>
          <w:tcPr>
            <w:tcW w:w="522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1.成品采购</w:t>
            </w:r>
          </w:p>
        </w:tc>
        <w:tc>
          <w:tcPr>
            <w:tcW w:w="71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把</w:t>
            </w:r>
          </w:p>
        </w:tc>
        <w:tc>
          <w:tcPr>
            <w:tcW w:w="68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16</w:t>
            </w:r>
          </w:p>
        </w:tc>
      </w:tr>
      <w:tr>
        <w:tblPrEx>
          <w:tblCellMar>
            <w:top w:w="0" w:type="dxa"/>
            <w:left w:w="0" w:type="dxa"/>
            <w:bottom w:w="0" w:type="dxa"/>
            <w:right w:w="0" w:type="dxa"/>
          </w:tblCellMar>
        </w:tblPrEx>
        <w:trPr>
          <w:trHeight w:val="240"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c>
          <w:tcPr>
            <w:tcW w:w="18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多功能会议室</w:t>
            </w:r>
          </w:p>
        </w:tc>
        <w:tc>
          <w:tcPr>
            <w:tcW w:w="522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left"/>
              <w:rPr>
                <w:rFonts w:ascii="宋体" w:hAnsi="宋体" w:cs="宋体"/>
                <w:color w:val="000000"/>
                <w:sz w:val="18"/>
                <w:szCs w:val="18"/>
              </w:rPr>
            </w:pPr>
          </w:p>
        </w:tc>
        <w:tc>
          <w:tcPr>
            <w:tcW w:w="71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left"/>
              <w:rPr>
                <w:rFonts w:ascii="宋体" w:hAnsi="宋体" w:cs="宋体"/>
                <w:color w:val="000000"/>
                <w:sz w:val="18"/>
                <w:szCs w:val="18"/>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宋体" w:hAnsi="宋体" w:cs="宋体"/>
                <w:color w:val="000000"/>
                <w:sz w:val="18"/>
                <w:szCs w:val="18"/>
              </w:rPr>
            </w:pPr>
          </w:p>
        </w:tc>
      </w:tr>
      <w:tr>
        <w:tblPrEx>
          <w:tblCellMar>
            <w:top w:w="0" w:type="dxa"/>
            <w:left w:w="0" w:type="dxa"/>
            <w:bottom w:w="0" w:type="dxa"/>
            <w:right w:w="0" w:type="dxa"/>
          </w:tblCellMar>
        </w:tblPrEx>
        <w:trPr>
          <w:trHeight w:val="240"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w:t>
            </w:r>
          </w:p>
        </w:tc>
        <w:tc>
          <w:tcPr>
            <w:tcW w:w="18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会议办公桌</w:t>
            </w:r>
          </w:p>
        </w:tc>
        <w:tc>
          <w:tcPr>
            <w:tcW w:w="522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1.成品定制专业配套设施办公桌（实木贴皮工艺）</w:t>
            </w:r>
          </w:p>
        </w:tc>
        <w:tc>
          <w:tcPr>
            <w:tcW w:w="71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米</w:t>
            </w:r>
          </w:p>
        </w:tc>
        <w:tc>
          <w:tcPr>
            <w:tcW w:w="68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9</w:t>
            </w:r>
          </w:p>
        </w:tc>
      </w:tr>
      <w:tr>
        <w:tblPrEx>
          <w:tblCellMar>
            <w:top w:w="0" w:type="dxa"/>
            <w:left w:w="0" w:type="dxa"/>
            <w:bottom w:w="0" w:type="dxa"/>
            <w:right w:w="0" w:type="dxa"/>
          </w:tblCellMar>
        </w:tblPrEx>
        <w:trPr>
          <w:trHeight w:val="240"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7</w:t>
            </w:r>
          </w:p>
        </w:tc>
        <w:tc>
          <w:tcPr>
            <w:tcW w:w="18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会议室办公椅</w:t>
            </w:r>
          </w:p>
        </w:tc>
        <w:tc>
          <w:tcPr>
            <w:tcW w:w="522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1.成品采购</w:t>
            </w:r>
          </w:p>
        </w:tc>
        <w:tc>
          <w:tcPr>
            <w:tcW w:w="71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把</w:t>
            </w:r>
          </w:p>
        </w:tc>
        <w:tc>
          <w:tcPr>
            <w:tcW w:w="68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30</w:t>
            </w:r>
          </w:p>
        </w:tc>
      </w:tr>
      <w:tr>
        <w:tblPrEx>
          <w:tblCellMar>
            <w:top w:w="0" w:type="dxa"/>
            <w:left w:w="0" w:type="dxa"/>
            <w:bottom w:w="0" w:type="dxa"/>
            <w:right w:w="0" w:type="dxa"/>
          </w:tblCellMar>
        </w:tblPrEx>
        <w:trPr>
          <w:trHeight w:val="240"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w:t>
            </w:r>
          </w:p>
        </w:tc>
        <w:tc>
          <w:tcPr>
            <w:tcW w:w="18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秘书台</w:t>
            </w:r>
          </w:p>
        </w:tc>
        <w:tc>
          <w:tcPr>
            <w:tcW w:w="522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1.成品定制专业配套设施办公桌</w:t>
            </w:r>
          </w:p>
        </w:tc>
        <w:tc>
          <w:tcPr>
            <w:tcW w:w="71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m2</w:t>
            </w:r>
          </w:p>
        </w:tc>
        <w:tc>
          <w:tcPr>
            <w:tcW w:w="68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1.1</w:t>
            </w:r>
          </w:p>
        </w:tc>
      </w:tr>
      <w:tr>
        <w:tblPrEx>
          <w:tblCellMar>
            <w:top w:w="0" w:type="dxa"/>
            <w:left w:w="0" w:type="dxa"/>
            <w:bottom w:w="0" w:type="dxa"/>
            <w:right w:w="0" w:type="dxa"/>
          </w:tblCellMar>
        </w:tblPrEx>
        <w:trPr>
          <w:trHeight w:val="240"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9</w:t>
            </w:r>
          </w:p>
        </w:tc>
        <w:tc>
          <w:tcPr>
            <w:tcW w:w="18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办公室</w:t>
            </w:r>
          </w:p>
        </w:tc>
        <w:tc>
          <w:tcPr>
            <w:tcW w:w="522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left"/>
              <w:rPr>
                <w:rFonts w:ascii="宋体" w:hAnsi="宋体" w:cs="宋体"/>
                <w:color w:val="000000"/>
                <w:sz w:val="18"/>
                <w:szCs w:val="18"/>
              </w:rPr>
            </w:pPr>
          </w:p>
        </w:tc>
        <w:tc>
          <w:tcPr>
            <w:tcW w:w="71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left"/>
              <w:rPr>
                <w:rFonts w:ascii="宋体" w:hAnsi="宋体" w:cs="宋体"/>
                <w:color w:val="000000"/>
                <w:sz w:val="18"/>
                <w:szCs w:val="18"/>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宋体" w:hAnsi="宋体" w:cs="宋体"/>
                <w:color w:val="000000"/>
                <w:sz w:val="18"/>
                <w:szCs w:val="18"/>
              </w:rPr>
            </w:pPr>
          </w:p>
        </w:tc>
      </w:tr>
      <w:tr>
        <w:tblPrEx>
          <w:tblCellMar>
            <w:top w:w="0" w:type="dxa"/>
            <w:left w:w="0" w:type="dxa"/>
            <w:bottom w:w="0" w:type="dxa"/>
            <w:right w:w="0" w:type="dxa"/>
          </w:tblCellMar>
        </w:tblPrEx>
        <w:trPr>
          <w:trHeight w:val="240"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w:t>
            </w:r>
          </w:p>
        </w:tc>
        <w:tc>
          <w:tcPr>
            <w:tcW w:w="18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办公桌（每组）</w:t>
            </w:r>
          </w:p>
        </w:tc>
        <w:tc>
          <w:tcPr>
            <w:tcW w:w="522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1.定制专业配套设施办公桌</w:t>
            </w:r>
          </w:p>
        </w:tc>
        <w:tc>
          <w:tcPr>
            <w:tcW w:w="71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组</w:t>
            </w:r>
          </w:p>
        </w:tc>
        <w:tc>
          <w:tcPr>
            <w:tcW w:w="68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w:t>
            </w:r>
          </w:p>
        </w:tc>
      </w:tr>
      <w:tr>
        <w:tblPrEx>
          <w:tblCellMar>
            <w:top w:w="0" w:type="dxa"/>
            <w:left w:w="0" w:type="dxa"/>
            <w:bottom w:w="0" w:type="dxa"/>
            <w:right w:w="0" w:type="dxa"/>
          </w:tblCellMar>
        </w:tblPrEx>
        <w:trPr>
          <w:trHeight w:val="240"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11</w:t>
            </w:r>
          </w:p>
        </w:tc>
        <w:tc>
          <w:tcPr>
            <w:tcW w:w="18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办公椅</w:t>
            </w:r>
          </w:p>
        </w:tc>
        <w:tc>
          <w:tcPr>
            <w:tcW w:w="522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left"/>
              <w:rPr>
                <w:rFonts w:ascii="宋体" w:hAnsi="宋体" w:cs="宋体"/>
                <w:color w:val="000000"/>
                <w:sz w:val="18"/>
                <w:szCs w:val="18"/>
              </w:rPr>
            </w:pPr>
          </w:p>
        </w:tc>
        <w:tc>
          <w:tcPr>
            <w:tcW w:w="71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把</w:t>
            </w:r>
          </w:p>
        </w:tc>
        <w:tc>
          <w:tcPr>
            <w:tcW w:w="68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w:t>
            </w:r>
          </w:p>
        </w:tc>
      </w:tr>
      <w:tr>
        <w:tblPrEx>
          <w:tblCellMar>
            <w:top w:w="0" w:type="dxa"/>
            <w:left w:w="0" w:type="dxa"/>
            <w:bottom w:w="0" w:type="dxa"/>
            <w:right w:w="0" w:type="dxa"/>
          </w:tblCellMar>
        </w:tblPrEx>
        <w:trPr>
          <w:trHeight w:val="240"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12</w:t>
            </w:r>
          </w:p>
        </w:tc>
        <w:tc>
          <w:tcPr>
            <w:tcW w:w="18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办公室资料柜</w:t>
            </w:r>
          </w:p>
        </w:tc>
        <w:tc>
          <w:tcPr>
            <w:tcW w:w="52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jc w:val="left"/>
              <w:textAlignment w:val="bottom"/>
              <w:rPr>
                <w:rFonts w:ascii="宋体" w:hAnsi="宋体" w:cs="宋体"/>
                <w:color w:val="000000"/>
                <w:sz w:val="18"/>
                <w:szCs w:val="18"/>
              </w:rPr>
            </w:pPr>
            <w:r>
              <w:rPr>
                <w:rFonts w:hint="eastAsia" w:ascii="宋体" w:hAnsi="宋体" w:cs="宋体"/>
                <w:color w:val="000000"/>
                <w:kern w:val="0"/>
                <w:sz w:val="18"/>
                <w:szCs w:val="18"/>
                <w:lang w:bidi="ar"/>
              </w:rPr>
              <w:t>1.成品定制及安装，原木纹饰面柜子（按正立面投影面积计算）</w:t>
            </w:r>
          </w:p>
        </w:tc>
        <w:tc>
          <w:tcPr>
            <w:tcW w:w="71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m2</w:t>
            </w:r>
          </w:p>
        </w:tc>
        <w:tc>
          <w:tcPr>
            <w:tcW w:w="68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8.8</w:t>
            </w:r>
          </w:p>
        </w:tc>
      </w:tr>
      <w:tr>
        <w:tblPrEx>
          <w:tblCellMar>
            <w:top w:w="0" w:type="dxa"/>
            <w:left w:w="0" w:type="dxa"/>
            <w:bottom w:w="0" w:type="dxa"/>
            <w:right w:w="0" w:type="dxa"/>
          </w:tblCellMar>
        </w:tblPrEx>
        <w:trPr>
          <w:trHeight w:val="240"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13</w:t>
            </w:r>
          </w:p>
        </w:tc>
        <w:tc>
          <w:tcPr>
            <w:tcW w:w="18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办公室1</w:t>
            </w:r>
          </w:p>
        </w:tc>
        <w:tc>
          <w:tcPr>
            <w:tcW w:w="522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left"/>
              <w:rPr>
                <w:rFonts w:ascii="宋体" w:hAnsi="宋体" w:cs="宋体"/>
                <w:color w:val="000000"/>
                <w:sz w:val="18"/>
                <w:szCs w:val="18"/>
              </w:rPr>
            </w:pPr>
          </w:p>
        </w:tc>
        <w:tc>
          <w:tcPr>
            <w:tcW w:w="71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left"/>
              <w:rPr>
                <w:rFonts w:ascii="宋体" w:hAnsi="宋体" w:cs="宋体"/>
                <w:color w:val="000000"/>
                <w:sz w:val="18"/>
                <w:szCs w:val="18"/>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宋体" w:hAnsi="宋体" w:cs="宋体"/>
                <w:color w:val="000000"/>
                <w:sz w:val="18"/>
                <w:szCs w:val="18"/>
              </w:rPr>
            </w:pPr>
          </w:p>
        </w:tc>
      </w:tr>
      <w:tr>
        <w:tblPrEx>
          <w:tblCellMar>
            <w:top w:w="0" w:type="dxa"/>
            <w:left w:w="0" w:type="dxa"/>
            <w:bottom w:w="0" w:type="dxa"/>
            <w:right w:w="0" w:type="dxa"/>
          </w:tblCellMar>
        </w:tblPrEx>
        <w:trPr>
          <w:trHeight w:val="240"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14</w:t>
            </w:r>
          </w:p>
        </w:tc>
        <w:tc>
          <w:tcPr>
            <w:tcW w:w="18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办公桌（每组）</w:t>
            </w:r>
          </w:p>
        </w:tc>
        <w:tc>
          <w:tcPr>
            <w:tcW w:w="522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1.定制专业配套设施办公桌</w:t>
            </w:r>
          </w:p>
        </w:tc>
        <w:tc>
          <w:tcPr>
            <w:tcW w:w="71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组</w:t>
            </w:r>
          </w:p>
        </w:tc>
        <w:tc>
          <w:tcPr>
            <w:tcW w:w="68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w:t>
            </w:r>
          </w:p>
        </w:tc>
      </w:tr>
      <w:tr>
        <w:tblPrEx>
          <w:tblCellMar>
            <w:top w:w="0" w:type="dxa"/>
            <w:left w:w="0" w:type="dxa"/>
            <w:bottom w:w="0" w:type="dxa"/>
            <w:right w:w="0" w:type="dxa"/>
          </w:tblCellMar>
        </w:tblPrEx>
        <w:trPr>
          <w:trHeight w:val="240"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15</w:t>
            </w:r>
          </w:p>
        </w:tc>
        <w:tc>
          <w:tcPr>
            <w:tcW w:w="18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办公椅</w:t>
            </w:r>
          </w:p>
        </w:tc>
        <w:tc>
          <w:tcPr>
            <w:tcW w:w="522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left"/>
              <w:rPr>
                <w:rFonts w:ascii="宋体" w:hAnsi="宋体" w:cs="宋体"/>
                <w:color w:val="000000"/>
                <w:sz w:val="18"/>
                <w:szCs w:val="18"/>
              </w:rPr>
            </w:pPr>
          </w:p>
        </w:tc>
        <w:tc>
          <w:tcPr>
            <w:tcW w:w="71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把</w:t>
            </w:r>
          </w:p>
        </w:tc>
        <w:tc>
          <w:tcPr>
            <w:tcW w:w="68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w:t>
            </w:r>
          </w:p>
        </w:tc>
      </w:tr>
      <w:tr>
        <w:tblPrEx>
          <w:tblCellMar>
            <w:top w:w="0" w:type="dxa"/>
            <w:left w:w="0" w:type="dxa"/>
            <w:bottom w:w="0" w:type="dxa"/>
            <w:right w:w="0" w:type="dxa"/>
          </w:tblCellMar>
        </w:tblPrEx>
        <w:trPr>
          <w:trHeight w:val="240"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16</w:t>
            </w:r>
          </w:p>
        </w:tc>
        <w:tc>
          <w:tcPr>
            <w:tcW w:w="18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办公室资料柜</w:t>
            </w:r>
          </w:p>
        </w:tc>
        <w:tc>
          <w:tcPr>
            <w:tcW w:w="522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1.成品定制及安装，原木纹饰面柜子（按正立面投影面积计算）</w:t>
            </w:r>
          </w:p>
        </w:tc>
        <w:tc>
          <w:tcPr>
            <w:tcW w:w="71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m2</w:t>
            </w:r>
          </w:p>
        </w:tc>
        <w:tc>
          <w:tcPr>
            <w:tcW w:w="68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18</w:t>
            </w:r>
          </w:p>
        </w:tc>
      </w:tr>
      <w:tr>
        <w:tblPrEx>
          <w:tblCellMar>
            <w:top w:w="0" w:type="dxa"/>
            <w:left w:w="0" w:type="dxa"/>
            <w:bottom w:w="0" w:type="dxa"/>
            <w:right w:w="0" w:type="dxa"/>
          </w:tblCellMar>
        </w:tblPrEx>
        <w:trPr>
          <w:trHeight w:val="240"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17</w:t>
            </w:r>
          </w:p>
        </w:tc>
        <w:tc>
          <w:tcPr>
            <w:tcW w:w="18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值班室</w:t>
            </w:r>
          </w:p>
        </w:tc>
        <w:tc>
          <w:tcPr>
            <w:tcW w:w="522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left"/>
              <w:rPr>
                <w:rFonts w:ascii="宋体" w:hAnsi="宋体" w:cs="宋体"/>
                <w:color w:val="000000"/>
                <w:sz w:val="18"/>
                <w:szCs w:val="18"/>
              </w:rPr>
            </w:pPr>
          </w:p>
        </w:tc>
        <w:tc>
          <w:tcPr>
            <w:tcW w:w="71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left"/>
              <w:rPr>
                <w:rFonts w:ascii="宋体" w:hAnsi="宋体" w:cs="宋体"/>
                <w:color w:val="000000"/>
                <w:sz w:val="18"/>
                <w:szCs w:val="18"/>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center"/>
              <w:rPr>
                <w:rFonts w:ascii="宋体" w:hAnsi="宋体" w:cs="宋体"/>
                <w:color w:val="000000"/>
                <w:sz w:val="18"/>
                <w:szCs w:val="18"/>
              </w:rPr>
            </w:pPr>
          </w:p>
        </w:tc>
      </w:tr>
      <w:tr>
        <w:tblPrEx>
          <w:tblCellMar>
            <w:top w:w="0" w:type="dxa"/>
            <w:left w:w="0" w:type="dxa"/>
            <w:bottom w:w="0" w:type="dxa"/>
            <w:right w:w="0" w:type="dxa"/>
          </w:tblCellMar>
        </w:tblPrEx>
        <w:trPr>
          <w:trHeight w:val="240"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18</w:t>
            </w:r>
          </w:p>
        </w:tc>
        <w:tc>
          <w:tcPr>
            <w:tcW w:w="18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办公桌（每组）</w:t>
            </w:r>
          </w:p>
        </w:tc>
        <w:tc>
          <w:tcPr>
            <w:tcW w:w="522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1.定制专业配套设施办公桌</w:t>
            </w:r>
          </w:p>
        </w:tc>
        <w:tc>
          <w:tcPr>
            <w:tcW w:w="71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组</w:t>
            </w:r>
          </w:p>
        </w:tc>
        <w:tc>
          <w:tcPr>
            <w:tcW w:w="68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r>
      <w:tr>
        <w:tblPrEx>
          <w:tblCellMar>
            <w:top w:w="0" w:type="dxa"/>
            <w:left w:w="0" w:type="dxa"/>
            <w:bottom w:w="0" w:type="dxa"/>
            <w:right w:w="0" w:type="dxa"/>
          </w:tblCellMar>
        </w:tblPrEx>
        <w:trPr>
          <w:trHeight w:val="240"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19</w:t>
            </w:r>
          </w:p>
        </w:tc>
        <w:tc>
          <w:tcPr>
            <w:tcW w:w="18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办公椅</w:t>
            </w:r>
          </w:p>
        </w:tc>
        <w:tc>
          <w:tcPr>
            <w:tcW w:w="522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jc w:val="left"/>
              <w:rPr>
                <w:rFonts w:ascii="宋体" w:hAnsi="宋体" w:cs="宋体"/>
                <w:color w:val="000000"/>
                <w:sz w:val="18"/>
                <w:szCs w:val="18"/>
              </w:rPr>
            </w:pPr>
          </w:p>
        </w:tc>
        <w:tc>
          <w:tcPr>
            <w:tcW w:w="71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把</w:t>
            </w:r>
          </w:p>
        </w:tc>
        <w:tc>
          <w:tcPr>
            <w:tcW w:w="68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r>
      <w:tr>
        <w:tblPrEx>
          <w:tblCellMar>
            <w:top w:w="0" w:type="dxa"/>
            <w:left w:w="0" w:type="dxa"/>
            <w:bottom w:w="0" w:type="dxa"/>
            <w:right w:w="0" w:type="dxa"/>
          </w:tblCellMar>
        </w:tblPrEx>
        <w:trPr>
          <w:trHeight w:val="240" w:hRule="atLeast"/>
        </w:trPr>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20</w:t>
            </w:r>
          </w:p>
        </w:tc>
        <w:tc>
          <w:tcPr>
            <w:tcW w:w="181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办公室资料柜</w:t>
            </w:r>
          </w:p>
        </w:tc>
        <w:tc>
          <w:tcPr>
            <w:tcW w:w="522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1.成品定制及安装，原木纹饰面柜子（按正立面投影面积计算）</w:t>
            </w:r>
          </w:p>
        </w:tc>
        <w:tc>
          <w:tcPr>
            <w:tcW w:w="71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m2</w:t>
            </w:r>
          </w:p>
        </w:tc>
        <w:tc>
          <w:tcPr>
            <w:tcW w:w="68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8.8</w:t>
            </w:r>
          </w:p>
        </w:tc>
      </w:tr>
    </w:tbl>
    <w:p>
      <w:pPr>
        <w:pStyle w:val="2"/>
        <w:ind w:firstLine="0" w:firstLineChars="0"/>
        <w:jc w:val="both"/>
        <w:rPr>
          <w:rFonts w:hAnsi="宋体" w:cs="宋体"/>
          <w:b/>
          <w:bCs/>
          <w:sz w:val="28"/>
          <w:szCs w:val="28"/>
        </w:rPr>
      </w:pPr>
    </w:p>
    <w:p>
      <w:pPr>
        <w:spacing w:line="360" w:lineRule="auto"/>
        <w:ind w:firstLine="482" w:firstLineChars="200"/>
        <w:contextualSpacing/>
        <w:rPr>
          <w:rFonts w:ascii="宋体" w:hAnsi="宋体" w:cs="宋体"/>
          <w:b/>
          <w:kern w:val="0"/>
          <w:sz w:val="24"/>
          <w:szCs w:val="24"/>
          <w:shd w:val="clear" w:color="auto" w:fill="FFFFFF"/>
        </w:rPr>
      </w:pPr>
      <w:r>
        <w:rPr>
          <w:rFonts w:hint="eastAsia" w:ascii="宋体" w:hAnsi="宋体" w:cs="宋体"/>
          <w:b/>
          <w:kern w:val="0"/>
          <w:sz w:val="24"/>
          <w:szCs w:val="24"/>
          <w:shd w:val="clear" w:color="auto" w:fill="FFFFFF"/>
        </w:rPr>
        <w:t>本采购清单中所列加★项技术规格或参数为最低要求，不允许负偏离，否则将承担其投标被视为非实质性响应投标的风险。</w:t>
      </w:r>
    </w:p>
    <w:p>
      <w:pPr>
        <w:spacing w:line="360" w:lineRule="auto"/>
        <w:ind w:firstLine="482" w:firstLineChars="200"/>
        <w:contextualSpacing/>
        <w:rPr>
          <w:rFonts w:ascii="楷体" w:hAnsi="楷体" w:eastAsia="楷体" w:cs="宋体"/>
          <w:kern w:val="0"/>
          <w:sz w:val="28"/>
          <w:szCs w:val="28"/>
          <w:lang w:val="zh-CN"/>
        </w:rPr>
      </w:pPr>
      <w:r>
        <w:rPr>
          <w:rFonts w:hint="eastAsia" w:ascii="宋体" w:hAnsi="宋体" w:cs="宋体"/>
          <w:b/>
          <w:kern w:val="0"/>
          <w:sz w:val="24"/>
          <w:szCs w:val="24"/>
          <w:lang w:val="zh-CN"/>
        </w:rPr>
        <w:t>三、采购标的执行标准</w:t>
      </w:r>
    </w:p>
    <w:p>
      <w:pPr>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1、国家标准：</w:t>
      </w:r>
    </w:p>
    <w:p>
      <w:pPr>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（1）</w:t>
      </w:r>
      <w:r>
        <w:rPr>
          <w:rFonts w:ascii="宋体" w:hAnsi="宋体" w:cs="仿宋_GB2312"/>
          <w:sz w:val="24"/>
          <w:szCs w:val="24"/>
          <w:lang w:val="zh-CN"/>
        </w:rPr>
        <w:t>强制性产品认证</w:t>
      </w:r>
    </w:p>
    <w:p>
      <w:pPr>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如投标人所投产品属于“中国强制性产品认证”（3C认证）范围内,则必须承诺采用</w:t>
      </w:r>
      <w:r>
        <w:rPr>
          <w:rFonts w:ascii="宋体" w:hAnsi="宋体" w:cs="仿宋_GB2312"/>
          <w:sz w:val="24"/>
          <w:szCs w:val="24"/>
          <w:lang w:val="zh-CN"/>
        </w:rPr>
        <w:t>《中华人民共和国实施强制性产品认证的产品目录》</w:t>
      </w:r>
      <w:r>
        <w:rPr>
          <w:rFonts w:hint="eastAsia" w:ascii="宋体" w:hAnsi="宋体" w:cs="仿宋_GB2312"/>
          <w:sz w:val="24"/>
          <w:szCs w:val="24"/>
          <w:lang w:val="zh-CN"/>
        </w:rPr>
        <w:t>并在有效期内的产品，应在投标文件中提供</w:t>
      </w:r>
      <w:r>
        <w:rPr>
          <w:rFonts w:hint="eastAsia" w:ascii="宋体" w:hAnsi="宋体" w:cs="仿宋_GB2312"/>
          <w:lang w:val="zh-CN"/>
        </w:rPr>
        <w:t>“</w:t>
      </w:r>
      <w:r>
        <w:rPr>
          <w:rFonts w:hint="eastAsia" w:ascii="宋体" w:hAnsi="宋体" w:cs="仿宋_GB2312"/>
          <w:sz w:val="24"/>
          <w:szCs w:val="24"/>
          <w:lang w:val="zh-CN"/>
        </w:rPr>
        <w:t>所投产品符合国家强制性要求承诺函</w:t>
      </w:r>
      <w:r>
        <w:rPr>
          <w:rFonts w:hint="eastAsia" w:ascii="宋体" w:hAnsi="宋体" w:cs="仿宋_GB2312"/>
          <w:lang w:val="zh-CN"/>
        </w:rPr>
        <w:t>”</w:t>
      </w:r>
      <w:r>
        <w:rPr>
          <w:rFonts w:hint="eastAsia" w:ascii="宋体" w:hAnsi="宋体" w:cs="仿宋_GB2312"/>
          <w:sz w:val="24"/>
          <w:szCs w:val="24"/>
          <w:lang w:val="zh-CN"/>
        </w:rPr>
        <w:t>并加盖投标人公章，否则将承担其投标被视为非实质性响应投标的风险。</w:t>
      </w:r>
    </w:p>
    <w:p>
      <w:pPr>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（2）信息安全产品强制性认证</w:t>
      </w:r>
    </w:p>
    <w:p>
      <w:pPr>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投标人所投产品如被列入</w:t>
      </w:r>
      <w:r>
        <w:rPr>
          <w:rFonts w:ascii="宋体" w:hAnsi="宋体" w:cs="仿宋_GB2312"/>
          <w:sz w:val="24"/>
          <w:szCs w:val="24"/>
          <w:lang w:val="zh-CN"/>
        </w:rPr>
        <w:t>《信息安全产品强制性认证目录》，</w:t>
      </w:r>
      <w:r>
        <w:rPr>
          <w:rFonts w:hint="eastAsia" w:ascii="宋体" w:hAnsi="宋体" w:cs="仿宋_GB2312"/>
          <w:sz w:val="24"/>
          <w:szCs w:val="24"/>
          <w:lang w:val="zh-CN"/>
        </w:rPr>
        <w:t>则投标文件中应</w:t>
      </w:r>
      <w:r>
        <w:rPr>
          <w:rFonts w:ascii="宋体" w:hAnsi="宋体" w:cs="仿宋_GB2312"/>
          <w:sz w:val="24"/>
          <w:szCs w:val="24"/>
          <w:lang w:val="zh-CN"/>
        </w:rPr>
        <w:t>提供</w:t>
      </w:r>
      <w:r>
        <w:rPr>
          <w:rFonts w:hint="eastAsia" w:ascii="宋体" w:hAnsi="宋体" w:cs="仿宋_GB2312"/>
          <w:sz w:val="24"/>
          <w:szCs w:val="24"/>
          <w:lang w:val="zh-CN"/>
        </w:rPr>
        <w:t>中国信息安全认证中心官网（</w:t>
      </w:r>
      <w:r>
        <w:rPr>
          <w:rFonts w:ascii="宋体" w:hAnsi="宋体" w:cs="仿宋_GB2312"/>
          <w:sz w:val="24"/>
          <w:szCs w:val="24"/>
          <w:lang w:val="zh-CN"/>
        </w:rPr>
        <w:t>http://www.isccc.gov.cn/index.shtml</w:t>
      </w:r>
      <w:r>
        <w:rPr>
          <w:rFonts w:hint="eastAsia" w:ascii="宋体" w:hAnsi="宋体" w:cs="仿宋_GB2312"/>
          <w:sz w:val="24"/>
          <w:szCs w:val="24"/>
          <w:lang w:val="zh-CN"/>
        </w:rPr>
        <w:t>）产品查询结果截图并加盖投标人公章或中国信息安全认证中心颁发的《中国国家信息安全产品认证证书》加盖投标人公章的原件扫描件（或图片）。</w:t>
      </w:r>
    </w:p>
    <w:p>
      <w:pPr>
        <w:numPr>
          <w:ilvl w:val="0"/>
          <w:numId w:val="5"/>
        </w:numPr>
        <w:spacing w:line="360" w:lineRule="auto"/>
        <w:ind w:firstLine="480" w:firstLineChars="200"/>
        <w:contextualSpacing/>
        <w:rPr>
          <w:rFonts w:ascii="宋体" w:hAnsi="宋体" w:cs="仿宋_GB2312"/>
          <w:sz w:val="24"/>
          <w:szCs w:val="24"/>
          <w:lang w:val="zh-CN"/>
        </w:rPr>
      </w:pPr>
      <w:r>
        <w:rPr>
          <w:rFonts w:hint="eastAsia" w:ascii="宋体" w:hAnsi="宋体" w:cs="仿宋_GB2312"/>
          <w:sz w:val="24"/>
          <w:szCs w:val="24"/>
          <w:lang w:val="zh-CN"/>
        </w:rPr>
        <w:t>符合国家和履约地相关安全质量标准、行业技术规范标准。</w:t>
      </w:r>
    </w:p>
    <w:p>
      <w:pPr>
        <w:spacing w:line="360" w:lineRule="auto"/>
        <w:ind w:firstLine="482" w:firstLineChars="200"/>
        <w:contextualSpacing/>
        <w:rPr>
          <w:rFonts w:ascii="宋体" w:hAnsi="宋体" w:cs="宋体"/>
          <w:b/>
          <w:color w:val="000000"/>
          <w:kern w:val="0"/>
          <w:szCs w:val="21"/>
          <w:lang w:val="zh-CN"/>
        </w:rPr>
      </w:pPr>
      <w:r>
        <w:rPr>
          <w:rFonts w:hint="eastAsia" w:ascii="宋体" w:hAnsi="宋体" w:cs="宋体"/>
          <w:b/>
          <w:color w:val="000000"/>
          <w:kern w:val="0"/>
          <w:sz w:val="24"/>
          <w:szCs w:val="24"/>
          <w:lang w:val="zh-CN"/>
        </w:rPr>
        <w:t>四、服务标准、期限、效率等要求</w:t>
      </w:r>
    </w:p>
    <w:p>
      <w:pPr>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1、投标人必须完全满足招标所列的文件技术功能要求，针对项目特点提出详细的技术及组织方案；各投标供应商应根据采购人具体需求进行软件升级。</w:t>
      </w:r>
    </w:p>
    <w:p>
      <w:pPr>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2、投标人所提供的系统软件平台须具有软件升级的能力，同时软件升级后的计算机程序源代码应与软件产品一并提交采购人，保证采购人在使用过程中对程序进行个性化开发和修改，</w:t>
      </w:r>
      <w:r>
        <w:rPr>
          <w:rFonts w:hint="eastAsia" w:ascii="宋体" w:hAnsi="宋体" w:cs="宋体"/>
          <w:b/>
          <w:kern w:val="0"/>
          <w:sz w:val="24"/>
          <w:szCs w:val="24"/>
        </w:rPr>
        <w:t>否则为无效投标。</w:t>
      </w:r>
    </w:p>
    <w:p>
      <w:pPr>
        <w:spacing w:line="360" w:lineRule="auto"/>
        <w:ind w:firstLine="480" w:firstLineChars="200"/>
        <w:contextualSpacing/>
        <w:rPr>
          <w:rFonts w:ascii="宋体" w:hAnsi="宋体" w:cs="宋体"/>
          <w:kern w:val="0"/>
          <w:sz w:val="24"/>
          <w:szCs w:val="24"/>
        </w:rPr>
      </w:pPr>
      <w:r>
        <w:rPr>
          <w:rFonts w:hint="eastAsia" w:ascii="宋体" w:hAnsi="宋体" w:cs="宋体"/>
          <w:kern w:val="0"/>
          <w:sz w:val="24"/>
          <w:szCs w:val="24"/>
        </w:rPr>
        <w:t>3、售后服务要求：质保期三年(36个月),质保期内提供免费维修、保养、调试、备品备件的更换等服务。</w:t>
      </w:r>
      <w:r>
        <w:rPr>
          <w:rFonts w:hint="eastAsia" w:ascii="宋体" w:cs="宋体"/>
          <w:sz w:val="24"/>
          <w:lang w:val="zh-CN"/>
        </w:rPr>
        <w:t>投标人需提供完善的售后服务计划与措施方案，</w:t>
      </w:r>
      <w:r>
        <w:rPr>
          <w:rFonts w:hint="eastAsia" w:ascii="宋体" w:hAnsi="宋体" w:cs="宋体"/>
          <w:kern w:val="0"/>
          <w:sz w:val="24"/>
          <w:szCs w:val="24"/>
        </w:rPr>
        <w:t>在平台或系统部署实施及推广过程中需派1-2名专业技术人员驻场一年，要求投标文件对此需求附加售后服务承诺函。</w:t>
      </w:r>
    </w:p>
    <w:p>
      <w:pPr>
        <w:spacing w:line="360" w:lineRule="auto"/>
        <w:ind w:firstLine="482" w:firstLineChars="200"/>
        <w:contextualSpacing/>
        <w:rPr>
          <w:rFonts w:ascii="宋体" w:hAnsi="宋体" w:cs="宋体"/>
          <w:b/>
          <w:color w:val="000000"/>
          <w:kern w:val="0"/>
          <w:sz w:val="24"/>
          <w:szCs w:val="24"/>
          <w:lang w:val="zh-CN"/>
        </w:rPr>
      </w:pPr>
      <w:r>
        <w:rPr>
          <w:rFonts w:hint="eastAsia" w:ascii="宋体" w:hAnsi="宋体" w:cs="宋体"/>
          <w:b/>
          <w:color w:val="000000"/>
          <w:kern w:val="0"/>
          <w:sz w:val="24"/>
          <w:szCs w:val="24"/>
          <w:lang w:val="zh-CN"/>
        </w:rPr>
        <w:t>五、采购标的的其他技术、服务等要求</w:t>
      </w:r>
    </w:p>
    <w:p>
      <w:pPr>
        <w:topLinePunct/>
        <w:spacing w:line="360" w:lineRule="auto"/>
        <w:ind w:firstLine="480" w:firstLineChars="200"/>
        <w:rPr>
          <w:rFonts w:ascii="宋体" w:cs="宋体"/>
          <w:sz w:val="24"/>
          <w:lang w:val="zh-CN"/>
        </w:rPr>
      </w:pPr>
      <w:r>
        <w:rPr>
          <w:rFonts w:hint="eastAsia" w:ascii="宋体" w:cs="宋体"/>
          <w:sz w:val="24"/>
          <w:lang w:val="zh-CN"/>
        </w:rPr>
        <w:t>1、投标人须明确投标产品的厂家、品牌、型号、详细参数（仅限机房、指挥大厅、多功能厅部分的设备），</w:t>
      </w:r>
      <w:r>
        <w:rPr>
          <w:rFonts w:hint="eastAsia" w:ascii="宋体" w:cs="宋体"/>
          <w:b/>
          <w:sz w:val="24"/>
          <w:lang w:val="zh-CN"/>
        </w:rPr>
        <w:t>否则为无效投标。</w:t>
      </w:r>
    </w:p>
    <w:p>
      <w:pPr>
        <w:topLinePunct/>
        <w:autoSpaceDE w:val="0"/>
        <w:autoSpaceDN w:val="0"/>
        <w:adjustRightInd w:val="0"/>
        <w:spacing w:line="360" w:lineRule="auto"/>
        <w:ind w:firstLine="482"/>
        <w:rPr>
          <w:rFonts w:ascii="宋体" w:cs="宋体"/>
          <w:b/>
          <w:sz w:val="24"/>
          <w:lang w:val="zh-CN"/>
        </w:rPr>
      </w:pPr>
      <w:r>
        <w:rPr>
          <w:rFonts w:hint="eastAsia" w:ascii="宋体" w:cs="宋体"/>
          <w:sz w:val="24"/>
          <w:lang w:val="zh-CN"/>
        </w:rPr>
        <w:t>2、投标人应就本项目（每包或者标段）完整投标，</w:t>
      </w:r>
      <w:r>
        <w:rPr>
          <w:rFonts w:hint="eastAsia" w:ascii="宋体" w:cs="宋体"/>
          <w:b/>
          <w:sz w:val="24"/>
          <w:lang w:val="zh-CN"/>
        </w:rPr>
        <w:t>否则为无效投标。</w:t>
      </w:r>
    </w:p>
    <w:p>
      <w:pPr>
        <w:topLinePunct/>
        <w:spacing w:line="360" w:lineRule="auto"/>
        <w:ind w:firstLine="480" w:firstLineChars="200"/>
        <w:rPr>
          <w:rFonts w:ascii="宋体" w:cs="宋体"/>
          <w:sz w:val="24"/>
          <w:lang w:val="zh-CN"/>
        </w:rPr>
      </w:pPr>
      <w:r>
        <w:rPr>
          <w:rFonts w:hint="eastAsia" w:ascii="宋体" w:cs="宋体"/>
          <w:sz w:val="24"/>
          <w:lang w:val="zh-CN"/>
        </w:rPr>
        <w:t>3、所投产品必须符合国家质量检测标准和本招标文件规定标准的全新正品现货。</w:t>
      </w:r>
    </w:p>
    <w:p>
      <w:pPr>
        <w:wordWrap w:val="0"/>
        <w:topLinePunct/>
        <w:spacing w:line="360" w:lineRule="auto"/>
        <w:ind w:firstLine="480" w:firstLineChars="200"/>
        <w:rPr>
          <w:rFonts w:ascii="宋体" w:cs="宋体"/>
          <w:sz w:val="24"/>
          <w:lang w:val="zh-CN"/>
        </w:rPr>
      </w:pPr>
      <w:r>
        <w:rPr>
          <w:rFonts w:hint="eastAsia" w:ascii="宋体" w:cs="宋体"/>
          <w:sz w:val="24"/>
          <w:lang w:val="zh-CN"/>
        </w:rPr>
        <w:t>4、本项目为交钥匙工程。</w:t>
      </w:r>
      <w:r>
        <w:rPr>
          <w:rFonts w:hint="eastAsia" w:ascii="宋体" w:hAnsi="宋体" w:cs="仿宋_GB2312"/>
          <w:sz w:val="24"/>
          <w:szCs w:val="24"/>
          <w:lang w:val="zh-CN"/>
        </w:rPr>
        <w:t>中标人应将所有项目的设备安装（含相关配件、线材等，中标人对于招标文件没有列出，而对系统的正常运行和维护必不可少的产品、配件、软件、线缆及其它辅助材料等，中标人有责任给予补充，并应同其它产品一并报价，并包含在投标总报价中）、调试费、培训费用（含培训教材费）等各项支出的费用必须分别报价并计入投标总价，合同签定后不再单独列支安装、调试等费用。</w:t>
      </w:r>
    </w:p>
    <w:p>
      <w:pPr>
        <w:wordWrap w:val="0"/>
        <w:topLinePunct/>
        <w:spacing w:line="360" w:lineRule="auto"/>
        <w:ind w:firstLine="480" w:firstLineChars="200"/>
        <w:rPr>
          <w:rFonts w:ascii="宋体" w:cs="宋体"/>
          <w:sz w:val="24"/>
          <w:lang w:val="zh-CN"/>
        </w:rPr>
      </w:pPr>
      <w:r>
        <w:rPr>
          <w:rFonts w:hint="eastAsia" w:ascii="宋体" w:hAnsi="宋体" w:cs="仿宋_GB2312"/>
          <w:sz w:val="24"/>
          <w:szCs w:val="24"/>
          <w:lang w:val="zh-CN"/>
        </w:rPr>
        <w:t>5、中标人应按每台或每套产品给采购人提供至少一套完整的技术资料随货物包装发运，其中包括产品的中文使用说明书、操作手册等内容。</w:t>
      </w:r>
    </w:p>
    <w:p>
      <w:pPr>
        <w:wordWrap w:val="0"/>
        <w:topLinePunct/>
        <w:spacing w:line="360" w:lineRule="auto"/>
        <w:ind w:firstLine="480" w:firstLineChars="200"/>
        <w:rPr>
          <w:rFonts w:ascii="宋体" w:cs="宋体"/>
          <w:sz w:val="24"/>
          <w:lang w:val="zh-CN"/>
        </w:rPr>
      </w:pPr>
      <w:r>
        <w:rPr>
          <w:rFonts w:hint="eastAsia" w:ascii="宋体" w:hAnsi="宋体" w:cs="仿宋_GB2312"/>
          <w:sz w:val="24"/>
          <w:szCs w:val="24"/>
          <w:lang w:val="zh-CN"/>
        </w:rPr>
        <w:t>6、本次采购所有产品应长期进行技术支持（含技术咨询等）。若中标人质保期内未能在规定时间内到达现场，采购人有权要求中标人给予合理的经济赔偿。在质保期内，由于项目本身缺陷发生故障或损坏而造成的损失，中标人应给予采购人经济赔偿。</w:t>
      </w:r>
    </w:p>
    <w:p>
      <w:pPr>
        <w:wordWrap w:val="0"/>
        <w:topLinePunct/>
        <w:spacing w:line="360" w:lineRule="auto"/>
        <w:ind w:firstLine="480" w:firstLineChars="200"/>
        <w:rPr>
          <w:rFonts w:ascii="宋体" w:cs="宋体"/>
          <w:sz w:val="24"/>
          <w:lang w:val="zh-CN"/>
        </w:rPr>
      </w:pPr>
      <w:r>
        <w:rPr>
          <w:rFonts w:hint="eastAsia" w:ascii="宋体" w:hAnsi="宋体" w:cs="仿宋_GB2312"/>
          <w:sz w:val="24"/>
          <w:szCs w:val="24"/>
          <w:lang w:val="zh-CN"/>
        </w:rPr>
        <w:t xml:space="preserve">7、本项目履行过程中产生的软件著作权及版权归采购方所有。 </w:t>
      </w:r>
    </w:p>
    <w:p>
      <w:pPr>
        <w:widowControl/>
        <w:spacing w:line="360" w:lineRule="auto"/>
        <w:ind w:firstLine="482" w:firstLineChars="200"/>
        <w:jc w:val="left"/>
        <w:rPr>
          <w:rFonts w:ascii="宋体" w:hAnsi="宋体" w:cs="宋体"/>
          <w:color w:val="000000"/>
          <w:kern w:val="0"/>
          <w:sz w:val="24"/>
          <w:szCs w:val="24"/>
          <w:lang w:val="zh-CN"/>
        </w:rPr>
      </w:pPr>
      <w:r>
        <w:rPr>
          <w:rFonts w:hint="eastAsia" w:ascii="宋体" w:hAnsi="宋体" w:cs="宋体"/>
          <w:b/>
          <w:color w:val="000000"/>
          <w:kern w:val="0"/>
          <w:sz w:val="24"/>
          <w:szCs w:val="24"/>
          <w:lang w:val="zh-CN"/>
        </w:rPr>
        <w:t>六、验收标准</w:t>
      </w:r>
    </w:p>
    <w:p>
      <w:pPr>
        <w:topLinePunct/>
        <w:autoSpaceDE w:val="0"/>
        <w:autoSpaceDN w:val="0"/>
        <w:adjustRightInd w:val="0"/>
        <w:spacing w:line="360" w:lineRule="auto"/>
        <w:ind w:firstLine="482"/>
        <w:rPr>
          <w:rFonts w:ascii="宋体" w:cs="宋体"/>
          <w:sz w:val="24"/>
          <w:lang w:val="zh-CN"/>
        </w:rPr>
      </w:pPr>
      <w:r>
        <w:rPr>
          <w:rFonts w:hint="eastAsia" w:ascii="宋体" w:cs="宋体"/>
          <w:sz w:val="24"/>
          <w:lang w:val="zh-CN"/>
        </w:rPr>
        <w:t>1、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topLinePunct/>
        <w:autoSpaceDE w:val="0"/>
        <w:autoSpaceDN w:val="0"/>
        <w:adjustRightInd w:val="0"/>
        <w:spacing w:line="360" w:lineRule="auto"/>
        <w:ind w:firstLine="482"/>
        <w:rPr>
          <w:rFonts w:ascii="宋体" w:cs="宋体"/>
          <w:sz w:val="24"/>
          <w:lang w:val="zh-CN"/>
        </w:rPr>
      </w:pPr>
      <w:r>
        <w:rPr>
          <w:rFonts w:hint="eastAsia" w:ascii="宋体" w:cs="宋体"/>
          <w:sz w:val="24"/>
          <w:lang w:val="zh-CN"/>
        </w:rPr>
        <w:t>2、按照招标文件要求、投标文件响应和承诺验收；</w:t>
      </w:r>
    </w:p>
    <w:p>
      <w:pPr>
        <w:topLinePunct/>
        <w:autoSpaceDE w:val="0"/>
        <w:autoSpaceDN w:val="0"/>
        <w:adjustRightInd w:val="0"/>
        <w:spacing w:line="360" w:lineRule="auto"/>
        <w:ind w:firstLine="482"/>
        <w:rPr>
          <w:rFonts w:ascii="宋体" w:hAnsi="宋体" w:cs="宋体"/>
          <w:kern w:val="0"/>
          <w:sz w:val="24"/>
          <w:szCs w:val="24"/>
        </w:rPr>
      </w:pPr>
      <w:r>
        <w:rPr>
          <w:rFonts w:hint="eastAsia" w:ascii="宋体" w:cs="宋体"/>
          <w:sz w:val="24"/>
        </w:rPr>
        <w:t>3</w:t>
      </w:r>
      <w:r>
        <w:rPr>
          <w:rFonts w:hint="eastAsia" w:ascii="宋体" w:cs="宋体"/>
          <w:sz w:val="24"/>
          <w:lang w:val="zh-CN"/>
        </w:rPr>
        <w:t>、本项目采用现场运行、测试验收方式验收。投标人完成的项</w:t>
      </w:r>
      <w:r>
        <w:rPr>
          <w:rFonts w:hint="eastAsia" w:ascii="宋体" w:hAnsi="宋体" w:cs="宋体"/>
          <w:kern w:val="0"/>
          <w:sz w:val="24"/>
          <w:szCs w:val="24"/>
        </w:rPr>
        <w:t>目应达到的质量标准应符合国家和履约地相关安全质量标准；行业技术规范标准；强制认证相关标准。</w:t>
      </w:r>
    </w:p>
    <w:p>
      <w:pPr>
        <w:spacing w:line="360" w:lineRule="auto"/>
        <w:ind w:firstLine="482" w:firstLineChars="200"/>
        <w:contextualSpacing/>
        <w:rPr>
          <w:rFonts w:ascii="宋体" w:hAnsi="宋体" w:cs="微软雅黑"/>
          <w:b/>
          <w:sz w:val="24"/>
          <w:szCs w:val="24"/>
        </w:rPr>
      </w:pPr>
      <w:r>
        <w:rPr>
          <w:rFonts w:hint="eastAsia" w:ascii="宋体" w:hAnsi="宋体" w:cs="微软雅黑"/>
          <w:b/>
          <w:sz w:val="24"/>
          <w:szCs w:val="24"/>
        </w:rPr>
        <w:t>七、本项目预算金额(最高限价)：15134842.41元。超出最高限价的投标无效。</w:t>
      </w:r>
    </w:p>
    <w:p>
      <w:pPr>
        <w:spacing w:line="360" w:lineRule="auto"/>
        <w:ind w:firstLine="482" w:firstLineChars="200"/>
        <w:contextualSpacing/>
        <w:rPr>
          <w:rFonts w:ascii="宋体" w:hAnsi="宋体" w:cs="微软雅黑"/>
          <w:sz w:val="24"/>
          <w:szCs w:val="24"/>
        </w:rPr>
      </w:pPr>
      <w:r>
        <w:rPr>
          <w:rFonts w:hint="eastAsia" w:ascii="宋体" w:hAnsi="宋体" w:cs="微软雅黑"/>
          <w:b/>
          <w:sz w:val="24"/>
          <w:szCs w:val="24"/>
        </w:rPr>
        <w:t>八、资金支付</w:t>
      </w:r>
    </w:p>
    <w:p>
      <w:pPr>
        <w:topLinePunct/>
        <w:autoSpaceDE w:val="0"/>
        <w:autoSpaceDN w:val="0"/>
        <w:adjustRightInd w:val="0"/>
        <w:spacing w:line="360" w:lineRule="auto"/>
        <w:ind w:firstLine="482"/>
        <w:rPr>
          <w:rFonts w:ascii="宋体" w:cs="宋体"/>
          <w:sz w:val="24"/>
          <w:lang w:val="zh-CN"/>
        </w:rPr>
      </w:pPr>
      <w:r>
        <w:rPr>
          <w:rFonts w:hint="eastAsia" w:ascii="宋体" w:cs="宋体"/>
          <w:sz w:val="24"/>
          <w:lang w:val="zh-CN"/>
        </w:rPr>
        <w:t>付款方式：银行转账。中标供应商完成委托项目由委托人向其付费，付费方式由双方另行约定。</w:t>
      </w:r>
    </w:p>
    <w:p>
      <w:pPr>
        <w:spacing w:line="360" w:lineRule="auto"/>
        <w:ind w:firstLine="590" w:firstLineChars="245"/>
        <w:contextualSpacing/>
        <w:rPr>
          <w:rFonts w:ascii="宋体" w:hAnsi="宋体" w:cs="微软雅黑"/>
          <w:sz w:val="24"/>
          <w:szCs w:val="24"/>
        </w:rPr>
      </w:pPr>
      <w:r>
        <w:rPr>
          <w:rFonts w:hint="eastAsia" w:ascii="宋体" w:hAnsi="宋体" w:cs="微软雅黑"/>
          <w:b/>
          <w:sz w:val="24"/>
          <w:szCs w:val="24"/>
        </w:rPr>
        <w:t>九、其他要求</w:t>
      </w:r>
    </w:p>
    <w:p>
      <w:pPr>
        <w:spacing w:line="360" w:lineRule="auto"/>
        <w:ind w:firstLine="588" w:firstLineChars="245"/>
        <w:contextualSpacing/>
        <w:rPr>
          <w:rFonts w:ascii="宋体" w:hAnsi="宋体" w:cs="微软雅黑"/>
          <w:sz w:val="24"/>
          <w:szCs w:val="24"/>
        </w:rPr>
      </w:pPr>
      <w:r>
        <w:rPr>
          <w:rFonts w:hint="eastAsia" w:ascii="宋体" w:hAnsi="宋体" w:cs="宋体"/>
          <w:sz w:val="24"/>
          <w:szCs w:val="24"/>
        </w:rPr>
        <w:t>1、</w:t>
      </w:r>
      <w:r>
        <w:rPr>
          <w:rFonts w:hint="eastAsia" w:ascii="宋体" w:hAnsi="宋体" w:cs="宋体"/>
          <w:kern w:val="0"/>
          <w:sz w:val="24"/>
          <w:szCs w:val="24"/>
        </w:rPr>
        <w:t>投标人应就该项目完整投标，否则为无效投标。</w:t>
      </w:r>
    </w:p>
    <w:p>
      <w:pPr>
        <w:spacing w:line="360" w:lineRule="auto"/>
        <w:ind w:firstLine="588" w:firstLineChars="245"/>
        <w:contextualSpacing/>
        <w:rPr>
          <w:rFonts w:ascii="宋体" w:hAnsi="宋体" w:cs="微软雅黑"/>
          <w:sz w:val="24"/>
          <w:szCs w:val="24"/>
        </w:rPr>
      </w:pPr>
      <w:r>
        <w:rPr>
          <w:rFonts w:hint="eastAsia" w:ascii="宋体" w:hAnsi="宋体" w:cs="宋体"/>
          <w:sz w:val="24"/>
          <w:szCs w:val="24"/>
        </w:rPr>
        <w:t>2、</w:t>
      </w:r>
      <w:r>
        <w:rPr>
          <w:rFonts w:ascii="宋体" w:hAnsi="宋体" w:cs="宋体"/>
          <w:kern w:val="0"/>
          <w:sz w:val="24"/>
          <w:szCs w:val="24"/>
        </w:rPr>
        <w:t>服务标准、期限、效率等要求</w:t>
      </w:r>
      <w:r>
        <w:rPr>
          <w:rFonts w:hint="eastAsia" w:ascii="宋体" w:hAnsi="宋体" w:cs="宋体"/>
          <w:kern w:val="0"/>
          <w:sz w:val="24"/>
          <w:szCs w:val="24"/>
        </w:rPr>
        <w:t>：在质保期内产品发生质量问题时应即时免费为使用方更换，保证产品正常使用。保修期结束后，仍负责提供维修服务，只能收取成本费。解决问题时间不得超过24小时。</w:t>
      </w:r>
    </w:p>
    <w:p>
      <w:pPr>
        <w:spacing w:line="360" w:lineRule="auto"/>
        <w:ind w:firstLine="588" w:firstLineChars="245"/>
        <w:contextualSpacing/>
        <w:rPr>
          <w:rFonts w:ascii="宋体" w:cs="宋体"/>
          <w:sz w:val="24"/>
          <w:lang w:val="zh-CN"/>
        </w:rPr>
      </w:pPr>
      <w:r>
        <w:rPr>
          <w:rFonts w:hint="eastAsia" w:ascii="宋体" w:cs="宋体"/>
          <w:sz w:val="24"/>
          <w:lang w:val="zh-CN"/>
        </w:rPr>
        <w:t>3、本项目为交钥匙项目。</w:t>
      </w:r>
    </w:p>
    <w:p>
      <w:pPr>
        <w:widowControl/>
        <w:shd w:val="clear" w:color="auto" w:fill="FFFFFF"/>
        <w:spacing w:line="360" w:lineRule="auto"/>
        <w:ind w:firstLine="420" w:firstLineChars="200"/>
        <w:contextualSpacing/>
        <w:jc w:val="left"/>
        <w:rPr>
          <w:rFonts w:ascii="宋体" w:cs="宋体"/>
          <w:kern w:val="0"/>
          <w:szCs w:val="21"/>
          <w:lang w:val="zh-CN"/>
        </w:rPr>
      </w:pPr>
    </w:p>
    <w:bookmarkEnd w:id="0"/>
    <w:p>
      <w:pPr>
        <w:widowControl/>
        <w:jc w:val="center"/>
        <w:rPr>
          <w:rFonts w:ascii="宋体" w:cs="宋体"/>
          <w:b/>
          <w:kern w:val="0"/>
          <w:sz w:val="32"/>
          <w:szCs w:val="32"/>
        </w:rPr>
      </w:pPr>
      <w:r>
        <w:rPr>
          <w:rFonts w:ascii="宋体" w:cs="宋体"/>
          <w:b/>
          <w:kern w:val="0"/>
          <w:sz w:val="32"/>
          <w:szCs w:val="32"/>
        </w:rPr>
        <w:br w:type="page"/>
      </w:r>
      <w:r>
        <w:rPr>
          <w:rFonts w:hint="eastAsia" w:ascii="宋体" w:hAnsi="宋体" w:cs="宋体"/>
          <w:b/>
          <w:kern w:val="0"/>
          <w:sz w:val="32"/>
          <w:szCs w:val="32"/>
        </w:rPr>
        <w:t>第三章</w:t>
      </w:r>
      <w:r>
        <w:rPr>
          <w:rFonts w:ascii="宋体" w:hAnsi="宋体" w:cs="宋体"/>
          <w:b/>
          <w:kern w:val="0"/>
          <w:sz w:val="32"/>
          <w:szCs w:val="32"/>
        </w:rPr>
        <w:t xml:space="preserve"> </w:t>
      </w:r>
      <w:r>
        <w:rPr>
          <w:rFonts w:hint="eastAsia" w:ascii="宋体" w:hAnsi="宋体" w:cs="宋体"/>
          <w:b/>
          <w:kern w:val="0"/>
          <w:sz w:val="32"/>
          <w:szCs w:val="32"/>
        </w:rPr>
        <w:t>投标人须知前附表</w:t>
      </w:r>
    </w:p>
    <w:p>
      <w:pPr>
        <w:autoSpaceDE w:val="0"/>
        <w:autoSpaceDN w:val="0"/>
        <w:adjustRightInd w:val="0"/>
        <w:spacing w:line="360" w:lineRule="auto"/>
        <w:ind w:right="-11"/>
        <w:jc w:val="left"/>
        <w:rPr>
          <w:rFonts w:ascii="宋体" w:cs="宋体"/>
          <w:b/>
          <w:kern w:val="0"/>
          <w:szCs w:val="21"/>
        </w:rPr>
      </w:pPr>
      <w:r>
        <w:rPr>
          <w:rFonts w:hint="eastAsia" w:cs="微软雅黑"/>
          <w:b/>
          <w:color w:val="FF0000"/>
          <w:szCs w:val="21"/>
        </w:rPr>
        <w:t>招标文件中凡标有</w:t>
      </w:r>
      <w:r>
        <w:rPr>
          <w:rFonts w:hint="eastAsia" w:ascii="宋体" w:hAnsi="宋体" w:cs="微软雅黑"/>
          <w:b/>
          <w:color w:val="FF0000"/>
          <w:szCs w:val="21"/>
        </w:rPr>
        <w:t>★</w:t>
      </w:r>
      <w:r>
        <w:rPr>
          <w:rFonts w:hint="eastAsia" w:cs="微软雅黑"/>
          <w:b/>
          <w:color w:val="FF0000"/>
          <w:szCs w:val="21"/>
        </w:rPr>
        <w:t>条款均为实质性要求条款，投标文件须完全响应，未实质响应的，按照无效投标处理。</w:t>
      </w:r>
    </w:p>
    <w:tbl>
      <w:tblPr>
        <w:tblStyle w:val="24"/>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ascii="宋体" w:cs="仿宋_GB2312"/>
                <w:b/>
                <w:szCs w:val="21"/>
              </w:rPr>
            </w:pPr>
            <w:r>
              <w:rPr>
                <w:rFonts w:hint="eastAsia" w:ascii="宋体" w:hAnsi="宋体" w:cs="仿宋_GB2312"/>
                <w:b/>
                <w:szCs w:val="21"/>
              </w:rPr>
              <w:t>序号</w:t>
            </w:r>
          </w:p>
        </w:tc>
        <w:tc>
          <w:tcPr>
            <w:tcW w:w="2268" w:type="dxa"/>
            <w:vAlign w:val="center"/>
          </w:tcPr>
          <w:p>
            <w:pPr>
              <w:autoSpaceDE w:val="0"/>
              <w:autoSpaceDN w:val="0"/>
              <w:adjustRightInd w:val="0"/>
              <w:spacing w:line="276" w:lineRule="auto"/>
              <w:jc w:val="center"/>
              <w:rPr>
                <w:rFonts w:ascii="宋体" w:cs="仿宋_GB2312"/>
                <w:b/>
                <w:szCs w:val="21"/>
              </w:rPr>
            </w:pPr>
            <w:r>
              <w:rPr>
                <w:rFonts w:hint="eastAsia" w:ascii="宋体" w:hAnsi="宋体" w:cs="仿宋_GB2312"/>
                <w:b/>
                <w:szCs w:val="21"/>
              </w:rPr>
              <w:t>条款名称</w:t>
            </w:r>
          </w:p>
        </w:tc>
        <w:tc>
          <w:tcPr>
            <w:tcW w:w="6813" w:type="dxa"/>
            <w:vAlign w:val="center"/>
          </w:tcPr>
          <w:p>
            <w:pPr>
              <w:autoSpaceDE w:val="0"/>
              <w:autoSpaceDN w:val="0"/>
              <w:adjustRightInd w:val="0"/>
              <w:spacing w:line="276" w:lineRule="auto"/>
              <w:jc w:val="center"/>
              <w:rPr>
                <w:rFonts w:ascii="宋体" w:cs="仿宋_GB2312"/>
                <w:b/>
                <w:szCs w:val="21"/>
              </w:rPr>
            </w:pPr>
            <w:r>
              <w:rPr>
                <w:rFonts w:hint="eastAsia" w:ascii="宋体" w:hAnsi="宋体" w:cs="仿宋_GB2312"/>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ascii="宋体" w:hAnsi="宋体" w:cs="黑体"/>
                <w:szCs w:val="21"/>
              </w:rPr>
              <w:t>1</w:t>
            </w:r>
          </w:p>
        </w:tc>
        <w:tc>
          <w:tcPr>
            <w:tcW w:w="2268" w:type="dxa"/>
            <w:vAlign w:val="center"/>
          </w:tcPr>
          <w:p>
            <w:pPr>
              <w:autoSpaceDE w:val="0"/>
              <w:autoSpaceDN w:val="0"/>
              <w:adjustRightInd w:val="0"/>
              <w:spacing w:line="276" w:lineRule="auto"/>
              <w:jc w:val="center"/>
              <w:rPr>
                <w:rFonts w:ascii="宋体" w:cs="仿宋_GB2312"/>
                <w:szCs w:val="21"/>
              </w:rPr>
            </w:pPr>
            <w:r>
              <w:rPr>
                <w:rFonts w:hint="eastAsia" w:ascii="宋体" w:hAnsi="宋体" w:cs="仿宋_GB2312"/>
                <w:szCs w:val="21"/>
              </w:rPr>
              <w:t>采购项目</w:t>
            </w:r>
          </w:p>
        </w:tc>
        <w:tc>
          <w:tcPr>
            <w:tcW w:w="6813" w:type="dxa"/>
          </w:tcPr>
          <w:p>
            <w:pPr>
              <w:autoSpaceDE w:val="0"/>
              <w:autoSpaceDN w:val="0"/>
              <w:adjustRightInd w:val="0"/>
              <w:spacing w:line="276" w:lineRule="auto"/>
              <w:jc w:val="left"/>
              <w:rPr>
                <w:rFonts w:hint="eastAsia" w:ascii="宋体" w:hAnsi="宋体" w:cs="仿宋_GB2312"/>
                <w:szCs w:val="21"/>
                <w:lang w:eastAsia="zh-CN"/>
              </w:rPr>
            </w:pPr>
            <w:r>
              <w:rPr>
                <w:rFonts w:hint="eastAsia" w:ascii="宋体" w:hAnsi="宋体" w:cs="仿宋_GB2312"/>
                <w:szCs w:val="21"/>
                <w:lang w:eastAsia="zh-CN"/>
              </w:rPr>
              <w:t>项目名称：许昌经济技术开发区管委会智慧中心项目</w:t>
            </w:r>
          </w:p>
          <w:p>
            <w:pPr>
              <w:autoSpaceDE w:val="0"/>
              <w:autoSpaceDN w:val="0"/>
              <w:adjustRightInd w:val="0"/>
              <w:spacing w:line="276" w:lineRule="auto"/>
              <w:jc w:val="left"/>
              <w:rPr>
                <w:rFonts w:hint="eastAsia" w:ascii="宋体" w:hAnsi="宋体" w:cs="仿宋_GB2312"/>
                <w:szCs w:val="21"/>
                <w:lang w:eastAsia="zh-CN"/>
              </w:rPr>
            </w:pPr>
            <w:r>
              <w:rPr>
                <w:rFonts w:hint="eastAsia" w:ascii="宋体" w:hAnsi="宋体" w:cs="仿宋_GB2312"/>
                <w:szCs w:val="21"/>
                <w:lang w:eastAsia="zh-CN"/>
              </w:rPr>
              <w:t>项目编号：GZCG-G2019030号</w:t>
            </w:r>
          </w:p>
          <w:p>
            <w:pPr>
              <w:autoSpaceDE w:val="0"/>
              <w:autoSpaceDN w:val="0"/>
              <w:adjustRightInd w:val="0"/>
              <w:spacing w:line="276" w:lineRule="auto"/>
              <w:jc w:val="left"/>
              <w:rPr>
                <w:rFonts w:hint="eastAsia" w:ascii="宋体" w:hAnsi="宋体" w:cs="仿宋_GB2312"/>
                <w:szCs w:val="21"/>
                <w:lang w:eastAsia="zh-CN"/>
              </w:rPr>
            </w:pPr>
            <w:r>
              <w:rPr>
                <w:rFonts w:hint="eastAsia" w:ascii="宋体" w:hAnsi="宋体" w:cs="仿宋_GB2312"/>
                <w:szCs w:val="21"/>
                <w:lang w:eastAsia="zh-CN"/>
              </w:rPr>
              <w:t>项目内容：许昌经济技术开发区管委会智慧中心项目（详见第二章“项目需求”）</w:t>
            </w:r>
          </w:p>
          <w:p>
            <w:pPr>
              <w:autoSpaceDE w:val="0"/>
              <w:autoSpaceDN w:val="0"/>
              <w:adjustRightInd w:val="0"/>
              <w:spacing w:line="276" w:lineRule="auto"/>
              <w:jc w:val="left"/>
              <w:rPr>
                <w:rFonts w:hint="eastAsia" w:ascii="宋体" w:hAnsi="宋体" w:cs="仿宋_GB2312"/>
                <w:szCs w:val="21"/>
                <w:lang w:eastAsia="zh-CN"/>
              </w:rPr>
            </w:pPr>
            <w:r>
              <w:rPr>
                <w:rFonts w:hint="eastAsia" w:ascii="宋体" w:hAnsi="宋体" w:cs="仿宋_GB2312"/>
                <w:szCs w:val="21"/>
                <w:lang w:eastAsia="zh-CN"/>
              </w:rPr>
              <w:t>项目地址：许昌经济技术开发区管委会智慧中心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jc w:val="center"/>
        </w:trPr>
        <w:tc>
          <w:tcPr>
            <w:tcW w:w="806" w:type="dxa"/>
            <w:vAlign w:val="center"/>
          </w:tcPr>
          <w:p>
            <w:pPr>
              <w:autoSpaceDE w:val="0"/>
              <w:autoSpaceDN w:val="0"/>
              <w:adjustRightInd w:val="0"/>
              <w:spacing w:line="276" w:lineRule="auto"/>
              <w:jc w:val="center"/>
              <w:rPr>
                <w:rFonts w:ascii="宋体" w:hAnsi="宋体" w:cs="TimesNewRomanPSMT"/>
                <w:szCs w:val="21"/>
              </w:rPr>
            </w:pPr>
            <w:r>
              <w:rPr>
                <w:rFonts w:ascii="宋体" w:hAnsi="宋体" w:cs="TimesNewRomanPSMT"/>
                <w:szCs w:val="21"/>
              </w:rPr>
              <w:t>2</w:t>
            </w:r>
          </w:p>
        </w:tc>
        <w:tc>
          <w:tcPr>
            <w:tcW w:w="2268" w:type="dxa"/>
            <w:vAlign w:val="center"/>
          </w:tcPr>
          <w:p>
            <w:pPr>
              <w:autoSpaceDE w:val="0"/>
              <w:autoSpaceDN w:val="0"/>
              <w:adjustRightInd w:val="0"/>
              <w:spacing w:line="276" w:lineRule="auto"/>
              <w:jc w:val="center"/>
              <w:rPr>
                <w:rFonts w:ascii="宋体" w:cs="仿宋_GB2312"/>
                <w:szCs w:val="21"/>
              </w:rPr>
            </w:pPr>
            <w:r>
              <w:rPr>
                <w:rFonts w:hint="eastAsia" w:ascii="宋体" w:hAnsi="宋体" w:cs="仿宋_GB2312"/>
                <w:szCs w:val="21"/>
              </w:rPr>
              <w:t>采购人</w:t>
            </w:r>
          </w:p>
        </w:tc>
        <w:tc>
          <w:tcPr>
            <w:tcW w:w="6813" w:type="dxa"/>
            <w:vAlign w:val="center"/>
          </w:tcPr>
          <w:p>
            <w:pPr>
              <w:autoSpaceDE w:val="0"/>
              <w:autoSpaceDN w:val="0"/>
              <w:adjustRightInd w:val="0"/>
              <w:spacing w:line="276" w:lineRule="auto"/>
              <w:jc w:val="left"/>
              <w:rPr>
                <w:rFonts w:hint="eastAsia" w:ascii="宋体" w:hAnsi="宋体" w:cs="仿宋_GB2312"/>
                <w:szCs w:val="21"/>
                <w:lang w:eastAsia="zh-CN"/>
              </w:rPr>
            </w:pPr>
            <w:r>
              <w:rPr>
                <w:rFonts w:hint="eastAsia" w:ascii="宋体" w:hAnsi="宋体" w:cs="仿宋_GB2312"/>
                <w:szCs w:val="21"/>
                <w:lang w:eastAsia="zh-CN"/>
              </w:rPr>
              <w:t>名称：许昌经高科技发展有限公司</w:t>
            </w:r>
          </w:p>
          <w:p>
            <w:pPr>
              <w:autoSpaceDE w:val="0"/>
              <w:autoSpaceDN w:val="0"/>
              <w:adjustRightInd w:val="0"/>
              <w:spacing w:line="276" w:lineRule="auto"/>
              <w:jc w:val="left"/>
              <w:rPr>
                <w:rFonts w:hint="eastAsia" w:ascii="宋体" w:hAnsi="宋体" w:cs="仿宋_GB2312"/>
                <w:szCs w:val="21"/>
                <w:lang w:eastAsia="zh-CN"/>
              </w:rPr>
            </w:pPr>
            <w:r>
              <w:rPr>
                <w:rFonts w:hint="eastAsia" w:ascii="宋体" w:hAnsi="宋体" w:cs="仿宋_GB2312"/>
                <w:szCs w:val="21"/>
                <w:lang w:eastAsia="zh-CN"/>
              </w:rPr>
              <w:t>地址：许昌经济技术开发区瑞祥路中段</w:t>
            </w:r>
          </w:p>
          <w:p>
            <w:pPr>
              <w:autoSpaceDE w:val="0"/>
              <w:autoSpaceDN w:val="0"/>
              <w:adjustRightInd w:val="0"/>
              <w:spacing w:line="276" w:lineRule="auto"/>
              <w:jc w:val="left"/>
              <w:rPr>
                <w:rFonts w:hint="eastAsia" w:ascii="宋体" w:hAnsi="宋体" w:cs="仿宋_GB2312"/>
                <w:szCs w:val="21"/>
                <w:lang w:eastAsia="zh-CN"/>
              </w:rPr>
            </w:pPr>
            <w:r>
              <w:rPr>
                <w:rFonts w:hint="eastAsia" w:ascii="宋体" w:hAnsi="宋体" w:cs="仿宋_GB2312"/>
                <w:szCs w:val="21"/>
                <w:lang w:eastAsia="zh-CN"/>
              </w:rPr>
              <w:t>联系人：王女士      联系电话：0374—8581622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ascii="宋体" w:hAnsi="宋体" w:cs="黑体"/>
                <w:szCs w:val="21"/>
              </w:rPr>
              <w:t>3</w:t>
            </w:r>
          </w:p>
        </w:tc>
        <w:tc>
          <w:tcPr>
            <w:tcW w:w="2268" w:type="dxa"/>
            <w:vAlign w:val="center"/>
          </w:tcPr>
          <w:p>
            <w:pPr>
              <w:autoSpaceDE w:val="0"/>
              <w:autoSpaceDN w:val="0"/>
              <w:adjustRightInd w:val="0"/>
              <w:spacing w:line="276" w:lineRule="auto"/>
              <w:jc w:val="center"/>
              <w:rPr>
                <w:rFonts w:ascii="宋体" w:cs="仿宋_GB2312"/>
                <w:szCs w:val="21"/>
              </w:rPr>
            </w:pPr>
            <w:r>
              <w:rPr>
                <w:rFonts w:hint="eastAsia" w:ascii="宋体" w:hAnsi="宋体" w:cs="仿宋_GB2312"/>
                <w:szCs w:val="21"/>
              </w:rPr>
              <w:t>代理机构</w:t>
            </w:r>
          </w:p>
        </w:tc>
        <w:tc>
          <w:tcPr>
            <w:tcW w:w="6813" w:type="dxa"/>
            <w:vAlign w:val="center"/>
          </w:tcPr>
          <w:p>
            <w:pPr>
              <w:autoSpaceDE w:val="0"/>
              <w:autoSpaceDN w:val="0"/>
              <w:adjustRightInd w:val="0"/>
              <w:spacing w:line="276" w:lineRule="auto"/>
              <w:jc w:val="left"/>
              <w:rPr>
                <w:rFonts w:hint="eastAsia" w:ascii="宋体" w:hAnsi="宋体" w:cs="仿宋_GB2312"/>
                <w:szCs w:val="21"/>
                <w:lang w:eastAsia="zh-CN"/>
              </w:rPr>
            </w:pPr>
            <w:r>
              <w:rPr>
                <w:rFonts w:hint="eastAsia" w:ascii="宋体" w:hAnsi="宋体" w:cs="仿宋_GB2312"/>
                <w:szCs w:val="21"/>
                <w:lang w:eastAsia="zh-CN"/>
              </w:rPr>
              <w:t>名称：河南永安工程管理有限公司</w:t>
            </w:r>
          </w:p>
          <w:p>
            <w:pPr>
              <w:autoSpaceDE w:val="0"/>
              <w:autoSpaceDN w:val="0"/>
              <w:adjustRightInd w:val="0"/>
              <w:spacing w:line="276" w:lineRule="auto"/>
              <w:jc w:val="left"/>
              <w:rPr>
                <w:rFonts w:hint="eastAsia" w:ascii="宋体" w:hAnsi="宋体" w:cs="仿宋_GB2312"/>
                <w:szCs w:val="21"/>
                <w:lang w:eastAsia="zh-CN"/>
              </w:rPr>
            </w:pPr>
            <w:r>
              <w:rPr>
                <w:rFonts w:hint="eastAsia" w:ascii="宋体" w:hAnsi="宋体" w:cs="仿宋_GB2312"/>
                <w:szCs w:val="21"/>
                <w:lang w:eastAsia="zh-CN"/>
              </w:rPr>
              <w:t>地址：许昌市城乡一体化示范区元鼎国际B座1612</w:t>
            </w:r>
          </w:p>
          <w:p>
            <w:pPr>
              <w:autoSpaceDE w:val="0"/>
              <w:autoSpaceDN w:val="0"/>
              <w:adjustRightInd w:val="0"/>
              <w:spacing w:line="276" w:lineRule="auto"/>
              <w:jc w:val="left"/>
              <w:rPr>
                <w:rFonts w:hint="eastAsia" w:ascii="宋体" w:hAnsi="宋体" w:cs="仿宋_GB2312"/>
                <w:szCs w:val="21"/>
                <w:lang w:eastAsia="zh-CN"/>
              </w:rPr>
            </w:pPr>
            <w:r>
              <w:rPr>
                <w:rFonts w:hint="eastAsia" w:ascii="宋体" w:hAnsi="宋体" w:cs="仿宋_GB2312"/>
                <w:szCs w:val="21"/>
                <w:lang w:eastAsia="zh-CN"/>
              </w:rPr>
              <w:t>联系人：蔡女士      联系电话：0374-8318599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ascii="宋体" w:hAnsi="宋体" w:cs="黑体"/>
                <w:szCs w:val="21"/>
              </w:rPr>
              <w:t>4</w:t>
            </w:r>
          </w:p>
        </w:tc>
        <w:tc>
          <w:tcPr>
            <w:tcW w:w="2268" w:type="dxa"/>
            <w:vAlign w:val="center"/>
          </w:tcPr>
          <w:p>
            <w:pPr>
              <w:autoSpaceDE w:val="0"/>
              <w:autoSpaceDN w:val="0"/>
              <w:adjustRightInd w:val="0"/>
              <w:spacing w:line="276" w:lineRule="auto"/>
              <w:jc w:val="center"/>
              <w:rPr>
                <w:rFonts w:ascii="宋体" w:cs="仿宋_GB2312"/>
                <w:szCs w:val="21"/>
              </w:rPr>
            </w:pPr>
            <w:r>
              <w:rPr>
                <w:rFonts w:hint="eastAsia" w:ascii="宋体" w:hAnsi="宋体" w:cs="微软雅黑"/>
                <w:b/>
                <w:color w:val="FF0000"/>
                <w:szCs w:val="21"/>
              </w:rPr>
              <w:t>★</w:t>
            </w:r>
            <w:r>
              <w:rPr>
                <w:rFonts w:hint="eastAsia" w:ascii="宋体" w:hAnsi="宋体" w:cs="仿宋_GB2312"/>
                <w:szCs w:val="21"/>
              </w:rPr>
              <w:t>投标人资格</w:t>
            </w:r>
          </w:p>
        </w:tc>
        <w:tc>
          <w:tcPr>
            <w:tcW w:w="6813" w:type="dxa"/>
            <w:vAlign w:val="center"/>
          </w:tcPr>
          <w:p>
            <w:pPr>
              <w:autoSpaceDE w:val="0"/>
              <w:autoSpaceDN w:val="0"/>
              <w:adjustRightInd w:val="0"/>
              <w:spacing w:line="360" w:lineRule="auto"/>
              <w:ind w:right="-11"/>
              <w:rPr>
                <w:rFonts w:ascii="宋体" w:cs="宋体"/>
                <w:b/>
                <w:bCs/>
                <w:szCs w:val="21"/>
                <w:lang w:val="zh-CN"/>
              </w:rPr>
            </w:pPr>
            <w:r>
              <w:rPr>
                <w:rFonts w:hint="eastAsia" w:ascii="宋体" w:hAnsi="宋体" w:cs="宋体"/>
                <w:b/>
                <w:bCs/>
                <w:szCs w:val="21"/>
                <w:lang w:val="zh-CN"/>
              </w:rPr>
              <w:t>一、法人或者其他组织的营业执照等证明文件，自然人的身份证明</w:t>
            </w:r>
          </w:p>
          <w:p>
            <w:pPr>
              <w:autoSpaceDE w:val="0"/>
              <w:autoSpaceDN w:val="0"/>
              <w:adjustRightInd w:val="0"/>
              <w:spacing w:line="360" w:lineRule="auto"/>
              <w:ind w:right="-11"/>
              <w:rPr>
                <w:rFonts w:ascii="宋体" w:cs="宋体"/>
                <w:bCs/>
                <w:szCs w:val="21"/>
                <w:lang w:val="zh-CN"/>
              </w:rPr>
            </w:pPr>
            <w:r>
              <w:rPr>
                <w:rFonts w:ascii="宋体" w:hAnsi="宋体" w:cs="宋体"/>
                <w:bCs/>
                <w:szCs w:val="21"/>
                <w:lang w:val="zh-CN"/>
              </w:rPr>
              <w:t>1</w:t>
            </w:r>
            <w:r>
              <w:rPr>
                <w:rFonts w:hint="eastAsia" w:ascii="宋体" w:hAnsi="宋体" w:cs="宋体"/>
                <w:bCs/>
                <w:szCs w:val="21"/>
                <w:lang w:val="zh-CN"/>
              </w:rPr>
              <w:t>、企业法人营业执照或营业执照。（企业投标提供）</w:t>
            </w:r>
          </w:p>
          <w:p>
            <w:pPr>
              <w:autoSpaceDE w:val="0"/>
              <w:autoSpaceDN w:val="0"/>
              <w:adjustRightInd w:val="0"/>
              <w:spacing w:line="360" w:lineRule="auto"/>
              <w:ind w:right="-11"/>
              <w:rPr>
                <w:rFonts w:ascii="宋体" w:cs="宋体"/>
                <w:bCs/>
                <w:szCs w:val="21"/>
                <w:lang w:val="zh-CN"/>
              </w:rPr>
            </w:pPr>
            <w:r>
              <w:rPr>
                <w:rFonts w:ascii="宋体" w:hAnsi="宋体" w:cs="宋体"/>
                <w:bCs/>
                <w:szCs w:val="21"/>
                <w:lang w:val="zh-CN"/>
              </w:rPr>
              <w:t>2</w:t>
            </w:r>
            <w:r>
              <w:rPr>
                <w:rFonts w:hint="eastAsia" w:ascii="宋体" w:hAnsi="宋体" w:cs="宋体"/>
                <w:bCs/>
                <w:szCs w:val="21"/>
                <w:lang w:val="zh-CN"/>
              </w:rPr>
              <w:t>、事业单位法人证书。（事业单位投标提供）</w:t>
            </w:r>
          </w:p>
          <w:p>
            <w:pPr>
              <w:autoSpaceDE w:val="0"/>
              <w:autoSpaceDN w:val="0"/>
              <w:adjustRightInd w:val="0"/>
              <w:spacing w:line="360" w:lineRule="auto"/>
              <w:ind w:right="-11"/>
              <w:rPr>
                <w:rFonts w:ascii="宋体" w:cs="宋体"/>
                <w:bCs/>
                <w:szCs w:val="21"/>
                <w:lang w:val="zh-CN"/>
              </w:rPr>
            </w:pPr>
            <w:r>
              <w:rPr>
                <w:rFonts w:ascii="宋体" w:hAnsi="宋体" w:cs="宋体"/>
                <w:bCs/>
                <w:szCs w:val="21"/>
                <w:lang w:val="zh-CN"/>
              </w:rPr>
              <w:t>3</w:t>
            </w:r>
            <w:r>
              <w:rPr>
                <w:rFonts w:hint="eastAsia" w:ascii="宋体" w:hAnsi="宋体" w:cs="宋体"/>
                <w:bCs/>
                <w:szCs w:val="21"/>
                <w:lang w:val="zh-CN"/>
              </w:rPr>
              <w:t>、执业许可证。（非企业专业服务机构投标提供）</w:t>
            </w:r>
          </w:p>
          <w:p>
            <w:pPr>
              <w:autoSpaceDE w:val="0"/>
              <w:autoSpaceDN w:val="0"/>
              <w:adjustRightInd w:val="0"/>
              <w:spacing w:line="360" w:lineRule="auto"/>
              <w:ind w:right="-11"/>
              <w:rPr>
                <w:rFonts w:ascii="宋体" w:cs="宋体"/>
                <w:bCs/>
                <w:szCs w:val="21"/>
                <w:lang w:val="zh-CN"/>
              </w:rPr>
            </w:pPr>
            <w:r>
              <w:rPr>
                <w:rFonts w:ascii="宋体" w:hAnsi="宋体" w:cs="宋体"/>
                <w:bCs/>
                <w:szCs w:val="21"/>
                <w:lang w:val="zh-CN"/>
              </w:rPr>
              <w:t>4</w:t>
            </w:r>
            <w:r>
              <w:rPr>
                <w:rFonts w:hint="eastAsia" w:ascii="宋体" w:hAnsi="宋体" w:cs="宋体"/>
                <w:bCs/>
                <w:szCs w:val="21"/>
                <w:lang w:val="zh-CN"/>
              </w:rPr>
              <w:t>、个体工商户营业执照。（个体工商户投标提供）</w:t>
            </w:r>
          </w:p>
          <w:p>
            <w:pPr>
              <w:autoSpaceDE w:val="0"/>
              <w:autoSpaceDN w:val="0"/>
              <w:adjustRightInd w:val="0"/>
              <w:spacing w:line="360" w:lineRule="auto"/>
              <w:jc w:val="left"/>
              <w:rPr>
                <w:rFonts w:ascii="宋体" w:cs="宋体"/>
                <w:bCs/>
                <w:szCs w:val="21"/>
                <w:lang w:val="zh-CN"/>
              </w:rPr>
            </w:pPr>
            <w:r>
              <w:rPr>
                <w:rFonts w:ascii="宋体" w:hAnsi="宋体" w:cs="宋体"/>
                <w:bCs/>
                <w:szCs w:val="21"/>
                <w:lang w:val="zh-CN"/>
              </w:rPr>
              <w:t>5</w:t>
            </w:r>
            <w:r>
              <w:rPr>
                <w:rFonts w:hint="eastAsia" w:ascii="宋体" w:hAnsi="宋体" w:cs="宋体"/>
                <w:bCs/>
                <w:szCs w:val="21"/>
                <w:lang w:val="zh-CN"/>
              </w:rPr>
              <w:t>、自然人身份证明。（自然人投标提供）</w:t>
            </w:r>
          </w:p>
          <w:p>
            <w:pPr>
              <w:autoSpaceDE w:val="0"/>
              <w:autoSpaceDN w:val="0"/>
              <w:adjustRightInd w:val="0"/>
              <w:spacing w:line="360" w:lineRule="auto"/>
              <w:jc w:val="left"/>
              <w:rPr>
                <w:rFonts w:ascii="宋体" w:cs="宋体"/>
                <w:bCs/>
                <w:szCs w:val="21"/>
                <w:lang w:val="zh-CN"/>
              </w:rPr>
            </w:pPr>
            <w:r>
              <w:rPr>
                <w:rFonts w:ascii="宋体" w:hAnsi="宋体" w:cs="宋体"/>
                <w:bCs/>
                <w:szCs w:val="21"/>
                <w:lang w:val="zh-CN"/>
              </w:rPr>
              <w:t>6</w:t>
            </w:r>
            <w:r>
              <w:rPr>
                <w:rFonts w:hint="eastAsia" w:ascii="宋体" w:hAnsi="宋体" w:cs="宋体"/>
                <w:bCs/>
                <w:szCs w:val="21"/>
                <w:lang w:val="zh-CN"/>
              </w:rPr>
              <w:t>、民办非企业单位登记证书。（民办非企业单位投标提供）</w:t>
            </w:r>
          </w:p>
          <w:p>
            <w:pPr>
              <w:autoSpaceDE w:val="0"/>
              <w:autoSpaceDN w:val="0"/>
              <w:adjustRightInd w:val="0"/>
              <w:spacing w:line="360" w:lineRule="auto"/>
              <w:jc w:val="left"/>
              <w:rPr>
                <w:rFonts w:ascii="宋体" w:cs="仿宋_GB2312"/>
                <w:b/>
                <w:szCs w:val="21"/>
              </w:rPr>
            </w:pPr>
            <w:r>
              <w:rPr>
                <w:rFonts w:hint="eastAsia" w:ascii="宋体" w:hAnsi="宋体" w:cs="仿宋_GB2312"/>
                <w:b/>
                <w:szCs w:val="21"/>
              </w:rPr>
              <w:t>二、财务状况报告相关材料</w:t>
            </w:r>
          </w:p>
          <w:p>
            <w:pPr>
              <w:spacing w:line="360" w:lineRule="auto"/>
              <w:rPr>
                <w:rFonts w:ascii="宋体"/>
                <w:bCs/>
                <w:szCs w:val="21"/>
              </w:rPr>
            </w:pPr>
            <w:r>
              <w:rPr>
                <w:rFonts w:ascii="宋体" w:hAnsi="宋体"/>
                <w:bCs/>
                <w:szCs w:val="21"/>
              </w:rPr>
              <w:t>1</w:t>
            </w:r>
            <w:r>
              <w:rPr>
                <w:rFonts w:hint="eastAsia" w:ascii="宋体" w:hAnsi="宋体"/>
                <w:bCs/>
                <w:szCs w:val="21"/>
              </w:rPr>
              <w:t>、投标人是法人（法人包括企业法人、机关法人、事业单位法人和社会团体法人），提供本单位：</w:t>
            </w:r>
          </w:p>
          <w:p>
            <w:pPr>
              <w:spacing w:line="360" w:lineRule="auto"/>
              <w:rPr>
                <w:rFonts w:ascii="宋体"/>
                <w:bCs/>
                <w:szCs w:val="21"/>
              </w:rPr>
            </w:pPr>
            <w:r>
              <w:rPr>
                <w:rFonts w:hint="eastAsia" w:ascii="宋体" w:hAnsi="宋体"/>
                <w:bCs/>
                <w:szCs w:val="21"/>
              </w:rPr>
              <w:t>①</w:t>
            </w:r>
            <w:r>
              <w:rPr>
                <w:rFonts w:ascii="宋体" w:hAnsi="宋体"/>
                <w:bCs/>
                <w:szCs w:val="21"/>
              </w:rPr>
              <w:t>2018</w:t>
            </w:r>
            <w:r>
              <w:rPr>
                <w:rFonts w:hint="eastAsia" w:ascii="宋体" w:hAnsi="宋体"/>
                <w:bCs/>
                <w:szCs w:val="21"/>
              </w:rPr>
              <w:t>年度经审计的财务报告，包括资产负债表、利润表、现金流量表、所有者权益变动表及其附注；</w:t>
            </w:r>
          </w:p>
          <w:p>
            <w:pPr>
              <w:spacing w:line="360" w:lineRule="auto"/>
              <w:rPr>
                <w:rFonts w:ascii="宋体"/>
                <w:bCs/>
                <w:szCs w:val="21"/>
              </w:rPr>
            </w:pPr>
            <w:r>
              <w:rPr>
                <w:rFonts w:hint="eastAsia" w:ascii="宋体" w:hAnsi="宋体"/>
                <w:bCs/>
                <w:szCs w:val="21"/>
              </w:rPr>
              <w:t>②基本开户银行出具的资信证明；</w:t>
            </w:r>
          </w:p>
          <w:p>
            <w:pPr>
              <w:spacing w:line="360" w:lineRule="auto"/>
              <w:rPr>
                <w:rFonts w:ascii="宋体"/>
                <w:bCs/>
                <w:szCs w:val="21"/>
              </w:rPr>
            </w:pPr>
            <w:r>
              <w:rPr>
                <w:rFonts w:hint="eastAsia" w:ascii="宋体" w:hAnsi="宋体"/>
                <w:bCs/>
                <w:szCs w:val="21"/>
              </w:rPr>
              <w:t>③财政部门认可的政府采购专业担保机构的证明文件和担保机构出具的投标担保函。</w:t>
            </w:r>
          </w:p>
          <w:p>
            <w:pPr>
              <w:spacing w:line="360" w:lineRule="auto"/>
              <w:rPr>
                <w:rFonts w:ascii="宋体"/>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宋体"/>
                <w:bCs/>
                <w:szCs w:val="21"/>
              </w:rPr>
            </w:pPr>
            <w:r>
              <w:rPr>
                <w:rFonts w:ascii="宋体" w:hAnsi="宋体"/>
                <w:bCs/>
                <w:szCs w:val="21"/>
              </w:rPr>
              <w:t>2</w:t>
            </w:r>
            <w:r>
              <w:rPr>
                <w:rFonts w:hint="eastAsia" w:ascii="宋体" w:hAnsi="宋体"/>
                <w:bCs/>
                <w:szCs w:val="21"/>
              </w:rPr>
              <w:t>、投标人（其他组织和自然人）提供本单位：</w:t>
            </w:r>
          </w:p>
          <w:p>
            <w:pPr>
              <w:spacing w:line="360" w:lineRule="auto"/>
              <w:rPr>
                <w:rFonts w:ascii="宋体"/>
                <w:bCs/>
                <w:szCs w:val="21"/>
              </w:rPr>
            </w:pPr>
            <w:r>
              <w:rPr>
                <w:rFonts w:hint="eastAsia" w:ascii="宋体" w:hAnsi="宋体"/>
                <w:bCs/>
                <w:szCs w:val="21"/>
              </w:rPr>
              <w:t>①</w:t>
            </w:r>
            <w:r>
              <w:rPr>
                <w:rFonts w:ascii="宋体" w:hAnsi="宋体"/>
                <w:bCs/>
                <w:szCs w:val="21"/>
              </w:rPr>
              <w:t>2018</w:t>
            </w:r>
            <w:r>
              <w:rPr>
                <w:rFonts w:hint="eastAsia" w:ascii="宋体" w:hAnsi="宋体"/>
                <w:bCs/>
                <w:szCs w:val="21"/>
              </w:rPr>
              <w:t>年度经审计的财务报告，包括资产负债表、利润表、现金流量表、所有者权益变动表及其附注；</w:t>
            </w:r>
          </w:p>
          <w:p>
            <w:pPr>
              <w:spacing w:line="360" w:lineRule="auto"/>
              <w:rPr>
                <w:rFonts w:ascii="宋体"/>
                <w:bCs/>
                <w:szCs w:val="21"/>
              </w:rPr>
            </w:pPr>
            <w:r>
              <w:rPr>
                <w:rFonts w:hint="eastAsia" w:ascii="宋体" w:hAnsi="宋体"/>
                <w:bCs/>
                <w:szCs w:val="21"/>
              </w:rPr>
              <w:t>②银行出具的资信证明；</w:t>
            </w:r>
          </w:p>
          <w:p>
            <w:pPr>
              <w:spacing w:line="360" w:lineRule="auto"/>
              <w:rPr>
                <w:rFonts w:ascii="宋体"/>
                <w:bCs/>
                <w:szCs w:val="21"/>
              </w:rPr>
            </w:pPr>
            <w:r>
              <w:rPr>
                <w:rFonts w:hint="eastAsia" w:ascii="宋体" w:hAnsi="宋体"/>
                <w:bCs/>
                <w:szCs w:val="21"/>
              </w:rPr>
              <w:t>③财政部门认可的政府采购专业担保机构的证明文件和担保机构出具的投标担保函。</w:t>
            </w:r>
          </w:p>
          <w:p>
            <w:pPr>
              <w:autoSpaceDE w:val="0"/>
              <w:autoSpaceDN w:val="0"/>
              <w:adjustRightInd w:val="0"/>
              <w:spacing w:line="360" w:lineRule="auto"/>
              <w:ind w:right="-11"/>
              <w:rPr>
                <w:rFonts w:ascii="宋体" w:cs="宋体"/>
                <w:bCs/>
                <w:szCs w:val="21"/>
                <w:lang w:val="zh-CN"/>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autoSpaceDE w:val="0"/>
              <w:autoSpaceDN w:val="0"/>
              <w:adjustRightInd w:val="0"/>
              <w:spacing w:line="360" w:lineRule="auto"/>
              <w:ind w:right="-11"/>
              <w:rPr>
                <w:rFonts w:ascii="宋体" w:cs="宋体"/>
                <w:bCs/>
                <w:szCs w:val="21"/>
                <w:lang w:val="zh-CN"/>
              </w:rPr>
            </w:pPr>
            <w:r>
              <w:rPr>
                <w:rFonts w:hint="eastAsia" w:ascii="宋体" w:hAnsi="宋体" w:cs="仿宋_GB2312"/>
                <w:b/>
                <w:szCs w:val="21"/>
              </w:rPr>
              <w:t>三、依法缴纳税收相关材料</w:t>
            </w:r>
          </w:p>
          <w:p>
            <w:pPr>
              <w:autoSpaceDE w:val="0"/>
              <w:autoSpaceDN w:val="0"/>
              <w:adjustRightInd w:val="0"/>
              <w:spacing w:line="360" w:lineRule="auto"/>
              <w:ind w:right="-11"/>
              <w:rPr>
                <w:rFonts w:ascii="宋体" w:cs="宋体"/>
                <w:bCs/>
                <w:szCs w:val="21"/>
                <w:lang w:val="zh-CN"/>
              </w:rPr>
            </w:pPr>
            <w:r>
              <w:rPr>
                <w:rFonts w:hint="eastAsia" w:ascii="宋体" w:hAnsi="宋体" w:cs="宋体"/>
                <w:bCs/>
                <w:szCs w:val="21"/>
                <w:lang w:val="zh-CN"/>
              </w:rPr>
              <w:t>参加本次政府采购项目投标截止时间前六个月内任意一个月缴纳税收凭据。（依法免税的投标人，应提供相应文件证明依法免税）</w:t>
            </w:r>
          </w:p>
          <w:p>
            <w:pPr>
              <w:autoSpaceDE w:val="0"/>
              <w:autoSpaceDN w:val="0"/>
              <w:adjustRightInd w:val="0"/>
              <w:spacing w:line="360" w:lineRule="auto"/>
              <w:ind w:right="-11"/>
              <w:rPr>
                <w:rFonts w:ascii="宋体" w:cs="宋体"/>
                <w:b/>
                <w:bCs/>
                <w:szCs w:val="21"/>
                <w:lang w:val="zh-CN"/>
              </w:rPr>
            </w:pPr>
            <w:r>
              <w:rPr>
                <w:rFonts w:hint="eastAsia" w:ascii="宋体" w:hAnsi="宋体" w:cs="宋体"/>
                <w:b/>
                <w:bCs/>
                <w:szCs w:val="21"/>
                <w:lang w:val="zh-CN"/>
              </w:rPr>
              <w:t>四、依法缴纳社会保障资金的证明材料</w:t>
            </w:r>
          </w:p>
          <w:p>
            <w:pPr>
              <w:autoSpaceDE w:val="0"/>
              <w:autoSpaceDN w:val="0"/>
              <w:adjustRightInd w:val="0"/>
              <w:spacing w:line="360" w:lineRule="auto"/>
              <w:ind w:right="-11"/>
              <w:rPr>
                <w:rFonts w:ascii="宋体" w:cs="宋体"/>
                <w:bCs/>
                <w:szCs w:val="21"/>
                <w:lang w:val="zh-CN"/>
              </w:rPr>
            </w:pPr>
            <w:r>
              <w:rPr>
                <w:rFonts w:hint="eastAsia" w:ascii="宋体" w:hAnsi="宋体" w:cs="宋体"/>
                <w:bCs/>
                <w:szCs w:val="21"/>
                <w:lang w:val="zh-CN"/>
              </w:rPr>
              <w:t>参加本次政府采购项目投标截止时间前六个月内任意一个月缴纳社会保险凭据。（依法不需要缴纳社会保障资金的投标人，应提供相应文件证明依法不需要缴纳社会保障资金）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ascii="宋体" w:cs="宋体"/>
                <w:b/>
                <w:bCs/>
                <w:szCs w:val="21"/>
                <w:lang w:val="zh-CN"/>
              </w:rPr>
            </w:pPr>
            <w:r>
              <w:rPr>
                <w:rFonts w:hint="eastAsia" w:ascii="宋体" w:hAnsi="宋体" w:cs="宋体"/>
                <w:b/>
                <w:bCs/>
                <w:szCs w:val="21"/>
                <w:lang w:val="zh-CN"/>
              </w:rPr>
              <w:t>五、履行合同所必须的设备和专业技术能力的证明材料</w:t>
            </w:r>
          </w:p>
          <w:p>
            <w:pPr>
              <w:autoSpaceDE w:val="0"/>
              <w:autoSpaceDN w:val="0"/>
              <w:adjustRightInd w:val="0"/>
              <w:spacing w:line="360" w:lineRule="auto"/>
              <w:jc w:val="left"/>
              <w:rPr>
                <w:rFonts w:ascii="宋体" w:cs="宋体"/>
                <w:bCs/>
                <w:szCs w:val="21"/>
                <w:lang w:val="zh-CN"/>
              </w:rPr>
            </w:pPr>
            <w:r>
              <w:rPr>
                <w:rFonts w:ascii="宋体" w:hAnsi="宋体" w:cs="宋体"/>
                <w:bCs/>
                <w:szCs w:val="21"/>
                <w:lang w:val="zh-CN"/>
              </w:rPr>
              <w:t>1</w:t>
            </w:r>
            <w:r>
              <w:rPr>
                <w:rFonts w:hint="eastAsia" w:ascii="宋体" w:hAnsi="宋体" w:cs="宋体"/>
                <w:bCs/>
                <w:szCs w:val="21"/>
                <w:lang w:val="zh-CN"/>
              </w:rPr>
              <w:t>、相关设备的购置发票、专业技术人员职称证书、用工合同等；</w:t>
            </w:r>
          </w:p>
          <w:p>
            <w:pPr>
              <w:spacing w:line="360" w:lineRule="auto"/>
              <w:rPr>
                <w:rFonts w:ascii="宋体"/>
                <w:bCs/>
                <w:szCs w:val="21"/>
              </w:rPr>
            </w:pPr>
            <w:r>
              <w:rPr>
                <w:rFonts w:ascii="宋体" w:hAnsi="宋体"/>
                <w:bCs/>
                <w:szCs w:val="21"/>
              </w:rPr>
              <w:t>2</w:t>
            </w:r>
            <w:r>
              <w:rPr>
                <w:rFonts w:hint="eastAsia" w:ascii="宋体" w:hAnsi="宋体"/>
                <w:bCs/>
                <w:szCs w:val="21"/>
              </w:rPr>
              <w:t>、投标人具备履行合同所必须的设备和专业技术能力承诺函或声明（承诺函或声明格式自拟）。</w:t>
            </w:r>
          </w:p>
          <w:p>
            <w:pPr>
              <w:autoSpaceDE w:val="0"/>
              <w:autoSpaceDN w:val="0"/>
              <w:adjustRightInd w:val="0"/>
              <w:spacing w:line="360" w:lineRule="auto"/>
              <w:ind w:right="-11"/>
              <w:rPr>
                <w:rFonts w:ascii="楷体" w:hAnsi="楷体" w:eastAsia="楷体"/>
                <w:color w:val="000000"/>
                <w:sz w:val="24"/>
                <w:szCs w:val="24"/>
              </w:rPr>
            </w:pPr>
            <w:r>
              <w:rPr>
                <w:rFonts w:hint="eastAsia" w:ascii="楷体" w:hAnsi="楷体" w:eastAsia="楷体" w:cs="仿宋_GB2312"/>
                <w:sz w:val="24"/>
                <w:szCs w:val="24"/>
                <w:lang w:val="zh-CN"/>
              </w:rPr>
              <w:t>注：仅需提供序号</w:t>
            </w:r>
            <w:r>
              <w:rPr>
                <w:rFonts w:ascii="楷体" w:hAnsi="楷体" w:eastAsia="楷体"/>
                <w:color w:val="000000"/>
                <w:sz w:val="24"/>
                <w:szCs w:val="24"/>
              </w:rPr>
              <w:t>1</w:t>
            </w:r>
            <w:r>
              <w:rPr>
                <w:rFonts w:hint="eastAsia" w:ascii="楷体" w:hAnsi="楷体" w:eastAsia="楷体"/>
                <w:color w:val="000000"/>
                <w:sz w:val="24"/>
                <w:szCs w:val="24"/>
              </w:rPr>
              <w:t>～</w:t>
            </w:r>
            <w:r>
              <w:rPr>
                <w:rFonts w:ascii="楷体" w:hAnsi="楷体" w:eastAsia="楷体"/>
                <w:color w:val="000000"/>
                <w:sz w:val="24"/>
                <w:szCs w:val="24"/>
              </w:rPr>
              <w:t>2</w:t>
            </w:r>
            <w:r>
              <w:rPr>
                <w:rFonts w:hint="eastAsia" w:ascii="楷体" w:hAnsi="楷体" w:eastAsia="楷体"/>
                <w:color w:val="000000"/>
                <w:sz w:val="24"/>
                <w:szCs w:val="24"/>
              </w:rPr>
              <w:t>其中之一即可。</w:t>
            </w:r>
          </w:p>
          <w:p>
            <w:pPr>
              <w:autoSpaceDE w:val="0"/>
              <w:autoSpaceDN w:val="0"/>
              <w:adjustRightInd w:val="0"/>
              <w:spacing w:line="360" w:lineRule="auto"/>
              <w:ind w:right="-11"/>
              <w:rPr>
                <w:rFonts w:ascii="宋体" w:cs="宋体"/>
                <w:b/>
                <w:bCs/>
                <w:szCs w:val="21"/>
                <w:lang w:val="zh-CN"/>
              </w:rPr>
            </w:pPr>
            <w:r>
              <w:rPr>
                <w:rFonts w:hint="eastAsia" w:ascii="宋体" w:hAnsi="宋体" w:cs="宋体"/>
                <w:b/>
                <w:kern w:val="0"/>
                <w:szCs w:val="21"/>
              </w:rPr>
              <w:t>六、</w:t>
            </w:r>
            <w:r>
              <w:rPr>
                <w:rFonts w:hint="eastAsia" w:ascii="宋体" w:hAnsi="宋体" w:cs="宋体"/>
                <w:b/>
                <w:bCs/>
                <w:szCs w:val="21"/>
                <w:lang w:val="zh-CN"/>
              </w:rPr>
              <w:t>参加政府采购活动前</w:t>
            </w:r>
            <w:r>
              <w:rPr>
                <w:rFonts w:ascii="宋体" w:hAnsi="宋体" w:cs="宋体"/>
                <w:b/>
                <w:bCs/>
                <w:szCs w:val="21"/>
                <w:lang w:val="zh-CN"/>
              </w:rPr>
              <w:t>3</w:t>
            </w:r>
            <w:r>
              <w:rPr>
                <w:rFonts w:hint="eastAsia" w:ascii="宋体" w:hAnsi="宋体" w:cs="宋体"/>
                <w:b/>
                <w:bCs/>
                <w:szCs w:val="21"/>
                <w:lang w:val="zh-CN"/>
              </w:rPr>
              <w:t>年内在经营活动中没有重大违法记录的声明</w:t>
            </w:r>
          </w:p>
          <w:p>
            <w:pPr>
              <w:autoSpaceDE w:val="0"/>
              <w:autoSpaceDN w:val="0"/>
              <w:spacing w:line="360" w:lineRule="auto"/>
              <w:contextualSpacing/>
              <w:jc w:val="left"/>
              <w:rPr>
                <w:rFonts w:ascii="宋体" w:cs="宋体"/>
                <w:bCs/>
                <w:szCs w:val="21"/>
                <w:lang w:val="zh-CN"/>
              </w:rPr>
            </w:pPr>
            <w:r>
              <w:rPr>
                <w:rFonts w:hint="eastAsia" w:ascii="宋体" w:hAnsi="宋体" w:cs="宋体"/>
                <w:bCs/>
                <w:szCs w:val="21"/>
                <w:lang w:val="zh-CN"/>
              </w:rPr>
              <w:t>投标人“参加政府采购活动前</w:t>
            </w:r>
            <w:r>
              <w:rPr>
                <w:rFonts w:ascii="宋体" w:hAnsi="宋体" w:cs="宋体"/>
                <w:bCs/>
                <w:szCs w:val="21"/>
                <w:lang w:val="zh-CN"/>
              </w:rPr>
              <w:t>3</w:t>
            </w:r>
            <w:r>
              <w:rPr>
                <w:rFonts w:hint="eastAsia" w:ascii="宋体" w:hAnsi="宋体" w:cs="宋体"/>
                <w:bCs/>
                <w:szCs w:val="21"/>
                <w:lang w:val="zh-CN"/>
              </w:rPr>
              <w:t>年内在经营活动中没有重大违法记录的书面声明”。</w:t>
            </w:r>
            <w:r>
              <w:rPr>
                <w:rFonts w:ascii="宋体" w:hAnsi="宋体" w:cs="宋体"/>
                <w:bCs/>
                <w:szCs w:val="21"/>
                <w:lang w:val="zh-CN"/>
              </w:rPr>
              <w:t xml:space="preserve"> </w:t>
            </w:r>
            <w:r>
              <w:rPr>
                <w:rFonts w:hint="eastAsia" w:ascii="宋体" w:hAnsi="宋体" w:cs="宋体"/>
                <w:bCs/>
                <w:szCs w:val="21"/>
                <w:lang w:val="zh-CN"/>
              </w:rPr>
              <w:t>重大违法记录，是指投标人因违法经营受到刑事处罚或者责令停产停业、吊销许可证或者执照、较大数额罚款等行政处罚。</w:t>
            </w:r>
          </w:p>
          <w:p>
            <w:pPr>
              <w:wordWrap w:val="0"/>
              <w:autoSpaceDE w:val="0"/>
              <w:autoSpaceDN w:val="0"/>
              <w:spacing w:line="360" w:lineRule="auto"/>
              <w:contextualSpacing/>
              <w:jc w:val="left"/>
              <w:rPr>
                <w:rFonts w:ascii="宋体" w:cs="宋体"/>
                <w:kern w:val="0"/>
                <w:szCs w:val="21"/>
              </w:rPr>
            </w:pPr>
            <w:r>
              <w:rPr>
                <w:rFonts w:hint="eastAsia" w:ascii="宋体" w:hAnsi="宋体" w:cs="宋体"/>
                <w:b/>
                <w:bCs/>
                <w:szCs w:val="21"/>
                <w:lang w:val="zh-CN"/>
              </w:rPr>
              <w:t>七、</w:t>
            </w:r>
            <w:r>
              <w:rPr>
                <w:rFonts w:hint="eastAsia" w:ascii="宋体" w:hAnsi="宋体" w:cs="仿宋_GB2312"/>
                <w:b/>
                <w:color w:val="000000"/>
                <w:szCs w:val="21"/>
                <w:shd w:val="clear" w:color="auto" w:fill="FFFFFF"/>
              </w:rPr>
              <w:t>未被列入“信用中国”网站</w:t>
            </w:r>
            <w:r>
              <w:rPr>
                <w:rFonts w:ascii="宋体" w:hAnsi="宋体" w:cs="仿宋_GB2312"/>
                <w:b/>
                <w:color w:val="000000"/>
                <w:szCs w:val="21"/>
                <w:shd w:val="clear" w:color="auto" w:fill="FFFFFF"/>
              </w:rPr>
              <w:t>(www.creditchina.gov.cn)</w:t>
            </w:r>
            <w:r>
              <w:rPr>
                <w:rFonts w:hint="eastAsia" w:ascii="宋体" w:hAnsi="宋体" w:cs="仿宋_GB2312"/>
                <w:b/>
                <w:color w:val="000000"/>
                <w:szCs w:val="21"/>
                <w:shd w:val="clear" w:color="auto" w:fill="FFFFFF"/>
              </w:rPr>
              <w:t>失信被执行人、重大税收违法案件当事人名单的投标人；“中国政府采购网”</w:t>
            </w:r>
            <w:r>
              <w:rPr>
                <w:rFonts w:ascii="宋体" w:hAnsi="宋体" w:cs="仿宋_GB2312"/>
                <w:b/>
                <w:color w:val="000000"/>
                <w:szCs w:val="21"/>
                <w:shd w:val="clear" w:color="auto" w:fill="FFFFFF"/>
              </w:rPr>
              <w:t xml:space="preserve"> (www.ccgp.gov.cn)</w:t>
            </w:r>
            <w:r>
              <w:rPr>
                <w:rFonts w:hint="eastAsia" w:ascii="宋体" w:hAnsi="宋体" w:cs="仿宋_GB2312"/>
                <w:b/>
                <w:color w:val="000000"/>
                <w:szCs w:val="21"/>
                <w:shd w:val="clear" w:color="auto" w:fill="FFFFFF"/>
              </w:rPr>
              <w:t>政府采购严重违法失信行为记录名单的投标人</w:t>
            </w:r>
            <w:r>
              <w:rPr>
                <w:rFonts w:hint="eastAsia" w:ascii="宋体" w:hAnsi="宋体" w:cs="宋体"/>
                <w:b/>
                <w:bCs/>
                <w:szCs w:val="21"/>
                <w:lang w:val="zh-CN"/>
              </w:rPr>
              <w:t>；</w:t>
            </w:r>
            <w:r>
              <w:rPr>
                <w:rFonts w:hint="eastAsia" w:ascii="宋体" w:hAnsi="宋体" w:cs="仿宋_GB2312"/>
                <w:b/>
                <w:color w:val="000000"/>
                <w:szCs w:val="21"/>
                <w:shd w:val="clear" w:color="auto" w:fill="FFFFFF"/>
              </w:rPr>
              <w:t>“中国社会组织公共服务平台”网站（</w:t>
            </w:r>
            <w:r>
              <w:rPr>
                <w:rFonts w:ascii="宋体" w:hAnsi="宋体" w:cs="仿宋_GB2312"/>
                <w:b/>
                <w:color w:val="000000"/>
                <w:szCs w:val="21"/>
                <w:shd w:val="clear" w:color="auto" w:fill="FFFFFF"/>
              </w:rPr>
              <w:t>www.chinanpo.gov.cn</w:t>
            </w:r>
            <w:r>
              <w:rPr>
                <w:rFonts w:hint="eastAsia" w:ascii="宋体" w:hAnsi="宋体" w:cs="仿宋_GB2312"/>
                <w:b/>
                <w:color w:val="000000"/>
                <w:szCs w:val="21"/>
                <w:shd w:val="clear" w:color="auto" w:fill="FFFFFF"/>
              </w:rPr>
              <w:t>）严重违法失信社会组织名单的投标人（</w:t>
            </w:r>
            <w:r>
              <w:rPr>
                <w:rFonts w:hint="eastAsia" w:ascii="宋体" w:hAnsi="宋体" w:cs="宋体"/>
                <w:kern w:val="0"/>
                <w:szCs w:val="21"/>
              </w:rPr>
              <w:t>联合体形式投标的，联合体成员存在不良信用记录，视同联合体存在不良信用记录）。</w:t>
            </w:r>
          </w:p>
          <w:p>
            <w:pPr>
              <w:spacing w:line="360" w:lineRule="auto"/>
              <w:rPr>
                <w:rFonts w:ascii="宋体" w:cs="宋体"/>
                <w:kern w:val="0"/>
                <w:szCs w:val="21"/>
              </w:rPr>
            </w:pPr>
            <w:r>
              <w:rPr>
                <w:rFonts w:ascii="宋体" w:hAnsi="宋体" w:cs="宋体"/>
                <w:kern w:val="0"/>
                <w:szCs w:val="21"/>
              </w:rPr>
              <w:t>1</w:t>
            </w:r>
            <w:r>
              <w:rPr>
                <w:rFonts w:hint="eastAsia" w:ascii="宋体" w:hAnsi="宋体" w:cs="宋体"/>
                <w:kern w:val="0"/>
                <w:szCs w:val="21"/>
              </w:rPr>
              <w:t>、查询渠道：</w:t>
            </w:r>
          </w:p>
          <w:p>
            <w:pPr>
              <w:spacing w:line="360" w:lineRule="auto"/>
              <w:rPr>
                <w:rFonts w:ascii="宋体" w:cs="宋体"/>
                <w:kern w:val="0"/>
                <w:szCs w:val="21"/>
              </w:rPr>
            </w:pPr>
            <w:r>
              <w:rPr>
                <w:rFonts w:hint="eastAsia" w:ascii="宋体" w:hAnsi="宋体" w:cs="宋体"/>
                <w:kern w:val="0"/>
                <w:szCs w:val="21"/>
              </w:rPr>
              <w:t>①“信用中国”网站（</w:t>
            </w:r>
            <w:r>
              <w:fldChar w:fldCharType="begin"/>
            </w:r>
            <w:r>
              <w:instrText xml:space="preserve"> HYPERLINK "http://www.creditchina.gov.cn" </w:instrText>
            </w:r>
            <w:r>
              <w:fldChar w:fldCharType="separate"/>
            </w:r>
            <w:r>
              <w:rPr>
                <w:rFonts w:cs="宋体"/>
                <w:kern w:val="0"/>
              </w:rPr>
              <w:t>www.creditchina.gov.cn</w:t>
            </w:r>
            <w:r>
              <w:rPr>
                <w:rFonts w:cs="宋体"/>
                <w:kern w:val="0"/>
              </w:rPr>
              <w:fldChar w:fldCharType="end"/>
            </w:r>
            <w:r>
              <w:rPr>
                <w:rFonts w:hint="eastAsia" w:ascii="宋体" w:hAnsi="宋体" w:cs="宋体"/>
                <w:kern w:val="0"/>
                <w:szCs w:val="21"/>
              </w:rPr>
              <w:t>）</w:t>
            </w:r>
          </w:p>
          <w:p>
            <w:pPr>
              <w:spacing w:line="360" w:lineRule="auto"/>
              <w:rPr>
                <w:rFonts w:ascii="宋体" w:cs="宋体"/>
                <w:kern w:val="0"/>
                <w:szCs w:val="21"/>
              </w:rPr>
            </w:pPr>
            <w:r>
              <w:rPr>
                <w:rFonts w:hint="eastAsia" w:ascii="宋体" w:hAnsi="宋体" w:cs="宋体"/>
                <w:kern w:val="0"/>
                <w:szCs w:val="21"/>
              </w:rPr>
              <w:t>②“中国政府采购网”（</w:t>
            </w:r>
            <w:r>
              <w:rPr>
                <w:rFonts w:ascii="宋体" w:hAnsi="宋体" w:cs="宋体"/>
                <w:kern w:val="0"/>
                <w:szCs w:val="21"/>
              </w:rPr>
              <w:t>www.ccgp.gov.cn</w:t>
            </w:r>
            <w:r>
              <w:rPr>
                <w:rFonts w:hint="eastAsia" w:ascii="宋体" w:hAnsi="宋体" w:cs="宋体"/>
                <w:kern w:val="0"/>
                <w:szCs w:val="21"/>
              </w:rPr>
              <w:t>）</w:t>
            </w:r>
          </w:p>
          <w:p>
            <w:pPr>
              <w:spacing w:line="360" w:lineRule="auto"/>
              <w:rPr>
                <w:rFonts w:ascii="宋体" w:cs="宋体"/>
                <w:kern w:val="0"/>
                <w:szCs w:val="21"/>
              </w:rPr>
            </w:pPr>
            <w:r>
              <w:rPr>
                <w:rFonts w:hint="eastAsia" w:ascii="宋体" w:hAnsi="宋体" w:cs="宋体"/>
                <w:kern w:val="0"/>
                <w:szCs w:val="21"/>
              </w:rPr>
              <w:t>③“中国社会组织公共服务平台”网站（</w:t>
            </w:r>
            <w:r>
              <w:rPr>
                <w:rFonts w:ascii="宋体" w:hAnsi="宋体" w:cs="宋体"/>
                <w:kern w:val="0"/>
                <w:szCs w:val="21"/>
              </w:rPr>
              <w:t>www.chinanpo.gov.cn</w:t>
            </w:r>
            <w:r>
              <w:rPr>
                <w:rFonts w:hint="eastAsia" w:ascii="宋体" w:hAnsi="宋体" w:cs="宋体"/>
                <w:kern w:val="0"/>
                <w:szCs w:val="21"/>
              </w:rPr>
              <w:t>）（仅查询社会组织）；</w:t>
            </w:r>
          </w:p>
          <w:p>
            <w:pPr>
              <w:autoSpaceDE w:val="0"/>
              <w:autoSpaceDN w:val="0"/>
              <w:spacing w:line="360" w:lineRule="auto"/>
              <w:contextualSpacing/>
              <w:rPr>
                <w:rFonts w:ascii="宋体" w:cs="宋体"/>
                <w:kern w:val="0"/>
                <w:szCs w:val="21"/>
              </w:rPr>
            </w:pPr>
            <w:r>
              <w:rPr>
                <w:rFonts w:ascii="宋体" w:hAnsi="宋体" w:cs="宋体"/>
                <w:kern w:val="0"/>
                <w:szCs w:val="21"/>
              </w:rPr>
              <w:t>2</w:t>
            </w:r>
            <w:r>
              <w:rPr>
                <w:rFonts w:hint="eastAsia" w:ascii="宋体" w:hAnsi="宋体" w:cs="宋体"/>
                <w:kern w:val="0"/>
                <w:szCs w:val="21"/>
              </w:rPr>
              <w:t>、截止时间：同投标截止时间；</w:t>
            </w:r>
          </w:p>
          <w:p>
            <w:pPr>
              <w:autoSpaceDE w:val="0"/>
              <w:autoSpaceDN w:val="0"/>
              <w:spacing w:line="360" w:lineRule="auto"/>
              <w:contextualSpacing/>
              <w:rPr>
                <w:rFonts w:ascii="宋体" w:cs="宋体"/>
                <w:kern w:val="0"/>
                <w:szCs w:val="21"/>
              </w:rPr>
            </w:pPr>
            <w:r>
              <w:rPr>
                <w:rFonts w:ascii="宋体" w:hAnsi="宋体" w:cs="宋体"/>
                <w:kern w:val="0"/>
                <w:szCs w:val="21"/>
              </w:rPr>
              <w:t>3</w:t>
            </w:r>
            <w:r>
              <w:rPr>
                <w:rFonts w:hint="eastAsia" w:ascii="宋体" w:hAnsi="宋体" w:cs="宋体"/>
                <w:kern w:val="0"/>
                <w:szCs w:val="21"/>
              </w:rPr>
              <w:t>、信用信息查询记录和证据留存具体方式：经采购人确认的查询结果网页截图作为查询记录和证据，与其他采购文件一并保存；</w:t>
            </w:r>
          </w:p>
          <w:p>
            <w:pPr>
              <w:autoSpaceDE w:val="0"/>
              <w:autoSpaceDN w:val="0"/>
              <w:spacing w:line="360" w:lineRule="auto"/>
              <w:contextualSpacing/>
              <w:rPr>
                <w:rFonts w:ascii="宋体" w:cs="宋体"/>
                <w:kern w:val="0"/>
                <w:szCs w:val="21"/>
              </w:rPr>
            </w:pPr>
            <w:r>
              <w:rPr>
                <w:rFonts w:ascii="宋体" w:hAnsi="宋体" w:cs="宋体"/>
                <w:kern w:val="0"/>
                <w:szCs w:val="21"/>
              </w:rPr>
              <w:t>4</w:t>
            </w:r>
            <w:r>
              <w:rPr>
                <w:rFonts w:hint="eastAsia" w:ascii="宋体" w:hAnsi="宋体" w:cs="宋体"/>
                <w:kern w:val="0"/>
                <w:szCs w:val="21"/>
              </w:rPr>
              <w:t>、信用信息的使用原则：经采购人认定的被列入失信被执行人、重大税收违法案件当事人名单、</w:t>
            </w:r>
            <w:r>
              <w:rPr>
                <w:rFonts w:hint="eastAsia" w:ascii="宋体" w:hAnsi="宋体" w:cs="仿宋_GB2312"/>
                <w:color w:val="000000"/>
                <w:szCs w:val="21"/>
                <w:shd w:val="clear" w:color="auto" w:fill="FFFFFF"/>
              </w:rPr>
              <w:t>政府采购严重违法失信名单</w:t>
            </w:r>
            <w:r>
              <w:rPr>
                <w:rFonts w:hint="eastAsia" w:ascii="宋体" w:hAnsi="宋体" w:cs="宋体"/>
                <w:kern w:val="0"/>
                <w:szCs w:val="21"/>
              </w:rPr>
              <w:t>、</w:t>
            </w:r>
            <w:r>
              <w:rPr>
                <w:rFonts w:hint="eastAsia" w:ascii="宋体" w:hAnsi="宋体" w:cs="仿宋_GB2312"/>
                <w:color w:val="000000"/>
                <w:szCs w:val="21"/>
                <w:shd w:val="clear" w:color="auto" w:fill="FFFFFF"/>
              </w:rPr>
              <w:t>政府采购严重违法失信行为记录名单、</w:t>
            </w:r>
            <w:r>
              <w:rPr>
                <w:rFonts w:hint="eastAsia" w:ascii="宋体" w:hAnsi="宋体" w:cs="宋体"/>
                <w:kern w:val="0"/>
                <w:szCs w:val="21"/>
              </w:rPr>
              <w:t>严重违法失信社会组织名单的投标人，将拒绝其参与本次政府采购活动。</w:t>
            </w:r>
          </w:p>
          <w:p>
            <w:pPr>
              <w:autoSpaceDE w:val="0"/>
              <w:autoSpaceDN w:val="0"/>
              <w:spacing w:line="360" w:lineRule="auto"/>
              <w:contextualSpacing/>
              <w:rPr>
                <w:rFonts w:ascii="宋体" w:hAnsi="宋体" w:cs="宋体"/>
                <w:kern w:val="0"/>
                <w:szCs w:val="21"/>
              </w:rPr>
            </w:pPr>
            <w:r>
              <w:rPr>
                <w:rFonts w:ascii="宋体" w:hAnsi="宋体" w:cs="宋体"/>
                <w:kern w:val="0"/>
                <w:szCs w:val="21"/>
              </w:rPr>
              <w:t>5</w:t>
            </w:r>
            <w:r>
              <w:rPr>
                <w:rFonts w:hint="eastAsia" w:ascii="宋体" w:hAnsi="宋体" w:cs="宋体"/>
                <w:kern w:val="0"/>
                <w:szCs w:val="21"/>
              </w:rPr>
              <w:t>、投标人不良信用记录以采购人查询结果为准，采购人查询之后，网站信息发生的任何变更不再作为评审依据，投标人自行提供的与网站信息不一致的其他证明材料亦不作为评审依据。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contextualSpacing/>
              <w:rPr>
                <w:rFonts w:ascii="宋体" w:cs="宋体"/>
                <w:kern w:val="0"/>
                <w:szCs w:val="21"/>
              </w:rPr>
            </w:pPr>
            <w:r>
              <w:rPr>
                <w:rFonts w:hint="eastAsia" w:ascii="宋体" w:hAnsi="宋体" w:cs="宋体"/>
                <w:kern w:val="0"/>
                <w:szCs w:val="21"/>
                <w:lang w:eastAsia="zh-CN"/>
              </w:rPr>
              <w:t>八</w:t>
            </w:r>
            <w:r>
              <w:rPr>
                <w:rFonts w:hint="eastAsia" w:ascii="宋体" w:hAnsi="宋体" w:cs="宋体"/>
                <w:kern w:val="0"/>
                <w:szCs w:val="21"/>
              </w:rPr>
              <w:t>、需提供</w:t>
            </w:r>
            <w:r>
              <w:rPr>
                <w:rFonts w:hint="eastAsia" w:ascii="宋体" w:hAnsi="宋体" w:cs="宋体"/>
                <w:b/>
                <w:kern w:val="0"/>
                <w:szCs w:val="21"/>
              </w:rPr>
              <w:t>三年内未被省级或省级以上环境保护主管部门停业整顿的承诺</w:t>
            </w:r>
            <w:r>
              <w:rPr>
                <w:rFonts w:hint="eastAsia" w:ascii="宋体" w:hAnsi="宋体" w:cs="宋体"/>
                <w:kern w:val="0"/>
                <w:szCs w:val="21"/>
              </w:rPr>
              <w:t>，若被省级或省级以上环境保护主管部门作出过停业整顿的处罚，则拒绝其参与本次投标活动。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ascii="宋体" w:hAnsi="宋体" w:cs="黑体"/>
                <w:szCs w:val="21"/>
              </w:rPr>
              <w:t>5</w:t>
            </w:r>
          </w:p>
        </w:tc>
        <w:tc>
          <w:tcPr>
            <w:tcW w:w="2268" w:type="dxa"/>
            <w:vAlign w:val="center"/>
          </w:tcPr>
          <w:p>
            <w:pPr>
              <w:autoSpaceDE w:val="0"/>
              <w:autoSpaceDN w:val="0"/>
              <w:adjustRightInd w:val="0"/>
              <w:spacing w:line="276" w:lineRule="auto"/>
              <w:jc w:val="center"/>
              <w:rPr>
                <w:rFonts w:ascii="宋体" w:cs="宋体"/>
                <w:bCs/>
                <w:szCs w:val="21"/>
                <w:lang w:val="zh-CN"/>
              </w:rPr>
            </w:pPr>
            <w:r>
              <w:rPr>
                <w:rFonts w:hint="eastAsia" w:ascii="宋体" w:hAnsi="宋体" w:cs="微软雅黑"/>
                <w:b/>
                <w:szCs w:val="21"/>
              </w:rPr>
              <w:t>★</w:t>
            </w:r>
            <w:r>
              <w:rPr>
                <w:rFonts w:hint="eastAsia" w:ascii="宋体" w:hAnsi="宋体" w:cs="宋体"/>
                <w:bCs/>
                <w:szCs w:val="21"/>
                <w:lang w:val="zh-CN"/>
              </w:rPr>
              <w:t>联合体投标</w:t>
            </w:r>
          </w:p>
        </w:tc>
        <w:tc>
          <w:tcPr>
            <w:tcW w:w="6813" w:type="dxa"/>
            <w:vAlign w:val="center"/>
          </w:tcPr>
          <w:p>
            <w:pPr>
              <w:autoSpaceDE w:val="0"/>
              <w:autoSpaceDN w:val="0"/>
              <w:adjustRightInd w:val="0"/>
              <w:spacing w:line="276" w:lineRule="auto"/>
              <w:rPr>
                <w:rFonts w:ascii="宋体" w:cs="宋体"/>
                <w:bCs/>
                <w:szCs w:val="21"/>
                <w:lang w:val="zh-CN"/>
              </w:rPr>
            </w:pPr>
            <w:r>
              <w:rPr>
                <w:rFonts w:hint="eastAsia" w:ascii="宋体" w:hAnsi="宋体" w:cs="宋体"/>
                <w:kern w:val="0"/>
                <w:szCs w:val="21"/>
              </w:rPr>
              <w:t>本项目</w:t>
            </w:r>
            <w:r>
              <w:rPr>
                <w:rFonts w:ascii="宋体" w:hAnsi="宋体" w:cs="宋体"/>
                <w:b/>
                <w:kern w:val="0"/>
                <w:szCs w:val="21"/>
                <w:lang w:val="zh-CN"/>
              </w:rPr>
              <w:fldChar w:fldCharType="begin"/>
            </w:r>
            <w:r>
              <w:rPr>
                <w:rFonts w:ascii="宋体" w:hAnsi="宋体" w:cs="宋体"/>
                <w:b/>
                <w:kern w:val="0"/>
                <w:szCs w:val="21"/>
                <w:lang w:val="zh-CN"/>
              </w:rPr>
              <w:instrText xml:space="preserve">eq \o\ac(</w:instrText>
            </w:r>
            <w:r>
              <w:rPr>
                <w:rFonts w:hint="eastAsia" w:ascii="宋体" w:hAnsi="宋体" w:cs="宋体"/>
                <w:b/>
                <w:kern w:val="0"/>
                <w:szCs w:val="21"/>
                <w:lang w:val="zh-CN"/>
              </w:rPr>
              <w:instrText xml:space="preserve">□</w:instrText>
            </w:r>
            <w:r>
              <w:rPr>
                <w:rFonts w:ascii="宋体" w:hAnsi="宋体" w:cs="宋体"/>
                <w:b/>
                <w:kern w:val="0"/>
                <w:szCs w:val="21"/>
                <w:lang w:val="zh-CN"/>
              </w:rPr>
              <w:instrText xml:space="preserve">,</w:instrText>
            </w:r>
            <w:r>
              <w:rPr>
                <w:rFonts w:hint="eastAsia" w:ascii="宋体" w:hAnsi="宋体" w:cs="宋体"/>
                <w:b/>
                <w:kern w:val="0"/>
                <w:position w:val="2"/>
                <w:szCs w:val="21"/>
                <w:lang w:val="zh-CN"/>
              </w:rPr>
              <w:instrText xml:space="preserve">√</w:instrText>
            </w:r>
            <w:r>
              <w:rPr>
                <w:rFonts w:ascii="宋体" w:hAnsi="宋体" w:cs="宋体"/>
                <w:b/>
                <w:kern w:val="0"/>
                <w:szCs w:val="21"/>
                <w:lang w:val="zh-CN"/>
              </w:rPr>
              <w:instrText xml:space="preserve">)</w:instrText>
            </w:r>
            <w:r>
              <w:rPr>
                <w:rFonts w:ascii="宋体" w:hAnsi="宋体" w:cs="宋体"/>
                <w:b/>
                <w:kern w:val="0"/>
                <w:szCs w:val="21"/>
                <w:lang w:val="zh-CN"/>
              </w:rPr>
              <w:fldChar w:fldCharType="end"/>
            </w:r>
            <w:r>
              <w:rPr>
                <w:rFonts w:hint="eastAsia" w:ascii="宋体" w:hAnsi="宋体" w:cs="宋体"/>
                <w:kern w:val="0"/>
                <w:szCs w:val="21"/>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szCs w:val="21"/>
                <w:highlight w:val="yellow"/>
              </w:rPr>
            </w:pPr>
            <w:r>
              <w:rPr>
                <w:rFonts w:ascii="宋体" w:hAnsi="宋体" w:cs="黑体"/>
                <w:szCs w:val="21"/>
              </w:rPr>
              <w:t>6</w:t>
            </w:r>
          </w:p>
        </w:tc>
        <w:tc>
          <w:tcPr>
            <w:tcW w:w="2268" w:type="dxa"/>
            <w:vAlign w:val="center"/>
          </w:tcPr>
          <w:p>
            <w:pPr>
              <w:autoSpaceDE w:val="0"/>
              <w:autoSpaceDN w:val="0"/>
              <w:adjustRightInd w:val="0"/>
              <w:spacing w:line="276" w:lineRule="auto"/>
              <w:ind w:firstLine="525" w:firstLineChars="250"/>
              <w:rPr>
                <w:rFonts w:ascii="宋体" w:cs="宋体"/>
                <w:bCs/>
                <w:szCs w:val="21"/>
                <w:lang w:val="zh-CN"/>
              </w:rPr>
            </w:pPr>
            <w:r>
              <w:rPr>
                <w:rFonts w:hint="eastAsia" w:ascii="宋体" w:hAnsi="宋体" w:cs="宋体"/>
                <w:bCs/>
                <w:szCs w:val="21"/>
                <w:lang w:val="zh-CN"/>
              </w:rPr>
              <w:t>★最高限价</w:t>
            </w:r>
          </w:p>
        </w:tc>
        <w:tc>
          <w:tcPr>
            <w:tcW w:w="6813" w:type="dxa"/>
            <w:vAlign w:val="center"/>
          </w:tcPr>
          <w:p>
            <w:pPr>
              <w:autoSpaceDE w:val="0"/>
              <w:autoSpaceDN w:val="0"/>
              <w:spacing w:line="360" w:lineRule="auto"/>
              <w:contextualSpacing/>
              <w:jc w:val="left"/>
              <w:rPr>
                <w:rFonts w:ascii="宋体" w:cs="宋体"/>
                <w:bCs/>
                <w:szCs w:val="21"/>
                <w:lang w:val="zh-CN"/>
              </w:rPr>
            </w:pPr>
            <w:r>
              <w:rPr>
                <w:rFonts w:hint="eastAsia" w:ascii="宋体" w:hAnsi="宋体" w:cs="宋体"/>
                <w:b/>
                <w:kern w:val="0"/>
                <w:szCs w:val="21"/>
              </w:rPr>
              <w:t>15134842.41元，超出最高限价的投标无效。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ascii="宋体" w:hAnsi="宋体" w:cs="黑体"/>
                <w:szCs w:val="21"/>
              </w:rPr>
              <w:t>7</w:t>
            </w:r>
          </w:p>
        </w:tc>
        <w:tc>
          <w:tcPr>
            <w:tcW w:w="2268" w:type="dxa"/>
            <w:vAlign w:val="center"/>
          </w:tcPr>
          <w:p>
            <w:pPr>
              <w:autoSpaceDE w:val="0"/>
              <w:autoSpaceDN w:val="0"/>
              <w:adjustRightInd w:val="0"/>
              <w:spacing w:line="276" w:lineRule="auto"/>
              <w:jc w:val="center"/>
              <w:rPr>
                <w:rFonts w:ascii="宋体" w:cs="宋体"/>
                <w:bCs/>
                <w:szCs w:val="21"/>
                <w:lang w:val="zh-CN"/>
              </w:rPr>
            </w:pPr>
            <w:r>
              <w:rPr>
                <w:rFonts w:hint="eastAsia" w:ascii="宋体" w:hAnsi="宋体" w:cs="宋体"/>
                <w:bCs/>
                <w:szCs w:val="21"/>
                <w:lang w:val="zh-CN"/>
              </w:rPr>
              <w:t>现场考察</w:t>
            </w:r>
          </w:p>
        </w:tc>
        <w:tc>
          <w:tcPr>
            <w:tcW w:w="6813" w:type="dxa"/>
            <w:vAlign w:val="center"/>
          </w:tcPr>
          <w:p>
            <w:pPr>
              <w:autoSpaceDE w:val="0"/>
              <w:autoSpaceDN w:val="0"/>
              <w:adjustRightInd w:val="0"/>
              <w:spacing w:line="360" w:lineRule="auto"/>
              <w:rPr>
                <w:rFonts w:ascii="宋体" w:cs="宋体"/>
                <w:color w:val="000000"/>
                <w:kern w:val="0"/>
                <w:szCs w:val="21"/>
                <w:lang w:val="zh-CN"/>
              </w:rPr>
            </w:pPr>
            <w:r>
              <w:rPr>
                <w:rFonts w:ascii="宋体" w:hAnsi="宋体" w:cs="宋体"/>
                <w:b/>
                <w:color w:val="000000"/>
                <w:kern w:val="0"/>
                <w:szCs w:val="21"/>
                <w:lang w:val="zh-CN"/>
              </w:rPr>
              <w:fldChar w:fldCharType="begin"/>
            </w:r>
            <w:r>
              <w:rPr>
                <w:rFonts w:ascii="宋体" w:hAnsi="宋体" w:cs="宋体"/>
                <w:b/>
                <w:color w:val="000000"/>
                <w:kern w:val="0"/>
                <w:szCs w:val="21"/>
                <w:lang w:val="zh-CN"/>
              </w:rPr>
              <w:instrText xml:space="preserve">eq \o\ac(</w:instrText>
            </w:r>
            <w:r>
              <w:rPr>
                <w:rFonts w:hint="eastAsia" w:ascii="宋体" w:hAnsi="宋体" w:cs="宋体"/>
                <w:b/>
                <w:color w:val="000000"/>
                <w:kern w:val="0"/>
                <w:szCs w:val="21"/>
                <w:lang w:val="zh-CN"/>
              </w:rPr>
              <w:instrText xml:space="preserve">□</w:instrText>
            </w:r>
            <w:r>
              <w:rPr>
                <w:rFonts w:ascii="宋体" w:hAnsi="宋体" w:cs="宋体"/>
                <w:b/>
                <w:color w:val="000000"/>
                <w:kern w:val="0"/>
                <w:szCs w:val="21"/>
                <w:lang w:val="zh-CN"/>
              </w:rPr>
              <w:instrText xml:space="preserve">,</w:instrText>
            </w:r>
            <w:r>
              <w:rPr>
                <w:rFonts w:hint="eastAsia" w:ascii="宋体" w:hAnsi="宋体" w:cs="宋体"/>
                <w:b/>
                <w:color w:val="000000"/>
                <w:kern w:val="0"/>
                <w:position w:val="2"/>
                <w:szCs w:val="21"/>
                <w:lang w:val="zh-CN"/>
              </w:rPr>
              <w:instrText xml:space="preserve">√</w:instrText>
            </w:r>
            <w:r>
              <w:rPr>
                <w:rFonts w:ascii="宋体" w:hAnsi="宋体" w:cs="宋体"/>
                <w:b/>
                <w:color w:val="000000"/>
                <w:kern w:val="0"/>
                <w:szCs w:val="21"/>
                <w:lang w:val="zh-CN"/>
              </w:rPr>
              <w:instrText xml:space="preserve">)</w:instrText>
            </w:r>
            <w:r>
              <w:rPr>
                <w:rFonts w:ascii="宋体" w:hAnsi="宋体" w:cs="宋体"/>
                <w:b/>
                <w:color w:val="000000"/>
                <w:kern w:val="0"/>
                <w:szCs w:val="21"/>
                <w:lang w:val="zh-CN"/>
              </w:rPr>
              <w:fldChar w:fldCharType="end"/>
            </w:r>
            <w:r>
              <w:rPr>
                <w:rFonts w:hint="eastAsia" w:ascii="宋体" w:hAnsi="宋体" w:cs="宋体"/>
                <w:bCs/>
                <w:szCs w:val="21"/>
                <w:lang w:val="zh-CN"/>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ascii="宋体" w:hAnsi="宋体" w:cs="黑体"/>
                <w:szCs w:val="21"/>
              </w:rPr>
              <w:t>8</w:t>
            </w:r>
          </w:p>
        </w:tc>
        <w:tc>
          <w:tcPr>
            <w:tcW w:w="2268" w:type="dxa"/>
            <w:vAlign w:val="center"/>
          </w:tcPr>
          <w:p>
            <w:pPr>
              <w:autoSpaceDE w:val="0"/>
              <w:autoSpaceDN w:val="0"/>
              <w:adjustRightInd w:val="0"/>
              <w:spacing w:line="276" w:lineRule="auto"/>
              <w:jc w:val="center"/>
              <w:rPr>
                <w:rFonts w:ascii="宋体" w:cs="宋体"/>
                <w:bCs/>
                <w:szCs w:val="21"/>
                <w:lang w:val="zh-CN"/>
              </w:rPr>
            </w:pPr>
            <w:r>
              <w:rPr>
                <w:rFonts w:hint="eastAsia" w:ascii="宋体" w:hAnsi="宋体" w:cs="宋体"/>
                <w:bCs/>
                <w:szCs w:val="21"/>
                <w:lang w:val="zh-CN"/>
              </w:rPr>
              <w:t>开标前答疑会</w:t>
            </w:r>
          </w:p>
        </w:tc>
        <w:tc>
          <w:tcPr>
            <w:tcW w:w="6813" w:type="dxa"/>
            <w:vAlign w:val="center"/>
          </w:tcPr>
          <w:p>
            <w:pPr>
              <w:autoSpaceDE w:val="0"/>
              <w:autoSpaceDN w:val="0"/>
              <w:adjustRightInd w:val="0"/>
              <w:spacing w:line="360" w:lineRule="auto"/>
              <w:rPr>
                <w:rFonts w:ascii="宋体" w:cs="宋体"/>
                <w:color w:val="000000"/>
                <w:kern w:val="0"/>
                <w:szCs w:val="21"/>
                <w:lang w:val="zh-CN"/>
              </w:rPr>
            </w:pPr>
            <w:r>
              <w:rPr>
                <w:rFonts w:ascii="宋体" w:hAnsi="宋体" w:cs="宋体"/>
                <w:b/>
                <w:color w:val="000000"/>
                <w:kern w:val="0"/>
                <w:szCs w:val="21"/>
                <w:lang w:val="zh-CN"/>
              </w:rPr>
              <w:fldChar w:fldCharType="begin"/>
            </w:r>
            <w:r>
              <w:rPr>
                <w:rFonts w:ascii="宋体" w:hAnsi="宋体" w:cs="宋体"/>
                <w:b/>
                <w:color w:val="000000"/>
                <w:kern w:val="0"/>
                <w:szCs w:val="21"/>
                <w:lang w:val="zh-CN"/>
              </w:rPr>
              <w:instrText xml:space="preserve">eq \o\ac(</w:instrText>
            </w:r>
            <w:r>
              <w:rPr>
                <w:rFonts w:hint="eastAsia" w:ascii="宋体" w:hAnsi="宋体" w:cs="宋体"/>
                <w:b/>
                <w:color w:val="000000"/>
                <w:kern w:val="0"/>
                <w:szCs w:val="21"/>
                <w:lang w:val="zh-CN"/>
              </w:rPr>
              <w:instrText xml:space="preserve">□</w:instrText>
            </w:r>
            <w:r>
              <w:rPr>
                <w:rFonts w:ascii="宋体" w:hAnsi="宋体" w:cs="宋体"/>
                <w:b/>
                <w:color w:val="000000"/>
                <w:kern w:val="0"/>
                <w:szCs w:val="21"/>
                <w:lang w:val="zh-CN"/>
              </w:rPr>
              <w:instrText xml:space="preserve">,</w:instrText>
            </w:r>
            <w:r>
              <w:rPr>
                <w:rFonts w:hint="eastAsia" w:ascii="宋体" w:hAnsi="宋体" w:cs="宋体"/>
                <w:b/>
                <w:color w:val="000000"/>
                <w:kern w:val="0"/>
                <w:position w:val="2"/>
                <w:szCs w:val="21"/>
                <w:lang w:val="zh-CN"/>
              </w:rPr>
              <w:instrText xml:space="preserve">√</w:instrText>
            </w:r>
            <w:r>
              <w:rPr>
                <w:rFonts w:ascii="宋体" w:hAnsi="宋体" w:cs="宋体"/>
                <w:b/>
                <w:color w:val="000000"/>
                <w:kern w:val="0"/>
                <w:szCs w:val="21"/>
                <w:lang w:val="zh-CN"/>
              </w:rPr>
              <w:instrText xml:space="preserve">)</w:instrText>
            </w:r>
            <w:r>
              <w:rPr>
                <w:rFonts w:ascii="宋体" w:hAnsi="宋体" w:cs="宋体"/>
                <w:b/>
                <w:color w:val="000000"/>
                <w:kern w:val="0"/>
                <w:szCs w:val="21"/>
                <w:lang w:val="zh-CN"/>
              </w:rPr>
              <w:fldChar w:fldCharType="end"/>
            </w:r>
            <w:r>
              <w:rPr>
                <w:rFonts w:hint="eastAsia" w:ascii="宋体" w:hAnsi="宋体" w:cs="宋体"/>
                <w:bCs/>
                <w:szCs w:val="21"/>
                <w:lang w:val="zh-CN"/>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ascii="宋体" w:hAnsi="宋体" w:cs="黑体"/>
                <w:szCs w:val="21"/>
              </w:rPr>
              <w:t>9</w:t>
            </w:r>
          </w:p>
        </w:tc>
        <w:tc>
          <w:tcPr>
            <w:tcW w:w="2268" w:type="dxa"/>
            <w:vAlign w:val="center"/>
          </w:tcPr>
          <w:p>
            <w:pPr>
              <w:autoSpaceDE w:val="0"/>
              <w:autoSpaceDN w:val="0"/>
              <w:adjustRightInd w:val="0"/>
              <w:spacing w:line="276" w:lineRule="auto"/>
              <w:jc w:val="center"/>
              <w:rPr>
                <w:rFonts w:ascii="宋体" w:cs="仿宋_GB2312"/>
                <w:szCs w:val="21"/>
              </w:rPr>
            </w:pPr>
            <w:r>
              <w:rPr>
                <w:rFonts w:hint="eastAsia" w:ascii="宋体" w:hAnsi="宋体" w:cs="仿宋_GB2312"/>
                <w:szCs w:val="21"/>
              </w:rPr>
              <w:t>进口产品参与</w:t>
            </w:r>
          </w:p>
        </w:tc>
        <w:tc>
          <w:tcPr>
            <w:tcW w:w="6813" w:type="dxa"/>
            <w:vAlign w:val="center"/>
          </w:tcPr>
          <w:p>
            <w:pPr>
              <w:autoSpaceDE w:val="0"/>
              <w:autoSpaceDN w:val="0"/>
              <w:adjustRightInd w:val="0"/>
              <w:spacing w:line="276" w:lineRule="auto"/>
              <w:rPr>
                <w:rFonts w:ascii="宋体"/>
                <w:szCs w:val="21"/>
              </w:rPr>
            </w:pPr>
            <w:r>
              <w:rPr>
                <w:rFonts w:ascii="宋体" w:hAnsi="宋体" w:cs="宋体"/>
                <w:b/>
                <w:color w:val="000000"/>
                <w:kern w:val="0"/>
                <w:szCs w:val="21"/>
                <w:lang w:val="zh-CN"/>
              </w:rPr>
              <w:fldChar w:fldCharType="begin"/>
            </w:r>
            <w:r>
              <w:rPr>
                <w:rFonts w:ascii="宋体" w:hAnsi="宋体" w:cs="宋体"/>
                <w:b/>
                <w:color w:val="000000"/>
                <w:kern w:val="0"/>
                <w:szCs w:val="21"/>
                <w:lang w:val="zh-CN"/>
              </w:rPr>
              <w:instrText xml:space="preserve">eq \o\ac(</w:instrText>
            </w:r>
            <w:r>
              <w:rPr>
                <w:rFonts w:hint="eastAsia" w:ascii="宋体" w:hAnsi="宋体" w:cs="宋体"/>
                <w:b/>
                <w:color w:val="000000"/>
                <w:kern w:val="0"/>
                <w:szCs w:val="21"/>
                <w:lang w:val="zh-CN"/>
              </w:rPr>
              <w:instrText xml:space="preserve">□</w:instrText>
            </w:r>
            <w:r>
              <w:rPr>
                <w:rFonts w:ascii="宋体" w:hAnsi="宋体" w:cs="宋体"/>
                <w:b/>
                <w:color w:val="000000"/>
                <w:kern w:val="0"/>
                <w:szCs w:val="21"/>
                <w:lang w:val="zh-CN"/>
              </w:rPr>
              <w:instrText xml:space="preserve">,</w:instrText>
            </w:r>
            <w:r>
              <w:rPr>
                <w:rFonts w:hint="eastAsia" w:ascii="宋体" w:hAnsi="宋体" w:cs="宋体"/>
                <w:b/>
                <w:color w:val="000000"/>
                <w:kern w:val="0"/>
                <w:position w:val="2"/>
                <w:szCs w:val="21"/>
                <w:lang w:val="zh-CN"/>
              </w:rPr>
              <w:instrText xml:space="preserve">√</w:instrText>
            </w:r>
            <w:r>
              <w:rPr>
                <w:rFonts w:ascii="宋体" w:hAnsi="宋体" w:cs="宋体"/>
                <w:b/>
                <w:color w:val="000000"/>
                <w:kern w:val="0"/>
                <w:szCs w:val="21"/>
                <w:lang w:val="zh-CN"/>
              </w:rPr>
              <w:instrText xml:space="preserve">)</w:instrText>
            </w:r>
            <w:r>
              <w:rPr>
                <w:rFonts w:ascii="宋体" w:hAnsi="宋体" w:cs="宋体"/>
                <w:b/>
                <w:color w:val="000000"/>
                <w:kern w:val="0"/>
                <w:szCs w:val="21"/>
                <w:lang w:val="zh-CN"/>
              </w:rPr>
              <w:fldChar w:fldCharType="end"/>
            </w:r>
            <w:r>
              <w:rPr>
                <w:rFonts w:hint="eastAsia" w:ascii="宋体" w:hAnsi="宋体" w:cs="宋体"/>
                <w:bCs/>
                <w:szCs w:val="21"/>
                <w:lang w:val="zh-CN"/>
              </w:rPr>
              <w:t>不允许</w:t>
            </w:r>
            <w:r>
              <w:rPr>
                <w:rFonts w:ascii="宋体" w:hAnsi="宋体" w:cs="宋体"/>
                <w:bCs/>
                <w:szCs w:val="21"/>
                <w:lang w:val="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ascii="宋体" w:hAnsi="宋体" w:cs="黑体"/>
                <w:szCs w:val="21"/>
              </w:rPr>
              <w:t>10</w:t>
            </w:r>
          </w:p>
        </w:tc>
        <w:tc>
          <w:tcPr>
            <w:tcW w:w="2268" w:type="dxa"/>
            <w:vAlign w:val="center"/>
          </w:tcPr>
          <w:p>
            <w:pPr>
              <w:autoSpaceDE w:val="0"/>
              <w:autoSpaceDN w:val="0"/>
              <w:adjustRightInd w:val="0"/>
              <w:spacing w:line="276" w:lineRule="auto"/>
              <w:jc w:val="center"/>
              <w:rPr>
                <w:rFonts w:ascii="宋体" w:cs="仿宋_GB2312"/>
                <w:szCs w:val="21"/>
              </w:rPr>
            </w:pPr>
            <w:r>
              <w:rPr>
                <w:rFonts w:hint="eastAsia" w:ascii="宋体" w:hAnsi="宋体" w:cs="微软雅黑"/>
                <w:b/>
                <w:color w:val="FF0000"/>
                <w:szCs w:val="21"/>
              </w:rPr>
              <w:t>★</w:t>
            </w:r>
            <w:r>
              <w:rPr>
                <w:rFonts w:hint="eastAsia" w:ascii="宋体" w:hAnsi="宋体" w:cs="仿宋_GB2312"/>
                <w:szCs w:val="21"/>
              </w:rPr>
              <w:t>投标有效期</w:t>
            </w:r>
          </w:p>
        </w:tc>
        <w:tc>
          <w:tcPr>
            <w:tcW w:w="6813" w:type="dxa"/>
            <w:vAlign w:val="center"/>
          </w:tcPr>
          <w:p>
            <w:pPr>
              <w:autoSpaceDE w:val="0"/>
              <w:autoSpaceDN w:val="0"/>
              <w:adjustRightInd w:val="0"/>
              <w:spacing w:line="360" w:lineRule="auto"/>
              <w:rPr>
                <w:rFonts w:ascii="宋体" w:cs="仿宋_GB2312"/>
                <w:szCs w:val="21"/>
              </w:rPr>
            </w:pPr>
            <w:r>
              <w:rPr>
                <w:rFonts w:hint="eastAsia" w:ascii="宋体" w:hAnsi="宋体" w:cs="仿宋_GB2312"/>
                <w:szCs w:val="21"/>
                <w:lang w:val="en-US" w:eastAsia="zh-CN"/>
              </w:rPr>
              <w:t>6</w:t>
            </w:r>
            <w:r>
              <w:rPr>
                <w:rFonts w:ascii="宋体" w:hAnsi="宋体" w:cs="仿宋_GB2312"/>
                <w:szCs w:val="21"/>
              </w:rPr>
              <w:t>0</w:t>
            </w:r>
            <w:r>
              <w:rPr>
                <w:rFonts w:hint="eastAsia" w:ascii="宋体" w:hAnsi="宋体" w:cs="仿宋_GB2312"/>
                <w:szCs w:val="21"/>
              </w:rPr>
              <w:t>天（自</w:t>
            </w:r>
            <w:r>
              <w:rPr>
                <w:rFonts w:hint="eastAsia" w:ascii="宋体" w:hAnsi="宋体" w:cs="宋体"/>
                <w:kern w:val="0"/>
                <w:szCs w:val="21"/>
              </w:rPr>
              <w:t>提交投标文件的截止之日起算</w:t>
            </w:r>
            <w:r>
              <w:rPr>
                <w:rFonts w:hint="eastAsia" w:ascii="宋体" w:hAnsi="宋体" w:cs="仿宋_GB2312"/>
                <w:szCs w:val="21"/>
              </w:rPr>
              <w:t>）</w:t>
            </w:r>
          </w:p>
          <w:p>
            <w:pPr>
              <w:autoSpaceDE w:val="0"/>
              <w:autoSpaceDN w:val="0"/>
              <w:adjustRightInd w:val="0"/>
              <w:spacing w:line="360" w:lineRule="auto"/>
              <w:rPr>
                <w:rFonts w:ascii="宋体" w:cs="仿宋_GB2312"/>
                <w:szCs w:val="21"/>
              </w:rPr>
            </w:pPr>
            <w:r>
              <w:rPr>
                <w:rFonts w:hint="eastAsia" w:ascii="宋体" w:hAnsi="宋体" w:cs="仿宋_GB2312"/>
                <w:szCs w:val="21"/>
                <w:lang w:val="zh-CN"/>
              </w:rPr>
              <w:t>中标人投标有效期延至合同验收之日，</w:t>
            </w:r>
            <w:r>
              <w:rPr>
                <w:rFonts w:hint="eastAsia" w:ascii="宋体" w:hAnsi="宋体" w:cs="宋体"/>
                <w:kern w:val="0"/>
                <w:szCs w:val="21"/>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ascii="宋体" w:hAnsi="宋体" w:cs="黑体"/>
                <w:szCs w:val="21"/>
              </w:rPr>
              <w:t>11</w:t>
            </w:r>
          </w:p>
        </w:tc>
        <w:tc>
          <w:tcPr>
            <w:tcW w:w="2268" w:type="dxa"/>
            <w:vAlign w:val="center"/>
          </w:tcPr>
          <w:p>
            <w:pPr>
              <w:autoSpaceDE w:val="0"/>
              <w:autoSpaceDN w:val="0"/>
              <w:adjustRightInd w:val="0"/>
              <w:spacing w:line="360" w:lineRule="auto"/>
              <w:rPr>
                <w:rFonts w:ascii="宋体" w:cs="仿宋_GB2312"/>
                <w:szCs w:val="21"/>
              </w:rPr>
            </w:pPr>
            <w:r>
              <w:rPr>
                <w:rFonts w:hint="eastAsia" w:ascii="宋体" w:hAnsi="宋体" w:cs="宋体"/>
                <w:bCs/>
                <w:szCs w:val="21"/>
                <w:lang w:val="zh-CN"/>
              </w:rPr>
              <w:t>中标人将本项目非主体、非关键性工作分包</w:t>
            </w:r>
          </w:p>
        </w:tc>
        <w:tc>
          <w:tcPr>
            <w:tcW w:w="6813" w:type="dxa"/>
            <w:vAlign w:val="center"/>
          </w:tcPr>
          <w:p>
            <w:pPr>
              <w:autoSpaceDE w:val="0"/>
              <w:autoSpaceDN w:val="0"/>
              <w:adjustRightInd w:val="0"/>
              <w:spacing w:line="276" w:lineRule="auto"/>
              <w:rPr>
                <w:rFonts w:ascii="宋体" w:cs="仿宋_GB2312"/>
                <w:szCs w:val="21"/>
              </w:rPr>
            </w:pPr>
            <w:r>
              <w:rPr>
                <w:rFonts w:ascii="宋体" w:hAnsi="宋体" w:cs="宋体"/>
                <w:b/>
                <w:color w:val="000000"/>
                <w:kern w:val="0"/>
                <w:szCs w:val="21"/>
                <w:lang w:val="zh-CN"/>
              </w:rPr>
              <w:fldChar w:fldCharType="begin"/>
            </w:r>
            <w:r>
              <w:rPr>
                <w:rFonts w:ascii="宋体" w:hAnsi="宋体" w:cs="宋体"/>
                <w:b/>
                <w:color w:val="000000"/>
                <w:kern w:val="0"/>
                <w:szCs w:val="21"/>
                <w:lang w:val="zh-CN"/>
              </w:rPr>
              <w:instrText xml:space="preserve">eq \o\ac(</w:instrText>
            </w:r>
            <w:r>
              <w:rPr>
                <w:rFonts w:hint="eastAsia" w:ascii="宋体" w:hAnsi="宋体" w:cs="宋体"/>
                <w:b/>
                <w:color w:val="000000"/>
                <w:kern w:val="0"/>
                <w:szCs w:val="21"/>
                <w:lang w:val="zh-CN"/>
              </w:rPr>
              <w:instrText xml:space="preserve">□</w:instrText>
            </w:r>
            <w:r>
              <w:rPr>
                <w:rFonts w:ascii="宋体" w:hAnsi="宋体" w:cs="宋体"/>
                <w:b/>
                <w:color w:val="000000"/>
                <w:kern w:val="0"/>
                <w:szCs w:val="21"/>
                <w:lang w:val="zh-CN"/>
              </w:rPr>
              <w:instrText xml:space="preserve">,</w:instrText>
            </w:r>
            <w:r>
              <w:rPr>
                <w:rFonts w:hint="eastAsia" w:ascii="宋体" w:hAnsi="宋体" w:cs="宋体"/>
                <w:b/>
                <w:color w:val="000000"/>
                <w:kern w:val="0"/>
                <w:position w:val="2"/>
                <w:szCs w:val="21"/>
                <w:lang w:val="zh-CN"/>
              </w:rPr>
              <w:instrText xml:space="preserve">√</w:instrText>
            </w:r>
            <w:r>
              <w:rPr>
                <w:rFonts w:ascii="宋体" w:hAnsi="宋体" w:cs="宋体"/>
                <w:b/>
                <w:color w:val="000000"/>
                <w:kern w:val="0"/>
                <w:szCs w:val="21"/>
                <w:lang w:val="zh-CN"/>
              </w:rPr>
              <w:instrText xml:space="preserve">)</w:instrText>
            </w:r>
            <w:r>
              <w:rPr>
                <w:rFonts w:ascii="宋体" w:hAnsi="宋体" w:cs="宋体"/>
                <w:b/>
                <w:color w:val="000000"/>
                <w:kern w:val="0"/>
                <w:szCs w:val="21"/>
                <w:lang w:val="zh-CN"/>
              </w:rPr>
              <w:fldChar w:fldCharType="end"/>
            </w:r>
            <w:r>
              <w:rPr>
                <w:rFonts w:hint="eastAsia" w:ascii="宋体" w:hAnsi="宋体" w:cs="宋体"/>
                <w:bCs/>
                <w:szCs w:val="21"/>
                <w:lang w:val="zh-CN"/>
              </w:rPr>
              <w:t>不允许</w:t>
            </w:r>
            <w:r>
              <w:rPr>
                <w:rFonts w:ascii="宋体" w:hAnsi="宋体" w:cs="宋体"/>
                <w:bCs/>
                <w:szCs w:val="21"/>
                <w:lang w:val="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ascii="宋体" w:hAnsi="宋体" w:cs="黑体"/>
                <w:szCs w:val="21"/>
              </w:rPr>
              <w:t>12</w:t>
            </w:r>
          </w:p>
        </w:tc>
        <w:tc>
          <w:tcPr>
            <w:tcW w:w="2268" w:type="dxa"/>
            <w:vAlign w:val="center"/>
          </w:tcPr>
          <w:p>
            <w:pPr>
              <w:autoSpaceDE w:val="0"/>
              <w:autoSpaceDN w:val="0"/>
              <w:adjustRightInd w:val="0"/>
              <w:spacing w:line="360" w:lineRule="auto"/>
              <w:jc w:val="center"/>
              <w:rPr>
                <w:rFonts w:cs="宋体" w:asciiTheme="minorEastAsia" w:hAnsiTheme="minorEastAsia"/>
                <w:bCs/>
                <w:color w:val="FF0000"/>
                <w:szCs w:val="21"/>
                <w:lang w:val="zh-CN"/>
              </w:rPr>
            </w:pPr>
            <w:r>
              <w:rPr>
                <w:rFonts w:hint="eastAsia" w:cs="宋体" w:asciiTheme="minorEastAsia" w:hAnsiTheme="minorEastAsia"/>
                <w:bCs/>
                <w:color w:val="FF0000"/>
                <w:szCs w:val="21"/>
                <w:lang w:val="zh-CN"/>
              </w:rPr>
              <w:t>投标截止及开标时间</w:t>
            </w:r>
          </w:p>
        </w:tc>
        <w:tc>
          <w:tcPr>
            <w:tcW w:w="6813" w:type="dxa"/>
            <w:vAlign w:val="center"/>
          </w:tcPr>
          <w:p>
            <w:pPr>
              <w:autoSpaceDE w:val="0"/>
              <w:autoSpaceDN w:val="0"/>
              <w:adjustRightInd w:val="0"/>
              <w:spacing w:line="360" w:lineRule="auto"/>
              <w:rPr>
                <w:rFonts w:cs="宋体" w:asciiTheme="minorEastAsia" w:hAnsiTheme="minorEastAsia"/>
                <w:bCs/>
                <w:color w:val="FF0000"/>
                <w:szCs w:val="21"/>
                <w:lang w:val="zh-CN"/>
              </w:rPr>
            </w:pPr>
            <w:r>
              <w:rPr>
                <w:rFonts w:hint="eastAsia" w:cs="宋体" w:asciiTheme="minorEastAsia" w:hAnsiTheme="minorEastAsia"/>
                <w:bCs/>
                <w:color w:val="FF0000"/>
                <w:szCs w:val="21"/>
                <w:lang w:val="zh-CN"/>
              </w:rPr>
              <w:t>2020年</w:t>
            </w:r>
            <w:r>
              <w:rPr>
                <w:rFonts w:hint="eastAsia" w:cs="宋体" w:asciiTheme="minorEastAsia" w:hAnsiTheme="minorEastAsia"/>
                <w:bCs/>
                <w:color w:val="FF0000"/>
                <w:szCs w:val="21"/>
                <w:lang w:val="en-US" w:eastAsia="zh-CN"/>
              </w:rPr>
              <w:t>03</w:t>
            </w:r>
            <w:r>
              <w:rPr>
                <w:rFonts w:hint="eastAsia" w:cs="宋体" w:asciiTheme="minorEastAsia" w:hAnsiTheme="minorEastAsia"/>
                <w:bCs/>
                <w:color w:val="FF0000"/>
                <w:szCs w:val="21"/>
                <w:lang w:val="zh-CN"/>
              </w:rPr>
              <w:t>月</w:t>
            </w:r>
            <w:r>
              <w:rPr>
                <w:rFonts w:hint="eastAsia" w:cs="宋体" w:asciiTheme="minorEastAsia" w:hAnsiTheme="minorEastAsia"/>
                <w:bCs/>
                <w:color w:val="FF0000"/>
                <w:szCs w:val="21"/>
                <w:lang w:val="en-US" w:eastAsia="zh-CN"/>
              </w:rPr>
              <w:t>23</w:t>
            </w:r>
            <w:r>
              <w:rPr>
                <w:rFonts w:hint="eastAsia" w:cs="宋体" w:asciiTheme="minorEastAsia" w:hAnsiTheme="minorEastAsia"/>
                <w:bCs/>
                <w:color w:val="FF0000"/>
                <w:szCs w:val="21"/>
                <w:lang w:val="zh-CN"/>
              </w:rPr>
              <w:t>日</w:t>
            </w:r>
            <w:r>
              <w:rPr>
                <w:rFonts w:hint="eastAsia" w:cs="宋体" w:asciiTheme="minorEastAsia" w:hAnsiTheme="minorEastAsia"/>
                <w:bCs/>
                <w:color w:val="FF0000"/>
                <w:szCs w:val="21"/>
                <w:lang w:val="en-US" w:eastAsia="zh-CN"/>
              </w:rPr>
              <w:t>08</w:t>
            </w:r>
            <w:r>
              <w:rPr>
                <w:rFonts w:hint="eastAsia" w:cs="宋体" w:asciiTheme="minorEastAsia" w:hAnsiTheme="minorEastAsia"/>
                <w:bCs/>
                <w:color w:val="FF0000"/>
                <w:szCs w:val="21"/>
                <w:lang w:val="zh-CN"/>
              </w:rPr>
              <w:t>时</w:t>
            </w:r>
            <w:r>
              <w:rPr>
                <w:rFonts w:hint="eastAsia" w:cs="宋体" w:asciiTheme="minorEastAsia" w:hAnsiTheme="minorEastAsia"/>
                <w:bCs/>
                <w:color w:val="FF0000"/>
                <w:szCs w:val="21"/>
                <w:lang w:val="en-US" w:eastAsia="zh-CN"/>
              </w:rPr>
              <w:t>30</w:t>
            </w:r>
            <w:r>
              <w:rPr>
                <w:rFonts w:hint="eastAsia" w:cs="宋体" w:asciiTheme="minorEastAsia" w:hAnsiTheme="minorEastAsia"/>
                <w:bCs/>
                <w:color w:val="FF0000"/>
                <w:szCs w:val="21"/>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ascii="宋体" w:hAnsi="宋体" w:cs="黑体"/>
                <w:szCs w:val="21"/>
              </w:rPr>
              <w:t>13</w:t>
            </w:r>
          </w:p>
        </w:tc>
        <w:tc>
          <w:tcPr>
            <w:tcW w:w="2268" w:type="dxa"/>
            <w:vAlign w:val="center"/>
          </w:tcPr>
          <w:p>
            <w:pPr>
              <w:autoSpaceDE w:val="0"/>
              <w:autoSpaceDN w:val="0"/>
              <w:adjustRightInd w:val="0"/>
              <w:spacing w:line="360" w:lineRule="auto"/>
              <w:jc w:val="center"/>
              <w:rPr>
                <w:rFonts w:cs="黑体" w:asciiTheme="minorEastAsia" w:hAnsiTheme="minorEastAsia"/>
                <w:color w:val="FF0000"/>
                <w:szCs w:val="21"/>
              </w:rPr>
            </w:pPr>
            <w:r>
              <w:rPr>
                <w:rFonts w:hint="eastAsia" w:cs="黑体" w:asciiTheme="minorEastAsia" w:hAnsiTheme="minorEastAsia"/>
                <w:color w:val="FF0000"/>
                <w:szCs w:val="21"/>
              </w:rPr>
              <w:t>开标地点</w:t>
            </w:r>
          </w:p>
        </w:tc>
        <w:tc>
          <w:tcPr>
            <w:tcW w:w="6813" w:type="dxa"/>
            <w:vAlign w:val="center"/>
          </w:tcPr>
          <w:p>
            <w:pPr>
              <w:autoSpaceDE w:val="0"/>
              <w:autoSpaceDN w:val="0"/>
              <w:adjustRightInd w:val="0"/>
              <w:spacing w:line="360" w:lineRule="auto"/>
              <w:rPr>
                <w:rFonts w:cs="宋体" w:asciiTheme="minorEastAsia" w:hAnsiTheme="minorEastAsia"/>
                <w:bCs/>
                <w:color w:val="FF0000"/>
                <w:szCs w:val="21"/>
                <w:lang w:val="zh-CN"/>
              </w:rPr>
            </w:pPr>
            <w:r>
              <w:rPr>
                <w:rFonts w:hint="eastAsia" w:cs="仿宋_GB2312" w:asciiTheme="minorEastAsia" w:hAnsiTheme="minorEastAsia"/>
                <w:color w:val="FF0000"/>
                <w:szCs w:val="21"/>
              </w:rPr>
              <w:t>许昌市公共资源交易中心三楼开标</w:t>
            </w:r>
            <w:r>
              <w:rPr>
                <w:rFonts w:hint="eastAsia" w:cs="仿宋_GB2312" w:asciiTheme="minorEastAsia" w:hAnsiTheme="minorEastAsia"/>
                <w:color w:val="FF0000"/>
                <w:szCs w:val="21"/>
                <w:u w:val="single"/>
                <w:lang w:val="en-US" w:eastAsia="zh-CN"/>
              </w:rPr>
              <w:t xml:space="preserve"> 四 </w:t>
            </w:r>
            <w:r>
              <w:rPr>
                <w:rFonts w:hint="eastAsia" w:cs="仿宋_GB2312" w:asciiTheme="minorEastAsia" w:hAnsiTheme="minorEastAsia"/>
                <w:color w:val="FF0000"/>
                <w:szCs w:val="21"/>
              </w:rPr>
              <w:t>室（</w:t>
            </w:r>
            <w:r>
              <w:rPr>
                <w:rFonts w:hint="eastAsia" w:cs="Arial" w:asciiTheme="minorEastAsia" w:hAnsiTheme="minorEastAsia"/>
                <w:b/>
                <w:color w:val="FF0000"/>
                <w:szCs w:val="21"/>
              </w:rPr>
              <w:t>本项目采用远程不见面开标，投标人无须到交易中心现场</w:t>
            </w:r>
            <w:r>
              <w:rPr>
                <w:rFonts w:hint="eastAsia" w:cs="Arial" w:asciiTheme="minorEastAsia" w:hAnsiTheme="minorEastAsia"/>
                <w:color w:val="FF0000"/>
                <w:szCs w:val="21"/>
              </w:rPr>
              <w:t>）</w:t>
            </w:r>
            <w:r>
              <w:rPr>
                <w:rFonts w:hint="eastAsia" w:cs="仿宋_GB2312" w:asciiTheme="minorEastAsia" w:hAnsiTheme="minorEastAsia"/>
                <w:color w:val="FF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ascii="宋体" w:hAnsi="宋体" w:cs="黑体"/>
                <w:szCs w:val="21"/>
              </w:rPr>
              <w:t>14</w:t>
            </w:r>
          </w:p>
        </w:tc>
        <w:tc>
          <w:tcPr>
            <w:tcW w:w="2268" w:type="dxa"/>
            <w:vAlign w:val="center"/>
          </w:tcPr>
          <w:p>
            <w:pPr>
              <w:autoSpaceDE w:val="0"/>
              <w:autoSpaceDN w:val="0"/>
              <w:adjustRightInd w:val="0"/>
              <w:spacing w:line="276" w:lineRule="auto"/>
              <w:jc w:val="center"/>
              <w:rPr>
                <w:rFonts w:ascii="宋体" w:cs="宋体"/>
                <w:b/>
                <w:bCs/>
                <w:szCs w:val="21"/>
                <w:lang w:val="zh-CN"/>
              </w:rPr>
            </w:pPr>
            <w:r>
              <w:rPr>
                <w:rFonts w:hint="eastAsia" w:ascii="宋体" w:hAnsi="宋体" w:cs="宋体"/>
                <w:b/>
                <w:bCs/>
                <w:kern w:val="0"/>
                <w:szCs w:val="21"/>
              </w:rPr>
              <w:t>投标保证金</w:t>
            </w:r>
          </w:p>
        </w:tc>
        <w:tc>
          <w:tcPr>
            <w:tcW w:w="6813" w:type="dxa"/>
            <w:vAlign w:val="center"/>
          </w:tcPr>
          <w:p>
            <w:pPr>
              <w:tabs>
                <w:tab w:val="left" w:pos="1260"/>
              </w:tabs>
              <w:autoSpaceDE w:val="0"/>
              <w:autoSpaceDN w:val="0"/>
              <w:adjustRightInd w:val="0"/>
              <w:spacing w:line="360" w:lineRule="auto"/>
              <w:contextualSpacing/>
              <w:rPr>
                <w:rFonts w:ascii="宋体" w:cs="仿宋_GB2312"/>
                <w:b/>
                <w:bCs/>
                <w:szCs w:val="21"/>
                <w:lang w:val="zh-CN"/>
              </w:rPr>
            </w:pPr>
            <w:r>
              <w:rPr>
                <w:rFonts w:hint="eastAsia" w:ascii="宋体" w:hAnsi="宋体" w:cs="仿宋_GB2312"/>
                <w:b/>
                <w:bCs/>
                <w:szCs w:val="21"/>
                <w:lang w:val="zh-CN"/>
              </w:rPr>
              <w:t>本项目不收取。</w:t>
            </w:r>
          </w:p>
          <w:p>
            <w:pPr>
              <w:tabs>
                <w:tab w:val="left" w:pos="1260"/>
              </w:tabs>
              <w:autoSpaceDE w:val="0"/>
              <w:autoSpaceDN w:val="0"/>
              <w:adjustRightInd w:val="0"/>
              <w:spacing w:line="360" w:lineRule="auto"/>
              <w:contextualSpacing/>
              <w:rPr>
                <w:rFonts w:ascii="宋体" w:cs="仿宋_GB2312"/>
                <w:b/>
                <w:bCs/>
                <w:szCs w:val="21"/>
                <w:lang w:val="zh-CN"/>
              </w:rPr>
            </w:pPr>
            <w:r>
              <w:rPr>
                <w:rFonts w:hint="eastAsia" w:ascii="宋体" w:hAnsi="宋体" w:cs="仿宋_GB2312"/>
                <w:b/>
                <w:bCs/>
                <w:szCs w:val="21"/>
                <w:lang w:val="zh-CN"/>
              </w:rPr>
              <w:t>投标人应提供投标承诺函。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ascii="宋体" w:hAnsi="宋体" w:cs="黑体"/>
                <w:szCs w:val="21"/>
              </w:rPr>
              <w:t>15</w:t>
            </w:r>
          </w:p>
        </w:tc>
        <w:tc>
          <w:tcPr>
            <w:tcW w:w="2268" w:type="dxa"/>
            <w:vAlign w:val="center"/>
          </w:tcPr>
          <w:p>
            <w:pPr>
              <w:autoSpaceDE w:val="0"/>
              <w:autoSpaceDN w:val="0"/>
              <w:adjustRightInd w:val="0"/>
              <w:spacing w:line="276" w:lineRule="auto"/>
              <w:jc w:val="center"/>
              <w:rPr>
                <w:rFonts w:ascii="宋体" w:cs="仿宋_GB2312"/>
                <w:szCs w:val="21"/>
              </w:rPr>
            </w:pPr>
            <w:r>
              <w:rPr>
                <w:rFonts w:hint="eastAsia" w:ascii="宋体" w:hAnsi="宋体" w:cs="仿宋_GB2312"/>
                <w:szCs w:val="21"/>
              </w:rPr>
              <w:t>公告发布</w:t>
            </w:r>
          </w:p>
        </w:tc>
        <w:tc>
          <w:tcPr>
            <w:tcW w:w="6813" w:type="dxa"/>
            <w:vAlign w:val="center"/>
          </w:tcPr>
          <w:p>
            <w:pPr>
              <w:autoSpaceDE w:val="0"/>
              <w:autoSpaceDN w:val="0"/>
              <w:adjustRightInd w:val="0"/>
              <w:spacing w:line="360" w:lineRule="auto"/>
              <w:rPr>
                <w:rFonts w:ascii="宋体" w:cs="宋体"/>
                <w:bCs/>
                <w:szCs w:val="21"/>
                <w:lang w:val="zh-CN"/>
              </w:rPr>
            </w:pPr>
            <w:r>
              <w:rPr>
                <w:rFonts w:hint="eastAsia" w:ascii="宋体" w:hAnsi="宋体" w:cs="宋体"/>
                <w:color w:val="000000"/>
                <w:szCs w:val="21"/>
              </w:rPr>
              <w:t>招标公告、中标公告、变更（更正）公告、现场勘察答复等相关信息同时在以下网站发布：《中国政府采购网》、《河南省政府采购网》、《许昌市政府采购网》、《全国公共资源交易平台（河南省·许昌市）》、《</w:t>
            </w:r>
            <w:r>
              <w:fldChar w:fldCharType="begin"/>
            </w:r>
            <w:r>
              <w:instrText xml:space="preserve"> HYPERLINK "https://www.baidu.com/link?url=8rmedzOhlAuXDcXgh4Ih79cf3oX63OtO_HyxHSCPnTT6Bb4nFcbI-6b-kaJFEjJrZKGkaq6fZ0YCvibRAKulsXONz3kZBFBKcnun2fra-tu&amp;wd=&amp;eqid=f166cd3a00044721000000025acd62c1" \t "_blank" </w:instrText>
            </w:r>
            <w:r>
              <w:fldChar w:fldCharType="separate"/>
            </w:r>
            <w:r>
              <w:rPr>
                <w:rFonts w:hint="eastAsia" w:ascii="宋体" w:hAnsi="宋体" w:cs="宋体"/>
                <w:color w:val="000000"/>
                <w:szCs w:val="21"/>
              </w:rPr>
              <w:t>中国·许昌许昌市政府网</w:t>
            </w:r>
            <w:r>
              <w:rPr>
                <w:rFonts w:hint="eastAsia" w:ascii="宋体" w:hAnsi="宋体" w:cs="宋体"/>
                <w:color w:val="000000"/>
                <w:szCs w:val="21"/>
              </w:rPr>
              <w:fldChar w:fldCharType="end"/>
            </w:r>
            <w:r>
              <w:rPr>
                <w:rFonts w:hint="eastAsia" w:ascii="宋体" w:hAnsi="宋体" w:cs="宋体"/>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ascii="宋体" w:hAnsi="宋体" w:cs="黑体"/>
                <w:szCs w:val="21"/>
              </w:rPr>
              <w:t>16</w:t>
            </w:r>
          </w:p>
        </w:tc>
        <w:tc>
          <w:tcPr>
            <w:tcW w:w="2268" w:type="dxa"/>
            <w:vAlign w:val="center"/>
          </w:tcPr>
          <w:p>
            <w:pPr>
              <w:autoSpaceDE w:val="0"/>
              <w:autoSpaceDN w:val="0"/>
              <w:adjustRightInd w:val="0"/>
              <w:spacing w:line="360" w:lineRule="auto"/>
              <w:jc w:val="center"/>
              <w:rPr>
                <w:rFonts w:ascii="宋体" w:cs="仿宋_GB2312"/>
                <w:szCs w:val="21"/>
              </w:rPr>
            </w:pPr>
            <w:r>
              <w:rPr>
                <w:rFonts w:hint="eastAsia" w:ascii="宋体" w:hAnsi="宋体" w:cs="仿宋_GB2312"/>
                <w:szCs w:val="21"/>
              </w:rPr>
              <w:t>采购人澄清或修改</w:t>
            </w:r>
          </w:p>
          <w:p>
            <w:pPr>
              <w:autoSpaceDE w:val="0"/>
              <w:autoSpaceDN w:val="0"/>
              <w:adjustRightInd w:val="0"/>
              <w:spacing w:line="360" w:lineRule="auto"/>
              <w:jc w:val="center"/>
              <w:rPr>
                <w:rFonts w:ascii="宋体" w:cs="黑体"/>
                <w:szCs w:val="21"/>
              </w:rPr>
            </w:pPr>
            <w:r>
              <w:rPr>
                <w:rFonts w:hint="eastAsia" w:ascii="宋体" w:hAnsi="宋体" w:cs="仿宋_GB2312"/>
                <w:szCs w:val="21"/>
              </w:rPr>
              <w:t>招标文件时间</w:t>
            </w:r>
          </w:p>
        </w:tc>
        <w:tc>
          <w:tcPr>
            <w:tcW w:w="6813" w:type="dxa"/>
            <w:vAlign w:val="center"/>
          </w:tcPr>
          <w:p>
            <w:pPr>
              <w:autoSpaceDE w:val="0"/>
              <w:autoSpaceDN w:val="0"/>
              <w:adjustRightInd w:val="0"/>
              <w:spacing w:line="360" w:lineRule="auto"/>
              <w:rPr>
                <w:rFonts w:ascii="宋体" w:cs="宋体"/>
                <w:bCs/>
                <w:szCs w:val="21"/>
                <w:lang w:val="zh-CN"/>
              </w:rPr>
            </w:pPr>
            <w:r>
              <w:rPr>
                <w:rFonts w:hint="eastAsia" w:ascii="宋体" w:hAnsi="宋体" w:cs="宋体"/>
                <w:bCs/>
                <w:szCs w:val="21"/>
                <w:lang w:val="zh-CN"/>
              </w:rPr>
              <w:t>投标截止时间</w:t>
            </w:r>
            <w:r>
              <w:rPr>
                <w:rFonts w:ascii="宋体" w:hAnsi="宋体" w:cs="宋体"/>
                <w:bCs/>
                <w:szCs w:val="21"/>
                <w:lang w:val="zh-CN"/>
              </w:rPr>
              <w:t>15</w:t>
            </w:r>
            <w:r>
              <w:rPr>
                <w:rFonts w:hint="eastAsia" w:ascii="宋体" w:hAnsi="宋体" w:cs="宋体"/>
                <w:bCs/>
                <w:szCs w:val="21"/>
                <w:lang w:val="zh-CN"/>
              </w:rPr>
              <w:t>日前（</w:t>
            </w:r>
            <w:r>
              <w:rPr>
                <w:rFonts w:hint="eastAsia" w:ascii="宋体" w:hAnsi="宋体" w:cs="仿宋_GB2312"/>
                <w:szCs w:val="21"/>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ascii="宋体" w:hAnsi="宋体" w:cs="黑体"/>
                <w:szCs w:val="21"/>
              </w:rPr>
              <w:t>17</w:t>
            </w:r>
          </w:p>
        </w:tc>
        <w:tc>
          <w:tcPr>
            <w:tcW w:w="2268" w:type="dxa"/>
            <w:vAlign w:val="center"/>
          </w:tcPr>
          <w:p>
            <w:pPr>
              <w:autoSpaceDE w:val="0"/>
              <w:autoSpaceDN w:val="0"/>
              <w:adjustRightInd w:val="0"/>
              <w:spacing w:line="360" w:lineRule="auto"/>
              <w:jc w:val="center"/>
              <w:rPr>
                <w:rFonts w:ascii="宋体" w:cs="黑体"/>
                <w:szCs w:val="21"/>
              </w:rPr>
            </w:pPr>
            <w:r>
              <w:rPr>
                <w:rFonts w:hint="eastAsia" w:ascii="宋体" w:hAnsi="宋体" w:cs="黑体"/>
                <w:szCs w:val="21"/>
              </w:rPr>
              <w:t>投标人对采购文件</w:t>
            </w:r>
          </w:p>
          <w:p>
            <w:pPr>
              <w:autoSpaceDE w:val="0"/>
              <w:autoSpaceDN w:val="0"/>
              <w:adjustRightInd w:val="0"/>
              <w:spacing w:line="360" w:lineRule="auto"/>
              <w:jc w:val="center"/>
              <w:rPr>
                <w:rFonts w:ascii="宋体" w:cs="黑体"/>
                <w:szCs w:val="21"/>
              </w:rPr>
            </w:pPr>
            <w:r>
              <w:rPr>
                <w:rFonts w:hint="eastAsia" w:ascii="宋体" w:hAnsi="宋体" w:cs="黑体"/>
                <w:szCs w:val="21"/>
              </w:rPr>
              <w:t>质疑截止时间</w:t>
            </w:r>
          </w:p>
        </w:tc>
        <w:tc>
          <w:tcPr>
            <w:tcW w:w="6813" w:type="dxa"/>
            <w:vAlign w:val="center"/>
          </w:tcPr>
          <w:p>
            <w:pPr>
              <w:autoSpaceDE w:val="0"/>
              <w:autoSpaceDN w:val="0"/>
              <w:adjustRightInd w:val="0"/>
              <w:spacing w:line="360" w:lineRule="auto"/>
              <w:rPr>
                <w:rFonts w:ascii="宋体" w:cs="宋体"/>
                <w:bCs/>
                <w:szCs w:val="21"/>
                <w:lang w:val="zh-CN"/>
              </w:rPr>
            </w:pPr>
            <w:r>
              <w:rPr>
                <w:rFonts w:hint="eastAsia" w:ascii="宋体" w:hAnsi="宋体" w:cs="宋体"/>
                <w:bCs/>
                <w:szCs w:val="21"/>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ascii="宋体" w:hAnsi="宋体" w:cs="黑体"/>
                <w:szCs w:val="21"/>
              </w:rPr>
              <w:t>18</w:t>
            </w:r>
          </w:p>
        </w:tc>
        <w:tc>
          <w:tcPr>
            <w:tcW w:w="2268" w:type="dxa"/>
            <w:vAlign w:val="center"/>
          </w:tcPr>
          <w:p>
            <w:pPr>
              <w:autoSpaceDE w:val="0"/>
              <w:autoSpaceDN w:val="0"/>
              <w:adjustRightInd w:val="0"/>
              <w:spacing w:line="360" w:lineRule="auto"/>
              <w:jc w:val="center"/>
              <w:rPr>
                <w:rFonts w:ascii="宋体" w:cs="黑体"/>
                <w:szCs w:val="21"/>
                <w:highlight w:val="yellow"/>
              </w:rPr>
            </w:pPr>
            <w:r>
              <w:rPr>
                <w:rFonts w:hint="eastAsia" w:ascii="宋体" w:hAnsi="宋体" w:cs="黑体"/>
                <w:szCs w:val="21"/>
              </w:rPr>
              <w:t>投标文件份数</w:t>
            </w:r>
          </w:p>
        </w:tc>
        <w:tc>
          <w:tcPr>
            <w:tcW w:w="6813" w:type="dxa"/>
            <w:vAlign w:val="center"/>
          </w:tcPr>
          <w:p>
            <w:pPr>
              <w:autoSpaceDE w:val="0"/>
              <w:autoSpaceDN w:val="0"/>
              <w:adjustRightInd w:val="0"/>
              <w:spacing w:line="360" w:lineRule="auto"/>
              <w:rPr>
                <w:rFonts w:cs="宋体" w:asciiTheme="minorEastAsia" w:hAnsiTheme="minorEastAsia"/>
                <w:color w:val="FF0000"/>
                <w:szCs w:val="21"/>
              </w:rPr>
            </w:pPr>
            <w:r>
              <w:rPr>
                <w:rFonts w:ascii="新宋体" w:hAnsi="新宋体" w:eastAsia="新宋体"/>
                <w:b/>
                <w:color w:val="FF0000"/>
                <w:szCs w:val="21"/>
              </w:rPr>
              <w:fldChar w:fldCharType="begin"/>
            </w:r>
            <w:r>
              <w:rPr>
                <w:rFonts w:ascii="新宋体" w:hAnsi="新宋体" w:eastAsia="新宋体"/>
                <w:b/>
                <w:color w:val="FF0000"/>
                <w:szCs w:val="21"/>
              </w:rPr>
              <w:instrText xml:space="preserve"> </w:instrText>
            </w:r>
            <w:r>
              <w:rPr>
                <w:rFonts w:hint="eastAsia" w:ascii="新宋体" w:hAnsi="新宋体" w:eastAsia="新宋体"/>
                <w:b/>
                <w:color w:val="FF0000"/>
                <w:szCs w:val="21"/>
              </w:rPr>
              <w:instrText xml:space="preserve">eq \o\ac(□,√)</w:instrText>
            </w:r>
            <w:r>
              <w:rPr>
                <w:rFonts w:ascii="新宋体" w:hAnsi="新宋体" w:eastAsia="新宋体"/>
                <w:b/>
                <w:color w:val="FF0000"/>
                <w:szCs w:val="21"/>
              </w:rPr>
              <w:fldChar w:fldCharType="end"/>
            </w:r>
            <w:r>
              <w:rPr>
                <w:rFonts w:hint="eastAsia" w:ascii="新宋体" w:hAnsi="新宋体" w:eastAsia="新宋体"/>
                <w:color w:val="FF0000"/>
                <w:szCs w:val="21"/>
              </w:rPr>
              <w:t>电子投标文件：成功上传至《全国公共资源交易平台（河南省·许昌市）》公共资源交易系统加密电子投标文件1份</w:t>
            </w:r>
            <w:r>
              <w:rPr>
                <w:rFonts w:hint="eastAsia" w:hAnsi="宋体" w:cs="宋体"/>
                <w:color w:val="FF0000"/>
                <w:szCs w:val="21"/>
                <w:lang w:val="zh-CN"/>
              </w:rPr>
              <w:t>（文件格式为： XXX公司XXX项目编号.file）。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ascii="宋体" w:hAnsi="宋体" w:cs="黑体"/>
                <w:szCs w:val="21"/>
              </w:rPr>
              <w:t>19</w:t>
            </w:r>
          </w:p>
        </w:tc>
        <w:tc>
          <w:tcPr>
            <w:tcW w:w="2268" w:type="dxa"/>
            <w:vAlign w:val="center"/>
          </w:tcPr>
          <w:p>
            <w:pPr>
              <w:autoSpaceDE w:val="0"/>
              <w:autoSpaceDN w:val="0"/>
              <w:adjustRightInd w:val="0"/>
              <w:spacing w:line="360" w:lineRule="auto"/>
              <w:jc w:val="center"/>
              <w:rPr>
                <w:rFonts w:ascii="宋体" w:cs="黑体"/>
                <w:szCs w:val="21"/>
              </w:rPr>
            </w:pPr>
            <w:r>
              <w:rPr>
                <w:rFonts w:hint="eastAsia" w:ascii="宋体" w:hAnsi="宋体" w:cs="黑体"/>
                <w:szCs w:val="21"/>
              </w:rPr>
              <w:t>投标文件的</w:t>
            </w:r>
          </w:p>
          <w:p>
            <w:pPr>
              <w:autoSpaceDE w:val="0"/>
              <w:autoSpaceDN w:val="0"/>
              <w:adjustRightInd w:val="0"/>
              <w:spacing w:line="360" w:lineRule="auto"/>
              <w:jc w:val="center"/>
              <w:rPr>
                <w:rFonts w:ascii="宋体" w:cs="黑体"/>
                <w:szCs w:val="21"/>
              </w:rPr>
            </w:pPr>
            <w:r>
              <w:rPr>
                <w:rFonts w:hint="eastAsia" w:ascii="宋体" w:hAnsi="宋体" w:cs="黑体"/>
                <w:szCs w:val="21"/>
              </w:rPr>
              <w:t>签署盖章</w:t>
            </w:r>
          </w:p>
        </w:tc>
        <w:tc>
          <w:tcPr>
            <w:tcW w:w="6813" w:type="dxa"/>
            <w:vAlign w:val="center"/>
          </w:tcPr>
          <w:p>
            <w:pPr>
              <w:autoSpaceDE w:val="0"/>
              <w:autoSpaceDN w:val="0"/>
              <w:adjustRightInd w:val="0"/>
              <w:spacing w:line="420" w:lineRule="exact"/>
              <w:rPr>
                <w:rFonts w:ascii="新宋体" w:hAnsi="新宋体" w:eastAsia="新宋体"/>
                <w:color w:val="FF0000"/>
                <w:szCs w:val="21"/>
              </w:rPr>
            </w:pPr>
            <w:r>
              <w:rPr>
                <w:rFonts w:ascii="新宋体" w:hAnsi="新宋体" w:eastAsia="新宋体"/>
                <w:b/>
                <w:color w:val="FF0000"/>
                <w:szCs w:val="21"/>
              </w:rPr>
              <w:fldChar w:fldCharType="begin"/>
            </w:r>
            <w:r>
              <w:rPr>
                <w:rFonts w:ascii="新宋体" w:hAnsi="新宋体" w:eastAsia="新宋体"/>
                <w:b/>
                <w:color w:val="FF0000"/>
                <w:szCs w:val="21"/>
              </w:rPr>
              <w:instrText xml:space="preserve">eq \o\ac(</w:instrText>
            </w:r>
            <w:r>
              <w:rPr>
                <w:rFonts w:hint="eastAsia" w:ascii="新宋体" w:hAnsi="新宋体" w:eastAsia="新宋体"/>
                <w:b/>
                <w:color w:val="FF0000"/>
                <w:szCs w:val="21"/>
              </w:rPr>
              <w:instrText xml:space="preserve">□</w:instrText>
            </w:r>
            <w:r>
              <w:rPr>
                <w:rFonts w:ascii="新宋体" w:hAnsi="新宋体" w:eastAsia="新宋体"/>
                <w:b/>
                <w:color w:val="FF0000"/>
                <w:szCs w:val="21"/>
              </w:rPr>
              <w:instrText xml:space="preserve">,</w:instrText>
            </w:r>
            <w:r>
              <w:rPr>
                <w:rFonts w:hint="eastAsia" w:ascii="新宋体" w:hAnsi="新宋体" w:eastAsia="新宋体"/>
                <w:b/>
                <w:color w:val="FF0000"/>
                <w:szCs w:val="21"/>
              </w:rPr>
              <w:instrText xml:space="preserve">√</w:instrText>
            </w:r>
            <w:r>
              <w:rPr>
                <w:rFonts w:ascii="新宋体" w:hAnsi="新宋体" w:eastAsia="新宋体"/>
                <w:b/>
                <w:color w:val="FF0000"/>
                <w:szCs w:val="21"/>
              </w:rPr>
              <w:instrText xml:space="preserve">)</w:instrText>
            </w:r>
            <w:r>
              <w:rPr>
                <w:rFonts w:ascii="新宋体" w:hAnsi="新宋体" w:eastAsia="新宋体"/>
                <w:b/>
                <w:color w:val="FF0000"/>
                <w:szCs w:val="21"/>
              </w:rPr>
              <w:fldChar w:fldCharType="end"/>
            </w:r>
            <w:r>
              <w:rPr>
                <w:rFonts w:hint="eastAsia" w:ascii="新宋体" w:hAnsi="新宋体" w:eastAsia="新宋体"/>
                <w:color w:val="FF0000"/>
                <w:szCs w:val="21"/>
              </w:rPr>
              <w:t>电子投标文件：按招标文件要求加盖投标人电子印章和法人电子印章。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TimesNewRomanPSMT"/>
                <w:szCs w:val="21"/>
              </w:rPr>
            </w:pPr>
            <w:r>
              <w:rPr>
                <w:rFonts w:ascii="宋体" w:hAnsi="宋体" w:cs="TimesNewRomanPSMT"/>
                <w:szCs w:val="21"/>
              </w:rPr>
              <w:t>20</w:t>
            </w:r>
          </w:p>
        </w:tc>
        <w:tc>
          <w:tcPr>
            <w:tcW w:w="2268" w:type="dxa"/>
            <w:vAlign w:val="center"/>
          </w:tcPr>
          <w:p>
            <w:pPr>
              <w:autoSpaceDE w:val="0"/>
              <w:autoSpaceDN w:val="0"/>
              <w:adjustRightInd w:val="0"/>
              <w:spacing w:line="360" w:lineRule="auto"/>
              <w:jc w:val="center"/>
              <w:rPr>
                <w:rFonts w:ascii="宋体" w:cs="仿宋_GB2312"/>
                <w:szCs w:val="21"/>
              </w:rPr>
            </w:pPr>
            <w:r>
              <w:rPr>
                <w:rFonts w:hint="eastAsia" w:ascii="宋体" w:hAnsi="宋体" w:cs="黑体"/>
                <w:szCs w:val="21"/>
              </w:rPr>
              <w:t>评标委员会组建</w:t>
            </w:r>
          </w:p>
        </w:tc>
        <w:tc>
          <w:tcPr>
            <w:tcW w:w="6813" w:type="dxa"/>
            <w:vAlign w:val="center"/>
          </w:tcPr>
          <w:p>
            <w:pPr>
              <w:autoSpaceDE w:val="0"/>
              <w:autoSpaceDN w:val="0"/>
              <w:adjustRightInd w:val="0"/>
              <w:spacing w:line="360" w:lineRule="auto"/>
              <w:rPr>
                <w:rFonts w:ascii="宋体" w:cs="仿宋_GB2312"/>
                <w:szCs w:val="21"/>
                <w:lang w:val="zh-CN"/>
              </w:rPr>
            </w:pPr>
            <w:r>
              <w:rPr>
                <w:rFonts w:ascii="新宋体" w:hAnsi="新宋体" w:eastAsia="新宋体"/>
                <w:b/>
                <w:szCs w:val="21"/>
              </w:rPr>
              <w:fldChar w:fldCharType="begin"/>
            </w:r>
            <w:r>
              <w:rPr>
                <w:rFonts w:ascii="新宋体" w:hAnsi="新宋体" w:eastAsia="新宋体"/>
                <w:b/>
                <w:szCs w:val="21"/>
              </w:rPr>
              <w:instrText xml:space="preserve">eq \o\ac(</w:instrText>
            </w:r>
            <w:r>
              <w:rPr>
                <w:rFonts w:hint="eastAsia" w:ascii="新宋体" w:hAnsi="新宋体" w:eastAsia="新宋体"/>
                <w:b/>
                <w:szCs w:val="21"/>
              </w:rPr>
              <w:instrText xml:space="preserve">□</w:instrText>
            </w:r>
            <w:r>
              <w:rPr>
                <w:rFonts w:ascii="新宋体" w:hAnsi="新宋体" w:eastAsia="新宋体"/>
                <w:b/>
                <w:szCs w:val="21"/>
              </w:rPr>
              <w:instrText xml:space="preserve">,</w:instrText>
            </w:r>
            <w:r>
              <w:rPr>
                <w:rFonts w:hint="eastAsia" w:ascii="新宋体" w:hAnsi="新宋体" w:eastAsia="新宋体"/>
                <w:b/>
                <w:szCs w:val="21"/>
              </w:rPr>
              <w:instrText xml:space="preserve">√</w:instrText>
            </w:r>
            <w:r>
              <w:rPr>
                <w:rFonts w:ascii="新宋体" w:hAnsi="新宋体" w:eastAsia="新宋体"/>
                <w:b/>
                <w:szCs w:val="21"/>
              </w:rPr>
              <w:instrText xml:space="preserve">)</w:instrText>
            </w:r>
            <w:r>
              <w:rPr>
                <w:rFonts w:ascii="新宋体" w:hAnsi="新宋体" w:eastAsia="新宋体"/>
                <w:b/>
                <w:szCs w:val="21"/>
              </w:rPr>
              <w:fldChar w:fldCharType="end"/>
            </w:r>
            <w:r>
              <w:rPr>
                <w:rFonts w:hint="eastAsia" w:ascii="宋体" w:hAnsi="宋体" w:cs="仿宋_GB2312"/>
                <w:szCs w:val="21"/>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ascii="宋体" w:hAnsi="宋体" w:cs="黑体"/>
                <w:szCs w:val="21"/>
              </w:rPr>
              <w:t>21</w:t>
            </w:r>
          </w:p>
        </w:tc>
        <w:tc>
          <w:tcPr>
            <w:tcW w:w="2268" w:type="dxa"/>
            <w:vAlign w:val="center"/>
          </w:tcPr>
          <w:p>
            <w:pPr>
              <w:autoSpaceDE w:val="0"/>
              <w:autoSpaceDN w:val="0"/>
              <w:adjustRightInd w:val="0"/>
              <w:spacing w:line="360" w:lineRule="auto"/>
              <w:jc w:val="center"/>
              <w:rPr>
                <w:rFonts w:ascii="宋体" w:cs="宋体"/>
                <w:bCs/>
                <w:szCs w:val="21"/>
                <w:lang w:val="zh-CN"/>
              </w:rPr>
            </w:pPr>
            <w:r>
              <w:rPr>
                <w:rFonts w:hint="eastAsia" w:ascii="宋体" w:hAnsi="宋体" w:cs="仿宋_GB2312"/>
                <w:szCs w:val="21"/>
              </w:rPr>
              <w:t>评标方法</w:t>
            </w:r>
          </w:p>
        </w:tc>
        <w:tc>
          <w:tcPr>
            <w:tcW w:w="6813" w:type="dxa"/>
            <w:vAlign w:val="center"/>
          </w:tcPr>
          <w:p>
            <w:pPr>
              <w:autoSpaceDE w:val="0"/>
              <w:autoSpaceDN w:val="0"/>
              <w:adjustRightInd w:val="0"/>
              <w:spacing w:line="360" w:lineRule="auto"/>
              <w:rPr>
                <w:rFonts w:ascii="宋体" w:cs="宋体"/>
                <w:bCs/>
                <w:szCs w:val="21"/>
                <w:lang w:val="zh-CN"/>
              </w:rPr>
            </w:pPr>
            <w:r>
              <w:rPr>
                <w:rFonts w:ascii="宋体" w:hAnsi="宋体" w:cs="宋体"/>
                <w:b/>
                <w:color w:val="000000"/>
                <w:kern w:val="0"/>
                <w:szCs w:val="21"/>
                <w:lang w:val="zh-CN"/>
              </w:rPr>
              <w:fldChar w:fldCharType="begin"/>
            </w:r>
            <w:r>
              <w:rPr>
                <w:rFonts w:ascii="宋体" w:hAnsi="宋体" w:cs="宋体"/>
                <w:b/>
                <w:color w:val="000000"/>
                <w:kern w:val="0"/>
                <w:szCs w:val="21"/>
                <w:lang w:val="zh-CN"/>
              </w:rPr>
              <w:instrText xml:space="preserve">eq \o\ac(</w:instrText>
            </w:r>
            <w:r>
              <w:rPr>
                <w:rFonts w:hint="eastAsia" w:ascii="宋体" w:hAnsi="宋体" w:cs="宋体"/>
                <w:b/>
                <w:color w:val="000000"/>
                <w:kern w:val="0"/>
                <w:szCs w:val="21"/>
                <w:lang w:val="zh-CN"/>
              </w:rPr>
              <w:instrText xml:space="preserve">□</w:instrText>
            </w:r>
            <w:r>
              <w:rPr>
                <w:rFonts w:ascii="宋体" w:hAnsi="宋体" w:cs="宋体"/>
                <w:b/>
                <w:color w:val="000000"/>
                <w:kern w:val="0"/>
                <w:szCs w:val="21"/>
                <w:lang w:val="zh-CN"/>
              </w:rPr>
              <w:instrText xml:space="preserve">,</w:instrText>
            </w:r>
            <w:r>
              <w:rPr>
                <w:rFonts w:hint="eastAsia" w:ascii="宋体" w:hAnsi="宋体" w:cs="宋体"/>
                <w:b/>
                <w:color w:val="000000"/>
                <w:kern w:val="0"/>
                <w:position w:val="2"/>
                <w:szCs w:val="21"/>
                <w:lang w:val="zh-CN"/>
              </w:rPr>
              <w:instrText xml:space="preserve">√</w:instrText>
            </w:r>
            <w:r>
              <w:rPr>
                <w:rFonts w:ascii="宋体" w:hAnsi="宋体" w:cs="宋体"/>
                <w:b/>
                <w:color w:val="000000"/>
                <w:kern w:val="0"/>
                <w:szCs w:val="21"/>
                <w:lang w:val="zh-CN"/>
              </w:rPr>
              <w:instrText xml:space="preserve">)</w:instrText>
            </w:r>
            <w:r>
              <w:rPr>
                <w:rFonts w:ascii="宋体" w:hAnsi="宋体" w:cs="宋体"/>
                <w:b/>
                <w:color w:val="000000"/>
                <w:kern w:val="0"/>
                <w:szCs w:val="21"/>
                <w:lang w:val="zh-CN"/>
              </w:rPr>
              <w:fldChar w:fldCharType="end"/>
            </w:r>
            <w:r>
              <w:rPr>
                <w:rFonts w:hint="eastAsia" w:ascii="宋体" w:hAnsi="宋体" w:cs="宋体"/>
                <w:bCs/>
                <w:szCs w:val="21"/>
                <w:lang w:val="zh-CN"/>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ascii="宋体" w:hAnsi="宋体" w:cs="黑体"/>
                <w:szCs w:val="21"/>
              </w:rPr>
              <w:t>22</w:t>
            </w:r>
          </w:p>
        </w:tc>
        <w:tc>
          <w:tcPr>
            <w:tcW w:w="2268" w:type="dxa"/>
            <w:vAlign w:val="center"/>
          </w:tcPr>
          <w:p>
            <w:pPr>
              <w:autoSpaceDE w:val="0"/>
              <w:autoSpaceDN w:val="0"/>
              <w:adjustRightInd w:val="0"/>
              <w:spacing w:line="360" w:lineRule="auto"/>
              <w:jc w:val="center"/>
              <w:rPr>
                <w:rFonts w:ascii="宋体" w:cs="宋体"/>
                <w:bCs/>
                <w:szCs w:val="21"/>
                <w:lang w:val="zh-CN"/>
              </w:rPr>
            </w:pPr>
            <w:r>
              <w:rPr>
                <w:rFonts w:hint="eastAsia" w:ascii="宋体" w:hAnsi="宋体" w:cs="宋体"/>
                <w:bCs/>
                <w:szCs w:val="21"/>
                <w:lang w:val="zh-CN"/>
              </w:rPr>
              <w:t>授权函</w:t>
            </w:r>
          </w:p>
        </w:tc>
        <w:tc>
          <w:tcPr>
            <w:tcW w:w="6813" w:type="dxa"/>
            <w:vAlign w:val="center"/>
          </w:tcPr>
          <w:p>
            <w:pPr>
              <w:autoSpaceDE w:val="0"/>
              <w:autoSpaceDN w:val="0"/>
              <w:adjustRightInd w:val="0"/>
              <w:spacing w:line="360" w:lineRule="auto"/>
              <w:rPr>
                <w:rFonts w:ascii="宋体" w:cs="宋体"/>
                <w:bCs/>
                <w:szCs w:val="21"/>
                <w:lang w:val="zh-CN"/>
              </w:rPr>
            </w:pPr>
            <w:r>
              <w:rPr>
                <w:rFonts w:hint="eastAsia" w:ascii="宋体" w:hAnsi="宋体" w:cs="仿宋_GB2312"/>
                <w:szCs w:val="21"/>
                <w:lang w:val="zh-CN"/>
              </w:rPr>
              <w:t>采购单位委派代表参加资格审</w:t>
            </w:r>
            <w:r>
              <w:rPr>
                <w:rFonts w:hint="eastAsia" w:ascii="新宋体" w:hAnsi="新宋体" w:eastAsia="新宋体"/>
                <w:szCs w:val="21"/>
              </w:rPr>
              <w:t>查、</w:t>
            </w:r>
            <w:r>
              <w:rPr>
                <w:rFonts w:hint="eastAsia" w:ascii="宋体" w:hAnsi="宋体" w:cs="仿宋_GB2312"/>
                <w:szCs w:val="21"/>
                <w:lang w:val="zh-CN"/>
              </w:rPr>
              <w:t>评审委员会的，须向采购代理机构出具授权函。除授权代表外，采购单位委派纪检监察人员对评标过程实施监督的须进入许昌市公共资源交易中心五楼电子监督室，并向采购代理机构出具授权函，且不得超过</w:t>
            </w:r>
            <w:r>
              <w:rPr>
                <w:rFonts w:ascii="宋体" w:hAnsi="宋体" w:cs="仿宋_GB2312"/>
                <w:szCs w:val="21"/>
                <w:lang w:val="zh-CN"/>
              </w:rPr>
              <w:t>2</w:t>
            </w:r>
            <w:r>
              <w:rPr>
                <w:rFonts w:hint="eastAsia" w:ascii="宋体" w:hAnsi="宋体" w:cs="仿宋_GB2312"/>
                <w:szCs w:val="21"/>
                <w:lang w:val="zh-CN"/>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ascii="宋体" w:hAnsi="宋体" w:cs="黑体"/>
                <w:szCs w:val="21"/>
              </w:rPr>
              <w:t>23</w:t>
            </w:r>
          </w:p>
        </w:tc>
        <w:tc>
          <w:tcPr>
            <w:tcW w:w="2268" w:type="dxa"/>
            <w:vAlign w:val="center"/>
          </w:tcPr>
          <w:p>
            <w:pPr>
              <w:autoSpaceDE w:val="0"/>
              <w:autoSpaceDN w:val="0"/>
              <w:adjustRightInd w:val="0"/>
              <w:spacing w:line="360" w:lineRule="auto"/>
              <w:jc w:val="center"/>
              <w:rPr>
                <w:rFonts w:ascii="宋体" w:cs="宋体"/>
                <w:bCs/>
                <w:szCs w:val="21"/>
                <w:lang w:val="zh-CN"/>
              </w:rPr>
            </w:pPr>
            <w:r>
              <w:rPr>
                <w:rFonts w:hint="eastAsia" w:ascii="宋体" w:hAnsi="宋体" w:cs="宋体"/>
                <w:bCs/>
                <w:szCs w:val="21"/>
                <w:lang w:val="zh-CN"/>
              </w:rPr>
              <w:t>履约保证金</w:t>
            </w:r>
          </w:p>
        </w:tc>
        <w:tc>
          <w:tcPr>
            <w:tcW w:w="6813" w:type="dxa"/>
            <w:vAlign w:val="center"/>
          </w:tcPr>
          <w:p>
            <w:pPr>
              <w:autoSpaceDE w:val="0"/>
              <w:autoSpaceDN w:val="0"/>
              <w:adjustRightInd w:val="0"/>
              <w:spacing w:line="360" w:lineRule="auto"/>
              <w:rPr>
                <w:rFonts w:ascii="宋体" w:cs="宋体"/>
                <w:kern w:val="0"/>
                <w:szCs w:val="21"/>
                <w:lang w:val="zh-CN"/>
              </w:rPr>
            </w:pPr>
            <w:r>
              <w:rPr>
                <w:rFonts w:ascii="宋体" w:hAnsi="宋体" w:cs="宋体"/>
                <w:b/>
                <w:kern w:val="0"/>
                <w:szCs w:val="21"/>
                <w:lang w:val="zh-CN"/>
              </w:rPr>
              <w:fldChar w:fldCharType="begin"/>
            </w:r>
            <w:r>
              <w:rPr>
                <w:rFonts w:ascii="宋体" w:hAnsi="宋体" w:cs="宋体"/>
                <w:b/>
                <w:kern w:val="0"/>
                <w:szCs w:val="21"/>
                <w:lang w:val="zh-CN"/>
              </w:rPr>
              <w:instrText xml:space="preserve">eq \o\ac(</w:instrText>
            </w:r>
            <w:r>
              <w:rPr>
                <w:rFonts w:hint="eastAsia" w:ascii="宋体" w:hAnsi="宋体" w:cs="宋体"/>
                <w:b/>
                <w:kern w:val="0"/>
                <w:szCs w:val="21"/>
                <w:lang w:val="zh-CN"/>
              </w:rPr>
              <w:instrText xml:space="preserve">□</w:instrText>
            </w:r>
            <w:r>
              <w:rPr>
                <w:rFonts w:ascii="宋体" w:hAnsi="宋体" w:cs="宋体"/>
                <w:b/>
                <w:kern w:val="0"/>
                <w:szCs w:val="21"/>
                <w:lang w:val="zh-CN"/>
              </w:rPr>
              <w:instrText xml:space="preserve">,</w:instrText>
            </w:r>
            <w:r>
              <w:rPr>
                <w:rFonts w:hint="eastAsia" w:ascii="宋体" w:hAnsi="宋体" w:cs="宋体"/>
                <w:b/>
                <w:kern w:val="0"/>
                <w:position w:val="2"/>
                <w:szCs w:val="21"/>
                <w:lang w:val="zh-CN"/>
              </w:rPr>
              <w:instrText xml:space="preserve">√</w:instrText>
            </w:r>
            <w:r>
              <w:rPr>
                <w:rFonts w:ascii="宋体" w:hAnsi="宋体" w:cs="宋体"/>
                <w:b/>
                <w:kern w:val="0"/>
                <w:szCs w:val="21"/>
                <w:lang w:val="zh-CN"/>
              </w:rPr>
              <w:instrText xml:space="preserve">)</w:instrText>
            </w:r>
            <w:r>
              <w:rPr>
                <w:rFonts w:ascii="宋体" w:hAnsi="宋体" w:cs="宋体"/>
                <w:b/>
                <w:kern w:val="0"/>
                <w:szCs w:val="21"/>
                <w:lang w:val="zh-CN"/>
              </w:rPr>
              <w:fldChar w:fldCharType="end"/>
            </w:r>
            <w:r>
              <w:rPr>
                <w:rFonts w:hint="eastAsia" w:ascii="宋体" w:hAnsi="宋体" w:cs="宋体"/>
                <w:bCs/>
                <w:szCs w:val="21"/>
                <w:lang w:val="zh-CN"/>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ascii="宋体" w:hAnsi="宋体" w:cs="黑体"/>
                <w:szCs w:val="21"/>
              </w:rPr>
              <w:t>24</w:t>
            </w:r>
          </w:p>
        </w:tc>
        <w:tc>
          <w:tcPr>
            <w:tcW w:w="2268" w:type="dxa"/>
            <w:vAlign w:val="center"/>
          </w:tcPr>
          <w:p>
            <w:pPr>
              <w:autoSpaceDE w:val="0"/>
              <w:autoSpaceDN w:val="0"/>
              <w:adjustRightInd w:val="0"/>
              <w:spacing w:line="360" w:lineRule="auto"/>
              <w:jc w:val="center"/>
              <w:rPr>
                <w:rFonts w:ascii="宋体" w:cs="宋体"/>
                <w:bCs/>
                <w:szCs w:val="21"/>
                <w:lang w:val="zh-CN"/>
              </w:rPr>
            </w:pPr>
            <w:r>
              <w:rPr>
                <w:rFonts w:hint="eastAsia" w:ascii="宋体" w:hAnsi="宋体" w:cs="宋体"/>
                <w:bCs/>
                <w:szCs w:val="21"/>
                <w:lang w:val="zh-CN"/>
              </w:rPr>
              <w:t>代理服务费</w:t>
            </w:r>
          </w:p>
        </w:tc>
        <w:tc>
          <w:tcPr>
            <w:tcW w:w="6813" w:type="dxa"/>
            <w:vAlign w:val="center"/>
          </w:tcPr>
          <w:p>
            <w:pPr>
              <w:autoSpaceDE w:val="0"/>
              <w:autoSpaceDN w:val="0"/>
              <w:spacing w:line="360" w:lineRule="auto"/>
              <w:contextualSpacing/>
              <w:rPr>
                <w:rFonts w:ascii="宋体" w:cs="宋体"/>
                <w:bCs/>
                <w:szCs w:val="21"/>
                <w:lang w:val="zh-CN"/>
              </w:rPr>
            </w:pPr>
            <w:r>
              <w:rPr>
                <w:rFonts w:ascii="宋体" w:hAnsi="宋体" w:cs="宋体"/>
                <w:b/>
                <w:kern w:val="0"/>
                <w:szCs w:val="21"/>
                <w:lang w:val="zh-CN"/>
              </w:rPr>
              <w:fldChar w:fldCharType="begin"/>
            </w:r>
            <w:r>
              <w:rPr>
                <w:rFonts w:ascii="宋体" w:hAnsi="宋体" w:cs="宋体"/>
                <w:b/>
                <w:kern w:val="0"/>
                <w:szCs w:val="21"/>
                <w:lang w:val="zh-CN"/>
              </w:rPr>
              <w:instrText xml:space="preserve">eq \o\ac(</w:instrText>
            </w:r>
            <w:r>
              <w:rPr>
                <w:rFonts w:hint="eastAsia" w:ascii="宋体" w:hAnsi="宋体" w:cs="宋体"/>
                <w:b/>
                <w:kern w:val="0"/>
                <w:szCs w:val="21"/>
                <w:lang w:val="zh-CN"/>
              </w:rPr>
              <w:instrText xml:space="preserve">□</w:instrText>
            </w:r>
            <w:r>
              <w:rPr>
                <w:rFonts w:ascii="宋体" w:hAnsi="宋体" w:cs="宋体"/>
                <w:b/>
                <w:kern w:val="0"/>
                <w:szCs w:val="21"/>
                <w:lang w:val="zh-CN"/>
              </w:rPr>
              <w:instrText xml:space="preserve">,</w:instrText>
            </w:r>
            <w:r>
              <w:rPr>
                <w:rFonts w:hint="eastAsia" w:ascii="宋体" w:hAnsi="宋体" w:cs="宋体"/>
                <w:b/>
                <w:kern w:val="0"/>
                <w:position w:val="2"/>
                <w:szCs w:val="21"/>
                <w:lang w:val="zh-CN"/>
              </w:rPr>
              <w:instrText xml:space="preserve">√</w:instrText>
            </w:r>
            <w:r>
              <w:rPr>
                <w:rFonts w:ascii="宋体" w:hAnsi="宋体" w:cs="宋体"/>
                <w:b/>
                <w:kern w:val="0"/>
                <w:szCs w:val="21"/>
                <w:lang w:val="zh-CN"/>
              </w:rPr>
              <w:instrText xml:space="preserve">)</w:instrText>
            </w:r>
            <w:r>
              <w:rPr>
                <w:rFonts w:ascii="宋体" w:hAnsi="宋体" w:cs="宋体"/>
                <w:b/>
                <w:kern w:val="0"/>
                <w:szCs w:val="21"/>
                <w:lang w:val="zh-CN"/>
              </w:rPr>
              <w:fldChar w:fldCharType="end"/>
            </w:r>
            <w:r>
              <w:rPr>
                <w:rFonts w:hint="eastAsia" w:ascii="宋体" w:hAnsi="宋体" w:cs="宋体"/>
                <w:bCs/>
                <w:szCs w:val="21"/>
                <w:lang w:val="zh-CN"/>
              </w:rPr>
              <w:t>收取中标人。</w:t>
            </w:r>
            <w:r>
              <w:rPr>
                <w:rFonts w:hint="eastAsia" w:ascii="宋体" w:hAnsi="宋体" w:cs="宋体"/>
                <w:szCs w:val="21"/>
              </w:rPr>
              <w:t>收取标准</w:t>
            </w:r>
            <w:r>
              <w:rPr>
                <w:rFonts w:ascii="宋体" w:hAnsi="宋体" w:cs="宋体"/>
                <w:szCs w:val="21"/>
              </w:rPr>
              <w:t>:</w:t>
            </w:r>
            <w:r>
              <w:rPr>
                <w:rFonts w:hint="eastAsia" w:ascii="宋体" w:hAnsi="宋体" w:cs="宋体"/>
                <w:szCs w:val="21"/>
              </w:rPr>
              <w:t>中标合同金额的</w:t>
            </w:r>
            <w:r>
              <w:rPr>
                <w:rFonts w:ascii="宋体" w:hAnsi="宋体" w:cs="宋体"/>
                <w:szCs w:val="21"/>
                <w:u w:val="single"/>
              </w:rPr>
              <w:t>1.5</w:t>
            </w:r>
            <w:r>
              <w:rPr>
                <w:rFonts w:ascii="宋体" w:hAnsi="宋体" w:cs="宋体"/>
                <w:szCs w:val="21"/>
              </w:rPr>
              <w:t>%</w:t>
            </w:r>
            <w:r>
              <w:rPr>
                <w:rFonts w:hint="eastAsia" w:ascii="宋体" w:hAnsi="宋体" w:cs="宋体"/>
                <w:szCs w:val="21"/>
              </w:rPr>
              <w:t>。一次性以银行划账、电汇、汇票或支票的形式支付。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ascii="宋体" w:hAnsi="宋体" w:cs="黑体"/>
                <w:szCs w:val="21"/>
              </w:rPr>
              <w:t>25</w:t>
            </w:r>
          </w:p>
        </w:tc>
        <w:tc>
          <w:tcPr>
            <w:tcW w:w="2268" w:type="dxa"/>
            <w:vAlign w:val="center"/>
          </w:tcPr>
          <w:p>
            <w:pPr>
              <w:autoSpaceDE w:val="0"/>
              <w:autoSpaceDN w:val="0"/>
              <w:adjustRightInd w:val="0"/>
              <w:spacing w:line="360" w:lineRule="auto"/>
              <w:jc w:val="center"/>
              <w:rPr>
                <w:rFonts w:ascii="宋体" w:cs="宋体"/>
                <w:bCs/>
                <w:szCs w:val="21"/>
                <w:lang w:val="zh-CN"/>
              </w:rPr>
            </w:pPr>
            <w:r>
              <w:rPr>
                <w:rFonts w:hint="eastAsia" w:ascii="宋体" w:hAnsi="宋体" w:cs="宋体"/>
                <w:bCs/>
                <w:szCs w:val="21"/>
                <w:lang w:val="zh-CN"/>
              </w:rPr>
              <w:t>中标人需提交</w:t>
            </w:r>
          </w:p>
          <w:p>
            <w:pPr>
              <w:autoSpaceDE w:val="0"/>
              <w:autoSpaceDN w:val="0"/>
              <w:adjustRightInd w:val="0"/>
              <w:spacing w:line="360" w:lineRule="auto"/>
              <w:jc w:val="center"/>
              <w:rPr>
                <w:rFonts w:ascii="宋体" w:cs="宋体"/>
                <w:bCs/>
                <w:szCs w:val="21"/>
                <w:lang w:val="zh-CN"/>
              </w:rPr>
            </w:pPr>
            <w:r>
              <w:rPr>
                <w:rFonts w:hint="eastAsia" w:ascii="宋体" w:hAnsi="宋体" w:cs="宋体"/>
                <w:bCs/>
                <w:szCs w:val="21"/>
                <w:lang w:val="zh-CN"/>
              </w:rPr>
              <w:t>的资料</w:t>
            </w:r>
          </w:p>
        </w:tc>
        <w:tc>
          <w:tcPr>
            <w:tcW w:w="6813" w:type="dxa"/>
            <w:vAlign w:val="center"/>
          </w:tcPr>
          <w:p>
            <w:pPr>
              <w:autoSpaceDE w:val="0"/>
              <w:autoSpaceDN w:val="0"/>
              <w:adjustRightInd w:val="0"/>
              <w:spacing w:line="360" w:lineRule="auto"/>
              <w:rPr>
                <w:rFonts w:ascii="宋体" w:cs="宋体"/>
                <w:bCs/>
                <w:szCs w:val="21"/>
                <w:lang w:val="zh-CN"/>
              </w:rPr>
            </w:pPr>
            <w:r>
              <w:rPr>
                <w:rFonts w:hint="eastAsia" w:ascii="宋体" w:hAnsi="宋体" w:cs="宋体"/>
                <w:bCs/>
                <w:szCs w:val="21"/>
                <w:lang w:val="zh-CN"/>
              </w:rPr>
              <w:t>中标人在接到中标通知时，须向代理机构发送投标报价及分项报价一览表（包含主要中标标的的名称、规格型号、数量、单价、服务要求等）电子文档，并同时通知代理机构联系人，联系电话：0374-8318599，邮箱：</w:t>
            </w:r>
            <w:r>
              <w:rPr>
                <w:rFonts w:hint="eastAsia" w:ascii="宋体" w:hAnsi="宋体" w:cs="宋体"/>
                <w:bCs/>
                <w:szCs w:val="21"/>
                <w:lang w:val="zh-CN"/>
              </w:rPr>
              <w:fldChar w:fldCharType="begin"/>
            </w:r>
            <w:r>
              <w:rPr>
                <w:rFonts w:hint="eastAsia" w:ascii="宋体" w:hAnsi="宋体" w:cs="宋体"/>
                <w:bCs/>
                <w:szCs w:val="21"/>
                <w:lang w:val="zh-CN"/>
              </w:rPr>
              <w:instrText xml:space="preserve"> HYPERLINK "mailto:hnhsdlxcgs@126.com"</w:instrText>
            </w:r>
            <w:r>
              <w:rPr>
                <w:rFonts w:hint="eastAsia" w:ascii="宋体" w:hAnsi="宋体" w:cs="宋体"/>
                <w:bCs/>
                <w:szCs w:val="21"/>
                <w:lang w:val="zh-CN"/>
              </w:rPr>
              <w:fldChar w:fldCharType="separate"/>
            </w:r>
            <w:r>
              <w:rPr>
                <w:rFonts w:hint="eastAsia" w:ascii="宋体" w:hAnsi="宋体" w:cs="宋体"/>
                <w:bCs/>
                <w:szCs w:val="21"/>
                <w:lang w:val="zh-CN"/>
              </w:rPr>
              <w:t>892189247@qq.com</w:t>
            </w:r>
            <w:r>
              <w:rPr>
                <w:rFonts w:hint="eastAsia" w:ascii="宋体" w:hAnsi="宋体" w:cs="宋体"/>
                <w:bCs/>
                <w:szCs w:val="21"/>
                <w:lang w:val="zh-CN"/>
              </w:rPr>
              <w:fldChar w:fldCharType="end"/>
            </w:r>
            <w:r>
              <w:rPr>
                <w:rFonts w:hint="eastAsia" w:ascii="宋体" w:hAnsi="宋体" w:cs="宋体"/>
                <w:bCs/>
                <w:szCs w:val="21"/>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ascii="宋体" w:hAnsi="宋体" w:cs="黑体"/>
                <w:szCs w:val="21"/>
              </w:rPr>
              <w:t>26</w:t>
            </w:r>
          </w:p>
        </w:tc>
        <w:tc>
          <w:tcPr>
            <w:tcW w:w="2268" w:type="dxa"/>
            <w:vAlign w:val="center"/>
          </w:tcPr>
          <w:p>
            <w:pPr>
              <w:autoSpaceDE w:val="0"/>
              <w:autoSpaceDN w:val="0"/>
              <w:adjustRightInd w:val="0"/>
              <w:spacing w:line="360" w:lineRule="auto"/>
              <w:jc w:val="center"/>
              <w:rPr>
                <w:rFonts w:ascii="宋体" w:cs="宋体"/>
                <w:bCs/>
                <w:szCs w:val="21"/>
                <w:lang w:val="zh-CN"/>
              </w:rPr>
            </w:pPr>
            <w:r>
              <w:rPr>
                <w:rFonts w:hint="eastAsia" w:ascii="宋体" w:hAnsi="宋体" w:cs="宋体"/>
                <w:bCs/>
                <w:szCs w:val="21"/>
                <w:lang w:val="zh-CN"/>
              </w:rPr>
              <w:t>电子化采购模式</w:t>
            </w:r>
          </w:p>
        </w:tc>
        <w:tc>
          <w:tcPr>
            <w:tcW w:w="6813" w:type="dxa"/>
            <w:vAlign w:val="center"/>
          </w:tcPr>
          <w:p>
            <w:pPr>
              <w:autoSpaceDE w:val="0"/>
              <w:autoSpaceDN w:val="0"/>
              <w:adjustRightInd w:val="0"/>
              <w:spacing w:line="360" w:lineRule="auto"/>
              <w:contextualSpacing/>
              <w:rPr>
                <w:rFonts w:hAnsi="宋体" w:cs="宋体"/>
                <w:szCs w:val="21"/>
                <w:lang w:val="zh-CN"/>
              </w:rPr>
            </w:pPr>
            <w:r>
              <w:rPr>
                <w:rFonts w:ascii="宋体" w:hAnsi="宋体" w:cs="宋体"/>
                <w:b/>
                <w:color w:val="000000"/>
                <w:kern w:val="0"/>
                <w:szCs w:val="21"/>
                <w:lang w:val="zh-CN"/>
              </w:rPr>
              <w:fldChar w:fldCharType="begin"/>
            </w:r>
            <w:r>
              <w:rPr>
                <w:rFonts w:ascii="宋体" w:hAnsi="宋体" w:cs="宋体"/>
                <w:b/>
                <w:color w:val="000000"/>
                <w:kern w:val="0"/>
                <w:szCs w:val="21"/>
                <w:lang w:val="zh-CN"/>
              </w:rPr>
              <w:instrText xml:space="preserve">eq \o\ac(</w:instrText>
            </w:r>
            <w:r>
              <w:rPr>
                <w:rFonts w:hint="eastAsia" w:ascii="宋体" w:hAnsi="宋体" w:cs="宋体"/>
                <w:b/>
                <w:color w:val="000000"/>
                <w:kern w:val="0"/>
                <w:szCs w:val="21"/>
                <w:lang w:val="zh-CN"/>
              </w:rPr>
              <w:instrText xml:space="preserve">□</w:instrText>
            </w:r>
            <w:r>
              <w:rPr>
                <w:rFonts w:ascii="宋体" w:hAnsi="宋体" w:cs="宋体"/>
                <w:b/>
                <w:color w:val="000000"/>
                <w:kern w:val="0"/>
                <w:szCs w:val="21"/>
                <w:lang w:val="zh-CN"/>
              </w:rPr>
              <w:instrText xml:space="preserve">,</w:instrText>
            </w:r>
            <w:r>
              <w:rPr>
                <w:rFonts w:hint="eastAsia" w:ascii="宋体" w:hAnsi="宋体" w:cs="宋体"/>
                <w:b/>
                <w:color w:val="000000"/>
                <w:kern w:val="0"/>
                <w:position w:val="2"/>
                <w:szCs w:val="21"/>
                <w:lang w:val="zh-CN"/>
              </w:rPr>
              <w:instrText xml:space="preserve">√</w:instrText>
            </w:r>
            <w:r>
              <w:rPr>
                <w:rFonts w:ascii="宋体" w:hAnsi="宋体" w:cs="宋体"/>
                <w:b/>
                <w:color w:val="000000"/>
                <w:kern w:val="0"/>
                <w:szCs w:val="21"/>
                <w:lang w:val="zh-CN"/>
              </w:rPr>
              <w:instrText xml:space="preserve">)</w:instrText>
            </w:r>
            <w:r>
              <w:rPr>
                <w:rFonts w:ascii="宋体" w:hAnsi="宋体" w:cs="宋体"/>
                <w:b/>
                <w:color w:val="000000"/>
                <w:kern w:val="0"/>
                <w:szCs w:val="21"/>
                <w:lang w:val="zh-CN"/>
              </w:rPr>
              <w:fldChar w:fldCharType="end"/>
            </w:r>
            <w:r>
              <w:rPr>
                <w:rFonts w:hint="eastAsia" w:ascii="宋体" w:hAnsi="宋体" w:cs="宋体"/>
                <w:bCs/>
                <w:szCs w:val="21"/>
                <w:lang w:val="zh-CN"/>
              </w:rPr>
              <w:t>是。</w:t>
            </w:r>
            <w:r>
              <w:rPr>
                <w:rFonts w:hint="eastAsia" w:hAnsi="宋体" w:cs="宋体"/>
                <w:szCs w:val="21"/>
                <w:lang w:val="zh-CN"/>
              </w:rPr>
              <w:t>投标人投标时须成功上传、解密电子投标文件。投标人资质、业绩、荣誉及相关人员证明材料等资料原件不再提交（本招标文件第六章另有要求提供原件的除外）。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ascii="宋体" w:hAnsi="宋体" w:cs="黑体"/>
                <w:szCs w:val="21"/>
              </w:rPr>
            </w:pPr>
            <w:r>
              <w:rPr>
                <w:rFonts w:ascii="宋体" w:hAnsi="宋体" w:cs="黑体"/>
                <w:szCs w:val="21"/>
              </w:rPr>
              <w:t>27</w:t>
            </w:r>
          </w:p>
        </w:tc>
        <w:tc>
          <w:tcPr>
            <w:tcW w:w="2268" w:type="dxa"/>
            <w:vAlign w:val="center"/>
          </w:tcPr>
          <w:p>
            <w:pPr>
              <w:autoSpaceDE w:val="0"/>
              <w:autoSpaceDN w:val="0"/>
              <w:adjustRightInd w:val="0"/>
              <w:spacing w:line="360" w:lineRule="auto"/>
              <w:jc w:val="center"/>
              <w:rPr>
                <w:rFonts w:ascii="宋体" w:cs="宋体"/>
                <w:bCs/>
                <w:szCs w:val="21"/>
                <w:lang w:val="zh-CN"/>
              </w:rPr>
            </w:pPr>
            <w:r>
              <w:rPr>
                <w:rFonts w:hint="eastAsia" w:ascii="宋体" w:hAnsi="宋体" w:cs="宋体"/>
                <w:bCs/>
                <w:szCs w:val="21"/>
                <w:lang w:val="zh-CN"/>
              </w:rPr>
              <w:t>特别提示</w:t>
            </w:r>
          </w:p>
        </w:tc>
        <w:tc>
          <w:tcPr>
            <w:tcW w:w="6813" w:type="dxa"/>
            <w:vAlign w:val="center"/>
          </w:tcPr>
          <w:p>
            <w:pPr>
              <w:autoSpaceDE w:val="0"/>
              <w:autoSpaceDN w:val="0"/>
              <w:adjustRightInd w:val="0"/>
              <w:spacing w:line="360" w:lineRule="auto"/>
              <w:contextualSpacing/>
              <w:rPr>
                <w:rFonts w:ascii="ˎ̥" w:hAnsi="ˎ̥"/>
              </w:rPr>
            </w:pPr>
            <w:r>
              <w:rPr>
                <w:rFonts w:hint="eastAsia" w:ascii="ˎ̥" w:hAnsi="ˎ̥"/>
              </w:rPr>
              <w:t>按照《关于推进全流程电子化交易和在线监管工作有关问题的通知》（许公管办[2019]3号）规定：</w:t>
            </w:r>
          </w:p>
          <w:p>
            <w:pPr>
              <w:autoSpaceDE w:val="0"/>
              <w:autoSpaceDN w:val="0"/>
              <w:adjustRightInd w:val="0"/>
              <w:spacing w:line="360" w:lineRule="auto"/>
              <w:contextualSpacing/>
              <w:rPr>
                <w:rFonts w:ascii="ˎ̥" w:hAnsi="ˎ̥"/>
              </w:rPr>
            </w:pPr>
            <w:r>
              <w:rPr>
                <w:rFonts w:hint="eastAsia" w:ascii="ˎ̥" w:hAnsi="ˎ̥"/>
              </w:rPr>
              <w:t>不同投标人电子投标文件制作硬件特征码（网卡MAC地址、CPU序号、硬盘序列号）均一致时，视为‘</w:t>
            </w:r>
            <w:r>
              <w:rPr>
                <w:rFonts w:ascii="ˎ̥" w:hAnsi="ˎ̥"/>
              </w:rPr>
              <w:t>不同</w:t>
            </w:r>
            <w:r>
              <w:rPr>
                <w:rFonts w:hint="eastAsia" w:ascii="ˎ̥" w:hAnsi="ˎ̥"/>
              </w:rPr>
              <w:t>投标人的投标</w:t>
            </w:r>
            <w:r>
              <w:rPr>
                <w:rFonts w:ascii="ˎ̥" w:hAnsi="ˎ̥"/>
              </w:rPr>
              <w:t>文件由同一单位或者个人编制</w:t>
            </w:r>
            <w:r>
              <w:rPr>
                <w:rFonts w:hint="eastAsia" w:ascii="ˎ̥" w:hAnsi="ˎ̥"/>
              </w:rPr>
              <w:t>’或‘</w:t>
            </w:r>
            <w:r>
              <w:rPr>
                <w:rFonts w:ascii="ˎ̥" w:hAnsi="ˎ̥"/>
              </w:rPr>
              <w:t>不同</w:t>
            </w:r>
            <w:r>
              <w:rPr>
                <w:rFonts w:hint="eastAsia" w:ascii="ˎ̥" w:hAnsi="ˎ̥"/>
              </w:rPr>
              <w:t>投标人</w:t>
            </w:r>
            <w:r>
              <w:rPr>
                <w:rFonts w:ascii="ˎ̥" w:hAnsi="ˎ̥"/>
              </w:rPr>
              <w:t>委托同一单位或者个人办理</w:t>
            </w:r>
            <w:r>
              <w:rPr>
                <w:rFonts w:hint="eastAsia" w:ascii="ˎ̥" w:hAnsi="ˎ̥"/>
              </w:rPr>
              <w:t>响应</w:t>
            </w:r>
            <w:r>
              <w:rPr>
                <w:rFonts w:ascii="ˎ̥" w:hAnsi="ˎ̥"/>
              </w:rPr>
              <w:t>事宜</w:t>
            </w:r>
            <w:r>
              <w:rPr>
                <w:rFonts w:hint="eastAsia" w:ascii="ˎ̥" w:hAnsi="ˎ̥"/>
              </w:rPr>
              <w:t>’，其投标无效。</w:t>
            </w:r>
          </w:p>
          <w:p>
            <w:pPr>
              <w:autoSpaceDE w:val="0"/>
              <w:autoSpaceDN w:val="0"/>
              <w:adjustRightInd w:val="0"/>
              <w:spacing w:line="360" w:lineRule="auto"/>
              <w:contextualSpacing/>
              <w:rPr>
                <w:rFonts w:cs="宋体" w:asciiTheme="minorEastAsia" w:hAnsiTheme="minorEastAsia"/>
                <w:b/>
                <w:color w:val="000000"/>
                <w:kern w:val="0"/>
                <w:szCs w:val="21"/>
                <w:lang w:val="zh-CN"/>
              </w:rPr>
            </w:pPr>
            <w:r>
              <w:rPr>
                <w:rFonts w:hint="eastAsia" w:ascii="ˎ̥" w:hAnsi="ˎ̥"/>
              </w:rPr>
              <w:t>评审专家应严格按照要求查看“硬件特征码” 相关信息并进行评审，在评审报告中显示“不同投标人电子投标文件制作硬件特征码”是否雷同的分析及判定结果。</w:t>
            </w:r>
          </w:p>
        </w:tc>
      </w:tr>
    </w:tbl>
    <w:p>
      <w:pPr>
        <w:tabs>
          <w:tab w:val="left" w:pos="1260"/>
        </w:tabs>
        <w:autoSpaceDE w:val="0"/>
        <w:autoSpaceDN w:val="0"/>
        <w:adjustRightInd w:val="0"/>
        <w:spacing w:line="360" w:lineRule="auto"/>
        <w:contextualSpacing/>
        <w:jc w:val="center"/>
        <w:rPr>
          <w:rFonts w:ascii="宋体" w:hAnsi="宋体" w:cs="宋体"/>
          <w:b/>
          <w:kern w:val="0"/>
          <w:sz w:val="32"/>
          <w:szCs w:val="32"/>
        </w:rPr>
      </w:pPr>
    </w:p>
    <w:p>
      <w:pPr>
        <w:tabs>
          <w:tab w:val="left" w:pos="1260"/>
        </w:tabs>
        <w:autoSpaceDE w:val="0"/>
        <w:autoSpaceDN w:val="0"/>
        <w:adjustRightInd w:val="0"/>
        <w:spacing w:line="360" w:lineRule="auto"/>
        <w:contextualSpacing/>
        <w:jc w:val="center"/>
        <w:rPr>
          <w:rFonts w:ascii="宋体" w:hAnsi="宋体" w:cs="宋体"/>
          <w:b/>
          <w:kern w:val="0"/>
          <w:sz w:val="32"/>
          <w:szCs w:val="32"/>
        </w:rPr>
      </w:pPr>
    </w:p>
    <w:p>
      <w:pPr>
        <w:tabs>
          <w:tab w:val="left" w:pos="1260"/>
        </w:tabs>
        <w:autoSpaceDE w:val="0"/>
        <w:autoSpaceDN w:val="0"/>
        <w:adjustRightInd w:val="0"/>
        <w:spacing w:line="360" w:lineRule="auto"/>
        <w:contextualSpacing/>
        <w:jc w:val="center"/>
        <w:rPr>
          <w:rFonts w:ascii="宋体" w:hAnsi="宋体" w:cs="宋体"/>
          <w:b/>
          <w:kern w:val="0"/>
          <w:sz w:val="32"/>
          <w:szCs w:val="32"/>
        </w:rPr>
      </w:pPr>
    </w:p>
    <w:p>
      <w:pPr>
        <w:tabs>
          <w:tab w:val="left" w:pos="1260"/>
        </w:tabs>
        <w:autoSpaceDE w:val="0"/>
        <w:autoSpaceDN w:val="0"/>
        <w:adjustRightInd w:val="0"/>
        <w:spacing w:line="360" w:lineRule="auto"/>
        <w:contextualSpacing/>
        <w:jc w:val="center"/>
        <w:rPr>
          <w:rFonts w:ascii="宋体" w:hAnsi="宋体" w:cs="宋体"/>
          <w:b/>
          <w:kern w:val="0"/>
          <w:sz w:val="32"/>
          <w:szCs w:val="32"/>
        </w:rPr>
      </w:pPr>
    </w:p>
    <w:p>
      <w:pPr>
        <w:tabs>
          <w:tab w:val="left" w:pos="1260"/>
        </w:tabs>
        <w:autoSpaceDE w:val="0"/>
        <w:autoSpaceDN w:val="0"/>
        <w:adjustRightInd w:val="0"/>
        <w:spacing w:line="360" w:lineRule="auto"/>
        <w:contextualSpacing/>
        <w:jc w:val="center"/>
        <w:rPr>
          <w:rFonts w:ascii="宋体" w:hAnsi="宋体" w:cs="宋体"/>
          <w:b/>
          <w:kern w:val="0"/>
          <w:sz w:val="32"/>
          <w:szCs w:val="32"/>
        </w:rPr>
      </w:pPr>
    </w:p>
    <w:p>
      <w:pPr>
        <w:tabs>
          <w:tab w:val="left" w:pos="1260"/>
        </w:tabs>
        <w:autoSpaceDE w:val="0"/>
        <w:autoSpaceDN w:val="0"/>
        <w:adjustRightInd w:val="0"/>
        <w:spacing w:line="360" w:lineRule="auto"/>
        <w:contextualSpacing/>
        <w:jc w:val="center"/>
        <w:rPr>
          <w:rFonts w:hint="eastAsia" w:ascii="宋体" w:hAnsi="宋体" w:cs="宋体"/>
          <w:b/>
          <w:kern w:val="0"/>
          <w:sz w:val="32"/>
          <w:szCs w:val="32"/>
        </w:rPr>
      </w:pPr>
    </w:p>
    <w:p>
      <w:pPr>
        <w:tabs>
          <w:tab w:val="left" w:pos="1260"/>
        </w:tabs>
        <w:autoSpaceDE w:val="0"/>
        <w:autoSpaceDN w:val="0"/>
        <w:adjustRightInd w:val="0"/>
        <w:spacing w:line="360" w:lineRule="auto"/>
        <w:contextualSpacing/>
        <w:jc w:val="center"/>
        <w:rPr>
          <w:rFonts w:hint="eastAsia" w:ascii="宋体" w:hAnsi="宋体" w:cs="宋体"/>
          <w:b/>
          <w:kern w:val="0"/>
          <w:sz w:val="32"/>
          <w:szCs w:val="32"/>
        </w:rPr>
      </w:pPr>
    </w:p>
    <w:p>
      <w:pPr>
        <w:tabs>
          <w:tab w:val="left" w:pos="1260"/>
        </w:tabs>
        <w:autoSpaceDE w:val="0"/>
        <w:autoSpaceDN w:val="0"/>
        <w:adjustRightInd w:val="0"/>
        <w:spacing w:line="360" w:lineRule="auto"/>
        <w:contextualSpacing/>
        <w:jc w:val="center"/>
        <w:rPr>
          <w:rFonts w:hint="eastAsia" w:ascii="宋体" w:hAnsi="宋体" w:cs="宋体"/>
          <w:b/>
          <w:kern w:val="0"/>
          <w:sz w:val="32"/>
          <w:szCs w:val="32"/>
        </w:rPr>
      </w:pPr>
    </w:p>
    <w:p>
      <w:pPr>
        <w:tabs>
          <w:tab w:val="left" w:pos="1260"/>
        </w:tabs>
        <w:autoSpaceDE w:val="0"/>
        <w:autoSpaceDN w:val="0"/>
        <w:adjustRightInd w:val="0"/>
        <w:spacing w:line="360" w:lineRule="auto"/>
        <w:contextualSpacing/>
        <w:jc w:val="center"/>
        <w:rPr>
          <w:rFonts w:hint="eastAsia" w:ascii="宋体" w:hAnsi="宋体" w:cs="宋体"/>
          <w:b/>
          <w:kern w:val="0"/>
          <w:sz w:val="32"/>
          <w:szCs w:val="32"/>
        </w:rPr>
      </w:pPr>
    </w:p>
    <w:p>
      <w:pPr>
        <w:tabs>
          <w:tab w:val="left" w:pos="1260"/>
        </w:tabs>
        <w:autoSpaceDE w:val="0"/>
        <w:autoSpaceDN w:val="0"/>
        <w:adjustRightInd w:val="0"/>
        <w:spacing w:line="360" w:lineRule="auto"/>
        <w:contextualSpacing/>
        <w:jc w:val="center"/>
        <w:rPr>
          <w:rFonts w:hint="eastAsia" w:ascii="宋体" w:hAnsi="宋体" w:cs="宋体"/>
          <w:b/>
          <w:kern w:val="0"/>
          <w:sz w:val="32"/>
          <w:szCs w:val="32"/>
        </w:rPr>
      </w:pPr>
    </w:p>
    <w:p>
      <w:pPr>
        <w:tabs>
          <w:tab w:val="left" w:pos="1260"/>
        </w:tabs>
        <w:autoSpaceDE w:val="0"/>
        <w:autoSpaceDN w:val="0"/>
        <w:adjustRightInd w:val="0"/>
        <w:spacing w:line="360" w:lineRule="auto"/>
        <w:contextualSpacing/>
        <w:jc w:val="center"/>
        <w:rPr>
          <w:rFonts w:hint="eastAsia" w:ascii="宋体" w:hAnsi="宋体" w:cs="宋体"/>
          <w:b/>
          <w:kern w:val="0"/>
          <w:sz w:val="32"/>
          <w:szCs w:val="32"/>
        </w:rPr>
      </w:pPr>
    </w:p>
    <w:p>
      <w:pPr>
        <w:tabs>
          <w:tab w:val="left" w:pos="1260"/>
        </w:tabs>
        <w:autoSpaceDE w:val="0"/>
        <w:autoSpaceDN w:val="0"/>
        <w:adjustRightInd w:val="0"/>
        <w:spacing w:line="360" w:lineRule="auto"/>
        <w:contextualSpacing/>
        <w:jc w:val="center"/>
        <w:rPr>
          <w:rFonts w:hint="eastAsia" w:ascii="宋体" w:hAnsi="宋体" w:cs="宋体"/>
          <w:b/>
          <w:kern w:val="0"/>
          <w:sz w:val="32"/>
          <w:szCs w:val="32"/>
        </w:rPr>
      </w:pPr>
    </w:p>
    <w:p>
      <w:pPr>
        <w:tabs>
          <w:tab w:val="left" w:pos="1260"/>
        </w:tabs>
        <w:autoSpaceDE w:val="0"/>
        <w:autoSpaceDN w:val="0"/>
        <w:adjustRightInd w:val="0"/>
        <w:spacing w:line="360" w:lineRule="auto"/>
        <w:contextualSpacing/>
        <w:jc w:val="center"/>
        <w:rPr>
          <w:rFonts w:ascii="宋体" w:hAnsi="宋体" w:cs="宋体"/>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br w:type="page"/>
      </w:r>
      <w:r>
        <w:rPr>
          <w:rFonts w:hint="eastAsia" w:cs="宋体" w:asciiTheme="majorEastAsia" w:hAnsiTheme="majorEastAsia" w:eastAsiaTheme="majorEastAsia"/>
          <w:b/>
          <w:kern w:val="0"/>
          <w:sz w:val="32"/>
          <w:szCs w:val="32"/>
        </w:rPr>
        <w:t>第四章 投标人须知</w:t>
      </w:r>
    </w:p>
    <w:p>
      <w:pPr>
        <w:tabs>
          <w:tab w:val="left" w:pos="1260"/>
        </w:tabs>
        <w:autoSpaceDE w:val="0"/>
        <w:autoSpaceDN w:val="0"/>
        <w:adjustRightInd w:val="0"/>
        <w:snapToGrid w:val="0"/>
        <w:spacing w:before="240" w:line="360" w:lineRule="auto"/>
        <w:jc w:val="center"/>
        <w:rPr>
          <w:rFonts w:cs="宋体" w:asciiTheme="minorEastAsia" w:hAnsiTheme="minorEastAsia"/>
          <w:b/>
          <w:kern w:val="0"/>
          <w:sz w:val="28"/>
          <w:szCs w:val="28"/>
        </w:rPr>
      </w:pPr>
      <w:r>
        <w:rPr>
          <w:rFonts w:hint="eastAsia" w:cs="宋体" w:asciiTheme="minorEastAsia" w:hAnsiTheme="minorEastAsia"/>
          <w:b/>
          <w:kern w:val="0"/>
          <w:sz w:val="28"/>
          <w:szCs w:val="28"/>
        </w:rPr>
        <w:t>一、概念释义</w:t>
      </w:r>
    </w:p>
    <w:p>
      <w:pPr>
        <w:pStyle w:val="46"/>
        <w:numPr>
          <w:ilvl w:val="0"/>
          <w:numId w:val="6"/>
        </w:numPr>
        <w:autoSpaceDE w:val="0"/>
        <w:autoSpaceDN w:val="0"/>
        <w:adjustRightInd w:val="0"/>
        <w:snapToGrid w:val="0"/>
        <w:spacing w:line="360" w:lineRule="auto"/>
        <w:ind w:firstLineChars="0"/>
        <w:rPr>
          <w:rFonts w:cs="宋体" w:asciiTheme="minorEastAsia" w:hAnsiTheme="minorEastAsia"/>
          <w:b/>
          <w:kern w:val="0"/>
          <w:szCs w:val="21"/>
        </w:rPr>
      </w:pPr>
      <w:r>
        <w:rPr>
          <w:rFonts w:hint="eastAsia" w:cs="宋体" w:asciiTheme="minorEastAsia" w:hAnsiTheme="minorEastAsia"/>
          <w:b/>
          <w:kern w:val="0"/>
          <w:szCs w:val="21"/>
        </w:rPr>
        <w:t>适用范围</w:t>
      </w:r>
    </w:p>
    <w:p>
      <w:pPr>
        <w:autoSpaceDE w:val="0"/>
        <w:autoSpaceDN w:val="0"/>
        <w:adjustRightInd w:val="0"/>
        <w:snapToGrid w:val="0"/>
        <w:spacing w:line="360" w:lineRule="auto"/>
        <w:rPr>
          <w:rFonts w:cs="宋体" w:asciiTheme="minorEastAsia" w:hAnsiTheme="minorEastAsia"/>
          <w:kern w:val="0"/>
          <w:szCs w:val="21"/>
        </w:rPr>
      </w:pPr>
      <w:r>
        <w:rPr>
          <w:rFonts w:hint="eastAsia" w:cs="宋体" w:asciiTheme="minorEastAsia" w:hAnsiTheme="minorEastAsia"/>
          <w:kern w:val="0"/>
          <w:szCs w:val="21"/>
        </w:rPr>
        <w:t>1.1本招标文件仅适用于本次“投标邀请”中所述采购项目。</w:t>
      </w:r>
    </w:p>
    <w:p>
      <w:pPr>
        <w:autoSpaceDE w:val="0"/>
        <w:autoSpaceDN w:val="0"/>
        <w:adjustRightInd w:val="0"/>
        <w:snapToGrid w:val="0"/>
        <w:spacing w:line="360" w:lineRule="auto"/>
        <w:rPr>
          <w:rFonts w:cs="宋体" w:asciiTheme="minorEastAsia" w:hAnsiTheme="minorEastAsia"/>
          <w:kern w:val="0"/>
          <w:szCs w:val="21"/>
        </w:rPr>
      </w:pPr>
      <w:r>
        <w:rPr>
          <w:rFonts w:hint="eastAsia" w:cs="宋体" w:asciiTheme="minorEastAsia" w:hAnsiTheme="minorEastAsia"/>
          <w:kern w:val="0"/>
          <w:szCs w:val="21"/>
        </w:rPr>
        <w:t>1.2本招标文件解释权属于“投标邀请”所述的采购人。</w:t>
      </w:r>
    </w:p>
    <w:p>
      <w:pPr>
        <w:pStyle w:val="46"/>
        <w:numPr>
          <w:ilvl w:val="0"/>
          <w:numId w:val="6"/>
        </w:numPr>
        <w:autoSpaceDE w:val="0"/>
        <w:autoSpaceDN w:val="0"/>
        <w:adjustRightInd w:val="0"/>
        <w:snapToGrid w:val="0"/>
        <w:spacing w:line="360" w:lineRule="auto"/>
        <w:ind w:firstLineChars="0"/>
        <w:rPr>
          <w:rFonts w:cs="宋体" w:asciiTheme="minorEastAsia" w:hAnsiTheme="minorEastAsia"/>
          <w:b/>
          <w:kern w:val="0"/>
          <w:szCs w:val="21"/>
        </w:rPr>
      </w:pPr>
      <w:r>
        <w:rPr>
          <w:rFonts w:hint="eastAsia" w:cs="宋体" w:asciiTheme="minorEastAsia" w:hAnsiTheme="minorEastAsia"/>
          <w:b/>
          <w:kern w:val="0"/>
          <w:szCs w:val="21"/>
        </w:rPr>
        <w:t>定义</w:t>
      </w:r>
    </w:p>
    <w:p>
      <w:pPr>
        <w:autoSpaceDE w:val="0"/>
        <w:autoSpaceDN w:val="0"/>
        <w:adjustRightInd w:val="0"/>
        <w:snapToGrid w:val="0"/>
        <w:spacing w:line="360" w:lineRule="auto"/>
        <w:rPr>
          <w:rFonts w:cs="宋体" w:asciiTheme="minorEastAsia" w:hAnsiTheme="minorEastAsia"/>
          <w:kern w:val="0"/>
          <w:szCs w:val="21"/>
        </w:rPr>
      </w:pPr>
      <w:r>
        <w:rPr>
          <w:rFonts w:hint="eastAsia" w:cs="宋体" w:asciiTheme="minorEastAsia" w:hAnsiTheme="minorEastAsia"/>
          <w:kern w:val="0"/>
          <w:szCs w:val="21"/>
        </w:rPr>
        <w:t>2.1 “采购项目”：“投标人须知前附表”中所述的采购项目。</w:t>
      </w:r>
    </w:p>
    <w:p>
      <w:pPr>
        <w:autoSpaceDE w:val="0"/>
        <w:autoSpaceDN w:val="0"/>
        <w:adjustRightInd w:val="0"/>
        <w:snapToGrid w:val="0"/>
        <w:spacing w:line="360" w:lineRule="auto"/>
        <w:rPr>
          <w:rFonts w:cs="宋体" w:asciiTheme="minorEastAsia" w:hAnsiTheme="minorEastAsia"/>
          <w:kern w:val="0"/>
          <w:szCs w:val="21"/>
        </w:rPr>
      </w:pPr>
      <w:r>
        <w:rPr>
          <w:rFonts w:hint="eastAsia" w:cs="宋体" w:asciiTheme="minorEastAsia" w:hAnsiTheme="minorEastAsia"/>
          <w:kern w:val="0"/>
          <w:szCs w:val="21"/>
        </w:rPr>
        <w:t>2.2 “招标人”：“投标人须知前附表”中所述的组织本次招标的代理机构和采购人。</w:t>
      </w:r>
    </w:p>
    <w:p>
      <w:pPr>
        <w:autoSpaceDE w:val="0"/>
        <w:autoSpaceDN w:val="0"/>
        <w:adjustRightInd w:val="0"/>
        <w:snapToGrid w:val="0"/>
        <w:spacing w:line="360" w:lineRule="auto"/>
        <w:rPr>
          <w:rFonts w:cs="宋体" w:asciiTheme="minorEastAsia" w:hAnsiTheme="minorEastAsia"/>
          <w:kern w:val="0"/>
          <w:szCs w:val="21"/>
        </w:rPr>
      </w:pPr>
      <w:r>
        <w:rPr>
          <w:rFonts w:hint="eastAsia" w:cs="宋体" w:asciiTheme="minorEastAsia" w:hAnsiTheme="minorEastAsia"/>
          <w:kern w:val="0"/>
          <w:szCs w:val="21"/>
        </w:rPr>
        <w:t>2.3 “采购人”：是指依法进行政府采购的国家机关、事业单位、团体组织。采购人名称、地址、电话、联系人见“投标人须知前附表”。</w:t>
      </w:r>
    </w:p>
    <w:p>
      <w:pPr>
        <w:autoSpaceDE w:val="0"/>
        <w:autoSpaceDN w:val="0"/>
        <w:adjustRightInd w:val="0"/>
        <w:snapToGrid w:val="0"/>
        <w:spacing w:line="360" w:lineRule="auto"/>
        <w:rPr>
          <w:rFonts w:cs="宋体" w:asciiTheme="minorEastAsia" w:hAnsiTheme="minorEastAsia"/>
          <w:kern w:val="0"/>
          <w:szCs w:val="21"/>
        </w:rPr>
      </w:pPr>
      <w:r>
        <w:rPr>
          <w:rFonts w:hint="eastAsia" w:cs="宋体" w:asciiTheme="minorEastAsia" w:hAnsiTheme="minorEastAsia"/>
          <w:kern w:val="0"/>
          <w:szCs w:val="21"/>
        </w:rPr>
        <w:t>2.4 “代理机构”：接受采购人委托，代理采购项目的采购代理机构。代理机构名称、地址、 电话、联系人见“投标人须知前附表”。</w:t>
      </w:r>
    </w:p>
    <w:p>
      <w:pPr>
        <w:autoSpaceDE w:val="0"/>
        <w:autoSpaceDN w:val="0"/>
        <w:adjustRightInd w:val="0"/>
        <w:snapToGrid w:val="0"/>
        <w:spacing w:line="360" w:lineRule="auto"/>
        <w:ind w:firstLine="420" w:firstLineChars="200"/>
        <w:rPr>
          <w:rFonts w:cs="宋体" w:asciiTheme="minorEastAsia" w:hAnsiTheme="minorEastAsia"/>
          <w:b/>
          <w:kern w:val="0"/>
          <w:szCs w:val="21"/>
        </w:rPr>
      </w:pPr>
      <w:r>
        <w:rPr>
          <w:rFonts w:hint="eastAsia" w:cs="宋体" w:asciiTheme="minorEastAsia" w:hAnsiTheme="minorEastAsia"/>
          <w:kern w:val="0"/>
          <w:szCs w:val="21"/>
        </w:rPr>
        <w:t>采购代理机构及其分支机构不得在所代理的采购项目中投标或者代理投标，不得为所代理的采购项目的投标人参加本项目提供投标咨询。</w:t>
      </w:r>
    </w:p>
    <w:p>
      <w:pPr>
        <w:autoSpaceDE w:val="0"/>
        <w:autoSpaceDN w:val="0"/>
        <w:adjustRightInd w:val="0"/>
        <w:snapToGrid w:val="0"/>
        <w:spacing w:line="360" w:lineRule="auto"/>
        <w:rPr>
          <w:rFonts w:cs="宋体" w:asciiTheme="minorEastAsia" w:hAnsiTheme="minorEastAsia"/>
          <w:kern w:val="0"/>
          <w:szCs w:val="21"/>
        </w:rPr>
      </w:pPr>
      <w:r>
        <w:rPr>
          <w:rFonts w:hint="eastAsia" w:cs="宋体" w:asciiTheme="minorEastAsia" w:hAnsiTheme="minorEastAsia"/>
          <w:kern w:val="0"/>
          <w:szCs w:val="21"/>
        </w:rPr>
        <w:t>2.5 “潜在投标人”指符合《中华人民共和国政府采购法》及相关法律法规和本招标文件的各项规定，且按照本项目招标公告及招标文件规定的方式获取招标文件的法人、其他组织或者自然人。</w:t>
      </w:r>
    </w:p>
    <w:p>
      <w:pPr>
        <w:autoSpaceDE w:val="0"/>
        <w:autoSpaceDN w:val="0"/>
        <w:adjustRightInd w:val="0"/>
        <w:snapToGrid w:val="0"/>
        <w:spacing w:line="360" w:lineRule="auto"/>
        <w:rPr>
          <w:rFonts w:cs="宋体" w:asciiTheme="minorEastAsia" w:hAnsiTheme="minorEastAsia"/>
          <w:kern w:val="0"/>
          <w:szCs w:val="21"/>
        </w:rPr>
      </w:pPr>
      <w:r>
        <w:rPr>
          <w:rFonts w:hint="eastAsia" w:cs="宋体" w:asciiTheme="minorEastAsia" w:hAnsiTheme="minorEastAsia"/>
          <w:kern w:val="0"/>
          <w:szCs w:val="21"/>
        </w:rPr>
        <w:t>2.6 “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autoSpaceDE w:val="0"/>
        <w:autoSpaceDN w:val="0"/>
        <w:adjustRightInd w:val="0"/>
        <w:snapToGrid w:val="0"/>
        <w:spacing w:line="360" w:lineRule="auto"/>
        <w:rPr>
          <w:rFonts w:cs="宋体" w:asciiTheme="minorEastAsia" w:hAnsiTheme="minorEastAsia"/>
          <w:kern w:val="0"/>
          <w:szCs w:val="21"/>
        </w:rPr>
      </w:pPr>
      <w:r>
        <w:rPr>
          <w:rFonts w:hint="eastAsia" w:cs="宋体" w:asciiTheme="minorEastAsia" w:hAnsiTheme="minorEastAsia"/>
          <w:kern w:val="0"/>
          <w:szCs w:val="21"/>
        </w:rPr>
        <w:t>2.7 “进口产品”：是指通过中国海关报关验放进入中国境内且产自关境外的产品，包括已经进入中国境内的进口产品。详见《</w:t>
      </w:r>
      <w:r>
        <w:rPr>
          <w:rFonts w:cs="宋体" w:asciiTheme="minorEastAsia" w:hAnsiTheme="minorEastAsia"/>
          <w:kern w:val="0"/>
          <w:szCs w:val="21"/>
        </w:rPr>
        <w:t>关于政府采购进口产品管理有关问题的通知</w:t>
      </w:r>
      <w:r>
        <w:rPr>
          <w:rFonts w:hint="eastAsia" w:cs="宋体" w:asciiTheme="minorEastAsia" w:hAnsiTheme="minorEastAsia"/>
          <w:kern w:val="0"/>
          <w:szCs w:val="21"/>
        </w:rPr>
        <w:t>》(财库[2007]119号)、《关于政府采购进口产品管理有关问题的通知》（财办库［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autoSpaceDE w:val="0"/>
        <w:autoSpaceDN w:val="0"/>
        <w:adjustRightInd w:val="0"/>
        <w:snapToGrid w:val="0"/>
        <w:spacing w:line="360" w:lineRule="auto"/>
        <w:rPr>
          <w:rFonts w:cs="宋体" w:asciiTheme="minorEastAsia" w:hAnsiTheme="minorEastAsia"/>
          <w:kern w:val="0"/>
          <w:szCs w:val="21"/>
        </w:rPr>
      </w:pPr>
      <w:r>
        <w:rPr>
          <w:rFonts w:hint="eastAsia" w:cs="宋体" w:asciiTheme="minorEastAsia" w:hAnsiTheme="minorEastAsia"/>
          <w:kern w:val="0"/>
          <w:szCs w:val="21"/>
        </w:rPr>
        <w:t xml:space="preserve">2.7.1 </w:t>
      </w:r>
      <w:r>
        <w:rPr>
          <w:rFonts w:cs="宋体" w:asciiTheme="minorEastAsia" w:hAnsiTheme="minorEastAsia"/>
          <w:kern w:val="0"/>
          <w:szCs w:val="21"/>
        </w:rPr>
        <w:t>招标文件列明不允许或未列明允许进口产品参加投标的，均视为拒绝进口产品参加投标。</w:t>
      </w:r>
    </w:p>
    <w:p>
      <w:pPr>
        <w:autoSpaceDE w:val="0"/>
        <w:autoSpaceDN w:val="0"/>
        <w:adjustRightInd w:val="0"/>
        <w:snapToGrid w:val="0"/>
        <w:spacing w:line="360" w:lineRule="auto"/>
        <w:rPr>
          <w:rFonts w:cs="宋体" w:asciiTheme="minorEastAsia" w:hAnsiTheme="minorEastAsia"/>
          <w:kern w:val="0"/>
          <w:szCs w:val="21"/>
        </w:rPr>
      </w:pPr>
      <w:r>
        <w:rPr>
          <w:rFonts w:hint="eastAsia" w:cs="宋体" w:asciiTheme="minorEastAsia" w:hAnsiTheme="minorEastAsia"/>
          <w:kern w:val="0"/>
          <w:szCs w:val="21"/>
        </w:rPr>
        <w:t xml:space="preserve">2.7.2 </w:t>
      </w:r>
      <w:r>
        <w:rPr>
          <w:rFonts w:cs="宋体" w:asciiTheme="minorEastAsia" w:hAnsiTheme="minorEastAsia"/>
          <w:kern w:val="0"/>
          <w:szCs w:val="21"/>
        </w:rPr>
        <w:t>如</w:t>
      </w:r>
      <w:r>
        <w:rPr>
          <w:rFonts w:hint="eastAsia" w:cs="宋体" w:asciiTheme="minorEastAsia" w:hAnsiTheme="minorEastAsia"/>
          <w:kern w:val="0"/>
          <w:szCs w:val="21"/>
        </w:rPr>
        <w:t>招标</w:t>
      </w:r>
      <w:r>
        <w:rPr>
          <w:rFonts w:cs="宋体" w:asciiTheme="minorEastAsia" w:hAnsiTheme="minorEastAsia"/>
          <w:kern w:val="0"/>
          <w:szCs w:val="21"/>
        </w:rPr>
        <w:t>文件中已说明，经财政部门审核同意，允许部分或全部产品采购进口产品，投标人既可提供本国产品，也可以提供进口产品。</w:t>
      </w:r>
    </w:p>
    <w:p>
      <w:pPr>
        <w:autoSpaceDE w:val="0"/>
        <w:autoSpaceDN w:val="0"/>
        <w:adjustRightInd w:val="0"/>
        <w:snapToGrid w:val="0"/>
        <w:spacing w:line="360" w:lineRule="auto"/>
        <w:rPr>
          <w:rFonts w:cs="宋体" w:asciiTheme="minorEastAsia" w:hAnsiTheme="minorEastAsia"/>
          <w:kern w:val="0"/>
          <w:szCs w:val="21"/>
        </w:rPr>
      </w:pPr>
      <w:r>
        <w:rPr>
          <w:rFonts w:hint="eastAsia" w:cs="宋体" w:asciiTheme="minorEastAsia" w:hAnsiTheme="minorEastAsia"/>
          <w:kern w:val="0"/>
          <w:szCs w:val="21"/>
        </w:rPr>
        <w:t>2.8 招标文件中凡标有“★”的条款均系实质性要求条款。</w:t>
      </w:r>
    </w:p>
    <w:p>
      <w:pPr>
        <w:pStyle w:val="46"/>
        <w:numPr>
          <w:ilvl w:val="0"/>
          <w:numId w:val="6"/>
        </w:numPr>
        <w:autoSpaceDE w:val="0"/>
        <w:autoSpaceDN w:val="0"/>
        <w:adjustRightInd w:val="0"/>
        <w:snapToGrid w:val="0"/>
        <w:spacing w:line="360" w:lineRule="auto"/>
        <w:ind w:firstLineChars="0"/>
        <w:rPr>
          <w:rFonts w:cs="宋体" w:asciiTheme="minorEastAsia" w:hAnsiTheme="minorEastAsia"/>
          <w:b/>
          <w:kern w:val="0"/>
          <w:szCs w:val="21"/>
        </w:rPr>
      </w:pPr>
      <w:r>
        <w:rPr>
          <w:rFonts w:hint="eastAsia" w:cs="宋体" w:asciiTheme="minorEastAsia" w:hAnsiTheme="minorEastAsia"/>
          <w:b/>
          <w:kern w:val="0"/>
          <w:szCs w:val="21"/>
        </w:rPr>
        <w:t>合格的投标人</w:t>
      </w:r>
    </w:p>
    <w:p>
      <w:pPr>
        <w:autoSpaceDE w:val="0"/>
        <w:autoSpaceDN w:val="0"/>
        <w:adjustRightInd w:val="0"/>
        <w:snapToGrid w:val="0"/>
        <w:spacing w:line="360" w:lineRule="auto"/>
        <w:rPr>
          <w:rFonts w:cs="宋体" w:asciiTheme="minorEastAsia" w:hAnsiTheme="minorEastAsia"/>
          <w:kern w:val="0"/>
          <w:szCs w:val="21"/>
        </w:rPr>
      </w:pPr>
      <w:r>
        <w:rPr>
          <w:rFonts w:hint="eastAsia" w:cs="宋体" w:asciiTheme="minorEastAsia" w:hAnsiTheme="minorEastAsia"/>
          <w:kern w:val="0"/>
          <w:szCs w:val="21"/>
        </w:rPr>
        <w:t>3.1 在中华人民共和国境内注册，具有本项目生产、制造、供应或实施能力，符合、承认并承诺履行本招标文件各项规定的法人、其他组织或者自然人。</w:t>
      </w:r>
    </w:p>
    <w:p>
      <w:pPr>
        <w:autoSpaceDE w:val="0"/>
        <w:autoSpaceDN w:val="0"/>
        <w:adjustRightInd w:val="0"/>
        <w:snapToGrid w:val="0"/>
        <w:spacing w:line="360" w:lineRule="auto"/>
        <w:rPr>
          <w:rFonts w:cs="宋体" w:asciiTheme="minorEastAsia" w:hAnsiTheme="minorEastAsia"/>
          <w:kern w:val="0"/>
          <w:szCs w:val="21"/>
        </w:rPr>
      </w:pPr>
      <w:r>
        <w:rPr>
          <w:rFonts w:hint="eastAsia" w:cs="宋体" w:asciiTheme="minorEastAsia" w:hAnsiTheme="minorEastAsia"/>
          <w:kern w:val="0"/>
          <w:szCs w:val="21"/>
        </w:rPr>
        <w:t>3.2 符合本项目“投标邀请”和“投标人须知前附表”中规定的合格投标人所必须具备的条件。</w:t>
      </w:r>
    </w:p>
    <w:p>
      <w:pPr>
        <w:autoSpaceDE w:val="0"/>
        <w:autoSpaceDN w:val="0"/>
        <w:adjustRightInd w:val="0"/>
        <w:snapToGrid w:val="0"/>
        <w:spacing w:line="360" w:lineRule="auto"/>
        <w:rPr>
          <w:rFonts w:cs="宋体" w:asciiTheme="minorEastAsia" w:hAnsiTheme="minorEastAsia"/>
          <w:spacing w:val="-2"/>
          <w:kern w:val="0"/>
          <w:szCs w:val="21"/>
        </w:rPr>
      </w:pPr>
      <w:r>
        <w:rPr>
          <w:rFonts w:hint="eastAsia" w:cs="宋体" w:asciiTheme="minorEastAsia" w:hAnsiTheme="minorEastAsia"/>
          <w:spacing w:val="-2"/>
          <w:kern w:val="0"/>
          <w:szCs w:val="21"/>
        </w:rPr>
        <w:t>3.3 政府采购活动中查询及使用投标人信用记录的具体要求为：投标人未被列入失信被执行人、</w:t>
      </w:r>
      <w:r>
        <w:rPr>
          <w:rFonts w:hint="eastAsia" w:cs="宋体" w:asciiTheme="minorEastAsia" w:hAnsiTheme="minorEastAsia"/>
          <w:kern w:val="0"/>
          <w:szCs w:val="21"/>
        </w:rPr>
        <w:t>重大税收违法案件当事人</w:t>
      </w:r>
      <w:r>
        <w:rPr>
          <w:rFonts w:hint="eastAsia" w:cs="宋体" w:asciiTheme="minorEastAsia" w:hAnsiTheme="minorEastAsia"/>
          <w:spacing w:val="-2"/>
          <w:kern w:val="0"/>
          <w:szCs w:val="21"/>
        </w:rPr>
        <w:t>名单、</w:t>
      </w:r>
      <w:r>
        <w:rPr>
          <w:rFonts w:cs="宋体" w:asciiTheme="minorEastAsia" w:hAnsiTheme="minorEastAsia"/>
          <w:spacing w:val="-2"/>
          <w:kern w:val="0"/>
          <w:szCs w:val="21"/>
        </w:rPr>
        <w:t>政府采购严重违法失信</w:t>
      </w:r>
      <w:r>
        <w:rPr>
          <w:rFonts w:hint="eastAsia" w:cs="宋体" w:asciiTheme="minorEastAsia" w:hAnsiTheme="minorEastAsia"/>
          <w:kern w:val="0"/>
          <w:szCs w:val="21"/>
        </w:rPr>
        <w:t>行为记录</w:t>
      </w:r>
      <w:r>
        <w:rPr>
          <w:rFonts w:cs="宋体" w:asciiTheme="minorEastAsia" w:hAnsiTheme="minorEastAsia"/>
          <w:spacing w:val="-2"/>
          <w:kern w:val="0"/>
          <w:szCs w:val="21"/>
        </w:rPr>
        <w:t>名单</w:t>
      </w:r>
      <w:r>
        <w:rPr>
          <w:rFonts w:hint="eastAsia" w:cs="宋体" w:asciiTheme="minorEastAsia" w:hAnsiTheme="minorEastAsia"/>
          <w:spacing w:val="-2"/>
          <w:kern w:val="0"/>
          <w:szCs w:val="21"/>
        </w:rPr>
        <w:t>、政府采购严重违法失信行为记录名单、严重违法失信企业名单(黑名单)（联合体形式投标的，联合体成员存在不良信用记录，视同联合体存在不良信用记录）。</w:t>
      </w:r>
    </w:p>
    <w:p>
      <w:pPr>
        <w:autoSpaceDE w:val="0"/>
        <w:autoSpaceDN w:val="0"/>
        <w:adjustRightInd w:val="0"/>
        <w:snapToGrid w:val="0"/>
        <w:spacing w:line="360" w:lineRule="auto"/>
        <w:rPr>
          <w:rFonts w:cs="宋体" w:asciiTheme="minorEastAsia" w:hAnsiTheme="minorEastAsia"/>
          <w:b/>
          <w:kern w:val="0"/>
          <w:szCs w:val="21"/>
        </w:rPr>
      </w:pPr>
      <w:r>
        <w:rPr>
          <w:rFonts w:hint="eastAsia" w:cs="宋体" w:asciiTheme="minorEastAsia" w:hAnsiTheme="minorEastAsia"/>
          <w:kern w:val="0"/>
          <w:szCs w:val="21"/>
        </w:rPr>
        <w:t>(1) 查询渠道：“信用中国”网站(www.creditchina.gov.cn)失信被执行人、重大税收违法案件当事人名单的供应商；“中国政府采购网” (www.ccgp.gov.cn)政府采购严重违法失信行为记录名单的供应商；“中国社会组织公共服务平台”网站（www.chinanpo.gov.cn）严重违法失信名单的社会组织；</w:t>
      </w:r>
    </w:p>
    <w:p>
      <w:pPr>
        <w:autoSpaceDE w:val="0"/>
        <w:autoSpaceDN w:val="0"/>
        <w:adjustRightInd w:val="0"/>
        <w:snapToGrid w:val="0"/>
        <w:spacing w:line="360" w:lineRule="auto"/>
        <w:rPr>
          <w:rFonts w:cs="宋体" w:asciiTheme="minorEastAsia" w:hAnsiTheme="minorEastAsia"/>
          <w:kern w:val="0"/>
          <w:szCs w:val="21"/>
        </w:rPr>
      </w:pPr>
      <w:r>
        <w:rPr>
          <w:rFonts w:hint="eastAsia" w:cs="宋体" w:asciiTheme="minorEastAsia" w:hAnsiTheme="minorEastAsia"/>
          <w:kern w:val="0"/>
          <w:szCs w:val="21"/>
        </w:rPr>
        <w:t>(2) 截止时间：同投标截止时间；</w:t>
      </w:r>
    </w:p>
    <w:p>
      <w:pPr>
        <w:autoSpaceDE w:val="0"/>
        <w:autoSpaceDN w:val="0"/>
        <w:adjustRightInd w:val="0"/>
        <w:snapToGrid w:val="0"/>
        <w:spacing w:line="360" w:lineRule="auto"/>
        <w:rPr>
          <w:rFonts w:cs="宋体" w:asciiTheme="minorEastAsia" w:hAnsiTheme="minorEastAsia"/>
          <w:kern w:val="0"/>
          <w:szCs w:val="21"/>
        </w:rPr>
      </w:pPr>
      <w:r>
        <w:rPr>
          <w:rFonts w:hint="eastAsia" w:cs="宋体" w:asciiTheme="minorEastAsia" w:hAnsiTheme="minorEastAsia"/>
          <w:kern w:val="0"/>
          <w:szCs w:val="21"/>
        </w:rPr>
        <w:t>(3) 信用信息查询记录和证据留存具体方式：经采购人确认的查询结果网页截图作为查询记录和证据，与其他采购文件一并保存；</w:t>
      </w:r>
    </w:p>
    <w:p>
      <w:pPr>
        <w:autoSpaceDE w:val="0"/>
        <w:autoSpaceDN w:val="0"/>
        <w:adjustRightInd w:val="0"/>
        <w:snapToGrid w:val="0"/>
        <w:spacing w:line="360" w:lineRule="auto"/>
        <w:rPr>
          <w:rFonts w:cs="宋体" w:asciiTheme="minorEastAsia" w:hAnsiTheme="minorEastAsia"/>
          <w:kern w:val="0"/>
          <w:szCs w:val="21"/>
        </w:rPr>
      </w:pPr>
      <w:r>
        <w:rPr>
          <w:rFonts w:hint="eastAsia" w:cs="宋体" w:asciiTheme="minorEastAsia" w:hAnsiTheme="minorEastAsia"/>
          <w:kern w:val="0"/>
          <w:szCs w:val="21"/>
        </w:rPr>
        <w:t>(4) 信用信息的使用原则：经采购人认定的被列入失信被执行人、重大税收违法案件当事人名单、</w:t>
      </w:r>
      <w:r>
        <w:rPr>
          <w:rFonts w:cs="宋体" w:asciiTheme="minorEastAsia" w:hAnsiTheme="minorEastAsia"/>
          <w:spacing w:val="-2"/>
          <w:kern w:val="0"/>
          <w:szCs w:val="21"/>
        </w:rPr>
        <w:t>政府采购严重违法失信名单</w:t>
      </w:r>
      <w:r>
        <w:rPr>
          <w:rFonts w:hint="eastAsia" w:cs="宋体" w:asciiTheme="minorEastAsia" w:hAnsiTheme="minorEastAsia"/>
          <w:spacing w:val="-2"/>
          <w:kern w:val="0"/>
          <w:szCs w:val="21"/>
        </w:rPr>
        <w:t>、政府采购严重违法失信行为记录名单</w:t>
      </w:r>
      <w:r>
        <w:rPr>
          <w:rFonts w:hint="eastAsia" w:cs="宋体" w:asciiTheme="minorEastAsia" w:hAnsiTheme="minorEastAsia"/>
          <w:kern w:val="0"/>
          <w:szCs w:val="21"/>
        </w:rPr>
        <w:t>、严重违法失信企业名单（黑名单）的投标人，将拒绝其参与政府采购活动。</w:t>
      </w:r>
    </w:p>
    <w:p>
      <w:pPr>
        <w:autoSpaceDE w:val="0"/>
        <w:autoSpaceDN w:val="0"/>
        <w:adjustRightInd w:val="0"/>
        <w:snapToGrid w:val="0"/>
        <w:spacing w:line="360" w:lineRule="auto"/>
        <w:rPr>
          <w:rFonts w:cs="宋体" w:asciiTheme="minorEastAsia" w:hAnsiTheme="minorEastAsia"/>
          <w:spacing w:val="-4"/>
          <w:kern w:val="0"/>
          <w:szCs w:val="21"/>
        </w:rPr>
      </w:pPr>
      <w:r>
        <w:rPr>
          <w:rFonts w:hint="eastAsia" w:cs="宋体" w:asciiTheme="minorEastAsia" w:hAnsiTheme="minorEastAsia"/>
          <w:spacing w:val="-4"/>
          <w:kern w:val="0"/>
          <w:szCs w:val="21"/>
        </w:rPr>
        <w:t>(5) 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adjustRightInd w:val="0"/>
        <w:snapToGrid w:val="0"/>
        <w:spacing w:line="360" w:lineRule="auto"/>
        <w:rPr>
          <w:rFonts w:cs="宋体" w:asciiTheme="minorEastAsia" w:hAnsiTheme="minorEastAsia"/>
          <w:spacing w:val="-4"/>
          <w:kern w:val="0"/>
          <w:szCs w:val="21"/>
        </w:rPr>
      </w:pPr>
      <w:r>
        <w:rPr>
          <w:rFonts w:hint="eastAsia" w:cs="宋体" w:asciiTheme="minorEastAsia" w:hAnsiTheme="minorEastAsia"/>
          <w:spacing w:val="-4"/>
          <w:kern w:val="0"/>
          <w:szCs w:val="21"/>
        </w:rPr>
        <w:t>3.4 单位负责人为同一人或者存在直接控股、管理关系的不同供应商，不得参加同一合同项下的政府采购活动；</w:t>
      </w:r>
    </w:p>
    <w:p>
      <w:pPr>
        <w:autoSpaceDE w:val="0"/>
        <w:autoSpaceDN w:val="0"/>
        <w:adjustRightInd w:val="0"/>
        <w:snapToGrid w:val="0"/>
        <w:spacing w:line="360" w:lineRule="auto"/>
        <w:rPr>
          <w:rFonts w:cs="宋体" w:asciiTheme="minorEastAsia" w:hAnsiTheme="minorEastAsia"/>
          <w:kern w:val="0"/>
          <w:szCs w:val="21"/>
        </w:rPr>
      </w:pPr>
      <w:r>
        <w:rPr>
          <w:rFonts w:hint="eastAsia" w:cs="宋体" w:asciiTheme="minorEastAsia" w:hAnsiTheme="minorEastAsia"/>
          <w:kern w:val="0"/>
          <w:szCs w:val="21"/>
        </w:rPr>
        <w:t>3.5 除单一来源采购项目外，为采购项目提供整体设计、规范编制或者项目管理、监理、检测等服务的供应商，不得再参加该采购项目的其他采购活动。</w:t>
      </w:r>
    </w:p>
    <w:p>
      <w:pPr>
        <w:autoSpaceDE w:val="0"/>
        <w:autoSpaceDN w:val="0"/>
        <w:adjustRightInd w:val="0"/>
        <w:snapToGrid w:val="0"/>
        <w:spacing w:line="360" w:lineRule="auto"/>
        <w:rPr>
          <w:rFonts w:cs="宋体" w:asciiTheme="minorEastAsia" w:hAnsiTheme="minorEastAsia"/>
          <w:kern w:val="0"/>
          <w:szCs w:val="21"/>
        </w:rPr>
      </w:pPr>
      <w:r>
        <w:rPr>
          <w:rFonts w:hint="eastAsia" w:cs="宋体" w:asciiTheme="minorEastAsia" w:hAnsiTheme="minorEastAsia"/>
          <w:kern w:val="0"/>
          <w:szCs w:val="21"/>
        </w:rPr>
        <w:t>3.6 “投标邀请”和“投标人须知前附表”规定接受联合体投标的，除应符合本章第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pPr>
        <w:autoSpaceDE w:val="0"/>
        <w:autoSpaceDN w:val="0"/>
        <w:adjustRightInd w:val="0"/>
        <w:snapToGrid w:val="0"/>
        <w:spacing w:line="360" w:lineRule="auto"/>
        <w:rPr>
          <w:rFonts w:cs="宋体" w:asciiTheme="minorEastAsia" w:hAnsiTheme="minorEastAsia"/>
          <w:kern w:val="0"/>
          <w:szCs w:val="21"/>
        </w:rPr>
      </w:pPr>
      <w:r>
        <w:rPr>
          <w:rFonts w:hint="eastAsia" w:cs="宋体" w:asciiTheme="minorEastAsia" w:hAnsiTheme="minorEastAsia"/>
          <w:kern w:val="0"/>
          <w:szCs w:val="21"/>
        </w:rPr>
        <w:t>（1）在投标文件中向采购人提交联合体协议书，明确联合体各方承担的工作和义务；</w:t>
      </w:r>
    </w:p>
    <w:p>
      <w:pPr>
        <w:autoSpaceDE w:val="0"/>
        <w:autoSpaceDN w:val="0"/>
        <w:adjustRightInd w:val="0"/>
        <w:snapToGrid w:val="0"/>
        <w:spacing w:line="360" w:lineRule="auto"/>
        <w:rPr>
          <w:rFonts w:cs="宋体" w:asciiTheme="minorEastAsia" w:hAnsiTheme="minorEastAsia"/>
          <w:kern w:val="0"/>
          <w:szCs w:val="21"/>
        </w:rPr>
      </w:pPr>
      <w:r>
        <w:rPr>
          <w:rFonts w:hint="eastAsia" w:cs="宋体" w:asciiTheme="minorEastAsia" w:hAnsiTheme="minorEastAsia"/>
          <w:kern w:val="0"/>
          <w:szCs w:val="21"/>
        </w:rPr>
        <w:t>（2）联合体中有同类资质的供应商按联合体分工承担相同工作的，应当按照资质等级较低的供应商确定资质等级；</w:t>
      </w:r>
    </w:p>
    <w:p>
      <w:pPr>
        <w:autoSpaceDE w:val="0"/>
        <w:autoSpaceDN w:val="0"/>
        <w:adjustRightInd w:val="0"/>
        <w:snapToGrid w:val="0"/>
        <w:spacing w:line="360" w:lineRule="auto"/>
        <w:rPr>
          <w:rFonts w:cs="宋体" w:asciiTheme="minorEastAsia" w:hAnsiTheme="minorEastAsia"/>
          <w:kern w:val="0"/>
          <w:szCs w:val="21"/>
        </w:rPr>
      </w:pPr>
      <w:r>
        <w:rPr>
          <w:rFonts w:hint="eastAsia" w:cs="宋体" w:asciiTheme="minorEastAsia" w:hAnsiTheme="minorEastAsia"/>
          <w:kern w:val="0"/>
          <w:szCs w:val="21"/>
        </w:rPr>
        <w:t>（3）招标人根据采购项目的特殊要求规定投标人特定条件的，联合体各方中至少应当有一方符合采购规定的特定条件。</w:t>
      </w:r>
    </w:p>
    <w:p>
      <w:pPr>
        <w:autoSpaceDE w:val="0"/>
        <w:autoSpaceDN w:val="0"/>
        <w:adjustRightInd w:val="0"/>
        <w:snapToGrid w:val="0"/>
        <w:spacing w:line="360" w:lineRule="auto"/>
        <w:rPr>
          <w:rFonts w:cs="宋体" w:asciiTheme="minorEastAsia" w:hAnsiTheme="minorEastAsia"/>
          <w:kern w:val="0"/>
          <w:szCs w:val="21"/>
        </w:rPr>
      </w:pPr>
      <w:r>
        <w:rPr>
          <w:rFonts w:hint="eastAsia" w:cs="宋体" w:asciiTheme="minorEastAsia" w:hAnsiTheme="minorEastAsia"/>
          <w:kern w:val="0"/>
          <w:szCs w:val="21"/>
        </w:rPr>
        <w:t>（4）联合体各方不得再单独参加或者与其他供应商另外组成联合体参加同一合同项下的政府采购活动。</w:t>
      </w:r>
    </w:p>
    <w:p>
      <w:pPr>
        <w:autoSpaceDE w:val="0"/>
        <w:autoSpaceDN w:val="0"/>
        <w:adjustRightInd w:val="0"/>
        <w:snapToGrid w:val="0"/>
        <w:spacing w:line="360" w:lineRule="auto"/>
        <w:rPr>
          <w:rFonts w:cs="宋体" w:asciiTheme="minorEastAsia" w:hAnsiTheme="minorEastAsia"/>
          <w:kern w:val="0"/>
          <w:szCs w:val="21"/>
        </w:rPr>
      </w:pPr>
      <w:r>
        <w:rPr>
          <w:rFonts w:hint="eastAsia" w:cs="宋体" w:asciiTheme="minorEastAsia" w:hAnsiTheme="minorEastAsia"/>
          <w:kern w:val="0"/>
          <w:szCs w:val="21"/>
        </w:rPr>
        <w:t>（5）</w:t>
      </w: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cs="宋体" w:asciiTheme="minorEastAsia" w:hAnsiTheme="minorEastAsia"/>
          <w:kern w:val="0"/>
          <w:szCs w:val="21"/>
        </w:rPr>
        <w:t>。</w:t>
      </w:r>
    </w:p>
    <w:p>
      <w:pPr>
        <w:autoSpaceDE w:val="0"/>
        <w:autoSpaceDN w:val="0"/>
        <w:adjustRightInd w:val="0"/>
        <w:snapToGrid w:val="0"/>
        <w:spacing w:line="360" w:lineRule="auto"/>
        <w:rPr>
          <w:rFonts w:cs="宋体" w:asciiTheme="minorEastAsia" w:hAnsiTheme="minorEastAsia"/>
          <w:kern w:val="0"/>
          <w:szCs w:val="21"/>
        </w:rPr>
      </w:pPr>
      <w:r>
        <w:rPr>
          <w:rFonts w:hint="eastAsia" w:cs="宋体" w:asciiTheme="minorEastAsia" w:hAnsiTheme="minorEastAsia"/>
          <w:kern w:val="0"/>
          <w:szCs w:val="21"/>
        </w:rPr>
        <w:t>3.7 法律、行政法规规定的其他条件。</w:t>
      </w:r>
    </w:p>
    <w:p>
      <w:pPr>
        <w:pStyle w:val="46"/>
        <w:numPr>
          <w:ilvl w:val="0"/>
          <w:numId w:val="6"/>
        </w:numPr>
        <w:autoSpaceDE w:val="0"/>
        <w:autoSpaceDN w:val="0"/>
        <w:adjustRightInd w:val="0"/>
        <w:snapToGrid w:val="0"/>
        <w:spacing w:line="360" w:lineRule="auto"/>
        <w:ind w:firstLineChars="0"/>
        <w:rPr>
          <w:rFonts w:cs="宋体" w:asciiTheme="minorEastAsia" w:hAnsiTheme="minorEastAsia"/>
          <w:b/>
          <w:kern w:val="0"/>
          <w:szCs w:val="21"/>
        </w:rPr>
      </w:pPr>
      <w:r>
        <w:rPr>
          <w:rFonts w:hint="eastAsia" w:cs="宋体" w:asciiTheme="minorEastAsia" w:hAnsiTheme="minorEastAsia"/>
          <w:b/>
          <w:kern w:val="0"/>
          <w:szCs w:val="21"/>
        </w:rPr>
        <w:t>合格的货物和服务</w:t>
      </w:r>
    </w:p>
    <w:p>
      <w:pPr>
        <w:autoSpaceDE w:val="0"/>
        <w:autoSpaceDN w:val="0"/>
        <w:adjustRightInd w:val="0"/>
        <w:snapToGrid w:val="0"/>
        <w:spacing w:line="360" w:lineRule="auto"/>
        <w:rPr>
          <w:rFonts w:cs="宋体" w:asciiTheme="minorEastAsia" w:hAnsiTheme="minorEastAsia"/>
          <w:kern w:val="0"/>
          <w:szCs w:val="21"/>
        </w:rPr>
      </w:pPr>
      <w:r>
        <w:rPr>
          <w:rFonts w:hint="eastAsia" w:cs="宋体" w:asciiTheme="minorEastAsia" w:hAnsiTheme="minorEastAsia"/>
          <w:kern w:val="0"/>
          <w:szCs w:val="21"/>
        </w:rPr>
        <w:t>4.1 投标人提供的货物应当符合招标文件和设计方案的要求，并且其质量完全符合国家标准、行业标准或地方标准，均有标准的以高（严格）者为准。没有国家标准、行业标准和企业标准的，按照通常标准或者符合采购目的的特定标准确定。</w:t>
      </w:r>
    </w:p>
    <w:p>
      <w:pPr>
        <w:autoSpaceDE w:val="0"/>
        <w:autoSpaceDN w:val="0"/>
        <w:adjustRightInd w:val="0"/>
        <w:snapToGrid w:val="0"/>
        <w:spacing w:line="360" w:lineRule="auto"/>
        <w:rPr>
          <w:rFonts w:cs="宋体" w:asciiTheme="minorEastAsia" w:hAnsiTheme="minorEastAsia"/>
          <w:kern w:val="0"/>
          <w:szCs w:val="21"/>
        </w:rPr>
      </w:pPr>
      <w:r>
        <w:rPr>
          <w:rFonts w:hint="eastAsia" w:cs="宋体" w:asciiTheme="minorEastAsia" w:hAnsiTheme="minorEastAsia"/>
          <w:kern w:val="0"/>
          <w:szCs w:val="21"/>
        </w:rPr>
        <w:t>4.2 投标人所提供的服务应当没有侵犯任何第三方的知识产权、技术秘密等合法权利。</w:t>
      </w:r>
    </w:p>
    <w:p>
      <w:pPr>
        <w:autoSpaceDE w:val="0"/>
        <w:autoSpaceDN w:val="0"/>
        <w:adjustRightInd w:val="0"/>
        <w:snapToGrid w:val="0"/>
        <w:spacing w:line="360" w:lineRule="auto"/>
        <w:rPr>
          <w:rFonts w:cs="宋体" w:asciiTheme="minorEastAsia" w:hAnsiTheme="minorEastAsia"/>
          <w:kern w:val="0"/>
          <w:szCs w:val="21"/>
        </w:rPr>
      </w:pPr>
      <w:r>
        <w:rPr>
          <w:rFonts w:hint="eastAsia" w:cs="宋体" w:asciiTheme="minorEastAsia" w:hAnsiTheme="minorEastAsia"/>
          <w:kern w:val="0"/>
          <w:szCs w:val="21"/>
        </w:rPr>
        <w:t>4.3 如投标人所投产品被列入</w:t>
      </w:r>
      <w:r>
        <w:rPr>
          <w:rFonts w:cs="宋体" w:asciiTheme="minorEastAsia" w:hAnsiTheme="minorEastAsia"/>
          <w:kern w:val="0"/>
          <w:szCs w:val="21"/>
        </w:rPr>
        <w:t>《中华人民共和国实施强制性产品认证的产品目录》，</w:t>
      </w:r>
      <w:r>
        <w:rPr>
          <w:rFonts w:hint="eastAsia" w:cs="宋体" w:asciiTheme="minorEastAsia" w:hAnsiTheme="minorEastAsia"/>
          <w:kern w:val="0"/>
          <w:szCs w:val="21"/>
        </w:rPr>
        <w:t>则该产品应</w:t>
      </w:r>
      <w:r>
        <w:rPr>
          <w:rFonts w:cs="宋体" w:asciiTheme="minorEastAsia" w:hAnsiTheme="minorEastAsia"/>
          <w:kern w:val="0"/>
          <w:szCs w:val="21"/>
        </w:rPr>
        <w:t>具备国家认监委</w:t>
      </w:r>
      <w:r>
        <w:rPr>
          <w:rFonts w:hint="eastAsia" w:cs="宋体" w:asciiTheme="minorEastAsia" w:hAnsiTheme="minorEastAsia"/>
          <w:kern w:val="0"/>
          <w:szCs w:val="21"/>
        </w:rPr>
        <w:t>指定强制性产品认证机构</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《中国</w:t>
      </w:r>
      <w:r>
        <w:rPr>
          <w:rFonts w:hint="eastAsia" w:cs="宋体" w:asciiTheme="minorEastAsia" w:hAnsiTheme="minorEastAsia"/>
          <w:kern w:val="0"/>
          <w:szCs w:val="21"/>
        </w:rPr>
        <w:t>国家</w:t>
      </w:r>
      <w:r>
        <w:rPr>
          <w:rFonts w:cs="宋体" w:asciiTheme="minorEastAsia" w:hAnsiTheme="minorEastAsia"/>
          <w:kern w:val="0"/>
          <w:szCs w:val="21"/>
        </w:rPr>
        <w:t>强制</w:t>
      </w:r>
      <w:r>
        <w:rPr>
          <w:rFonts w:hint="eastAsia" w:cs="宋体" w:asciiTheme="minorEastAsia" w:hAnsiTheme="minorEastAsia"/>
          <w:kern w:val="0"/>
          <w:szCs w:val="21"/>
        </w:rPr>
        <w:t>性产品</w:t>
      </w:r>
      <w:r>
        <w:rPr>
          <w:rFonts w:cs="宋体" w:asciiTheme="minorEastAsia" w:hAnsiTheme="minorEastAsia"/>
          <w:kern w:val="0"/>
          <w:szCs w:val="21"/>
        </w:rPr>
        <w:t>认证</w:t>
      </w:r>
      <w:r>
        <w:rPr>
          <w:rFonts w:hint="eastAsia" w:cs="宋体" w:asciiTheme="minorEastAsia" w:hAnsiTheme="minorEastAsia"/>
          <w:kern w:val="0"/>
          <w:szCs w:val="21"/>
        </w:rPr>
        <w:t>证书</w:t>
      </w:r>
      <w:r>
        <w:rPr>
          <w:rFonts w:cs="宋体" w:asciiTheme="minorEastAsia" w:hAnsiTheme="minorEastAsia"/>
          <w:kern w:val="0"/>
          <w:szCs w:val="21"/>
        </w:rPr>
        <w:t>》（CCC 认证）。</w:t>
      </w:r>
      <w:r>
        <w:rPr>
          <w:rFonts w:hint="eastAsia" w:cs="宋体" w:asciiTheme="minorEastAsia" w:hAnsiTheme="minorEastAsia"/>
          <w:kern w:val="0"/>
          <w:szCs w:val="21"/>
        </w:rPr>
        <w:t>投标人</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autoSpaceDE w:val="0"/>
        <w:autoSpaceDN w:val="0"/>
        <w:adjustRightInd w:val="0"/>
        <w:snapToGrid w:val="0"/>
        <w:spacing w:line="360" w:lineRule="auto"/>
        <w:rPr>
          <w:rFonts w:cs="宋体" w:asciiTheme="minorEastAsia" w:hAnsiTheme="minorEastAsia"/>
          <w:kern w:val="0"/>
          <w:szCs w:val="21"/>
        </w:rPr>
      </w:pPr>
      <w:r>
        <w:rPr>
          <w:rFonts w:hint="eastAsia" w:cs="宋体" w:asciiTheme="minorEastAsia" w:hAnsiTheme="minorEastAsia"/>
          <w:kern w:val="0"/>
          <w:szCs w:val="21"/>
        </w:rPr>
        <w:t xml:space="preserve">4.4 </w:t>
      </w:r>
      <w:r>
        <w:rPr>
          <w:rFonts w:hint="eastAsia" w:cs="宋体" w:asciiTheme="minorEastAsia" w:hAnsiTheme="minorEastAsia"/>
          <w:spacing w:val="-2"/>
          <w:kern w:val="0"/>
          <w:szCs w:val="21"/>
        </w:rPr>
        <w:t>投标人所投产品如被列入</w:t>
      </w:r>
      <w:r>
        <w:rPr>
          <w:rFonts w:cs="宋体" w:asciiTheme="minorEastAsia" w:hAnsiTheme="minorEastAsia"/>
          <w:spacing w:val="-2"/>
          <w:kern w:val="0"/>
          <w:szCs w:val="21"/>
        </w:rPr>
        <w:t>《信息安全产品强制性认证目录》，</w:t>
      </w:r>
      <w:r>
        <w:rPr>
          <w:rFonts w:hint="eastAsia" w:cs="宋体" w:asciiTheme="minorEastAsia" w:hAnsiTheme="minorEastAsia"/>
          <w:spacing w:val="-2"/>
          <w:kern w:val="0"/>
          <w:szCs w:val="21"/>
        </w:rPr>
        <w:t>则该产品应</w:t>
      </w:r>
      <w:r>
        <w:rPr>
          <w:rFonts w:cs="宋体" w:asciiTheme="minorEastAsia" w:hAnsiTheme="minorEastAsia"/>
          <w:spacing w:val="-2"/>
          <w:kern w:val="0"/>
          <w:szCs w:val="21"/>
        </w:rPr>
        <w:t>具备</w:t>
      </w:r>
      <w:r>
        <w:rPr>
          <w:rFonts w:hint="eastAsia" w:cs="宋体" w:asciiTheme="minorEastAsia" w:hAnsiTheme="minorEastAsia"/>
          <w:spacing w:val="-2"/>
          <w:kern w:val="0"/>
          <w:szCs w:val="21"/>
        </w:rPr>
        <w:t>中国信息安全认证中心</w:t>
      </w:r>
      <w:r>
        <w:rPr>
          <w:rFonts w:cs="宋体" w:asciiTheme="minorEastAsia" w:hAnsiTheme="minorEastAsia"/>
          <w:spacing w:val="-2"/>
          <w:kern w:val="0"/>
          <w:szCs w:val="21"/>
        </w:rPr>
        <w:t>颁</w:t>
      </w:r>
      <w:r>
        <w:rPr>
          <w:rFonts w:hint="eastAsia" w:cs="宋体" w:asciiTheme="minorEastAsia" w:hAnsiTheme="minorEastAsia"/>
          <w:spacing w:val="-2"/>
          <w:kern w:val="0"/>
          <w:szCs w:val="21"/>
        </w:rPr>
        <w:t>发的</w:t>
      </w:r>
      <w:r>
        <w:rPr>
          <w:rFonts w:cs="宋体" w:asciiTheme="minorEastAsia" w:hAnsiTheme="minorEastAsia"/>
          <w:spacing w:val="-2"/>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spacing w:val="-2"/>
          <w:kern w:val="0"/>
          <w:szCs w:val="21"/>
        </w:rPr>
        <w:t>中国国家信息安全产品认证证书</w:t>
      </w:r>
      <w:r>
        <w:rPr>
          <w:rFonts w:hint="eastAsia" w:cs="宋体" w:asciiTheme="minorEastAsia" w:hAnsiTheme="minorEastAsia"/>
          <w:spacing w:val="-2"/>
          <w:kern w:val="0"/>
          <w:szCs w:val="21"/>
        </w:rPr>
        <w:fldChar w:fldCharType="end"/>
      </w:r>
      <w:r>
        <w:rPr>
          <w:rFonts w:cs="宋体" w:asciiTheme="minorEastAsia" w:hAnsiTheme="minorEastAsia"/>
          <w:spacing w:val="-2"/>
          <w:kern w:val="0"/>
          <w:szCs w:val="21"/>
        </w:rPr>
        <w:t>》。</w:t>
      </w:r>
      <w:r>
        <w:rPr>
          <w:rFonts w:hint="eastAsia" w:cs="宋体" w:asciiTheme="minorEastAsia" w:hAnsiTheme="minorEastAsia"/>
          <w:spacing w:val="-2"/>
          <w:kern w:val="0"/>
          <w:szCs w:val="21"/>
        </w:rPr>
        <w:t>投标人</w:t>
      </w:r>
      <w:r>
        <w:rPr>
          <w:rFonts w:cs="宋体" w:asciiTheme="minorEastAsia" w:hAnsiTheme="minorEastAsia"/>
          <w:spacing w:val="-2"/>
          <w:kern w:val="0"/>
          <w:szCs w:val="21"/>
        </w:rPr>
        <w:t>不能提供超出此目录范畴外的替代品</w:t>
      </w:r>
      <w:r>
        <w:rPr>
          <w:rFonts w:hint="eastAsia" w:cs="宋体" w:asciiTheme="minorEastAsia" w:hAnsiTheme="minorEastAsia"/>
          <w:spacing w:val="-2"/>
          <w:kern w:val="0"/>
          <w:szCs w:val="21"/>
        </w:rPr>
        <w:t>。</w:t>
      </w:r>
    </w:p>
    <w:p>
      <w:pPr>
        <w:pStyle w:val="46"/>
        <w:numPr>
          <w:ilvl w:val="0"/>
          <w:numId w:val="6"/>
        </w:numPr>
        <w:autoSpaceDE w:val="0"/>
        <w:autoSpaceDN w:val="0"/>
        <w:adjustRightInd w:val="0"/>
        <w:snapToGrid w:val="0"/>
        <w:spacing w:line="360" w:lineRule="auto"/>
        <w:ind w:firstLineChars="0"/>
        <w:rPr>
          <w:rFonts w:cs="宋体" w:asciiTheme="minorEastAsia" w:hAnsiTheme="minorEastAsia"/>
          <w:b/>
          <w:kern w:val="0"/>
          <w:szCs w:val="21"/>
        </w:rPr>
      </w:pPr>
      <w:r>
        <w:rPr>
          <w:rFonts w:hint="eastAsia" w:cs="宋体" w:asciiTheme="minorEastAsia" w:hAnsiTheme="minorEastAsia"/>
          <w:b/>
          <w:kern w:val="0"/>
          <w:szCs w:val="21"/>
        </w:rPr>
        <w:t>投标费用</w:t>
      </w:r>
    </w:p>
    <w:p>
      <w:pPr>
        <w:autoSpaceDE w:val="0"/>
        <w:autoSpaceDN w:val="0"/>
        <w:adjustRightInd w:val="0"/>
        <w:snapToGrid w:val="0"/>
        <w:spacing w:line="360" w:lineRule="auto"/>
        <w:rPr>
          <w:rFonts w:cs="宋体" w:asciiTheme="minorEastAsia" w:hAnsiTheme="minorEastAsia"/>
          <w:kern w:val="0"/>
          <w:szCs w:val="21"/>
        </w:rPr>
      </w:pPr>
      <w:r>
        <w:rPr>
          <w:rFonts w:hint="eastAsia" w:cs="宋体" w:asciiTheme="minorEastAsia" w:hAnsiTheme="minorEastAsia"/>
          <w:kern w:val="0"/>
          <w:szCs w:val="21"/>
        </w:rPr>
        <w:t>不论投标的结果如何，投标人均应自行承担所有与投标有关的全部费用，招标人在任何情况下均无义务和责任承担这些费用。</w:t>
      </w:r>
    </w:p>
    <w:p>
      <w:pPr>
        <w:pStyle w:val="46"/>
        <w:numPr>
          <w:ilvl w:val="0"/>
          <w:numId w:val="6"/>
        </w:numPr>
        <w:autoSpaceDE w:val="0"/>
        <w:autoSpaceDN w:val="0"/>
        <w:adjustRightInd w:val="0"/>
        <w:snapToGrid w:val="0"/>
        <w:spacing w:line="360" w:lineRule="auto"/>
        <w:ind w:firstLineChars="0"/>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adjustRightInd w:val="0"/>
        <w:snapToGrid w:val="0"/>
        <w:spacing w:line="360" w:lineRule="auto"/>
        <w:rPr>
          <w:rFonts w:cs="宋体" w:asciiTheme="minorEastAsia" w:hAnsiTheme="minorEastAsia"/>
          <w:kern w:val="0"/>
          <w:szCs w:val="21"/>
        </w:rPr>
      </w:pPr>
      <w:r>
        <w:rPr>
          <w:rFonts w:hint="eastAsia" w:cs="宋体" w:asciiTheme="minorEastAsia" w:hAnsiTheme="minorEastAsia"/>
          <w:kern w:val="0"/>
          <w:szCs w:val="21"/>
        </w:rPr>
        <w:t>本采购项目需要公开的有关信息，包括招标公告、招标文件澄清或修改公告、中标公告以及延长投标截止时间等与招标活动有关的通知，招标人均将通过在《河南省政府采购网》、《许昌市政府采购网》、《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pStyle w:val="46"/>
        <w:numPr>
          <w:ilvl w:val="0"/>
          <w:numId w:val="6"/>
        </w:numPr>
        <w:autoSpaceDE w:val="0"/>
        <w:autoSpaceDN w:val="0"/>
        <w:adjustRightInd w:val="0"/>
        <w:snapToGrid w:val="0"/>
        <w:spacing w:line="360" w:lineRule="auto"/>
        <w:ind w:firstLineChars="0"/>
        <w:rPr>
          <w:rFonts w:cs="宋体" w:asciiTheme="minorEastAsia" w:hAnsiTheme="minorEastAsia"/>
          <w:b/>
          <w:kern w:val="0"/>
          <w:szCs w:val="21"/>
        </w:rPr>
      </w:pPr>
      <w:r>
        <w:rPr>
          <w:rFonts w:hint="eastAsia" w:cs="宋体" w:asciiTheme="minorEastAsia" w:hAnsiTheme="minorEastAsia"/>
          <w:b/>
          <w:kern w:val="0"/>
          <w:szCs w:val="21"/>
        </w:rPr>
        <w:t>采购代理机构代理费用收取标准和方式</w:t>
      </w:r>
    </w:p>
    <w:p>
      <w:pPr>
        <w:autoSpaceDE w:val="0"/>
        <w:autoSpaceDN w:val="0"/>
        <w:adjustRightInd w:val="0"/>
        <w:snapToGrid w:val="0"/>
        <w:spacing w:line="360" w:lineRule="auto"/>
        <w:rPr>
          <w:rFonts w:cs="宋体" w:asciiTheme="minorEastAsia" w:hAnsiTheme="minorEastAsia"/>
          <w:kern w:val="0"/>
          <w:szCs w:val="21"/>
        </w:rPr>
      </w:pPr>
      <w:r>
        <w:rPr>
          <w:rFonts w:hint="eastAsia" w:cs="宋体" w:asciiTheme="minorEastAsia" w:hAnsiTheme="minorEastAsia"/>
          <w:kern w:val="0"/>
          <w:szCs w:val="21"/>
        </w:rPr>
        <w:t>7.1 收取标准:按照中标合同金额的比例收取。详见投标人须知前附表。</w:t>
      </w:r>
    </w:p>
    <w:p>
      <w:pPr>
        <w:autoSpaceDE w:val="0"/>
        <w:autoSpaceDN w:val="0"/>
        <w:adjustRightInd w:val="0"/>
        <w:snapToGrid w:val="0"/>
        <w:spacing w:line="360" w:lineRule="auto"/>
        <w:rPr>
          <w:rFonts w:cs="宋体" w:asciiTheme="minorEastAsia" w:hAnsiTheme="minorEastAsia"/>
          <w:kern w:val="0"/>
          <w:szCs w:val="21"/>
        </w:rPr>
      </w:pPr>
      <w:r>
        <w:rPr>
          <w:rFonts w:hint="eastAsia" w:cs="宋体" w:asciiTheme="minorEastAsia" w:hAnsiTheme="minorEastAsia"/>
          <w:kern w:val="0"/>
          <w:szCs w:val="21"/>
        </w:rPr>
        <w:t>7.2 收取方式：一次性以银行划账、电汇、汇票或支票的形式支付。</w:t>
      </w:r>
    </w:p>
    <w:p>
      <w:pPr>
        <w:pStyle w:val="46"/>
        <w:numPr>
          <w:ilvl w:val="0"/>
          <w:numId w:val="6"/>
        </w:numPr>
        <w:autoSpaceDE w:val="0"/>
        <w:autoSpaceDN w:val="0"/>
        <w:adjustRightInd w:val="0"/>
        <w:snapToGrid w:val="0"/>
        <w:spacing w:line="360" w:lineRule="auto"/>
        <w:ind w:firstLineChars="0"/>
        <w:rPr>
          <w:rFonts w:cs="宋体" w:asciiTheme="minorEastAsia" w:hAnsiTheme="minorEastAsia"/>
          <w:b/>
          <w:kern w:val="0"/>
          <w:szCs w:val="21"/>
        </w:rPr>
      </w:pPr>
      <w:r>
        <w:rPr>
          <w:rFonts w:hint="eastAsia" w:cs="宋体" w:asciiTheme="minorEastAsia" w:hAnsiTheme="minorEastAsia"/>
          <w:b/>
          <w:kern w:val="0"/>
          <w:szCs w:val="21"/>
        </w:rPr>
        <w:t>其他</w:t>
      </w:r>
    </w:p>
    <w:p>
      <w:pPr>
        <w:autoSpaceDE w:val="0"/>
        <w:autoSpaceDN w:val="0"/>
        <w:adjustRightInd w:val="0"/>
        <w:snapToGrid w:val="0"/>
        <w:spacing w:line="360" w:lineRule="auto"/>
        <w:rPr>
          <w:rFonts w:cs="宋体" w:asciiTheme="minorEastAsia" w:hAnsiTheme="minorEastAsia"/>
          <w:b/>
          <w:kern w:val="0"/>
          <w:szCs w:val="21"/>
        </w:rPr>
      </w:pPr>
      <w:r>
        <w:rPr>
          <w:rFonts w:hint="eastAsia" w:cs="宋体" w:asciiTheme="minorEastAsia" w:hAnsiTheme="minor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pPr>
        <w:tabs>
          <w:tab w:val="left" w:pos="1260"/>
        </w:tabs>
        <w:autoSpaceDE w:val="0"/>
        <w:autoSpaceDN w:val="0"/>
        <w:adjustRightInd w:val="0"/>
        <w:snapToGrid w:val="0"/>
        <w:spacing w:before="240" w:line="360" w:lineRule="auto"/>
        <w:jc w:val="center"/>
        <w:rPr>
          <w:rFonts w:cs="宋体" w:asciiTheme="minorEastAsia" w:hAnsiTheme="minorEastAsia"/>
          <w:b/>
          <w:kern w:val="0"/>
          <w:sz w:val="28"/>
          <w:szCs w:val="28"/>
        </w:rPr>
      </w:pPr>
      <w:r>
        <w:rPr>
          <w:rFonts w:hint="eastAsia" w:cs="宋体" w:asciiTheme="minorEastAsia" w:hAnsiTheme="minorEastAsia"/>
          <w:b/>
          <w:kern w:val="0"/>
          <w:sz w:val="28"/>
          <w:szCs w:val="28"/>
        </w:rPr>
        <w:t>二、招标文件说明</w:t>
      </w:r>
    </w:p>
    <w:p>
      <w:pPr>
        <w:pStyle w:val="46"/>
        <w:numPr>
          <w:ilvl w:val="0"/>
          <w:numId w:val="6"/>
        </w:numPr>
        <w:autoSpaceDE w:val="0"/>
        <w:autoSpaceDN w:val="0"/>
        <w:adjustRightInd w:val="0"/>
        <w:snapToGrid w:val="0"/>
        <w:spacing w:line="360" w:lineRule="auto"/>
        <w:ind w:firstLineChars="0"/>
        <w:rPr>
          <w:rFonts w:cs="宋体" w:asciiTheme="minorEastAsia" w:hAnsiTheme="minorEastAsia"/>
          <w:b/>
          <w:kern w:val="0"/>
          <w:szCs w:val="21"/>
        </w:rPr>
      </w:pPr>
      <w:r>
        <w:rPr>
          <w:rFonts w:hint="eastAsia" w:cs="宋体" w:asciiTheme="minorEastAsia" w:hAnsiTheme="minorEastAsia"/>
          <w:b/>
          <w:kern w:val="0"/>
          <w:szCs w:val="21"/>
        </w:rPr>
        <w:t>招标文件构成</w:t>
      </w:r>
    </w:p>
    <w:p>
      <w:pPr>
        <w:autoSpaceDE w:val="0"/>
        <w:autoSpaceDN w:val="0"/>
        <w:adjustRightInd w:val="0"/>
        <w:snapToGrid w:val="0"/>
        <w:spacing w:line="360" w:lineRule="auto"/>
        <w:rPr>
          <w:rFonts w:cs="宋体" w:asciiTheme="minorEastAsia" w:hAnsiTheme="minorEastAsia"/>
          <w:kern w:val="0"/>
          <w:szCs w:val="21"/>
        </w:rPr>
      </w:pPr>
      <w:r>
        <w:rPr>
          <w:rFonts w:hint="eastAsia" w:cs="宋体" w:asciiTheme="minorEastAsia" w:hAnsiTheme="minorEastAsia"/>
          <w:kern w:val="0"/>
          <w:szCs w:val="21"/>
        </w:rPr>
        <w:t>9.1 招标文件由以下部分组成：</w:t>
      </w:r>
    </w:p>
    <w:p>
      <w:pPr>
        <w:autoSpaceDE w:val="0"/>
        <w:autoSpaceDN w:val="0"/>
        <w:adjustRightInd w:val="0"/>
        <w:snapToGrid w:val="0"/>
        <w:spacing w:line="360" w:lineRule="auto"/>
        <w:rPr>
          <w:rFonts w:cs="宋体" w:asciiTheme="minorEastAsia" w:hAnsiTheme="minorEastAsia"/>
          <w:kern w:val="0"/>
          <w:szCs w:val="21"/>
        </w:rPr>
      </w:pPr>
      <w:r>
        <w:rPr>
          <w:rFonts w:hint="eastAsia" w:cs="宋体" w:asciiTheme="minorEastAsia" w:hAnsiTheme="minorEastAsia"/>
          <w:kern w:val="0"/>
          <w:szCs w:val="21"/>
        </w:rPr>
        <w:t>(1)投标邀请（招标公告）</w:t>
      </w:r>
    </w:p>
    <w:p>
      <w:pPr>
        <w:autoSpaceDE w:val="0"/>
        <w:autoSpaceDN w:val="0"/>
        <w:adjustRightInd w:val="0"/>
        <w:snapToGrid w:val="0"/>
        <w:spacing w:line="360" w:lineRule="auto"/>
        <w:rPr>
          <w:rFonts w:cs="宋体" w:asciiTheme="minorEastAsia" w:hAnsiTheme="minorEastAsia"/>
          <w:kern w:val="0"/>
          <w:szCs w:val="21"/>
        </w:rPr>
      </w:pPr>
      <w:r>
        <w:rPr>
          <w:rFonts w:hint="eastAsia" w:cs="宋体" w:asciiTheme="minorEastAsia" w:hAnsiTheme="minorEastAsia"/>
          <w:kern w:val="0"/>
          <w:szCs w:val="21"/>
        </w:rPr>
        <w:t>(2)项目需求</w:t>
      </w:r>
    </w:p>
    <w:p>
      <w:pPr>
        <w:autoSpaceDE w:val="0"/>
        <w:autoSpaceDN w:val="0"/>
        <w:adjustRightInd w:val="0"/>
        <w:snapToGrid w:val="0"/>
        <w:spacing w:line="360" w:lineRule="auto"/>
        <w:rPr>
          <w:rFonts w:cs="宋体" w:asciiTheme="minorEastAsia" w:hAnsiTheme="minorEastAsia"/>
          <w:kern w:val="0"/>
          <w:szCs w:val="21"/>
        </w:rPr>
      </w:pPr>
      <w:r>
        <w:rPr>
          <w:rFonts w:hint="eastAsia" w:cs="宋体" w:asciiTheme="minorEastAsia" w:hAnsiTheme="minorEastAsia"/>
          <w:kern w:val="0"/>
          <w:szCs w:val="21"/>
        </w:rPr>
        <w:t>(3)投标人须知前附表</w:t>
      </w:r>
    </w:p>
    <w:p>
      <w:pPr>
        <w:autoSpaceDE w:val="0"/>
        <w:autoSpaceDN w:val="0"/>
        <w:adjustRightInd w:val="0"/>
        <w:snapToGrid w:val="0"/>
        <w:spacing w:line="360" w:lineRule="auto"/>
        <w:rPr>
          <w:rFonts w:cs="宋体" w:asciiTheme="minorEastAsia" w:hAnsiTheme="minorEastAsia"/>
          <w:kern w:val="0"/>
          <w:szCs w:val="21"/>
        </w:rPr>
      </w:pPr>
      <w:r>
        <w:rPr>
          <w:rFonts w:hint="eastAsia" w:cs="宋体" w:asciiTheme="minorEastAsia" w:hAnsiTheme="minorEastAsia"/>
          <w:kern w:val="0"/>
          <w:szCs w:val="21"/>
        </w:rPr>
        <w:t>(4)投标人须知</w:t>
      </w:r>
    </w:p>
    <w:p>
      <w:pPr>
        <w:autoSpaceDE w:val="0"/>
        <w:autoSpaceDN w:val="0"/>
        <w:adjustRightInd w:val="0"/>
        <w:snapToGrid w:val="0"/>
        <w:spacing w:line="360" w:lineRule="auto"/>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adjustRightInd w:val="0"/>
        <w:snapToGrid w:val="0"/>
        <w:spacing w:line="360" w:lineRule="auto"/>
        <w:rPr>
          <w:rFonts w:cs="宋体" w:asciiTheme="minorEastAsia" w:hAnsiTheme="minorEastAsia"/>
          <w:kern w:val="0"/>
          <w:szCs w:val="21"/>
        </w:rPr>
      </w:pPr>
      <w:r>
        <w:rPr>
          <w:rFonts w:hint="eastAsia" w:cs="宋体" w:asciiTheme="minorEastAsia" w:hAnsiTheme="minorEastAsia"/>
          <w:kern w:val="0"/>
          <w:szCs w:val="21"/>
        </w:rPr>
        <w:t>(6)资格审查与评标</w:t>
      </w:r>
    </w:p>
    <w:p>
      <w:pPr>
        <w:autoSpaceDE w:val="0"/>
        <w:autoSpaceDN w:val="0"/>
        <w:adjustRightInd w:val="0"/>
        <w:snapToGrid w:val="0"/>
        <w:spacing w:line="360" w:lineRule="auto"/>
        <w:rPr>
          <w:rFonts w:cs="宋体" w:asciiTheme="minorEastAsia" w:hAnsiTheme="minorEastAsia"/>
          <w:kern w:val="0"/>
          <w:szCs w:val="21"/>
        </w:rPr>
      </w:pPr>
      <w:r>
        <w:rPr>
          <w:rFonts w:hint="eastAsia" w:cs="宋体" w:asciiTheme="minorEastAsia" w:hAnsiTheme="minorEastAsia"/>
          <w:kern w:val="0"/>
          <w:szCs w:val="21"/>
        </w:rPr>
        <w:t>(7)合同条款及格式</w:t>
      </w:r>
    </w:p>
    <w:p>
      <w:pPr>
        <w:autoSpaceDE w:val="0"/>
        <w:autoSpaceDN w:val="0"/>
        <w:adjustRightInd w:val="0"/>
        <w:snapToGrid w:val="0"/>
        <w:spacing w:line="360" w:lineRule="auto"/>
        <w:rPr>
          <w:rFonts w:cs="宋体" w:asciiTheme="minorEastAsia" w:hAnsiTheme="minorEastAsia"/>
          <w:kern w:val="0"/>
          <w:szCs w:val="21"/>
        </w:rPr>
      </w:pPr>
      <w:r>
        <w:rPr>
          <w:rFonts w:hint="eastAsia" w:cs="宋体" w:asciiTheme="minorEastAsia" w:hAnsiTheme="minorEastAsia"/>
          <w:kern w:val="0"/>
          <w:szCs w:val="21"/>
        </w:rPr>
        <w:t>(8)投标文件有关格式</w:t>
      </w:r>
    </w:p>
    <w:p>
      <w:pPr>
        <w:autoSpaceDE w:val="0"/>
        <w:autoSpaceDN w:val="0"/>
        <w:adjustRightInd w:val="0"/>
        <w:snapToGrid w:val="0"/>
        <w:spacing w:line="360" w:lineRule="auto"/>
        <w:rPr>
          <w:rFonts w:cs="宋体" w:asciiTheme="minorEastAsia" w:hAnsiTheme="minorEastAsia"/>
          <w:kern w:val="0"/>
          <w:szCs w:val="21"/>
        </w:rPr>
      </w:pPr>
      <w:r>
        <w:rPr>
          <w:rFonts w:hint="eastAsia" w:cs="宋体" w:asciiTheme="minorEastAsia" w:hAnsiTheme="minorEastAsia"/>
          <w:kern w:val="0"/>
          <w:szCs w:val="21"/>
        </w:rPr>
        <w:t>本项目招标文件的澄清、答复、修改、补充内容（如有的话）</w:t>
      </w:r>
    </w:p>
    <w:p>
      <w:pPr>
        <w:autoSpaceDE w:val="0"/>
        <w:autoSpaceDN w:val="0"/>
        <w:adjustRightInd w:val="0"/>
        <w:snapToGrid w:val="0"/>
        <w:spacing w:line="360" w:lineRule="auto"/>
        <w:rPr>
          <w:rFonts w:cs="宋体" w:asciiTheme="minorEastAsia" w:hAnsiTheme="minorEastAsia"/>
          <w:kern w:val="0"/>
          <w:szCs w:val="21"/>
        </w:rPr>
      </w:pPr>
      <w:r>
        <w:rPr>
          <w:rFonts w:hint="eastAsia" w:cs="宋体" w:asciiTheme="minorEastAsia" w:hAnsiTheme="minorEastAsia"/>
          <w:kern w:val="0"/>
          <w:szCs w:val="21"/>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adjustRightInd w:val="0"/>
        <w:snapToGrid w:val="0"/>
        <w:spacing w:line="360" w:lineRule="auto"/>
        <w:rPr>
          <w:rFonts w:cs="宋体" w:asciiTheme="minorEastAsia" w:hAnsiTheme="minorEastAsia"/>
          <w:kern w:val="0"/>
          <w:szCs w:val="21"/>
        </w:rPr>
      </w:pPr>
      <w:r>
        <w:rPr>
          <w:rFonts w:hint="eastAsia" w:cs="宋体" w:asciiTheme="minorEastAsia" w:hAnsiTheme="minorEastAsia"/>
          <w:kern w:val="0"/>
          <w:szCs w:val="21"/>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pStyle w:val="46"/>
        <w:numPr>
          <w:ilvl w:val="0"/>
          <w:numId w:val="6"/>
        </w:numPr>
        <w:autoSpaceDE w:val="0"/>
        <w:autoSpaceDN w:val="0"/>
        <w:adjustRightInd w:val="0"/>
        <w:snapToGrid w:val="0"/>
        <w:spacing w:line="360" w:lineRule="auto"/>
        <w:ind w:firstLineChars="0"/>
        <w:rPr>
          <w:rFonts w:cs="宋体" w:asciiTheme="minorEastAsia" w:hAnsiTheme="minorEastAsia"/>
          <w:b/>
          <w:kern w:val="0"/>
          <w:szCs w:val="21"/>
        </w:rPr>
      </w:pPr>
      <w:r>
        <w:rPr>
          <w:rFonts w:hint="eastAsia" w:cs="宋体" w:asciiTheme="minorEastAsia" w:hAnsiTheme="minorEastAsia"/>
          <w:b/>
          <w:kern w:val="0"/>
          <w:szCs w:val="21"/>
        </w:rPr>
        <w:t>现场考察、开标前答疑会</w:t>
      </w:r>
    </w:p>
    <w:p>
      <w:pPr>
        <w:autoSpaceDE w:val="0"/>
        <w:autoSpaceDN w:val="0"/>
        <w:adjustRightInd w:val="0"/>
        <w:snapToGrid w:val="0"/>
        <w:spacing w:line="360" w:lineRule="auto"/>
        <w:rPr>
          <w:rFonts w:cs="宋体" w:asciiTheme="minorEastAsia" w:hAnsiTheme="minorEastAsia"/>
          <w:b/>
          <w:kern w:val="0"/>
          <w:szCs w:val="21"/>
        </w:rPr>
      </w:pPr>
      <w:r>
        <w:rPr>
          <w:rFonts w:hint="eastAsia" w:cs="宋体" w:asciiTheme="minorEastAsia" w:hAnsiTheme="minorEastAsia"/>
          <w:kern w:val="0"/>
          <w:szCs w:val="21"/>
        </w:rPr>
        <w:t>10.1 招标人根据采购项目的具体情况，可以在招标文件公告期满后，组织已获取招标文件的潜在投标人现场考察或者召开开标前答疑会。</w:t>
      </w:r>
    </w:p>
    <w:p>
      <w:pPr>
        <w:autoSpaceDE w:val="0"/>
        <w:autoSpaceDN w:val="0"/>
        <w:adjustRightInd w:val="0"/>
        <w:snapToGrid w:val="0"/>
        <w:spacing w:line="360" w:lineRule="auto"/>
        <w:rPr>
          <w:rFonts w:cs="宋体" w:asciiTheme="minorEastAsia" w:hAnsiTheme="minorEastAsia"/>
          <w:kern w:val="0"/>
          <w:szCs w:val="21"/>
        </w:rPr>
      </w:pPr>
      <w:r>
        <w:rPr>
          <w:rFonts w:hint="eastAsia" w:cs="宋体" w:asciiTheme="minorEastAsia" w:hAnsiTheme="minorEastAsia"/>
          <w:kern w:val="0"/>
          <w:szCs w:val="21"/>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pPr>
        <w:autoSpaceDE w:val="0"/>
        <w:autoSpaceDN w:val="0"/>
        <w:adjustRightInd w:val="0"/>
        <w:snapToGrid w:val="0"/>
        <w:spacing w:line="360" w:lineRule="auto"/>
        <w:rPr>
          <w:rFonts w:cs="宋体" w:asciiTheme="minorEastAsia" w:hAnsiTheme="minorEastAsia"/>
          <w:kern w:val="0"/>
          <w:szCs w:val="21"/>
        </w:rPr>
      </w:pPr>
      <w:r>
        <w:rPr>
          <w:rFonts w:hint="eastAsia" w:cs="宋体" w:asciiTheme="minorEastAsia" w:hAnsiTheme="minorEastAsia"/>
          <w:kern w:val="0"/>
          <w:szCs w:val="21"/>
        </w:rPr>
        <w:t>10.2 招标人组织现场考察或者召开答疑会的，应当在招标文件中载明，或者在招标文件公告期满后在财政部门指定的政府采购信息发布媒体和《全国公共资源交易平台（河南省·许昌市）》发布更正公告。</w:t>
      </w:r>
    </w:p>
    <w:p>
      <w:pPr>
        <w:autoSpaceDE w:val="0"/>
        <w:autoSpaceDN w:val="0"/>
        <w:adjustRightInd w:val="0"/>
        <w:snapToGrid w:val="0"/>
        <w:spacing w:line="360" w:lineRule="auto"/>
        <w:rPr>
          <w:rFonts w:cs="宋体" w:asciiTheme="minorEastAsia" w:hAnsiTheme="minorEastAsia"/>
          <w:kern w:val="0"/>
          <w:szCs w:val="21"/>
        </w:rPr>
      </w:pPr>
      <w:r>
        <w:rPr>
          <w:rFonts w:hint="eastAsia" w:cs="宋体" w:asciiTheme="minorEastAsia" w:hAnsiTheme="minorEastAsia"/>
          <w:kern w:val="0"/>
          <w:szCs w:val="21"/>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autoSpaceDE w:val="0"/>
        <w:autoSpaceDN w:val="0"/>
        <w:adjustRightInd w:val="0"/>
        <w:snapToGrid w:val="0"/>
        <w:spacing w:line="360" w:lineRule="auto"/>
        <w:rPr>
          <w:rFonts w:cs="宋体" w:asciiTheme="minorEastAsia" w:hAnsiTheme="minorEastAsia"/>
          <w:b/>
          <w:kern w:val="0"/>
          <w:szCs w:val="21"/>
        </w:rPr>
      </w:pPr>
      <w:r>
        <w:rPr>
          <w:rFonts w:hint="eastAsia" w:cs="宋体" w:asciiTheme="minorEastAsia" w:hAnsiTheme="minorEastAsia"/>
          <w:kern w:val="0"/>
          <w:szCs w:val="21"/>
        </w:rPr>
        <w:t>10.4 现场考察及参加开标前答疑会所发生的费用及一切责任由投标人自行承担。</w:t>
      </w:r>
    </w:p>
    <w:p>
      <w:pPr>
        <w:pStyle w:val="46"/>
        <w:numPr>
          <w:ilvl w:val="0"/>
          <w:numId w:val="6"/>
        </w:numPr>
        <w:autoSpaceDE w:val="0"/>
        <w:autoSpaceDN w:val="0"/>
        <w:adjustRightInd w:val="0"/>
        <w:snapToGrid w:val="0"/>
        <w:spacing w:line="360" w:lineRule="auto"/>
        <w:ind w:firstLineChars="0"/>
        <w:rPr>
          <w:rFonts w:cs="宋体" w:asciiTheme="minorEastAsia" w:hAnsiTheme="minorEastAsia"/>
          <w:b/>
          <w:kern w:val="0"/>
          <w:szCs w:val="21"/>
        </w:rPr>
      </w:pPr>
      <w:r>
        <w:rPr>
          <w:rFonts w:hint="eastAsia" w:cs="宋体" w:asciiTheme="minorEastAsia" w:hAnsiTheme="minorEastAsia"/>
          <w:b/>
          <w:kern w:val="0"/>
          <w:szCs w:val="21"/>
        </w:rPr>
        <w:t>招标文件的澄清或修改</w:t>
      </w:r>
    </w:p>
    <w:p>
      <w:pPr>
        <w:autoSpaceDE w:val="0"/>
        <w:autoSpaceDN w:val="0"/>
        <w:adjustRightInd w:val="0"/>
        <w:snapToGrid w:val="0"/>
        <w:spacing w:line="360" w:lineRule="auto"/>
        <w:rPr>
          <w:rFonts w:cs="宋体" w:asciiTheme="minorEastAsia" w:hAnsiTheme="minorEastAsia"/>
          <w:kern w:val="0"/>
          <w:szCs w:val="21"/>
        </w:rPr>
      </w:pPr>
      <w:r>
        <w:rPr>
          <w:rFonts w:hint="eastAsia" w:cs="宋体" w:asciiTheme="minorEastAsia" w:hAnsiTheme="minorEastAsia"/>
          <w:kern w:val="0"/>
          <w:szCs w:val="21"/>
        </w:rPr>
        <w:t>11.1 在投标截止期前，无论出于何种原因，招标人可主动地或在解答潜在投标人提出的澄清问题时对招标文件进行修改。</w:t>
      </w:r>
    </w:p>
    <w:p>
      <w:pPr>
        <w:autoSpaceDE w:val="0"/>
        <w:autoSpaceDN w:val="0"/>
        <w:adjustRightInd w:val="0"/>
        <w:snapToGrid w:val="0"/>
        <w:spacing w:line="360" w:lineRule="auto"/>
        <w:rPr>
          <w:rFonts w:cs="宋体" w:asciiTheme="minorEastAsia" w:hAnsiTheme="minorEastAsia"/>
          <w:kern w:val="0"/>
          <w:szCs w:val="21"/>
        </w:rPr>
      </w:pPr>
      <w:r>
        <w:rPr>
          <w:rFonts w:hint="eastAsia" w:cs="宋体" w:asciiTheme="minorEastAsia" w:hAnsiTheme="minorEastAsia"/>
          <w:kern w:val="0"/>
          <w:szCs w:val="21"/>
        </w:rPr>
        <w:t>11.2 招标人可以对已发出的招标文件进行必要的澄清或者修改。澄清或者修改的内容可能影响投标文件编制的，招标人将在投标截止时间</w:t>
      </w:r>
      <w:r>
        <w:rPr>
          <w:rFonts w:cs="宋体" w:asciiTheme="minorEastAsia" w:hAnsiTheme="minorEastAsia"/>
          <w:kern w:val="0"/>
          <w:szCs w:val="21"/>
        </w:rPr>
        <w:t>15</w:t>
      </w:r>
      <w:r>
        <w:rPr>
          <w:rFonts w:hint="eastAsia" w:cs="宋体" w:asciiTheme="minorEastAsia" w:hAnsiTheme="minorEastAsia"/>
          <w:kern w:val="0"/>
          <w:szCs w:val="21"/>
        </w:rPr>
        <w:t>日前，在财政部门指定的政府采购信息发布媒体和《全国公共资源交易平台（河南省·许昌市）》发布更正公告。</w:t>
      </w:r>
    </w:p>
    <w:p>
      <w:pPr>
        <w:autoSpaceDE w:val="0"/>
        <w:autoSpaceDN w:val="0"/>
        <w:adjustRightInd w:val="0"/>
        <w:snapToGrid w:val="0"/>
        <w:spacing w:line="360" w:lineRule="auto"/>
        <w:rPr>
          <w:rFonts w:cs="宋体" w:asciiTheme="minorEastAsia" w:hAnsiTheme="minorEastAsia"/>
          <w:kern w:val="0"/>
          <w:szCs w:val="21"/>
        </w:rPr>
      </w:pPr>
      <w:r>
        <w:rPr>
          <w:rFonts w:hint="eastAsia" w:cs="宋体" w:asciiTheme="minorEastAsia" w:hAnsiTheme="minorEastAsia"/>
          <w:kern w:val="0"/>
          <w:szCs w:val="21"/>
        </w:rPr>
        <w:t>11.3 澄清或修改公告的内容为招标文件的组成部分，并对投标人具有约束力。当招标文件与澄清或修改公告就同一内容的表述不一致时，以最后发出的文件内容为准。</w:t>
      </w:r>
    </w:p>
    <w:p>
      <w:pPr>
        <w:autoSpaceDE w:val="0"/>
        <w:autoSpaceDN w:val="0"/>
        <w:adjustRightInd w:val="0"/>
        <w:snapToGrid w:val="0"/>
        <w:spacing w:line="360" w:lineRule="auto"/>
        <w:rPr>
          <w:rFonts w:cs="宋体" w:asciiTheme="minorEastAsia" w:hAnsiTheme="minorEastAsia"/>
          <w:kern w:val="0"/>
          <w:szCs w:val="21"/>
        </w:rPr>
      </w:pPr>
      <w:r>
        <w:rPr>
          <w:rFonts w:hint="eastAsia" w:cs="宋体" w:asciiTheme="minorEastAsia" w:hAnsiTheme="minorEastAsia"/>
          <w:kern w:val="0"/>
          <w:szCs w:val="21"/>
        </w:rPr>
        <w:t>11.4 如果澄清或者修改发出的时间距规定的投标截止时间不足15日，招标人将顺延提交投标文件的截止时间。</w:t>
      </w:r>
    </w:p>
    <w:p>
      <w:pPr>
        <w:tabs>
          <w:tab w:val="left" w:pos="1260"/>
        </w:tabs>
        <w:autoSpaceDE w:val="0"/>
        <w:autoSpaceDN w:val="0"/>
        <w:adjustRightInd w:val="0"/>
        <w:snapToGrid w:val="0"/>
        <w:spacing w:before="240" w:line="360" w:lineRule="auto"/>
        <w:jc w:val="center"/>
        <w:rPr>
          <w:rFonts w:cs="宋体" w:asciiTheme="minorEastAsia" w:hAnsiTheme="minorEastAsia"/>
          <w:b/>
          <w:kern w:val="0"/>
          <w:sz w:val="28"/>
          <w:szCs w:val="28"/>
        </w:rPr>
      </w:pPr>
      <w:r>
        <w:rPr>
          <w:rFonts w:hint="eastAsia" w:cs="宋体" w:asciiTheme="minorEastAsia" w:hAnsiTheme="minorEastAsia"/>
          <w:b/>
          <w:kern w:val="0"/>
          <w:sz w:val="28"/>
          <w:szCs w:val="28"/>
        </w:rPr>
        <w:t>三、投标文件的编制</w:t>
      </w:r>
    </w:p>
    <w:p>
      <w:pPr>
        <w:pStyle w:val="46"/>
        <w:numPr>
          <w:ilvl w:val="0"/>
          <w:numId w:val="6"/>
        </w:numPr>
        <w:autoSpaceDE w:val="0"/>
        <w:autoSpaceDN w:val="0"/>
        <w:adjustRightInd w:val="0"/>
        <w:snapToGrid w:val="0"/>
        <w:spacing w:line="360" w:lineRule="auto"/>
        <w:ind w:firstLineChars="0"/>
        <w:rPr>
          <w:rFonts w:cs="宋体" w:asciiTheme="minorEastAsia" w:hAnsiTheme="minorEastAsia"/>
          <w:b/>
          <w:kern w:val="0"/>
          <w:szCs w:val="21"/>
        </w:rPr>
      </w:pPr>
      <w:r>
        <w:rPr>
          <w:rFonts w:hint="eastAsia" w:cs="宋体" w:asciiTheme="minorEastAsia" w:hAnsiTheme="minorEastAsia"/>
          <w:b/>
          <w:kern w:val="0"/>
          <w:szCs w:val="21"/>
        </w:rPr>
        <w:t>投标的语言及计量单位</w:t>
      </w:r>
    </w:p>
    <w:p>
      <w:pPr>
        <w:autoSpaceDE w:val="0"/>
        <w:autoSpaceDN w:val="0"/>
        <w:adjustRightInd w:val="0"/>
        <w:snapToGrid w:val="0"/>
        <w:spacing w:line="360" w:lineRule="auto"/>
        <w:rPr>
          <w:rFonts w:cs="宋体" w:asciiTheme="minorEastAsia" w:hAnsiTheme="minorEastAsia"/>
          <w:kern w:val="0"/>
          <w:szCs w:val="21"/>
        </w:rPr>
      </w:pPr>
      <w:r>
        <w:rPr>
          <w:rFonts w:hint="eastAsia" w:cs="宋体" w:asciiTheme="minorEastAsia" w:hAnsiTheme="minorEastAsia"/>
          <w:kern w:val="0"/>
          <w:szCs w:val="21"/>
        </w:rPr>
        <w:t>12.1 投标人提交的投标文件以及投标人与招标人就有关投标事宜的所有来往书面文件均应使用中文。除签名、盖章、专用名称等特殊情形外，以中文以外的文字表述的投标文件视同未提供。</w:t>
      </w:r>
    </w:p>
    <w:p>
      <w:pPr>
        <w:autoSpaceDE w:val="0"/>
        <w:autoSpaceDN w:val="0"/>
        <w:adjustRightInd w:val="0"/>
        <w:snapToGrid w:val="0"/>
        <w:spacing w:line="360" w:lineRule="auto"/>
        <w:rPr>
          <w:rFonts w:cs="宋体" w:asciiTheme="minorEastAsia" w:hAnsiTheme="minorEastAsia"/>
          <w:kern w:val="0"/>
          <w:szCs w:val="21"/>
        </w:rPr>
      </w:pPr>
      <w:r>
        <w:rPr>
          <w:rFonts w:hint="eastAsia" w:cs="宋体" w:asciiTheme="minorEastAsia" w:hAnsiTheme="minorEastAsia"/>
          <w:kern w:val="0"/>
          <w:szCs w:val="21"/>
        </w:rPr>
        <w:t>12.2 投标计量单位，招标文件已有明确规定的，使用招标文件规定的计量单位；招标文件没有规定的，一律采用中华人民共和国法定计量单位。</w:t>
      </w:r>
    </w:p>
    <w:p>
      <w:pPr>
        <w:pStyle w:val="46"/>
        <w:numPr>
          <w:ilvl w:val="0"/>
          <w:numId w:val="6"/>
        </w:numPr>
        <w:autoSpaceDE w:val="0"/>
        <w:autoSpaceDN w:val="0"/>
        <w:adjustRightInd w:val="0"/>
        <w:snapToGrid w:val="0"/>
        <w:spacing w:line="360" w:lineRule="auto"/>
        <w:ind w:firstLineChars="0"/>
        <w:rPr>
          <w:rFonts w:cs="宋体" w:asciiTheme="minorEastAsia" w:hAnsiTheme="minorEastAsia"/>
          <w:b/>
          <w:kern w:val="0"/>
          <w:szCs w:val="21"/>
        </w:rPr>
      </w:pPr>
      <w:r>
        <w:rPr>
          <w:rFonts w:hint="eastAsia" w:cs="宋体" w:asciiTheme="minorEastAsia" w:hAnsiTheme="minorEastAsia"/>
          <w:b/>
          <w:kern w:val="0"/>
          <w:szCs w:val="21"/>
        </w:rPr>
        <w:t>投标报价</w:t>
      </w:r>
    </w:p>
    <w:p>
      <w:pPr>
        <w:autoSpaceDE w:val="0"/>
        <w:autoSpaceDN w:val="0"/>
        <w:adjustRightInd w:val="0"/>
        <w:snapToGrid w:val="0"/>
        <w:spacing w:line="360" w:lineRule="auto"/>
        <w:rPr>
          <w:rFonts w:cs="宋体" w:asciiTheme="minorEastAsia" w:hAnsiTheme="minorEastAsia"/>
          <w:kern w:val="0"/>
          <w:szCs w:val="21"/>
        </w:rPr>
      </w:pPr>
      <w:r>
        <w:rPr>
          <w:rFonts w:hint="eastAsia" w:cs="宋体" w:asciiTheme="minorEastAsia" w:hAnsiTheme="minorEastAsia"/>
          <w:kern w:val="0"/>
          <w:szCs w:val="21"/>
        </w:rPr>
        <w:t>13.1 本次招标项目的投标均以人民币为计算单位。</w:t>
      </w:r>
    </w:p>
    <w:p>
      <w:pPr>
        <w:autoSpaceDE w:val="0"/>
        <w:autoSpaceDN w:val="0"/>
        <w:adjustRightInd w:val="0"/>
        <w:snapToGrid w:val="0"/>
        <w:spacing w:line="360" w:lineRule="auto"/>
        <w:rPr>
          <w:rFonts w:cs="宋体" w:asciiTheme="minorEastAsia" w:hAnsiTheme="minorEastAsia"/>
          <w:kern w:val="0"/>
          <w:szCs w:val="21"/>
        </w:rPr>
      </w:pPr>
      <w:r>
        <w:rPr>
          <w:rFonts w:hint="eastAsia" w:cs="宋体" w:asciiTheme="minorEastAsia" w:hAnsiTheme="minorEastAsia"/>
          <w:kern w:val="0"/>
          <w:szCs w:val="21"/>
        </w:rPr>
        <w:t>13.2 采购人不得向投标人索要或者接受其给予的赠品、回扣或者与采购无关的其他商品、服务。</w:t>
      </w:r>
    </w:p>
    <w:p>
      <w:pPr>
        <w:autoSpaceDE w:val="0"/>
        <w:autoSpaceDN w:val="0"/>
        <w:adjustRightInd w:val="0"/>
        <w:snapToGrid w:val="0"/>
        <w:spacing w:line="360" w:lineRule="auto"/>
        <w:rPr>
          <w:rFonts w:cs="宋体" w:asciiTheme="minorEastAsia" w:hAnsiTheme="minorEastAsia"/>
          <w:kern w:val="0"/>
          <w:szCs w:val="21"/>
        </w:rPr>
      </w:pPr>
      <w:r>
        <w:rPr>
          <w:rFonts w:hint="eastAsia" w:cs="宋体" w:asciiTheme="minorEastAsia" w:hAnsiTheme="minorEastAsia"/>
          <w:kern w:val="0"/>
          <w:szCs w:val="21"/>
        </w:rPr>
        <w:t>13.3 投标人应对项目要求的全部内容进行报价，少报漏报将导致其投标为非实质性响应予以拒绝。</w:t>
      </w:r>
    </w:p>
    <w:p>
      <w:pPr>
        <w:autoSpaceDE w:val="0"/>
        <w:autoSpaceDN w:val="0"/>
        <w:adjustRightInd w:val="0"/>
        <w:snapToGrid w:val="0"/>
        <w:spacing w:line="360" w:lineRule="auto"/>
        <w:rPr>
          <w:rFonts w:cs="宋体" w:asciiTheme="minorEastAsia" w:hAnsiTheme="minorEastAsia"/>
          <w:kern w:val="0"/>
          <w:szCs w:val="21"/>
        </w:rPr>
      </w:pPr>
      <w:r>
        <w:rPr>
          <w:rFonts w:hint="eastAsia" w:cs="宋体" w:asciiTheme="minorEastAsia" w:hAnsiTheme="minorEastAsia"/>
          <w:kern w:val="0"/>
          <w:szCs w:val="21"/>
        </w:rPr>
        <w:t>13.4 投标人应当按照国家相关规定，结合自身服务水平和承受能力进行报价。投标报价应是履行合同的最终价格，除“项目需求”中另有说明外，</w:t>
      </w:r>
      <w:r>
        <w:rPr>
          <w:rFonts w:hint="eastAsia" w:cs="宋体" w:asciiTheme="minorEastAsia" w:hAnsiTheme="minorEastAsia"/>
          <w:b/>
          <w:bCs/>
          <w:kern w:val="0"/>
          <w:szCs w:val="21"/>
        </w:rPr>
        <w:t>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autoSpaceDE w:val="0"/>
        <w:autoSpaceDN w:val="0"/>
        <w:adjustRightInd w:val="0"/>
        <w:snapToGrid w:val="0"/>
        <w:spacing w:line="360" w:lineRule="auto"/>
        <w:rPr>
          <w:rFonts w:cs="宋体" w:asciiTheme="minorEastAsia" w:hAnsiTheme="minorEastAsia"/>
          <w:kern w:val="0"/>
          <w:szCs w:val="21"/>
        </w:rPr>
      </w:pPr>
      <w:r>
        <w:rPr>
          <w:rFonts w:hint="eastAsia" w:cs="宋体" w:asciiTheme="minorEastAsia" w:hAnsiTheme="minorEastAsia"/>
          <w:kern w:val="0"/>
          <w:szCs w:val="21"/>
        </w:rPr>
        <w:t xml:space="preserve">13.5 </w:t>
      </w:r>
      <w:r>
        <w:rPr>
          <w:rFonts w:hint="eastAsia" w:cs="宋体" w:asciiTheme="minorEastAsia" w:hAnsiTheme="minorEastAsia"/>
          <w:b/>
          <w:bCs/>
          <w:kern w:val="0"/>
          <w:szCs w:val="21"/>
        </w:rPr>
        <w:t>本项目所涉及的运输、施工、安装、集成、调试、验收、备品和工具等费用均包含在投标报价中。</w:t>
      </w:r>
    </w:p>
    <w:p>
      <w:pPr>
        <w:autoSpaceDE w:val="0"/>
        <w:autoSpaceDN w:val="0"/>
        <w:adjustRightInd w:val="0"/>
        <w:snapToGrid w:val="0"/>
        <w:spacing w:line="360" w:lineRule="auto"/>
        <w:rPr>
          <w:rFonts w:cs="宋体" w:asciiTheme="minorEastAsia" w:hAnsiTheme="minorEastAsia"/>
          <w:kern w:val="0"/>
          <w:szCs w:val="21"/>
        </w:rPr>
      </w:pPr>
      <w:r>
        <w:rPr>
          <w:rFonts w:hint="eastAsia" w:cs="宋体" w:asciiTheme="minorEastAsia" w:hAnsiTheme="minorEastAsia"/>
          <w:kern w:val="0"/>
          <w:szCs w:val="21"/>
        </w:rPr>
        <w:t>13.6 本次招标不接受可选择或可调整的投标方案和报价，任何有选择的或可调整的投标方案和报价将被视为非实质性响应投标而作无效投标处理。</w:t>
      </w:r>
    </w:p>
    <w:p>
      <w:pPr>
        <w:autoSpaceDE w:val="0"/>
        <w:autoSpaceDN w:val="0"/>
        <w:adjustRightInd w:val="0"/>
        <w:snapToGrid w:val="0"/>
        <w:spacing w:line="360" w:lineRule="auto"/>
        <w:rPr>
          <w:rFonts w:cs="宋体" w:asciiTheme="minorEastAsia" w:hAnsiTheme="minorEastAsia"/>
          <w:kern w:val="0"/>
          <w:szCs w:val="21"/>
        </w:rPr>
      </w:pPr>
      <w:r>
        <w:rPr>
          <w:rFonts w:hint="eastAsia" w:cs="宋体" w:asciiTheme="minorEastAsia" w:hAnsiTheme="minorEastAsia"/>
          <w:kern w:val="0"/>
          <w:szCs w:val="21"/>
        </w:rPr>
        <w:t>13.7 报价不得高于本项目最高限价，且不低于成本价。本次招标实行“最高限价（项目控制金额上限）”,投标人的投标报价高于最高限价（项目控制金额上限）的，该投标人的投标文件将被视为非实质性响应予以拒绝。</w:t>
      </w:r>
    </w:p>
    <w:p>
      <w:pPr>
        <w:autoSpaceDE w:val="0"/>
        <w:autoSpaceDN w:val="0"/>
        <w:adjustRightInd w:val="0"/>
        <w:snapToGrid w:val="0"/>
        <w:spacing w:line="360" w:lineRule="auto"/>
        <w:rPr>
          <w:rFonts w:cs="宋体" w:asciiTheme="minorEastAsia" w:hAnsiTheme="minorEastAsia"/>
          <w:kern w:val="0"/>
          <w:szCs w:val="21"/>
        </w:rPr>
      </w:pPr>
      <w:r>
        <w:rPr>
          <w:rFonts w:hint="eastAsia" w:cs="宋体" w:asciiTheme="minorEastAsia" w:hAnsiTheme="minorEastAsia"/>
          <w:kern w:val="0"/>
          <w:szCs w:val="21"/>
        </w:rPr>
        <w:t>13.8 最低报价不能作为中标的保证。</w:t>
      </w:r>
    </w:p>
    <w:p>
      <w:pPr>
        <w:pStyle w:val="46"/>
        <w:numPr>
          <w:ilvl w:val="0"/>
          <w:numId w:val="6"/>
        </w:numPr>
        <w:autoSpaceDE w:val="0"/>
        <w:autoSpaceDN w:val="0"/>
        <w:adjustRightInd w:val="0"/>
        <w:snapToGrid w:val="0"/>
        <w:spacing w:line="360" w:lineRule="auto"/>
        <w:ind w:firstLineChars="0"/>
        <w:rPr>
          <w:rFonts w:cs="宋体" w:asciiTheme="minorEastAsia" w:hAnsiTheme="minorEastAsia"/>
          <w:b/>
          <w:kern w:val="0"/>
          <w:szCs w:val="21"/>
        </w:rPr>
      </w:pPr>
      <w:r>
        <w:rPr>
          <w:rFonts w:hint="eastAsia" w:cs="宋体" w:asciiTheme="minorEastAsia" w:hAnsiTheme="minorEastAsia"/>
          <w:b/>
          <w:kern w:val="0"/>
          <w:szCs w:val="21"/>
        </w:rPr>
        <w:t>投标有效期</w:t>
      </w:r>
    </w:p>
    <w:p>
      <w:pPr>
        <w:autoSpaceDE w:val="0"/>
        <w:autoSpaceDN w:val="0"/>
        <w:adjustRightInd w:val="0"/>
        <w:snapToGrid w:val="0"/>
        <w:spacing w:line="360" w:lineRule="auto"/>
        <w:rPr>
          <w:rFonts w:cs="宋体" w:asciiTheme="minorEastAsia" w:hAnsiTheme="minorEastAsia"/>
          <w:kern w:val="0"/>
          <w:szCs w:val="21"/>
        </w:rPr>
      </w:pPr>
      <w:r>
        <w:rPr>
          <w:rFonts w:hint="eastAsia" w:cs="宋体" w:asciiTheme="minorEastAsia" w:hAnsiTheme="minorEastAsia"/>
          <w:kern w:val="0"/>
          <w:szCs w:val="21"/>
        </w:rPr>
        <w:t>14.1 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pPr>
        <w:autoSpaceDE w:val="0"/>
        <w:autoSpaceDN w:val="0"/>
        <w:adjustRightInd w:val="0"/>
        <w:snapToGrid w:val="0"/>
        <w:spacing w:line="360" w:lineRule="auto"/>
        <w:rPr>
          <w:rFonts w:cs="宋体" w:asciiTheme="minorEastAsia" w:hAnsiTheme="minorEastAsia"/>
          <w:kern w:val="0"/>
          <w:szCs w:val="21"/>
        </w:rPr>
      </w:pPr>
      <w:r>
        <w:rPr>
          <w:rFonts w:hint="eastAsia" w:cs="宋体" w:asciiTheme="minorEastAsia" w:hAnsiTheme="minorEastAsia"/>
          <w:kern w:val="0"/>
          <w:szCs w:val="21"/>
        </w:rPr>
        <w:t>14.2 投标有效期内投标人撤销投标文件的，招标人将不退还投标保证金。</w:t>
      </w:r>
    </w:p>
    <w:p>
      <w:pPr>
        <w:autoSpaceDE w:val="0"/>
        <w:autoSpaceDN w:val="0"/>
        <w:adjustRightInd w:val="0"/>
        <w:snapToGrid w:val="0"/>
        <w:spacing w:line="360" w:lineRule="auto"/>
        <w:rPr>
          <w:rFonts w:cs="宋体" w:asciiTheme="minorEastAsia" w:hAnsiTheme="minorEastAsia"/>
          <w:kern w:val="0"/>
          <w:szCs w:val="21"/>
        </w:rPr>
      </w:pPr>
      <w:r>
        <w:rPr>
          <w:rFonts w:hint="eastAsia" w:cs="宋体" w:asciiTheme="minorEastAsia" w:hAnsiTheme="minorEastAsia"/>
          <w:kern w:val="0"/>
          <w:szCs w:val="21"/>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autoSpaceDE w:val="0"/>
        <w:autoSpaceDN w:val="0"/>
        <w:adjustRightInd w:val="0"/>
        <w:snapToGrid w:val="0"/>
        <w:spacing w:line="360" w:lineRule="auto"/>
        <w:rPr>
          <w:rFonts w:cs="宋体" w:asciiTheme="minorEastAsia" w:hAnsiTheme="minorEastAsia"/>
          <w:kern w:val="0"/>
          <w:szCs w:val="21"/>
        </w:rPr>
      </w:pPr>
      <w:r>
        <w:rPr>
          <w:rFonts w:hint="eastAsia" w:cs="宋体" w:asciiTheme="minorEastAsia" w:hAnsiTheme="minorEastAsia"/>
          <w:kern w:val="0"/>
          <w:szCs w:val="21"/>
        </w:rPr>
        <w:t>14.4 中标人的投标文件作为项目合同的附件，其有效期至中标人全部合同义务履行完毕为止。</w:t>
      </w:r>
    </w:p>
    <w:p>
      <w:pPr>
        <w:pStyle w:val="46"/>
        <w:numPr>
          <w:ilvl w:val="0"/>
          <w:numId w:val="6"/>
        </w:numPr>
        <w:autoSpaceDE w:val="0"/>
        <w:autoSpaceDN w:val="0"/>
        <w:adjustRightInd w:val="0"/>
        <w:snapToGrid w:val="0"/>
        <w:spacing w:line="360" w:lineRule="auto"/>
        <w:ind w:firstLineChars="0"/>
        <w:rPr>
          <w:rFonts w:cs="宋体" w:asciiTheme="minorEastAsia" w:hAnsiTheme="minorEastAsia"/>
          <w:b/>
          <w:kern w:val="0"/>
          <w:szCs w:val="21"/>
        </w:rPr>
      </w:pPr>
      <w:r>
        <w:rPr>
          <w:rFonts w:hint="eastAsia" w:cs="宋体" w:asciiTheme="minorEastAsia" w:hAnsiTheme="minorEastAsia"/>
          <w:b/>
          <w:kern w:val="0"/>
          <w:szCs w:val="21"/>
        </w:rPr>
        <w:t>投标文件构成</w:t>
      </w:r>
    </w:p>
    <w:p>
      <w:pPr>
        <w:autoSpaceDE w:val="0"/>
        <w:autoSpaceDN w:val="0"/>
        <w:adjustRightInd w:val="0"/>
        <w:snapToGrid w:val="0"/>
        <w:spacing w:line="360" w:lineRule="auto"/>
        <w:rPr>
          <w:rFonts w:cs="宋体" w:asciiTheme="minorEastAsia" w:hAnsiTheme="minorEastAsia"/>
          <w:b/>
          <w:kern w:val="0"/>
          <w:szCs w:val="21"/>
        </w:rPr>
      </w:pPr>
      <w:r>
        <w:rPr>
          <w:rFonts w:hint="eastAsia" w:cs="宋体" w:asciiTheme="minorEastAsia" w:hAnsiTheme="minorEastAsia"/>
          <w:kern w:val="0"/>
          <w:szCs w:val="21"/>
        </w:rPr>
        <w:t>15.1 投标文件的构成应符合法律法规及招标文件的要求。</w:t>
      </w:r>
    </w:p>
    <w:p>
      <w:pPr>
        <w:autoSpaceDE w:val="0"/>
        <w:autoSpaceDN w:val="0"/>
        <w:adjustRightInd w:val="0"/>
        <w:snapToGrid w:val="0"/>
        <w:spacing w:line="360" w:lineRule="auto"/>
        <w:rPr>
          <w:rFonts w:cs="宋体" w:asciiTheme="minorEastAsia" w:hAnsiTheme="minorEastAsia"/>
          <w:b/>
          <w:kern w:val="0"/>
          <w:szCs w:val="21"/>
        </w:rPr>
      </w:pPr>
      <w:r>
        <w:rPr>
          <w:rFonts w:hint="eastAsia" w:cs="宋体" w:asciiTheme="minorEastAsia" w:hAnsiTheme="minorEastAsia"/>
          <w:kern w:val="0"/>
          <w:szCs w:val="21"/>
        </w:rPr>
        <w:t>15.2 投标人应当按照招标文件的要求编制投标文件。投标文件应当对招标文件提出的要求和条件作出明确响应。</w:t>
      </w:r>
    </w:p>
    <w:p>
      <w:pPr>
        <w:autoSpaceDE w:val="0"/>
        <w:autoSpaceDN w:val="0"/>
        <w:adjustRightInd w:val="0"/>
        <w:snapToGrid w:val="0"/>
        <w:spacing w:line="360" w:lineRule="auto"/>
        <w:rPr>
          <w:rFonts w:cs="宋体" w:asciiTheme="minorEastAsia" w:hAnsiTheme="minorEastAsia"/>
          <w:b/>
          <w:kern w:val="0"/>
          <w:szCs w:val="21"/>
        </w:rPr>
      </w:pPr>
      <w:r>
        <w:rPr>
          <w:rFonts w:hint="eastAsia" w:cs="宋体" w:asciiTheme="minorEastAsia" w:hAnsiTheme="minorEastAsia"/>
          <w:kern w:val="0"/>
          <w:szCs w:val="21"/>
        </w:rPr>
        <w:t>15.3 投标文件由资格证明材料、符合性证明材料、其它材料等组成。</w:t>
      </w:r>
    </w:p>
    <w:p>
      <w:pPr>
        <w:autoSpaceDE w:val="0"/>
        <w:autoSpaceDN w:val="0"/>
        <w:adjustRightInd w:val="0"/>
        <w:snapToGrid w:val="0"/>
        <w:spacing w:line="360" w:lineRule="auto"/>
        <w:rPr>
          <w:rFonts w:cs="宋体" w:asciiTheme="minorEastAsia" w:hAnsiTheme="minorEastAsia"/>
          <w:b/>
          <w:kern w:val="0"/>
          <w:szCs w:val="21"/>
        </w:rPr>
      </w:pPr>
      <w:r>
        <w:rPr>
          <w:rFonts w:hint="eastAsia" w:cs="宋体" w:asciiTheme="minorEastAsia" w:hAnsiTheme="minorEastAsia"/>
          <w:kern w:val="0"/>
          <w:szCs w:val="21"/>
        </w:rPr>
        <w:t>15.4 投标人根据招标文件的规定和采购项目的实际情况，拟在中标后将中标项目的非主体、非关键性工作分包的，应当在投标文件中载明分包承担主体，分包承担主体应当具备相应资质条件且不得再次分包。</w:t>
      </w:r>
    </w:p>
    <w:p>
      <w:pPr>
        <w:autoSpaceDE w:val="0"/>
        <w:autoSpaceDN w:val="0"/>
        <w:adjustRightInd w:val="0"/>
        <w:snapToGrid w:val="0"/>
        <w:spacing w:line="360" w:lineRule="auto"/>
        <w:rPr>
          <w:rFonts w:cs="宋体" w:asciiTheme="minorEastAsia" w:hAnsiTheme="minorEastAsia"/>
          <w:b/>
          <w:kern w:val="0"/>
          <w:szCs w:val="21"/>
        </w:rPr>
      </w:pPr>
      <w:r>
        <w:rPr>
          <w:rFonts w:hint="eastAsia" w:cs="宋体" w:asciiTheme="minorEastAsia" w:hAnsiTheme="minorEastAsia"/>
          <w:kern w:val="0"/>
          <w:szCs w:val="21"/>
        </w:rPr>
        <w:t>15.5 投标人登录许昌公共资源交易系统下载“许昌投标文件制作系统SEARUN V1.1”，按招标文件要求根据所投标段制作电子投标文件。 一个标段对应生成一个文件夹（xxxx项目xx标段）, 其中包含2个文件和1个文件夹。后缀名为“</w:t>
      </w:r>
      <w:r>
        <w:rPr>
          <w:rFonts w:cs="宋体" w:asciiTheme="minorEastAsia" w:hAnsiTheme="minorEastAsia"/>
          <w:kern w:val="0"/>
          <w:szCs w:val="21"/>
        </w:rPr>
        <w:t>.file</w:t>
      </w:r>
      <w:r>
        <w:rPr>
          <w:rFonts w:hint="eastAsia" w:cs="宋体" w:asciiTheme="minorEastAsia" w:hAnsiTheme="minorEastAsia"/>
          <w:kern w:val="0"/>
          <w:szCs w:val="21"/>
        </w:rPr>
        <w:t>”的文件用于电子投标使用，后缀名为“.PDF”的文件用于打印纸质投标文件，名称为“备份”的文件夹使用电子介质存储，供开标现场备用。</w:t>
      </w:r>
    </w:p>
    <w:p>
      <w:pPr>
        <w:autoSpaceDE w:val="0"/>
        <w:autoSpaceDN w:val="0"/>
        <w:adjustRightInd w:val="0"/>
        <w:snapToGrid w:val="0"/>
        <w:spacing w:line="360" w:lineRule="auto"/>
        <w:rPr>
          <w:rFonts w:cs="宋体" w:asciiTheme="minorEastAsia" w:hAnsiTheme="minorEastAsia"/>
          <w:b/>
          <w:kern w:val="0"/>
          <w:szCs w:val="21"/>
        </w:rPr>
      </w:pPr>
      <w:r>
        <w:rPr>
          <w:rFonts w:hint="eastAsia" w:cs="宋体" w:asciiTheme="minorEastAsia" w:hAnsiTheme="minorEastAsia"/>
          <w:kern w:val="0"/>
          <w:szCs w:val="21"/>
        </w:rPr>
        <w:t>电子投标文件制作技术咨询：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pPr>
        <w:pStyle w:val="46"/>
        <w:numPr>
          <w:ilvl w:val="0"/>
          <w:numId w:val="6"/>
        </w:numPr>
        <w:autoSpaceDE w:val="0"/>
        <w:autoSpaceDN w:val="0"/>
        <w:adjustRightInd w:val="0"/>
        <w:snapToGrid w:val="0"/>
        <w:spacing w:line="360" w:lineRule="auto"/>
        <w:ind w:firstLineChars="0"/>
        <w:rPr>
          <w:rFonts w:cs="宋体" w:asciiTheme="minorEastAsia" w:hAnsiTheme="minorEastAsia"/>
          <w:b/>
          <w:kern w:val="0"/>
          <w:szCs w:val="21"/>
        </w:rPr>
      </w:pPr>
      <w:r>
        <w:rPr>
          <w:rFonts w:hint="eastAsia" w:cs="宋体" w:asciiTheme="minorEastAsia" w:hAnsiTheme="minorEastAsia"/>
          <w:b/>
          <w:kern w:val="0"/>
          <w:szCs w:val="21"/>
        </w:rPr>
        <w:t>投标文件格式</w:t>
      </w:r>
    </w:p>
    <w:p>
      <w:pPr>
        <w:autoSpaceDE w:val="0"/>
        <w:autoSpaceDN w:val="0"/>
        <w:adjustRightInd w:val="0"/>
        <w:snapToGrid w:val="0"/>
        <w:spacing w:line="360" w:lineRule="auto"/>
        <w:rPr>
          <w:rFonts w:cs="宋体" w:asciiTheme="minorEastAsia" w:hAnsiTheme="minorEastAsia"/>
          <w:kern w:val="0"/>
          <w:szCs w:val="21"/>
        </w:rPr>
      </w:pPr>
      <w:r>
        <w:rPr>
          <w:rFonts w:hint="eastAsia" w:cs="宋体" w:asciiTheme="minorEastAsia" w:hAnsiTheme="minorEastAsia"/>
          <w:kern w:val="0"/>
          <w:szCs w:val="21"/>
        </w:rPr>
        <w:t>16.1 投标文件应参照招标文件第八部分（投标文件有关格式）的内容要求、编排顺序和格式要求，投标人应按照以上要求将投标文件编上唯一的连贯页码并以A4幅面装订成册，并在投标文件封面上注明：正本/副本、所投项目名称、标包名称、项目编号、投标人名称、日期等字样。</w:t>
      </w:r>
    </w:p>
    <w:p>
      <w:pPr>
        <w:autoSpaceDE w:val="0"/>
        <w:autoSpaceDN w:val="0"/>
        <w:adjustRightInd w:val="0"/>
        <w:snapToGrid w:val="0"/>
        <w:spacing w:line="360" w:lineRule="auto"/>
        <w:rPr>
          <w:rFonts w:cs="宋体" w:asciiTheme="minorEastAsia" w:hAnsiTheme="minorEastAsia"/>
          <w:kern w:val="0"/>
          <w:szCs w:val="21"/>
        </w:rPr>
      </w:pPr>
      <w:r>
        <w:rPr>
          <w:rFonts w:hint="eastAsia" w:cs="宋体" w:asciiTheme="minorEastAsia" w:hAnsiTheme="minorEastAsia"/>
          <w:kern w:val="0"/>
          <w:szCs w:val="21"/>
        </w:rPr>
        <w:t>16.2 投标人应按招标文件提供的格式编写投标文件。招标文件未提供标准格式的投标人可自行拟定。</w:t>
      </w:r>
    </w:p>
    <w:p>
      <w:pPr>
        <w:pStyle w:val="46"/>
        <w:numPr>
          <w:ilvl w:val="0"/>
          <w:numId w:val="6"/>
        </w:numPr>
        <w:autoSpaceDE w:val="0"/>
        <w:autoSpaceDN w:val="0"/>
        <w:adjustRightInd w:val="0"/>
        <w:snapToGrid w:val="0"/>
        <w:spacing w:line="360" w:lineRule="auto"/>
        <w:ind w:firstLineChars="0"/>
        <w:rPr>
          <w:rFonts w:cs="宋体" w:asciiTheme="minorEastAsia" w:hAnsiTheme="minorEastAsia"/>
          <w:b/>
          <w:kern w:val="0"/>
          <w:szCs w:val="21"/>
        </w:rPr>
      </w:pPr>
      <w:r>
        <w:rPr>
          <w:rFonts w:hint="eastAsia" w:cs="宋体" w:asciiTheme="minorEastAsia" w:hAnsiTheme="minorEastAsia"/>
          <w:b/>
          <w:kern w:val="0"/>
          <w:szCs w:val="21"/>
        </w:rPr>
        <w:t>投标保证金</w:t>
      </w:r>
    </w:p>
    <w:p>
      <w:pPr>
        <w:pStyle w:val="46"/>
        <w:autoSpaceDE w:val="0"/>
        <w:autoSpaceDN w:val="0"/>
        <w:spacing w:line="360" w:lineRule="auto"/>
        <w:ind w:firstLine="0" w:firstLineChars="0"/>
        <w:contextualSpacing/>
        <w:rPr>
          <w:rFonts w:cs="宋体" w:asciiTheme="minorEastAsia" w:hAnsiTheme="minorEastAsia"/>
          <w:b/>
          <w:kern w:val="0"/>
          <w:szCs w:val="21"/>
        </w:rPr>
      </w:pPr>
      <w:r>
        <w:rPr>
          <w:rFonts w:hint="eastAsia" w:cs="宋体" w:asciiTheme="minorEastAsia" w:hAnsiTheme="minorEastAsia"/>
          <w:b/>
          <w:kern w:val="0"/>
          <w:szCs w:val="21"/>
        </w:rPr>
        <w:t>17.1 本项目不收取投标保证金。</w:t>
      </w:r>
    </w:p>
    <w:p>
      <w:pPr>
        <w:pStyle w:val="46"/>
        <w:autoSpaceDE w:val="0"/>
        <w:autoSpaceDN w:val="0"/>
        <w:spacing w:line="360" w:lineRule="auto"/>
        <w:ind w:firstLine="0" w:firstLineChars="0"/>
        <w:contextualSpacing/>
        <w:rPr>
          <w:rFonts w:cs="宋体" w:asciiTheme="minorEastAsia" w:hAnsiTheme="minorEastAsia"/>
          <w:kern w:val="0"/>
          <w:szCs w:val="21"/>
        </w:rPr>
      </w:pPr>
      <w:r>
        <w:rPr>
          <w:rFonts w:hint="eastAsia" w:cs="宋体" w:asciiTheme="minorEastAsia" w:hAnsiTheme="minorEastAsia"/>
          <w:b/>
          <w:kern w:val="0"/>
          <w:szCs w:val="21"/>
        </w:rPr>
        <w:t>17.2 供应商应提供投标承诺函。</w:t>
      </w:r>
    </w:p>
    <w:p>
      <w:pPr>
        <w:pStyle w:val="46"/>
        <w:numPr>
          <w:ilvl w:val="0"/>
          <w:numId w:val="6"/>
        </w:numPr>
        <w:autoSpaceDE w:val="0"/>
        <w:autoSpaceDN w:val="0"/>
        <w:adjustRightInd w:val="0"/>
        <w:snapToGrid w:val="0"/>
        <w:spacing w:line="360" w:lineRule="auto"/>
        <w:ind w:firstLineChars="0"/>
        <w:rPr>
          <w:rFonts w:cs="宋体" w:asciiTheme="minorEastAsia" w:hAnsiTheme="minorEastAsia"/>
          <w:b/>
          <w:kern w:val="0"/>
          <w:szCs w:val="21"/>
        </w:rPr>
      </w:pPr>
      <w:r>
        <w:rPr>
          <w:rFonts w:hint="eastAsia" w:cs="宋体" w:asciiTheme="minorEastAsia" w:hAnsiTheme="minorEastAsia"/>
          <w:b/>
          <w:kern w:val="0"/>
          <w:szCs w:val="21"/>
        </w:rPr>
        <w:t>投标文件的数量和签署盖章</w:t>
      </w:r>
    </w:p>
    <w:p>
      <w:pPr>
        <w:autoSpaceDE w:val="0"/>
        <w:autoSpaceDN w:val="0"/>
        <w:adjustRightInd w:val="0"/>
        <w:snapToGrid w:val="0"/>
        <w:spacing w:line="360" w:lineRule="auto"/>
        <w:rPr>
          <w:rFonts w:cs="宋体" w:asciiTheme="minorEastAsia" w:hAnsiTheme="minorEastAsia"/>
          <w:kern w:val="0"/>
          <w:szCs w:val="21"/>
        </w:rPr>
      </w:pPr>
      <w:r>
        <w:rPr>
          <w:rFonts w:hint="eastAsia" w:cs="宋体" w:asciiTheme="minorEastAsia" w:hAnsiTheme="minorEastAsia"/>
          <w:kern w:val="0"/>
          <w:szCs w:val="21"/>
        </w:rPr>
        <w:t>18.1 投标人应提交投标文件份数见“投标人须知前附表”。</w:t>
      </w:r>
    </w:p>
    <w:p>
      <w:pPr>
        <w:autoSpaceDE w:val="0"/>
        <w:autoSpaceDN w:val="0"/>
        <w:adjustRightInd w:val="0"/>
        <w:snapToGrid w:val="0"/>
        <w:spacing w:line="360" w:lineRule="auto"/>
        <w:rPr>
          <w:rFonts w:cs="宋体" w:asciiTheme="minorEastAsia" w:hAnsiTheme="minorEastAsia"/>
          <w:kern w:val="0"/>
          <w:szCs w:val="21"/>
        </w:rPr>
      </w:pPr>
      <w:r>
        <w:rPr>
          <w:rFonts w:hint="eastAsia" w:cs="宋体" w:asciiTheme="minorEastAsia" w:hAnsiTheme="minorEastAsia"/>
          <w:kern w:val="0"/>
          <w:szCs w:val="21"/>
        </w:rPr>
        <w:t>18.2 在招标文件中已明示需盖章及签名之处，电子投标文件应按招标文件要求加盖投标人电子印章和法人电子印章或授权代表电子印章。</w:t>
      </w:r>
    </w:p>
    <w:p>
      <w:pPr>
        <w:autoSpaceDE w:val="0"/>
        <w:autoSpaceDN w:val="0"/>
        <w:adjustRightInd w:val="0"/>
        <w:snapToGrid w:val="0"/>
        <w:spacing w:line="360" w:lineRule="auto"/>
        <w:rPr>
          <w:rFonts w:cs="宋体" w:asciiTheme="minorEastAsia" w:hAnsiTheme="minorEastAsia"/>
          <w:kern w:val="0"/>
          <w:szCs w:val="21"/>
        </w:rPr>
      </w:pPr>
      <w:r>
        <w:rPr>
          <w:rFonts w:hint="eastAsia" w:cs="宋体" w:asciiTheme="minorEastAsia" w:hAnsiTheme="minorEastAsia"/>
          <w:kern w:val="0"/>
          <w:szCs w:val="21"/>
        </w:rPr>
        <w:t>18.3 纸质投标文件是指投标人电子投标文件制作完成后生成的后缀名为“.PDF”的文件打印的投标文件。纸质投标文件正本和副本封面上应清楚标明</w:t>
      </w:r>
      <w:r>
        <w:rPr>
          <w:rFonts w:cs="宋体" w:asciiTheme="minorEastAsia" w:hAnsiTheme="minorEastAsia"/>
          <w:kern w:val="0"/>
          <w:szCs w:val="21"/>
        </w:rPr>
        <w:t>“</w:t>
      </w:r>
      <w:r>
        <w:rPr>
          <w:rFonts w:hint="eastAsia" w:cs="宋体" w:asciiTheme="minorEastAsia" w:hAnsiTheme="minorEastAsia"/>
          <w:kern w:val="0"/>
          <w:szCs w:val="21"/>
        </w:rPr>
        <w:t>正本</w:t>
      </w:r>
      <w:r>
        <w:rPr>
          <w:rFonts w:cs="宋体" w:asciiTheme="minorEastAsia" w:hAnsiTheme="minorEastAsia"/>
          <w:kern w:val="0"/>
          <w:szCs w:val="21"/>
        </w:rPr>
        <w:t>”</w:t>
      </w:r>
      <w:r>
        <w:rPr>
          <w:rFonts w:hint="eastAsia" w:cs="宋体" w:asciiTheme="minorEastAsia" w:hAnsiTheme="minorEastAsia"/>
          <w:kern w:val="0"/>
          <w:szCs w:val="21"/>
        </w:rPr>
        <w:t>或</w:t>
      </w:r>
      <w:r>
        <w:rPr>
          <w:rFonts w:cs="宋体" w:asciiTheme="minorEastAsia" w:hAnsiTheme="minorEastAsia"/>
          <w:kern w:val="0"/>
          <w:szCs w:val="21"/>
        </w:rPr>
        <w:t>“</w:t>
      </w:r>
      <w:r>
        <w:rPr>
          <w:rFonts w:hint="eastAsia" w:cs="宋体" w:asciiTheme="minorEastAsia" w:hAnsiTheme="minorEastAsia"/>
          <w:kern w:val="0"/>
          <w:szCs w:val="21"/>
        </w:rPr>
        <w:t>副本</w:t>
      </w:r>
      <w:r>
        <w:rPr>
          <w:rFonts w:cs="宋体" w:asciiTheme="minorEastAsia" w:hAnsiTheme="minorEastAsia"/>
          <w:kern w:val="0"/>
          <w:szCs w:val="21"/>
        </w:rPr>
        <w:t>”</w:t>
      </w:r>
      <w:r>
        <w:rPr>
          <w:rFonts w:hint="eastAsia" w:cs="宋体" w:asciiTheme="minorEastAsia" w:hAnsiTheme="minorEastAsia"/>
          <w:kern w:val="0"/>
          <w:szCs w:val="21"/>
        </w:rPr>
        <w:t>字样；一旦正本和副本内容不一致时，以正本为准。纸质投标文件的正本及所有副本的封面均须由投标人加盖投标人公章。</w:t>
      </w:r>
    </w:p>
    <w:p>
      <w:pPr>
        <w:autoSpaceDE w:val="0"/>
        <w:autoSpaceDN w:val="0"/>
        <w:adjustRightInd w:val="0"/>
        <w:snapToGrid w:val="0"/>
        <w:spacing w:line="360" w:lineRule="auto"/>
        <w:rPr>
          <w:rFonts w:cs="仿宋_GB2312" w:asciiTheme="minorEastAsia" w:hAnsiTheme="minorEastAsia"/>
          <w:szCs w:val="21"/>
          <w:lang w:val="zh-CN"/>
        </w:rPr>
      </w:pPr>
      <w:r>
        <w:rPr>
          <w:rFonts w:hint="eastAsia" w:cs="宋体" w:asciiTheme="minorEastAsia" w:hAnsiTheme="minorEastAsia"/>
          <w:kern w:val="0"/>
          <w:szCs w:val="21"/>
        </w:rPr>
        <w:t>18.4 纸质投标文件副本可以是纸质投标文件的正本复印而成。</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四、投标文件的提交</w:t>
      </w:r>
    </w:p>
    <w:p>
      <w:pPr>
        <w:pStyle w:val="4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投标截止时间</w:t>
      </w:r>
    </w:p>
    <w:p>
      <w:pPr>
        <w:pStyle w:val="46"/>
        <w:numPr>
          <w:ilvl w:val="0"/>
          <w:numId w:val="7"/>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投标人必须在“投标邀请”和“投标人须知前附表”中规定的投标截止时间前，将</w:t>
      </w:r>
      <w:r>
        <w:rPr>
          <w:rFonts w:hint="eastAsia" w:cs="仿宋_GB2312" w:asciiTheme="minorEastAsia" w:hAnsiTheme="minorEastAsia"/>
          <w:szCs w:val="21"/>
        </w:rPr>
        <w:t>加密电子投标文件</w:t>
      </w:r>
      <w:r>
        <w:rPr>
          <w:rFonts w:hint="eastAsia" w:cs="宋体" w:asciiTheme="minorEastAsia" w:hAnsiTheme="minorEastAsia"/>
          <w:szCs w:val="21"/>
        </w:rPr>
        <w:t>（</w:t>
      </w:r>
      <w:r>
        <w:rPr>
          <w:rFonts w:asciiTheme="minorEastAsia" w:hAnsiTheme="minorEastAsia"/>
          <w:szCs w:val="21"/>
        </w:rPr>
        <w:t>.file</w:t>
      </w:r>
      <w:r>
        <w:rPr>
          <w:rFonts w:hint="eastAsia" w:cs="宋体" w:asciiTheme="minorEastAsia" w:hAnsiTheme="minorEastAsia"/>
          <w:szCs w:val="21"/>
        </w:rPr>
        <w:t>格式）</w:t>
      </w:r>
      <w:r>
        <w:rPr>
          <w:rFonts w:hint="eastAsia" w:cs="仿宋_GB2312" w:asciiTheme="minorEastAsia" w:hAnsiTheme="minorEastAsia"/>
          <w:szCs w:val="21"/>
        </w:rPr>
        <w:t>通过《全国公共资源交易平台(河南省</w:t>
      </w:r>
      <w:r>
        <w:rPr>
          <w:rFonts w:hint="eastAsia" w:ascii="MS Mincho" w:hAnsi="MS Mincho" w:eastAsia="MS Mincho" w:cs="MS Mincho"/>
          <w:szCs w:val="21"/>
        </w:rPr>
        <w:t>▪</w:t>
      </w:r>
      <w:r>
        <w:rPr>
          <w:rFonts w:hint="eastAsia" w:ascii="宋体" w:hAnsi="宋体" w:cs="宋体"/>
          <w:szCs w:val="21"/>
        </w:rPr>
        <w:t>许昌市</w:t>
      </w:r>
      <w:r>
        <w:rPr>
          <w:rFonts w:hint="eastAsia" w:cs="仿宋_GB2312" w:asciiTheme="minorEastAsia" w:hAnsiTheme="minorEastAsia"/>
          <w:szCs w:val="21"/>
        </w:rPr>
        <w:t>)》公共资源交易系统成功上传。</w:t>
      </w:r>
    </w:p>
    <w:p>
      <w:pPr>
        <w:pStyle w:val="4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可以按本须知第10条规定，通过修改招标文件自行决定酌情延长投标截止期。在此情况下，采购人和投标人受投标截止期制约的所有权利和义务均应延长至新的截止日期和时间。投标人按采购人修改通知规定的时间提交投标文件。</w:t>
      </w:r>
    </w:p>
    <w:p>
      <w:pPr>
        <w:pStyle w:val="46"/>
        <w:autoSpaceDE w:val="0"/>
        <w:autoSpaceDN w:val="0"/>
        <w:spacing w:line="360" w:lineRule="auto"/>
        <w:ind w:left="964" w:firstLine="0" w:firstLineChars="0"/>
        <w:contextualSpacing/>
        <w:rPr>
          <w:rFonts w:cs="宋体" w:asciiTheme="minorEastAsia" w:hAnsiTheme="minorEastAsia"/>
          <w:kern w:val="0"/>
          <w:szCs w:val="21"/>
        </w:rPr>
      </w:pPr>
    </w:p>
    <w:p>
      <w:pPr>
        <w:pStyle w:val="4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迟交的投标文件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投标截止时间之后上传的投标文件，采购人将拒绝接收。</w:t>
      </w:r>
    </w:p>
    <w:p>
      <w:pPr>
        <w:autoSpaceDE w:val="0"/>
        <w:autoSpaceDN w:val="0"/>
        <w:spacing w:line="360" w:lineRule="auto"/>
        <w:ind w:left="964"/>
        <w:contextualSpacing/>
        <w:rPr>
          <w:rFonts w:cs="宋体" w:asciiTheme="minorEastAsia" w:hAnsiTheme="minorEastAsia"/>
          <w:kern w:val="0"/>
          <w:szCs w:val="21"/>
        </w:rPr>
      </w:pPr>
    </w:p>
    <w:p>
      <w:pPr>
        <w:pStyle w:val="4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投标文件的修改和撤回</w:t>
      </w:r>
    </w:p>
    <w:p>
      <w:pPr>
        <w:pStyle w:val="46"/>
        <w:numPr>
          <w:ilvl w:val="0"/>
          <w:numId w:val="8"/>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投标人在投标截止时间前，对投标文件进行补充、修改或者撤回的，须书面通知采购人。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投标人应当在投标截止时间前完成电子投标文件的提交，可以补充、修改或撤回。投标截止时间前未完成电子投标文件提交的，视为撤回投标文件。</w:t>
      </w:r>
    </w:p>
    <w:p>
      <w:pPr>
        <w:pStyle w:val="4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投标人补充、修改的内容并作为投标文件的组成部分。补充或修改应当按招标文件要求签署、盖章、提交，并应注明“修改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pPr>
        <w:pStyle w:val="4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投标人在提交投标文件后，可以撤回其投标，但投标人必须在规定的投标截止时间前以书面形式告知采购人。</w:t>
      </w:r>
    </w:p>
    <w:p>
      <w:pPr>
        <w:pStyle w:val="4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投标人不得在投标有效期内撤销投标文件，否则投标人将承担违背投标承诺函的责任追究。</w:t>
      </w:r>
    </w:p>
    <w:p>
      <w:pPr>
        <w:autoSpaceDE w:val="0"/>
        <w:autoSpaceDN w:val="0"/>
        <w:spacing w:line="360" w:lineRule="auto"/>
        <w:ind w:left="420"/>
        <w:contextualSpacing/>
        <w:rPr>
          <w:rFonts w:cs="宋体" w:asciiTheme="minorEastAsia" w:hAnsiTheme="minorEastAsia"/>
          <w:kern w:val="0"/>
          <w:szCs w:val="21"/>
        </w:rPr>
      </w:pPr>
    </w:p>
    <w:p>
      <w:pPr>
        <w:pStyle w:val="46"/>
        <w:numPr>
          <w:ilvl w:val="0"/>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b/>
          <w:kern w:val="0"/>
          <w:szCs w:val="21"/>
        </w:rPr>
        <w:t>除投标人须知前附表另有规定外，投标人所提交的电子投标文件不予退还。</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五、开标和评标</w:t>
      </w:r>
    </w:p>
    <w:p>
      <w:pPr>
        <w:pStyle w:val="46"/>
        <w:numPr>
          <w:ilvl w:val="0"/>
          <w:numId w:val="6"/>
        </w:numPr>
        <w:autoSpaceDE w:val="0"/>
        <w:autoSpaceDN w:val="0"/>
        <w:spacing w:line="360" w:lineRule="auto"/>
        <w:ind w:firstLineChars="0"/>
        <w:contextualSpacing/>
        <w:rPr>
          <w:rFonts w:hint="eastAsia" w:cs="宋体" w:asciiTheme="minorEastAsia" w:hAnsiTheme="minorEastAsia"/>
          <w:b/>
          <w:kern w:val="0"/>
          <w:szCs w:val="21"/>
        </w:rPr>
      </w:pPr>
      <w:r>
        <w:rPr>
          <w:rFonts w:hint="eastAsia" w:cs="宋体" w:asciiTheme="minorEastAsia" w:hAnsiTheme="minorEastAsia"/>
          <w:b/>
          <w:kern w:val="0"/>
          <w:szCs w:val="21"/>
        </w:rPr>
        <w:t>开标</w:t>
      </w:r>
    </w:p>
    <w:p>
      <w:pPr>
        <w:pStyle w:val="46"/>
        <w:numPr>
          <w:ilvl w:val="0"/>
          <w:numId w:val="9"/>
        </w:numPr>
        <w:autoSpaceDE w:val="0"/>
        <w:autoSpaceDN w:val="0"/>
        <w:spacing w:line="360" w:lineRule="auto"/>
        <w:ind w:firstLineChars="0"/>
        <w:contextualSpacing/>
        <w:rPr>
          <w:rFonts w:hint="eastAsia" w:cs="宋体" w:asciiTheme="minorEastAsia" w:hAnsiTheme="minorEastAsia"/>
          <w:kern w:val="0"/>
          <w:szCs w:val="21"/>
        </w:rPr>
      </w:pPr>
      <w:r>
        <w:rPr>
          <w:rFonts w:hint="eastAsia" w:cs="宋体" w:asciiTheme="minorEastAsia" w:hAnsiTheme="minorEastAsia"/>
          <w:kern w:val="0"/>
          <w:szCs w:val="21"/>
        </w:rPr>
        <w:t>本项目采用“远程不见面”开标方式,投标人应当在开标时间前使用CA数字证书登录交易系统远程开标大厅在线准时参加开标活动并进行投标文件远程解密、在线提异议（质疑）及电子签章等；采购代理机构在开标时间前到达指定地点使用CA数字证书登录交易系统远程开标大厅，做好开标前各项准备。</w:t>
      </w:r>
    </w:p>
    <w:p>
      <w:pPr>
        <w:pStyle w:val="46"/>
        <w:autoSpaceDE w:val="0"/>
        <w:autoSpaceDN w:val="0"/>
        <w:spacing w:line="360" w:lineRule="auto"/>
        <w:ind w:left="945" w:leftChars="200" w:hanging="525" w:hangingChars="250"/>
        <w:contextualSpacing/>
        <w:rPr>
          <w:rFonts w:hint="eastAsia" w:cs="宋体" w:asciiTheme="minorEastAsia" w:hAnsiTheme="minorEastAsia"/>
          <w:kern w:val="0"/>
          <w:szCs w:val="21"/>
        </w:rPr>
      </w:pPr>
      <w:r>
        <w:rPr>
          <w:rFonts w:hint="eastAsia" w:cs="宋体" w:asciiTheme="minorEastAsia" w:hAnsiTheme="minorEastAsia"/>
          <w:kern w:val="0"/>
          <w:szCs w:val="21"/>
        </w:rPr>
        <w:t>23.2 投标截止时间到达时，采购代理机构点击“开标”按钮，开标开始，各投标人可以远程进行解密投标文件，解密时限为60分钟。投标人未进行解密或未按规定进行解密的，视为放弃投标。待全部投标人解密完成后，采购人（代理机构）进行一键解密。</w:t>
      </w:r>
    </w:p>
    <w:p>
      <w:pPr>
        <w:pStyle w:val="46"/>
        <w:autoSpaceDE w:val="0"/>
        <w:autoSpaceDN w:val="0"/>
        <w:spacing w:line="360" w:lineRule="auto"/>
        <w:ind w:left="945" w:leftChars="200" w:hanging="525" w:hangingChars="250"/>
        <w:contextualSpacing/>
        <w:rPr>
          <w:rFonts w:hint="eastAsia" w:cs="宋体" w:asciiTheme="minorEastAsia" w:hAnsiTheme="minorEastAsia"/>
          <w:kern w:val="0"/>
          <w:szCs w:val="21"/>
        </w:rPr>
      </w:pPr>
      <w:r>
        <w:rPr>
          <w:rFonts w:hint="eastAsia" w:cs="宋体" w:asciiTheme="minorEastAsia" w:hAnsiTheme="minorEastAsia"/>
          <w:kern w:val="0"/>
          <w:szCs w:val="21"/>
        </w:rPr>
        <w:t>23.3 解密完成后，投标人可点击“开标记录”查看各投标人投标报价等信息，对开标过程或有关内容有异议（质疑）的，按照《许昌市不见面开标操作手册》在本项目不见面开标大厅“文字互动”对话框或“新增质疑”处在线询问和发起异议（质疑），采购人（代理机构）在线进行回复。</w:t>
      </w:r>
    </w:p>
    <w:p>
      <w:pPr>
        <w:pStyle w:val="46"/>
        <w:autoSpaceDE w:val="0"/>
        <w:autoSpaceDN w:val="0"/>
        <w:spacing w:line="360" w:lineRule="auto"/>
        <w:ind w:left="964" w:firstLine="0" w:firstLineChars="0"/>
        <w:contextualSpacing/>
        <w:rPr>
          <w:rFonts w:hint="eastAsia" w:cs="宋体" w:asciiTheme="minorEastAsia" w:hAnsiTheme="minorEastAsia"/>
          <w:kern w:val="0"/>
          <w:szCs w:val="21"/>
        </w:rPr>
      </w:pPr>
      <w:r>
        <w:rPr>
          <w:rFonts w:hint="eastAsia" w:cs="宋体" w:asciiTheme="minorEastAsia" w:hAnsiTheme="minorEastAsia"/>
          <w:kern w:val="0"/>
          <w:szCs w:val="21"/>
        </w:rPr>
        <w:t>23.4如无投标人提出异议，采购代理机构通过“文字互动”对话框通知各投标人进行电子签章。投标人应在《开标记录表》上进行电子签章，未进行电子签章的视为对开标结果无异议。</w:t>
      </w:r>
    </w:p>
    <w:p>
      <w:pPr>
        <w:pStyle w:val="46"/>
        <w:autoSpaceDE w:val="0"/>
        <w:autoSpaceDN w:val="0"/>
        <w:spacing w:line="360" w:lineRule="auto"/>
        <w:ind w:left="964" w:firstLine="0" w:firstLineChars="0"/>
        <w:contextualSpacing/>
        <w:rPr>
          <w:rFonts w:hint="eastAsia" w:cs="宋体" w:asciiTheme="minorEastAsia" w:hAnsiTheme="minorEastAsia"/>
          <w:kern w:val="0"/>
          <w:szCs w:val="21"/>
        </w:rPr>
      </w:pPr>
      <w:r>
        <w:rPr>
          <w:rFonts w:hint="eastAsia" w:cs="宋体" w:asciiTheme="minorEastAsia" w:hAnsiTheme="minorEastAsia"/>
          <w:kern w:val="0"/>
          <w:szCs w:val="21"/>
        </w:rPr>
        <w:t>23.5采购人（代理机构）签章并上传《开标记录表》，不见面开标活动结束。</w:t>
      </w:r>
    </w:p>
    <w:p>
      <w:pPr>
        <w:pStyle w:val="46"/>
        <w:autoSpaceDE w:val="0"/>
        <w:autoSpaceDN w:val="0"/>
        <w:spacing w:line="360" w:lineRule="auto"/>
        <w:ind w:left="964" w:firstLine="0" w:firstLineChars="0"/>
        <w:contextualSpacing/>
        <w:rPr>
          <w:rFonts w:cs="宋体" w:asciiTheme="minorEastAsia" w:hAnsiTheme="minorEastAsia"/>
          <w:kern w:val="0"/>
          <w:szCs w:val="21"/>
        </w:rPr>
      </w:pPr>
    </w:p>
    <w:p>
      <w:pPr>
        <w:pStyle w:val="4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开标结束后，采购人依法对投标人的资格进行审查。合格投标人不足3家的，不得评标。</w:t>
      </w:r>
    </w:p>
    <w:p>
      <w:pPr>
        <w:autoSpaceDE w:val="0"/>
        <w:autoSpaceDN w:val="0"/>
        <w:spacing w:line="360" w:lineRule="auto"/>
        <w:ind w:left="964"/>
        <w:contextualSpacing/>
        <w:rPr>
          <w:rFonts w:cs="宋体" w:asciiTheme="minorEastAsia" w:hAnsiTheme="minorEastAsia"/>
          <w:kern w:val="0"/>
          <w:szCs w:val="21"/>
        </w:rPr>
      </w:pPr>
    </w:p>
    <w:p>
      <w:pPr>
        <w:pStyle w:val="4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评标委员会的组成</w:t>
      </w:r>
    </w:p>
    <w:p>
      <w:pPr>
        <w:autoSpaceDE w:val="0"/>
        <w:autoSpaceDN w:val="0"/>
        <w:spacing w:line="360" w:lineRule="auto"/>
        <w:ind w:left="420"/>
        <w:contextualSpacing/>
        <w:rPr>
          <w:rFonts w:cs="宋体" w:asciiTheme="minorEastAsia" w:hAnsiTheme="minorEastAsia"/>
          <w:kern w:val="0"/>
          <w:szCs w:val="21"/>
        </w:rPr>
      </w:pPr>
      <w:r>
        <w:rPr>
          <w:rFonts w:hint="eastAsia" w:cs="宋体" w:asciiTheme="minorEastAsia" w:hAnsiTheme="minorEastAsia"/>
          <w:kern w:val="0"/>
          <w:szCs w:val="21"/>
        </w:rPr>
        <w:t>25.1采购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autoSpaceDE w:val="0"/>
        <w:autoSpaceDN w:val="0"/>
        <w:spacing w:line="360" w:lineRule="auto"/>
        <w:ind w:left="1799" w:leftChars="452" w:hanging="850" w:hangingChars="405"/>
        <w:contextualSpacing/>
        <w:rPr>
          <w:rFonts w:cs="宋体" w:asciiTheme="minorEastAsia" w:hAnsiTheme="minorEastAsia"/>
          <w:kern w:val="0"/>
          <w:szCs w:val="21"/>
        </w:rPr>
      </w:pPr>
      <w:r>
        <w:rPr>
          <w:rFonts w:hint="eastAsia" w:cs="宋体" w:asciiTheme="minorEastAsia" w:hAnsiTheme="minorEastAsia"/>
          <w:kern w:val="0"/>
          <w:szCs w:val="21"/>
        </w:rPr>
        <w:t>25.1.1  采购人将依法组建评标委员会，评标委员会由评审专家组成，成员人数应当为5人以上单数。评审专家依法从政府采购评审专家库中随机抽取。</w:t>
      </w:r>
    </w:p>
    <w:p>
      <w:pPr>
        <w:autoSpaceDE w:val="0"/>
        <w:autoSpaceDN w:val="0"/>
        <w:spacing w:line="360" w:lineRule="auto"/>
        <w:ind w:left="2691" w:leftChars="473" w:hanging="1698" w:hangingChars="809"/>
        <w:contextualSpacing/>
        <w:rPr>
          <w:rFonts w:cs="宋体" w:asciiTheme="minorEastAsia" w:hAnsiTheme="minorEastAsia"/>
          <w:kern w:val="0"/>
          <w:szCs w:val="21"/>
        </w:rPr>
      </w:pPr>
      <w:r>
        <w:rPr>
          <w:rFonts w:hint="eastAsia" w:cs="宋体" w:asciiTheme="minorEastAsia" w:hAnsiTheme="minorEastAsia"/>
          <w:kern w:val="0"/>
          <w:szCs w:val="21"/>
        </w:rPr>
        <w:t>25.1.2  采购项目符合下列情形之一的，评标委员会成员人数应当为7人以上单数：</w:t>
      </w:r>
    </w:p>
    <w:p>
      <w:pPr>
        <w:autoSpaceDE w:val="0"/>
        <w:autoSpaceDN w:val="0"/>
        <w:spacing w:line="360" w:lineRule="auto"/>
        <w:ind w:left="964" w:firstLine="877" w:firstLineChars="418"/>
        <w:contextualSpacing/>
        <w:rPr>
          <w:rFonts w:cs="宋体" w:asciiTheme="minorEastAsia" w:hAnsiTheme="minorEastAsia"/>
          <w:kern w:val="0"/>
          <w:szCs w:val="21"/>
        </w:rPr>
      </w:pPr>
      <w:r>
        <w:rPr>
          <w:rFonts w:hint="eastAsia" w:cs="宋体" w:asciiTheme="minorEastAsia" w:hAnsiTheme="minorEastAsia"/>
          <w:kern w:val="0"/>
          <w:szCs w:val="21"/>
        </w:rPr>
        <w:t>25.1.2.1  采购预算金额在1000万元以上；</w:t>
      </w:r>
    </w:p>
    <w:p>
      <w:pPr>
        <w:autoSpaceDE w:val="0"/>
        <w:autoSpaceDN w:val="0"/>
        <w:spacing w:line="360" w:lineRule="auto"/>
        <w:ind w:left="964" w:firstLine="877" w:firstLineChars="418"/>
        <w:contextualSpacing/>
        <w:rPr>
          <w:rFonts w:cs="宋体" w:asciiTheme="minorEastAsia" w:hAnsiTheme="minorEastAsia"/>
          <w:kern w:val="0"/>
          <w:szCs w:val="21"/>
        </w:rPr>
      </w:pPr>
      <w:r>
        <w:rPr>
          <w:rFonts w:hint="eastAsia" w:cs="宋体" w:asciiTheme="minorEastAsia" w:hAnsiTheme="minorEastAsia"/>
          <w:kern w:val="0"/>
          <w:szCs w:val="21"/>
        </w:rPr>
        <w:t>25.1.2.2  技术复杂；</w:t>
      </w:r>
    </w:p>
    <w:p>
      <w:pPr>
        <w:autoSpaceDE w:val="0"/>
        <w:autoSpaceDN w:val="0"/>
        <w:spacing w:line="360" w:lineRule="auto"/>
        <w:ind w:left="964" w:firstLine="877" w:firstLineChars="418"/>
        <w:contextualSpacing/>
        <w:rPr>
          <w:rFonts w:cs="宋体" w:asciiTheme="minorEastAsia" w:hAnsiTheme="minorEastAsia"/>
          <w:kern w:val="0"/>
          <w:szCs w:val="21"/>
        </w:rPr>
      </w:pPr>
      <w:r>
        <w:rPr>
          <w:rFonts w:hint="eastAsia" w:cs="宋体" w:asciiTheme="minorEastAsia" w:hAnsiTheme="minorEastAsia"/>
          <w:kern w:val="0"/>
          <w:szCs w:val="21"/>
        </w:rPr>
        <w:t>25.1.2.3  社会影响较大。</w:t>
      </w:r>
    </w:p>
    <w:p>
      <w:pPr>
        <w:pStyle w:val="4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评审专家对本单位的采购项目只能作为采购人代表参与评标。采购代理机构工作人员不得参加由本机构代理的政府采购项目的评标。</w:t>
      </w:r>
    </w:p>
    <w:p>
      <w:pPr>
        <w:pStyle w:val="4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评审专家与投标人存在下列利害关系之一的,应当回避:</w:t>
      </w:r>
    </w:p>
    <w:p>
      <w:pPr>
        <w:autoSpaceDE w:val="0"/>
        <w:autoSpaceDN w:val="0"/>
        <w:spacing w:line="360" w:lineRule="auto"/>
        <w:ind w:left="1841" w:leftChars="473" w:hanging="848" w:hangingChars="404"/>
        <w:contextualSpacing/>
        <w:rPr>
          <w:rFonts w:cs="宋体" w:asciiTheme="minorEastAsia" w:hAnsiTheme="minorEastAsia"/>
          <w:kern w:val="0"/>
          <w:szCs w:val="21"/>
        </w:rPr>
      </w:pPr>
      <w:r>
        <w:rPr>
          <w:rFonts w:hint="eastAsia" w:cs="宋体" w:asciiTheme="minorEastAsia" w:hAnsiTheme="minorEastAsia"/>
          <w:kern w:val="0"/>
          <w:szCs w:val="21"/>
        </w:rPr>
        <w:t>25.3.1  参加采购活动前三年内,与供应商存在劳动关系,或者担任过供应商的董事、监事,或者是供应商的控股股东或实际控制人；</w:t>
      </w:r>
    </w:p>
    <w:p>
      <w:pPr>
        <w:autoSpaceDE w:val="0"/>
        <w:autoSpaceDN w:val="0"/>
        <w:spacing w:line="360" w:lineRule="auto"/>
        <w:ind w:left="1841" w:leftChars="473" w:hanging="848" w:hangingChars="404"/>
        <w:contextualSpacing/>
        <w:rPr>
          <w:rFonts w:cs="宋体" w:asciiTheme="minorEastAsia" w:hAnsiTheme="minorEastAsia"/>
          <w:kern w:val="0"/>
          <w:szCs w:val="21"/>
        </w:rPr>
      </w:pPr>
      <w:r>
        <w:rPr>
          <w:rFonts w:hint="eastAsia" w:cs="宋体" w:asciiTheme="minorEastAsia" w:hAnsiTheme="minorEastAsia"/>
          <w:kern w:val="0"/>
          <w:szCs w:val="21"/>
        </w:rPr>
        <w:t>25.3.2  与供应商的法定代表人或者负责人有夫妻、直系血亲、三代以内旁系血亲或者近姻亲关系；</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25.3.3  与供应商有其他可能影响政府采购活动公平、公正进行的关系。</w:t>
      </w:r>
    </w:p>
    <w:p>
      <w:pPr>
        <w:pStyle w:val="4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评审专家发现本人与参加采购活动的供应商有利害关系的,应当主动提出回避。采购人或者代理机构发现评审专家与参加采购活动的供应商有利害关系的,应当要求其回避。</w:t>
      </w:r>
    </w:p>
    <w:p>
      <w:pPr>
        <w:pStyle w:val="4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采购人不得担任评标小组长。</w:t>
      </w:r>
    </w:p>
    <w:p>
      <w:pPr>
        <w:pStyle w:val="4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采购人可以在评标前说明项目背景和采购需求，说明内容不得含有歧视性、倾向性意见，不得超出招标文件所述范围。说明应当提交书面材料，并随采购文件一并存档。</w:t>
      </w:r>
    </w:p>
    <w:p>
      <w:pPr>
        <w:pStyle w:val="4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评标委员会成员名单在评标结果公告前应当保密。</w:t>
      </w:r>
    </w:p>
    <w:p>
      <w:pPr>
        <w:autoSpaceDE w:val="0"/>
        <w:autoSpaceDN w:val="0"/>
        <w:spacing w:line="360" w:lineRule="auto"/>
        <w:ind w:left="420"/>
        <w:contextualSpacing/>
        <w:rPr>
          <w:rFonts w:cs="宋体" w:asciiTheme="minorEastAsia" w:hAnsiTheme="minorEastAsia"/>
          <w:kern w:val="0"/>
          <w:szCs w:val="21"/>
        </w:rPr>
      </w:pPr>
    </w:p>
    <w:p>
      <w:pPr>
        <w:pStyle w:val="4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符合性审查</w:t>
      </w:r>
    </w:p>
    <w:p>
      <w:pPr>
        <w:pStyle w:val="46"/>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评标委员会依据有关法律法规和招标文件的规定，对符合资格的投标人的投标文件进行符合性审查，以确定其是否满足招标文件的实质性要求。</w:t>
      </w:r>
    </w:p>
    <w:p>
      <w:pPr>
        <w:pStyle w:val="4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审查、评价投标文件是否符合招标文件的商务、技术等实质性要求。</w:t>
      </w:r>
    </w:p>
    <w:p>
      <w:pPr>
        <w:pStyle w:val="4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可要求投标人对投标文件有关事项作出澄清或者说明。</w:t>
      </w:r>
    </w:p>
    <w:p>
      <w:pPr>
        <w:pStyle w:val="46"/>
        <w:autoSpaceDE w:val="0"/>
        <w:autoSpaceDN w:val="0"/>
        <w:spacing w:line="360" w:lineRule="auto"/>
        <w:ind w:left="964" w:firstLine="0" w:firstLineChars="0"/>
        <w:contextualSpacing/>
        <w:rPr>
          <w:rFonts w:cs="宋体" w:asciiTheme="minorEastAsia" w:hAnsiTheme="minorEastAsia"/>
          <w:kern w:val="0"/>
          <w:szCs w:val="21"/>
        </w:rPr>
      </w:pPr>
    </w:p>
    <w:p>
      <w:pPr>
        <w:pStyle w:val="4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投标文件的澄清</w:t>
      </w:r>
    </w:p>
    <w:p>
      <w:pPr>
        <w:pStyle w:val="46"/>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对于投标文件中含义不明确、同类问题表述不一致或者有明显文字和计算错误的内容，评标委员会应当以书面形式要求投标人作出必要的澄清、说明或者补正。</w:t>
      </w:r>
    </w:p>
    <w:p>
      <w:pPr>
        <w:pStyle w:val="4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pPr>
        <w:pStyle w:val="4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投标人的澄清文件是其投标文件的组成部分。</w:t>
      </w:r>
    </w:p>
    <w:p>
      <w:pPr>
        <w:pStyle w:val="46"/>
        <w:autoSpaceDE w:val="0"/>
        <w:autoSpaceDN w:val="0"/>
        <w:spacing w:line="360" w:lineRule="auto"/>
        <w:ind w:left="964" w:firstLine="0" w:firstLineChars="0"/>
        <w:contextualSpacing/>
        <w:rPr>
          <w:rFonts w:cs="宋体" w:asciiTheme="minorEastAsia" w:hAnsiTheme="minorEastAsia"/>
          <w:kern w:val="0"/>
          <w:szCs w:val="21"/>
        </w:rPr>
      </w:pPr>
    </w:p>
    <w:p>
      <w:pPr>
        <w:pStyle w:val="4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投标文件报价出现前后不一致的修正</w:t>
      </w:r>
    </w:p>
    <w:p>
      <w:pPr>
        <w:autoSpaceDE w:val="0"/>
        <w:autoSpaceDN w:val="0"/>
        <w:spacing w:line="360" w:lineRule="auto"/>
        <w:ind w:left="1133" w:leftChars="203" w:hanging="707" w:hangingChars="337"/>
        <w:contextualSpacing/>
        <w:rPr>
          <w:rFonts w:cs="宋体" w:asciiTheme="minorEastAsia" w:hAnsiTheme="minorEastAsia"/>
          <w:kern w:val="0"/>
          <w:szCs w:val="21"/>
        </w:rPr>
      </w:pPr>
      <w:r>
        <w:rPr>
          <w:rFonts w:hint="eastAsia" w:cs="宋体" w:asciiTheme="minorEastAsia" w:hAnsiTheme="minorEastAsia"/>
          <w:kern w:val="0"/>
          <w:szCs w:val="21"/>
        </w:rPr>
        <w:t>28.1  投标文件中开标一览表(报价表)内容与投标文件中相应内容不一致的，以开标一览表(报价表)为准；</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28.2  大写金额和小写金额不一致的，以大写金额为准；</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28.3  单价金额小数点或者百分比有明显错位的，以开标一览表的总价为准，并修改单价；</w:t>
      </w:r>
    </w:p>
    <w:p>
      <w:pPr>
        <w:autoSpaceDE w:val="0"/>
        <w:autoSpaceDN w:val="0"/>
        <w:spacing w:line="360" w:lineRule="auto"/>
        <w:ind w:left="991" w:leftChars="200" w:hanging="571" w:hangingChars="272"/>
        <w:contextualSpacing/>
        <w:rPr>
          <w:rFonts w:cs="宋体" w:asciiTheme="minorEastAsia" w:hAnsiTheme="minorEastAsia"/>
          <w:kern w:val="0"/>
          <w:szCs w:val="21"/>
        </w:rPr>
      </w:pPr>
      <w:r>
        <w:rPr>
          <w:rFonts w:hint="eastAsia" w:cs="宋体" w:asciiTheme="minorEastAsia" w:hAnsiTheme="minorEastAsia"/>
          <w:kern w:val="0"/>
          <w:szCs w:val="21"/>
        </w:rPr>
        <w:t>28.4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pPr>
        <w:autoSpaceDE w:val="0"/>
        <w:autoSpaceDN w:val="0"/>
        <w:spacing w:line="360" w:lineRule="auto"/>
        <w:ind w:left="964"/>
        <w:contextualSpacing/>
        <w:rPr>
          <w:rFonts w:cs="宋体" w:asciiTheme="minorEastAsia" w:hAnsiTheme="minorEastAsia"/>
          <w:kern w:val="0"/>
          <w:szCs w:val="21"/>
        </w:rPr>
      </w:pPr>
    </w:p>
    <w:p>
      <w:pPr>
        <w:pStyle w:val="4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投标无效情形</w:t>
      </w:r>
    </w:p>
    <w:p>
      <w:pPr>
        <w:autoSpaceDE w:val="0"/>
        <w:autoSpaceDN w:val="0"/>
        <w:spacing w:line="360" w:lineRule="auto"/>
        <w:ind w:left="420"/>
        <w:contextualSpacing/>
        <w:rPr>
          <w:rFonts w:cs="宋体" w:asciiTheme="minorEastAsia" w:hAnsiTheme="minorEastAsia"/>
          <w:kern w:val="0"/>
          <w:szCs w:val="21"/>
        </w:rPr>
      </w:pPr>
      <w:r>
        <w:rPr>
          <w:rFonts w:hint="eastAsia" w:cs="宋体" w:asciiTheme="minorEastAsia" w:hAnsiTheme="minorEastAsia"/>
          <w:kern w:val="0"/>
          <w:szCs w:val="21"/>
        </w:rPr>
        <w:t>29.1投标文件属下列情况之一的，按照无效投标处理：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29.1.1  未按照招标文件的规定提交投标承诺函的；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29.1.2   投标文件未按招标文件要求签署、盖章的；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29.1.3   不具备招标文件中规定的资格要求的；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29.1.4   报价超过招标文件中规定的预算金额或者最高限价的；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 xml:space="preserve">29.1.5   </w:t>
      </w:r>
      <w:r>
        <w:rPr>
          <w:rFonts w:cs="宋体" w:asciiTheme="minorEastAsia" w:hAnsiTheme="minorEastAsia"/>
          <w:kern w:val="0"/>
          <w:szCs w:val="21"/>
        </w:rPr>
        <w:t>投标文件含有采购人不能接受的附加条件的</w:t>
      </w:r>
      <w:r>
        <w:rPr>
          <w:rFonts w:hint="eastAsia" w:cs="宋体" w:asciiTheme="minorEastAsia" w:hAnsiTheme="minorEastAsia"/>
          <w:kern w:val="0"/>
          <w:szCs w:val="21"/>
        </w:rPr>
        <w:t>。</w:t>
      </w:r>
    </w:p>
    <w:p>
      <w:pPr>
        <w:pStyle w:val="4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有下列情形之一的，视为投标人串通投标，其投标无效：</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29.2.1   不同投标人的投标文件由同一单位或者个人编制；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29.2.2   不同投标人委托同一单位或者个人办理投标事宜；</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29.2.3   不同投标人的投标文件载明的项目管理成员或者联系人员为同一人；</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29.2.4   不同投标人的投标文件异常一致或者投标报价呈规律性差异；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29.2.5   不同投标人的投标文件相互混装。</w:t>
      </w:r>
    </w:p>
    <w:p>
      <w:pPr>
        <w:pStyle w:val="4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pStyle w:val="4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认为投标人的报价明显低于其他通过符合性审查投标人的报价，有可能影响产品质量或者不能诚信履约的，应当要求其在评标期间合理的时间内提供书面说明，必要时提交相关证明材料；投标人不能证明其报价合理性的，评标委员会应当将其作为无效投标处理。</w:t>
      </w:r>
    </w:p>
    <w:p>
      <w:pPr>
        <w:pStyle w:val="4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ascii="ˎ̥" w:hAnsi="ˎ̥"/>
        </w:rPr>
        <w:t>按照《关于推进全流程电子化交易和在线监管工作有关问题的通知》（许公管办[2019]3号）规定，不同投标人电子投标文件制作硬件特征码（网卡MAC地址、CPU序号、硬盘序列号）均一致时，视为‘</w:t>
      </w:r>
      <w:r>
        <w:rPr>
          <w:rFonts w:ascii="ˎ̥" w:hAnsi="ˎ̥"/>
        </w:rPr>
        <w:t>不同</w:t>
      </w:r>
      <w:r>
        <w:rPr>
          <w:rFonts w:hint="eastAsia" w:ascii="ˎ̥" w:hAnsi="ˎ̥"/>
        </w:rPr>
        <w:t>投标人</w:t>
      </w:r>
      <w:r>
        <w:rPr>
          <w:rFonts w:ascii="ˎ̥" w:hAnsi="ˎ̥"/>
        </w:rPr>
        <w:t>的</w:t>
      </w:r>
      <w:r>
        <w:rPr>
          <w:rFonts w:hint="eastAsia" w:ascii="ˎ̥" w:hAnsi="ˎ̥"/>
        </w:rPr>
        <w:t>投标</w:t>
      </w:r>
      <w:r>
        <w:rPr>
          <w:rFonts w:ascii="ˎ̥" w:hAnsi="ˎ̥"/>
        </w:rPr>
        <w:t>文件由同一单位或者个人编制</w:t>
      </w:r>
      <w:r>
        <w:rPr>
          <w:rFonts w:hint="eastAsia" w:ascii="ˎ̥" w:hAnsi="ˎ̥"/>
        </w:rPr>
        <w:t>’或‘</w:t>
      </w:r>
      <w:r>
        <w:rPr>
          <w:rFonts w:ascii="ˎ̥" w:hAnsi="ˎ̥"/>
        </w:rPr>
        <w:t>不同</w:t>
      </w:r>
      <w:r>
        <w:rPr>
          <w:rFonts w:hint="eastAsia" w:ascii="ˎ̥" w:hAnsi="ˎ̥"/>
        </w:rPr>
        <w:t>投标人</w:t>
      </w:r>
      <w:r>
        <w:rPr>
          <w:rFonts w:ascii="ˎ̥" w:hAnsi="ˎ̥"/>
        </w:rPr>
        <w:t>委托同一单位或者个人办理</w:t>
      </w:r>
      <w:r>
        <w:rPr>
          <w:rFonts w:hint="eastAsia" w:ascii="ˎ̥" w:hAnsi="ˎ̥"/>
        </w:rPr>
        <w:t>响应</w:t>
      </w:r>
      <w:r>
        <w:rPr>
          <w:rFonts w:ascii="ˎ̥" w:hAnsi="ˎ̥"/>
        </w:rPr>
        <w:t>事宜</w:t>
      </w:r>
      <w:r>
        <w:rPr>
          <w:rFonts w:hint="eastAsia" w:ascii="ˎ̥" w:hAnsi="ˎ̥"/>
        </w:rPr>
        <w:t>’，其投标无效。</w:t>
      </w:r>
    </w:p>
    <w:p>
      <w:pPr>
        <w:pStyle w:val="46"/>
        <w:numPr>
          <w:ilvl w:val="1"/>
          <w:numId w:val="6"/>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法律、法规和招标文件规定的其他无效情形。</w:t>
      </w:r>
    </w:p>
    <w:p>
      <w:pPr>
        <w:pStyle w:val="46"/>
        <w:autoSpaceDE w:val="0"/>
        <w:autoSpaceDN w:val="0"/>
        <w:spacing w:line="360" w:lineRule="auto"/>
        <w:ind w:left="964" w:firstLine="0" w:firstLineChars="0"/>
        <w:contextualSpacing/>
        <w:rPr>
          <w:rFonts w:cs="宋体" w:asciiTheme="minorEastAsia" w:hAnsiTheme="minorEastAsia"/>
          <w:kern w:val="0"/>
          <w:szCs w:val="21"/>
        </w:rPr>
      </w:pPr>
    </w:p>
    <w:p>
      <w:pPr>
        <w:pStyle w:val="4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相同品牌投标人的认定</w:t>
      </w:r>
      <w:r>
        <w:rPr>
          <w:rFonts w:cs="仿宋_GB2312" w:asciiTheme="minorEastAsia" w:hAnsiTheme="minorEastAsia"/>
          <w:b/>
          <w:bCs/>
          <w:szCs w:val="21"/>
          <w:lang w:val="zh-CN"/>
        </w:rPr>
        <w:t>（服务类项目不适用本条款规定）</w:t>
      </w:r>
    </w:p>
    <w:p>
      <w:pPr>
        <w:pStyle w:val="46"/>
        <w:numPr>
          <w:ilvl w:val="0"/>
          <w:numId w:val="11"/>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pStyle w:val="4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46"/>
        <w:autoSpaceDE w:val="0"/>
        <w:autoSpaceDN w:val="0"/>
        <w:spacing w:line="360" w:lineRule="auto"/>
        <w:ind w:left="964" w:firstLine="0" w:firstLineChars="0"/>
        <w:contextualSpacing/>
        <w:rPr>
          <w:rFonts w:cs="宋体" w:asciiTheme="minorEastAsia" w:hAnsiTheme="minorEastAsia"/>
          <w:kern w:val="0"/>
          <w:szCs w:val="21"/>
        </w:rPr>
      </w:pPr>
    </w:p>
    <w:p>
      <w:pPr>
        <w:pStyle w:val="4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投标文件的比较与评价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评标委员会按照招标文件中规定的评标方法和标准，对符合性审查合格的投标文件进行商务和技术评估，综合比较与评价。</w:t>
      </w:r>
    </w:p>
    <w:p>
      <w:pPr>
        <w:autoSpaceDE w:val="0"/>
        <w:autoSpaceDN w:val="0"/>
        <w:spacing w:line="360" w:lineRule="auto"/>
        <w:ind w:left="964"/>
        <w:contextualSpacing/>
        <w:rPr>
          <w:rFonts w:cs="宋体" w:asciiTheme="minorEastAsia" w:hAnsiTheme="minorEastAsia"/>
          <w:kern w:val="0"/>
          <w:szCs w:val="21"/>
        </w:rPr>
      </w:pPr>
    </w:p>
    <w:p>
      <w:pPr>
        <w:pStyle w:val="4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评标方法、评标标准</w:t>
      </w:r>
    </w:p>
    <w:p>
      <w:pPr>
        <w:autoSpaceDE w:val="0"/>
        <w:autoSpaceDN w:val="0"/>
        <w:spacing w:line="360" w:lineRule="auto"/>
        <w:ind w:left="420"/>
        <w:contextualSpacing/>
        <w:rPr>
          <w:rFonts w:cs="宋体" w:asciiTheme="minorEastAsia" w:hAnsiTheme="minorEastAsia"/>
          <w:kern w:val="0"/>
          <w:szCs w:val="21"/>
        </w:rPr>
      </w:pPr>
      <w:r>
        <w:rPr>
          <w:rFonts w:hint="eastAsia" w:cs="宋体" w:asciiTheme="minorEastAsia" w:hAnsiTheme="minorEastAsia"/>
          <w:kern w:val="0"/>
          <w:szCs w:val="21"/>
        </w:rPr>
        <w:t>32.1评标方法分为最低评标价法和综合评分法。</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32.1.1  最低评标价法</w:t>
      </w:r>
    </w:p>
    <w:p>
      <w:pPr>
        <w:autoSpaceDE w:val="0"/>
        <w:autoSpaceDN w:val="0"/>
        <w:spacing w:line="360" w:lineRule="auto"/>
        <w:ind w:left="2975" w:leftChars="878" w:hanging="1131" w:hangingChars="539"/>
        <w:contextualSpacing/>
        <w:rPr>
          <w:rFonts w:cs="宋体" w:asciiTheme="minorEastAsia" w:hAnsiTheme="minorEastAsia"/>
          <w:kern w:val="0"/>
          <w:szCs w:val="21"/>
        </w:rPr>
      </w:pPr>
      <w:r>
        <w:rPr>
          <w:rFonts w:hint="eastAsia" w:cs="宋体" w:asciiTheme="minorEastAsia" w:hAnsiTheme="minorEastAsia"/>
          <w:kern w:val="0"/>
          <w:szCs w:val="21"/>
        </w:rPr>
        <w:t>32.1.1.2   最低评标价法，是指投标文件满足招标文件全部实质性要求，且投标报价最低的投标人为中标候选人的评标方法。</w:t>
      </w:r>
    </w:p>
    <w:p>
      <w:pPr>
        <w:autoSpaceDE w:val="0"/>
        <w:autoSpaceDN w:val="0"/>
        <w:spacing w:line="360" w:lineRule="auto"/>
        <w:ind w:left="2976" w:leftChars="877" w:hanging="1134" w:hangingChars="540"/>
        <w:contextualSpacing/>
        <w:rPr>
          <w:rFonts w:cs="宋体" w:asciiTheme="minorEastAsia" w:hAnsiTheme="minorEastAsia"/>
          <w:kern w:val="0"/>
          <w:szCs w:val="21"/>
        </w:rPr>
      </w:pPr>
      <w:r>
        <w:rPr>
          <w:rFonts w:hint="eastAsia" w:cs="宋体" w:asciiTheme="minorEastAsia" w:hAnsiTheme="minorEastAsia"/>
          <w:kern w:val="0"/>
          <w:szCs w:val="21"/>
        </w:rPr>
        <w:t>32.1.1.2   采用最低评标价法评标时，除了算术修正和落实政府采购政策需进行的价格扣除外，不能对投标人的投标价格进行任何调整。</w:t>
      </w:r>
    </w:p>
    <w:p>
      <w:pPr>
        <w:autoSpaceDE w:val="0"/>
        <w:autoSpaceDN w:val="0"/>
        <w:spacing w:line="360" w:lineRule="auto"/>
        <w:ind w:left="1841" w:leftChars="471" w:hanging="852" w:hangingChars="406"/>
        <w:contextualSpacing/>
        <w:rPr>
          <w:rFonts w:cs="宋体" w:asciiTheme="minorEastAsia" w:hAnsiTheme="minorEastAsia"/>
          <w:kern w:val="0"/>
          <w:szCs w:val="21"/>
        </w:rPr>
      </w:pPr>
      <w:r>
        <w:rPr>
          <w:rFonts w:hint="eastAsia" w:cs="宋体" w:asciiTheme="minorEastAsia" w:hAnsiTheme="minorEastAsia"/>
          <w:kern w:val="0"/>
          <w:szCs w:val="21"/>
        </w:rPr>
        <w:t>32.1.2  综合评分法，是指投标文件满足招标文件全部实质性要求，且按照评审因素的量化指标评审得分最高的投标人为中标候选人的评标方法。</w:t>
      </w:r>
    </w:p>
    <w:p>
      <w:pPr>
        <w:pStyle w:val="4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价格分</w:t>
      </w:r>
    </w:p>
    <w:p>
      <w:pPr>
        <w:autoSpaceDE w:val="0"/>
        <w:autoSpaceDN w:val="0"/>
        <w:spacing w:line="360" w:lineRule="auto"/>
        <w:ind w:left="1841" w:leftChars="472" w:hanging="850" w:hangingChars="405"/>
        <w:contextualSpacing/>
        <w:rPr>
          <w:rFonts w:cs="宋体" w:asciiTheme="minorEastAsia" w:hAnsiTheme="minorEastAsia"/>
          <w:kern w:val="0"/>
          <w:szCs w:val="21"/>
        </w:rPr>
      </w:pPr>
      <w:r>
        <w:rPr>
          <w:rFonts w:hint="eastAsia" w:cs="宋体" w:asciiTheme="minorEastAsia" w:hAnsiTheme="minorEastAsia"/>
          <w:kern w:val="0"/>
          <w:szCs w:val="21"/>
        </w:rPr>
        <w:t>32.2.1  价格分采用低价优先法计算，即满足招标文件要求且投标价格最低的投标报价为评标基准价，其价格分为满分。其他投标人的价格分统一按照下列公式计算：</w:t>
      </w:r>
    </w:p>
    <w:p>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投标报价得分=(评标基准价/投标报价)×100</w:t>
      </w:r>
    </w:p>
    <w:p>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评标总得分=F1×A1+F2×A2+……+Fn×An</w:t>
      </w:r>
    </w:p>
    <w:p>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F1、F2……Fn分别为各项评审因素的得分;</w:t>
      </w:r>
    </w:p>
    <w:p>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A1、A2、……An 分别为各项评审因素所占的权重(A1+A2+……+An=1)。</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32.2.2  评标过程中，不得去掉报价中的最高报价和最低报价。</w:t>
      </w:r>
    </w:p>
    <w:p>
      <w:pPr>
        <w:autoSpaceDE w:val="0"/>
        <w:autoSpaceDN w:val="0"/>
        <w:spacing w:line="360" w:lineRule="auto"/>
        <w:ind w:left="1841" w:leftChars="472" w:hanging="850" w:hangingChars="405"/>
        <w:contextualSpacing/>
        <w:rPr>
          <w:rFonts w:cs="宋体" w:asciiTheme="minorEastAsia" w:hAnsiTheme="minorEastAsia"/>
          <w:kern w:val="0"/>
          <w:szCs w:val="21"/>
        </w:rPr>
      </w:pPr>
      <w:r>
        <w:rPr>
          <w:rFonts w:hint="eastAsia" w:cs="宋体" w:asciiTheme="minorEastAsia" w:hAnsiTheme="minorEastAsia"/>
          <w:kern w:val="0"/>
          <w:szCs w:val="21"/>
        </w:rPr>
        <w:t>32.2.3  因落实政府采购政策进行价格调整的，以调整后的价格计算评标基准价和投标报价。</w:t>
      </w:r>
    </w:p>
    <w:p>
      <w:pPr>
        <w:pStyle w:val="4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b/>
          <w:kern w:val="0"/>
          <w:szCs w:val="21"/>
        </w:rPr>
        <w:t>本次评标具体评标方法、评标标准见（第六章 资格审查与评标）</w:t>
      </w:r>
      <w:r>
        <w:rPr>
          <w:rFonts w:hint="eastAsia" w:cs="宋体" w:asciiTheme="minorEastAsia" w:hAnsiTheme="minorEastAsia"/>
          <w:kern w:val="0"/>
          <w:szCs w:val="21"/>
        </w:rPr>
        <w:t>。</w:t>
      </w:r>
    </w:p>
    <w:p>
      <w:pPr>
        <w:pStyle w:val="46"/>
        <w:autoSpaceDE w:val="0"/>
        <w:autoSpaceDN w:val="0"/>
        <w:spacing w:line="360" w:lineRule="auto"/>
        <w:ind w:left="964" w:firstLine="0" w:firstLineChars="0"/>
        <w:contextualSpacing/>
        <w:rPr>
          <w:rFonts w:cs="宋体" w:asciiTheme="minorEastAsia" w:hAnsiTheme="minorEastAsia"/>
          <w:kern w:val="0"/>
          <w:szCs w:val="21"/>
        </w:rPr>
      </w:pPr>
    </w:p>
    <w:p>
      <w:pPr>
        <w:pStyle w:val="4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推荐中标候选人</w:t>
      </w:r>
    </w:p>
    <w:p>
      <w:pPr>
        <w:pStyle w:val="46"/>
        <w:numPr>
          <w:ilvl w:val="0"/>
          <w:numId w:val="12"/>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采用最低评标价法的，评标结果按投标报价由低到高顺序排列。投标报价相同的并列。投标文件满足招标文件全部实质性要求且投标报价最低的投标人为排名第一的中标候选人。</w:t>
      </w:r>
    </w:p>
    <w:p>
      <w:pPr>
        <w:pStyle w:val="46"/>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Style w:val="46"/>
        <w:autoSpaceDE w:val="0"/>
        <w:autoSpaceDN w:val="0"/>
        <w:spacing w:line="360" w:lineRule="auto"/>
        <w:ind w:left="964" w:firstLine="0" w:firstLineChars="0"/>
        <w:contextualSpacing/>
        <w:rPr>
          <w:rFonts w:cs="宋体" w:asciiTheme="minorEastAsia" w:hAnsiTheme="minorEastAsia"/>
          <w:kern w:val="0"/>
          <w:szCs w:val="21"/>
        </w:rPr>
      </w:pPr>
    </w:p>
    <w:p>
      <w:pPr>
        <w:pStyle w:val="46"/>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评审意见无效情形</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评标委员会及其成员有下列行为之一的，其评审意见无效：</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34.1  确定参与评标至评标结束前私自接触投标人；</w:t>
      </w:r>
    </w:p>
    <w:p>
      <w:pPr>
        <w:autoSpaceDE w:val="0"/>
        <w:autoSpaceDN w:val="0"/>
        <w:spacing w:line="360" w:lineRule="auto"/>
        <w:ind w:left="1558" w:leftChars="472" w:hanging="567" w:hangingChars="270"/>
        <w:contextualSpacing/>
        <w:rPr>
          <w:rFonts w:cs="宋体" w:asciiTheme="minorEastAsia" w:hAnsiTheme="minorEastAsia"/>
          <w:kern w:val="0"/>
          <w:szCs w:val="21"/>
        </w:rPr>
      </w:pPr>
      <w:r>
        <w:rPr>
          <w:rFonts w:hint="eastAsia" w:cs="宋体" w:asciiTheme="minorEastAsia" w:hAnsiTheme="minorEastAsia"/>
          <w:kern w:val="0"/>
          <w:szCs w:val="21"/>
        </w:rPr>
        <w:t>34.2  接受投标人提出的与投标文件不一致的澄清或者说明，《投标人须知》26条规定的情形除外；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34.3  违反评标纪律发表倾向性意见或者征询采购人的倾向性意见；</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34.4  对需要专业判断的主观评审因素协商评分；</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34.5  在评标过程中擅离职守，影响评标程序正常进行的；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34.6  记录、复制或者带走任何评标资料；</w:t>
      </w:r>
    </w:p>
    <w:p>
      <w:pPr>
        <w:pStyle w:val="46"/>
        <w:numPr>
          <w:ilvl w:val="1"/>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 xml:space="preserve"> 其他不遵守评标纪律的行为。</w:t>
      </w:r>
    </w:p>
    <w:p>
      <w:pPr>
        <w:autoSpaceDE w:val="0"/>
        <w:autoSpaceDN w:val="0"/>
        <w:spacing w:line="360" w:lineRule="auto"/>
        <w:ind w:left="964"/>
        <w:contextualSpacing/>
        <w:rPr>
          <w:rFonts w:cs="宋体" w:asciiTheme="minorEastAsia" w:hAnsiTheme="minorEastAsia"/>
          <w:kern w:val="0"/>
          <w:szCs w:val="21"/>
        </w:rPr>
      </w:pPr>
    </w:p>
    <w:p>
      <w:pPr>
        <w:pStyle w:val="46"/>
        <w:numPr>
          <w:ilvl w:val="0"/>
          <w:numId w:val="13"/>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保密</w:t>
      </w:r>
    </w:p>
    <w:p>
      <w:pPr>
        <w:pStyle w:val="46"/>
        <w:numPr>
          <w:ilvl w:val="1"/>
          <w:numId w:val="14"/>
        </w:numPr>
        <w:autoSpaceDE w:val="0"/>
        <w:autoSpaceDN w:val="0"/>
        <w:spacing w:line="360" w:lineRule="auto"/>
        <w:ind w:left="964" w:firstLineChars="0"/>
        <w:contextualSpacing/>
        <w:rPr>
          <w:rFonts w:cs="宋体" w:asciiTheme="minorEastAsia" w:hAnsiTheme="minorEastAsia"/>
          <w:kern w:val="0"/>
          <w:szCs w:val="21"/>
        </w:rPr>
      </w:pPr>
      <w:r>
        <w:rPr>
          <w:rFonts w:hint="eastAsia" w:cs="宋体" w:asciiTheme="minorEastAsia" w:hAnsiTheme="minorEastAsia"/>
          <w:kern w:val="0"/>
          <w:szCs w:val="21"/>
        </w:rPr>
        <w:t xml:space="preserve"> 评审专家应当遵守评审工作纪律，不得泄露评审文件、评审情况和评审中获悉的商业秘密。</w:t>
      </w:r>
    </w:p>
    <w:p>
      <w:pPr>
        <w:pStyle w:val="46"/>
        <w:numPr>
          <w:ilvl w:val="1"/>
          <w:numId w:val="14"/>
        </w:numPr>
        <w:autoSpaceDE w:val="0"/>
        <w:autoSpaceDN w:val="0"/>
        <w:spacing w:line="360" w:lineRule="auto"/>
        <w:ind w:left="964" w:firstLineChars="0"/>
        <w:contextualSpacing/>
        <w:rPr>
          <w:rFonts w:cs="宋体" w:asciiTheme="minorEastAsia" w:hAnsiTheme="minorEastAsia"/>
          <w:kern w:val="0"/>
          <w:szCs w:val="21"/>
        </w:rPr>
      </w:pPr>
      <w:r>
        <w:rPr>
          <w:rFonts w:hint="eastAsia" w:cs="宋体" w:asciiTheme="minorEastAsia" w:hAnsiTheme="minorEastAsia"/>
          <w:kern w:val="0"/>
          <w:szCs w:val="21"/>
        </w:rPr>
        <w:t xml:space="preserve"> 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六、定标和授予合同</w:t>
      </w:r>
    </w:p>
    <w:p>
      <w:pPr>
        <w:pStyle w:val="46"/>
        <w:numPr>
          <w:ilvl w:val="0"/>
          <w:numId w:val="14"/>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确定中标人</w:t>
      </w:r>
    </w:p>
    <w:p>
      <w:pPr>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36.1  采购人应当自收到评标报告之日起5个工作日内，在评标报告确定的中标候选人名单中按顺序确定中标人。中标候选人并列的，由采购人采取随机抽取的方式确定。</w:t>
      </w:r>
    </w:p>
    <w:p>
      <w:pPr>
        <w:pStyle w:val="46"/>
        <w:numPr>
          <w:ilvl w:val="1"/>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 xml:space="preserve"> 采购人在收到评标报告5个工作日内未按评标报告推荐的中标候选人顺序确定中标人，又不能说明合法理由的，视同按评标报告推荐的顺序确定排名第一的中标候选人为中标人。</w:t>
      </w:r>
    </w:p>
    <w:p>
      <w:pPr>
        <w:pStyle w:val="46"/>
        <w:autoSpaceDE w:val="0"/>
        <w:autoSpaceDN w:val="0"/>
        <w:spacing w:line="360" w:lineRule="auto"/>
        <w:ind w:left="964" w:firstLine="0" w:firstLineChars="0"/>
        <w:contextualSpacing/>
        <w:rPr>
          <w:rFonts w:cs="宋体" w:asciiTheme="minorEastAsia" w:hAnsiTheme="minorEastAsia"/>
          <w:kern w:val="0"/>
          <w:szCs w:val="21"/>
        </w:rPr>
      </w:pPr>
    </w:p>
    <w:p>
      <w:pPr>
        <w:pStyle w:val="46"/>
        <w:numPr>
          <w:ilvl w:val="0"/>
          <w:numId w:val="1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中标公告、发出中标通知书</w:t>
      </w:r>
    </w:p>
    <w:p>
      <w:pPr>
        <w:autoSpaceDE w:val="0"/>
        <w:autoSpaceDN w:val="0"/>
        <w:spacing w:line="360" w:lineRule="auto"/>
        <w:ind w:left="420"/>
        <w:contextualSpacing/>
        <w:rPr>
          <w:rFonts w:cs="宋体" w:asciiTheme="minorEastAsia" w:hAnsiTheme="minorEastAsia"/>
          <w:kern w:val="0"/>
          <w:szCs w:val="21"/>
        </w:rPr>
      </w:pPr>
      <w:r>
        <w:rPr>
          <w:rFonts w:hint="eastAsia" w:cs="宋体" w:asciiTheme="minorEastAsia" w:hAnsiTheme="minorEastAsia"/>
          <w:kern w:val="0"/>
          <w:szCs w:val="21"/>
        </w:rPr>
        <w:t>37.1采购人确认中标人后，采购人在公告中标结果的同时，向中标人发出中标通知书。</w:t>
      </w:r>
    </w:p>
    <w:p>
      <w:pPr>
        <w:pStyle w:val="46"/>
        <w:numPr>
          <w:ilvl w:val="1"/>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中标通知书发出后，采购人不得违法改变中标结果，中标人无正当理由不得放弃中标。</w:t>
      </w:r>
    </w:p>
    <w:p>
      <w:pPr>
        <w:pStyle w:val="46"/>
        <w:numPr>
          <w:ilvl w:val="1"/>
          <w:numId w:val="15"/>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中标人在接到中标通知时，须向代理机构发送投标报价及分项报价一览表（包含主要中标标的的名称、规格型号、数量、单价、服务要求等）电子文档，并同时通知代理机构联系人。</w:t>
      </w:r>
    </w:p>
    <w:p>
      <w:pPr>
        <w:pStyle w:val="46"/>
        <w:numPr>
          <w:ilvl w:val="0"/>
          <w:numId w:val="1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autoSpaceDE w:val="0"/>
        <w:autoSpaceDN w:val="0"/>
        <w:spacing w:line="360" w:lineRule="auto"/>
        <w:ind w:left="420"/>
        <w:contextualSpacing/>
        <w:rPr>
          <w:rFonts w:cs="宋体" w:asciiTheme="minorEastAsia" w:hAnsiTheme="minorEastAsia"/>
          <w:kern w:val="0"/>
          <w:szCs w:val="21"/>
        </w:rPr>
      </w:pPr>
      <w:r>
        <w:rPr>
          <w:rFonts w:hint="eastAsia" w:cs="宋体" w:asciiTheme="minorEastAsia" w:hAnsiTheme="minorEastAsia"/>
          <w:kern w:val="0"/>
          <w:szCs w:val="21"/>
        </w:rPr>
        <w:t>38.1供应商认为采购文件、采购过程和中标结果使自己的权益受到损害的，可以按照《政府采购质疑和投诉办法》（财政部令第94号）提出质疑。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p>
    <w:p>
      <w:pPr>
        <w:autoSpaceDE w:val="0"/>
        <w:autoSpaceDN w:val="0"/>
        <w:spacing w:line="360" w:lineRule="auto"/>
        <w:ind w:left="1841" w:leftChars="470" w:hanging="854" w:hangingChars="407"/>
        <w:contextualSpacing/>
        <w:rPr>
          <w:rFonts w:cs="宋体" w:asciiTheme="minorEastAsia" w:hAnsiTheme="minorEastAsia"/>
          <w:kern w:val="0"/>
          <w:szCs w:val="21"/>
        </w:rPr>
      </w:pPr>
      <w:r>
        <w:rPr>
          <w:rFonts w:hint="eastAsia" w:cs="宋体" w:asciiTheme="minorEastAsia" w:hAnsiTheme="minorEastAsia"/>
          <w:kern w:val="0"/>
          <w:szCs w:val="21"/>
        </w:rPr>
        <w:t>38.1.1  对采购文件提出质疑的，</w:t>
      </w:r>
      <w:r>
        <w:rPr>
          <w:rFonts w:cs="宋体" w:asciiTheme="minorEastAsia" w:hAnsiTheme="minorEastAsia"/>
          <w:kern w:val="0"/>
          <w:szCs w:val="21"/>
        </w:rPr>
        <w:t>潜在</w:t>
      </w:r>
      <w:r>
        <w:rPr>
          <w:rFonts w:hint="eastAsia" w:cs="宋体" w:asciiTheme="minorEastAsia" w:hAnsiTheme="minorEastAsia"/>
          <w:kern w:val="0"/>
          <w:szCs w:val="21"/>
        </w:rPr>
        <w:t>投标人应</w:t>
      </w:r>
      <w:r>
        <w:rPr>
          <w:rFonts w:cs="宋体" w:asciiTheme="minorEastAsia" w:hAnsiTheme="minorEastAsia"/>
          <w:kern w:val="0"/>
          <w:szCs w:val="21"/>
        </w:rPr>
        <w:t>已依法获取采购文件</w:t>
      </w:r>
      <w:r>
        <w:rPr>
          <w:rFonts w:hint="eastAsia" w:cs="宋体" w:asciiTheme="minorEastAsia" w:hAnsiTheme="minorEastAsia"/>
          <w:kern w:val="0"/>
          <w:szCs w:val="21"/>
        </w:rPr>
        <w:t>，且应当在</w:t>
      </w:r>
      <w:r>
        <w:rPr>
          <w:rFonts w:cs="宋体" w:asciiTheme="minorEastAsia" w:hAnsiTheme="minorEastAsia"/>
          <w:kern w:val="0"/>
          <w:szCs w:val="21"/>
        </w:rPr>
        <w:t>获取采购文件或者采购文件公告期限届满之日起7个工作日内</w:t>
      </w:r>
      <w:r>
        <w:rPr>
          <w:rFonts w:hint="eastAsia" w:cs="宋体" w:asciiTheme="minorEastAsia" w:hAnsiTheme="minorEastAsia"/>
          <w:kern w:val="0"/>
          <w:szCs w:val="21"/>
        </w:rPr>
        <w:t>通过《全国公共资源交易平台（河南省·许昌市）》一次性提出，提出后联系招标公告中集采机构联系人查看，并同时将符合《政府采购质疑和投诉办法》第十二条规定的纸质质疑函和必要的证明材料一式两份送采购单位，如未提出视为全面接受；</w:t>
      </w:r>
    </w:p>
    <w:p>
      <w:pPr>
        <w:autoSpaceDE w:val="0"/>
        <w:autoSpaceDN w:val="0"/>
        <w:spacing w:line="360" w:lineRule="auto"/>
        <w:ind w:left="1841" w:leftChars="470" w:hanging="854" w:hangingChars="407"/>
        <w:contextualSpacing/>
        <w:rPr>
          <w:rFonts w:cs="宋体" w:asciiTheme="minorEastAsia" w:hAnsiTheme="minorEastAsia"/>
          <w:kern w:val="0"/>
          <w:szCs w:val="21"/>
        </w:rPr>
      </w:pPr>
      <w:r>
        <w:rPr>
          <w:rFonts w:hint="eastAsia" w:cs="宋体" w:asciiTheme="minorEastAsia" w:hAnsiTheme="minorEastAsia"/>
          <w:kern w:val="0"/>
          <w:szCs w:val="21"/>
        </w:rPr>
        <w:t>38.1.2  对采购过程提出质疑的，为各采购程序环节结束之日起七个工作日  内，以书面形式向采购人和采购代理机构一次性提出；</w:t>
      </w:r>
    </w:p>
    <w:p>
      <w:pPr>
        <w:autoSpaceDE w:val="0"/>
        <w:autoSpaceDN w:val="0"/>
        <w:spacing w:line="360" w:lineRule="auto"/>
        <w:ind w:left="1841" w:leftChars="470" w:hanging="854" w:hangingChars="407"/>
        <w:contextualSpacing/>
        <w:rPr>
          <w:rFonts w:cs="宋体" w:asciiTheme="minorEastAsia" w:hAnsiTheme="minorEastAsia"/>
          <w:kern w:val="0"/>
          <w:szCs w:val="21"/>
        </w:rPr>
      </w:pPr>
      <w:r>
        <w:rPr>
          <w:rFonts w:hint="eastAsia" w:cs="宋体" w:asciiTheme="minorEastAsia" w:hAnsiTheme="minorEastAsia"/>
          <w:kern w:val="0"/>
          <w:szCs w:val="21"/>
        </w:rPr>
        <w:t>38.1.3  对中标结果提出质疑的，为中标结果公告期限届满之日起七个工作日内，以书面形式向采购人和采购代理机构一次性提出。</w:t>
      </w:r>
    </w:p>
    <w:p>
      <w:pPr>
        <w:pStyle w:val="46"/>
        <w:numPr>
          <w:ilvl w:val="1"/>
          <w:numId w:val="15"/>
        </w:numPr>
        <w:autoSpaceDE w:val="0"/>
        <w:autoSpaceDN w:val="0"/>
        <w:spacing w:line="360" w:lineRule="auto"/>
        <w:ind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采购人、采购代理机构认为供应商质疑不成立，或者成立但未对中标结果构成影响的，继续开展采购活动；认为供应商质疑成立且影响或者可能影响中标结果的，按照下列情况处理：</w:t>
      </w:r>
    </w:p>
    <w:p>
      <w:pPr>
        <w:autoSpaceDE w:val="0"/>
        <w:autoSpaceDN w:val="0"/>
        <w:spacing w:line="360" w:lineRule="auto"/>
        <w:ind w:left="1841" w:leftChars="473" w:hanging="848" w:hangingChars="404"/>
        <w:contextualSpacing/>
        <w:rPr>
          <w:rFonts w:cs="宋体" w:asciiTheme="minorEastAsia" w:hAnsiTheme="minorEastAsia"/>
          <w:kern w:val="0"/>
          <w:szCs w:val="21"/>
        </w:rPr>
      </w:pPr>
      <w:r>
        <w:rPr>
          <w:rFonts w:hint="eastAsia" w:cs="宋体" w:asciiTheme="minorEastAsia" w:hAnsiTheme="minorEastAsia"/>
          <w:kern w:val="0"/>
          <w:szCs w:val="21"/>
        </w:rPr>
        <w:t xml:space="preserve">38.2.1  </w:t>
      </w:r>
      <w:r>
        <w:rPr>
          <w:rFonts w:cs="宋体" w:asciiTheme="minorEastAsia" w:hAnsiTheme="minorEastAsia"/>
          <w:kern w:val="0"/>
          <w:szCs w:val="21"/>
        </w:rPr>
        <w:t>对采购文件提出的质疑，依法通过澄清或者修改可以继续开展采购活动的，澄清或者修改采购文件后继续开展采购活动；否则应当修改采购文件后重新开展采购活动。</w:t>
      </w:r>
    </w:p>
    <w:p>
      <w:pPr>
        <w:autoSpaceDE w:val="0"/>
        <w:autoSpaceDN w:val="0"/>
        <w:spacing w:line="360" w:lineRule="auto"/>
        <w:ind w:left="1841" w:leftChars="473" w:hanging="848" w:hangingChars="404"/>
        <w:contextualSpacing/>
        <w:rPr>
          <w:rFonts w:cs="宋体" w:asciiTheme="minorEastAsia" w:hAnsiTheme="minorEastAsia"/>
          <w:kern w:val="0"/>
          <w:szCs w:val="21"/>
        </w:rPr>
      </w:pPr>
      <w:r>
        <w:rPr>
          <w:rFonts w:hint="eastAsia" w:cs="宋体" w:asciiTheme="minorEastAsia" w:hAnsiTheme="minorEastAsia"/>
          <w:kern w:val="0"/>
          <w:szCs w:val="21"/>
        </w:rPr>
        <w:t xml:space="preserve">38.2.2  </w:t>
      </w:r>
      <w:r>
        <w:rPr>
          <w:rFonts w:cs="宋体" w:asciiTheme="minorEastAsia" w:hAnsiTheme="minorEastAsia"/>
          <w:kern w:val="0"/>
          <w:szCs w:val="21"/>
        </w:rPr>
        <w:t>对采购过程、中标结果提出的质疑，合格供应商符合法定数量时，可以从合格的中标</w:t>
      </w:r>
      <w:r>
        <w:rPr>
          <w:rFonts w:hint="eastAsia" w:cs="宋体" w:asciiTheme="minorEastAsia" w:hAnsiTheme="minorEastAsia"/>
          <w:kern w:val="0"/>
          <w:szCs w:val="21"/>
        </w:rPr>
        <w:t>候选人</w:t>
      </w:r>
      <w:r>
        <w:rPr>
          <w:rFonts w:cs="宋体" w:asciiTheme="minorEastAsia" w:hAnsiTheme="minorEastAsia"/>
          <w:kern w:val="0"/>
          <w:szCs w:val="21"/>
        </w:rPr>
        <w:t>中另行确定中标供应商的，应当依法另行确定中标供应商；否则应当重新开展采购活动。</w:t>
      </w:r>
    </w:p>
    <w:p>
      <w:pPr>
        <w:autoSpaceDE w:val="0"/>
        <w:autoSpaceDN w:val="0"/>
        <w:spacing w:line="360" w:lineRule="auto"/>
        <w:ind w:left="964"/>
        <w:contextualSpacing/>
        <w:rPr>
          <w:rFonts w:cs="宋体" w:asciiTheme="minorEastAsia" w:hAnsiTheme="minorEastAsia"/>
          <w:kern w:val="0"/>
          <w:szCs w:val="21"/>
        </w:rPr>
      </w:pPr>
    </w:p>
    <w:p>
      <w:pPr>
        <w:pStyle w:val="46"/>
        <w:numPr>
          <w:ilvl w:val="0"/>
          <w:numId w:val="1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采购人应当自中标通知书发出之日起30日内，按照招标文件和中标人投标文件的规定，与中标人签订书面合同。所签订的合同不得对招标文件确定的事项和中标人投标文件作实质性修改。</w:t>
      </w:r>
    </w:p>
    <w:p>
      <w:pPr>
        <w:autoSpaceDE w:val="0"/>
        <w:autoSpaceDN w:val="0"/>
        <w:spacing w:line="360" w:lineRule="auto"/>
        <w:ind w:left="964"/>
        <w:contextualSpacing/>
        <w:rPr>
          <w:rFonts w:cs="宋体" w:asciiTheme="minorEastAsia" w:hAnsiTheme="minorEastAsia"/>
          <w:kern w:val="0"/>
          <w:szCs w:val="21"/>
        </w:rPr>
      </w:pPr>
    </w:p>
    <w:p>
      <w:pPr>
        <w:pStyle w:val="46"/>
        <w:numPr>
          <w:ilvl w:val="0"/>
          <w:numId w:val="1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r>
        <w:rPr>
          <w:rFonts w:hint="eastAsia" w:cs="宋体" w:asciiTheme="minorEastAsia" w:hAnsiTheme="minorEastAsia"/>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r>
        <w:rPr>
          <w:rFonts w:hint="eastAsia" w:ascii="宋体" w:hAnsi="宋体" w:cs="宋体"/>
          <w:color w:val="333333"/>
          <w:sz w:val="24"/>
          <w:szCs w:val="24"/>
        </w:rPr>
        <w:br w:type="textWrapping"/>
      </w:r>
    </w:p>
    <w:p>
      <w:pPr>
        <w:autoSpaceDE w:val="0"/>
        <w:autoSpaceDN w:val="0"/>
        <w:spacing w:line="360" w:lineRule="auto"/>
        <w:contextualSpacing/>
        <w:jc w:val="center"/>
        <w:rPr>
          <w:rFonts w:ascii="宋体" w:cs="宋体"/>
          <w:b/>
          <w:kern w:val="0"/>
          <w:sz w:val="32"/>
          <w:szCs w:val="32"/>
        </w:rPr>
      </w:pPr>
      <w:r>
        <w:rPr>
          <w:rFonts w:hint="eastAsia" w:ascii="宋体" w:hAnsi="宋体" w:cs="宋体"/>
          <w:b/>
          <w:kern w:val="0"/>
          <w:sz w:val="32"/>
          <w:szCs w:val="32"/>
        </w:rPr>
        <w:t>第五章</w:t>
      </w:r>
      <w:r>
        <w:rPr>
          <w:rFonts w:ascii="宋体" w:hAnsi="宋体" w:cs="宋体"/>
          <w:b/>
          <w:kern w:val="0"/>
          <w:sz w:val="32"/>
          <w:szCs w:val="32"/>
        </w:rPr>
        <w:t xml:space="preserve"> </w:t>
      </w:r>
      <w:r>
        <w:rPr>
          <w:rFonts w:hint="eastAsia" w:ascii="宋体" w:hAnsi="宋体" w:cs="宋体"/>
          <w:b/>
          <w:kern w:val="0"/>
          <w:sz w:val="32"/>
          <w:szCs w:val="32"/>
        </w:rPr>
        <w:t>政府采购政策功能</w:t>
      </w:r>
    </w:p>
    <w:p>
      <w:pPr>
        <w:jc w:val="center"/>
        <w:rPr>
          <w:rFonts w:ascii="宋体" w:cs="宋体"/>
          <w:b/>
          <w:kern w:val="0"/>
          <w:sz w:val="36"/>
          <w:szCs w:val="36"/>
        </w:rPr>
      </w:pPr>
    </w:p>
    <w:p>
      <w:pPr>
        <w:pStyle w:val="16"/>
        <w:spacing w:line="360" w:lineRule="auto"/>
        <w:ind w:firstLine="420" w:firstLineChars="200"/>
        <w:contextualSpacing/>
        <w:rPr>
          <w:rFonts w:ascii="宋体" w:cs="仿宋_GB2312"/>
          <w:sz w:val="21"/>
          <w:szCs w:val="21"/>
          <w:lang w:val="zh-CN"/>
        </w:rPr>
      </w:pPr>
      <w:r>
        <w:rPr>
          <w:rFonts w:hint="eastAsia" w:ascii="宋体" w:hAnsi="宋体" w:cs="仿宋_GB2312"/>
          <w:sz w:val="21"/>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pPr>
        <w:pStyle w:val="16"/>
        <w:spacing w:line="360" w:lineRule="auto"/>
        <w:ind w:firstLine="422" w:firstLineChars="200"/>
        <w:contextualSpacing/>
        <w:rPr>
          <w:rFonts w:ascii="宋体" w:cs="仿宋_GB2312"/>
          <w:b/>
          <w:sz w:val="21"/>
          <w:szCs w:val="21"/>
          <w:lang w:val="zh-CN"/>
        </w:rPr>
      </w:pPr>
      <w:r>
        <w:rPr>
          <w:rFonts w:hint="eastAsia" w:ascii="宋体" w:hAnsi="宋体" w:cs="仿宋_GB2312"/>
          <w:b/>
          <w:sz w:val="21"/>
          <w:szCs w:val="21"/>
          <w:lang w:val="zh-CN"/>
        </w:rPr>
        <w:t>一、节能能源、保护环境</w:t>
      </w:r>
    </w:p>
    <w:p>
      <w:pPr>
        <w:pStyle w:val="16"/>
        <w:spacing w:line="360" w:lineRule="auto"/>
        <w:ind w:firstLine="420" w:firstLineChars="200"/>
        <w:contextualSpacing/>
        <w:rPr>
          <w:rFonts w:ascii="宋体" w:cs="仿宋_GB2312"/>
          <w:sz w:val="21"/>
          <w:szCs w:val="21"/>
          <w:lang w:val="zh-CN"/>
        </w:rPr>
      </w:pPr>
      <w:r>
        <w:rPr>
          <w:rFonts w:hint="eastAsia" w:ascii="宋体" w:hAnsi="宋体" w:cs="仿宋_GB2312"/>
          <w:sz w:val="21"/>
          <w:szCs w:val="21"/>
          <w:lang w:val="zh-CN"/>
        </w:rPr>
        <w:t>按照《财政部、发展改革委、生态环境部、市场监管总局关于调整优化节能产品、环境标志产品政府采购执行机制的通知》（财库〔</w:t>
      </w:r>
      <w:r>
        <w:rPr>
          <w:rFonts w:ascii="宋体" w:hAnsi="宋体" w:cs="仿宋_GB2312"/>
          <w:sz w:val="21"/>
          <w:szCs w:val="21"/>
          <w:lang w:val="zh-CN"/>
        </w:rPr>
        <w:t>2019</w:t>
      </w:r>
      <w:r>
        <w:rPr>
          <w:rFonts w:hint="eastAsia" w:ascii="宋体" w:hAnsi="宋体" w:cs="仿宋_GB2312"/>
          <w:sz w:val="21"/>
          <w:szCs w:val="21"/>
          <w:lang w:val="zh-CN"/>
        </w:rPr>
        <w:t>〕</w:t>
      </w:r>
      <w:r>
        <w:rPr>
          <w:rFonts w:ascii="宋体" w:hAnsi="宋体" w:cs="仿宋_GB2312"/>
          <w:sz w:val="21"/>
          <w:szCs w:val="21"/>
          <w:lang w:val="zh-CN"/>
        </w:rPr>
        <w:t>9</w:t>
      </w:r>
      <w:r>
        <w:rPr>
          <w:rFonts w:hint="eastAsia" w:ascii="宋体" w:hAnsi="宋体" w:cs="仿宋_GB2312"/>
          <w:sz w:val="21"/>
          <w:szCs w:val="21"/>
          <w:lang w:val="zh-CN"/>
        </w:rPr>
        <w:t>号）和</w:t>
      </w:r>
      <w:r>
        <w:rPr>
          <w:rFonts w:hint="eastAsia" w:ascii="宋体" w:hAnsi="宋体" w:cs="仿宋_GB2312"/>
          <w:sz w:val="21"/>
          <w:szCs w:val="21"/>
        </w:rPr>
        <w:t>财政部、生态环境部</w:t>
      </w:r>
      <w:r>
        <w:rPr>
          <w:rFonts w:hint="eastAsia" w:ascii="宋体" w:hAnsi="宋体" w:cs="仿宋_GB2312"/>
          <w:sz w:val="21"/>
          <w:szCs w:val="21"/>
          <w:lang w:val="zh-CN"/>
        </w:rPr>
        <w:t>《关于印发环境标志产品政府采购品目清单的通知》</w:t>
      </w:r>
      <w:r>
        <w:rPr>
          <w:rFonts w:hint="eastAsia" w:ascii="宋体" w:hAnsi="宋体" w:cs="仿宋_GB2312"/>
          <w:sz w:val="21"/>
          <w:szCs w:val="21"/>
        </w:rPr>
        <w:t>（财库</w:t>
      </w:r>
      <w:r>
        <w:rPr>
          <w:rFonts w:ascii="宋体" w:hAnsi="宋体" w:cs="仿宋_GB2312"/>
          <w:sz w:val="21"/>
          <w:szCs w:val="21"/>
        </w:rPr>
        <w:t>[2019]18</w:t>
      </w:r>
      <w:r>
        <w:rPr>
          <w:rFonts w:hint="eastAsia" w:ascii="宋体" w:hAnsi="宋体" w:cs="仿宋_GB2312"/>
          <w:sz w:val="21"/>
          <w:szCs w:val="21"/>
        </w:rPr>
        <w:t>号）以及</w:t>
      </w:r>
      <w:r>
        <w:rPr>
          <w:rFonts w:hint="eastAsia" w:ascii="宋体" w:hAnsi="宋体" w:cs="仿宋_GB2312"/>
          <w:sz w:val="21"/>
          <w:szCs w:val="21"/>
          <w:lang w:val="zh-CN"/>
        </w:rPr>
        <w:t>财政部、发展改革委</w:t>
      </w:r>
      <w:r>
        <w:rPr>
          <w:rFonts w:hint="eastAsia" w:ascii="宋体" w:hAnsi="宋体" w:cs="仿宋_GB2312"/>
          <w:sz w:val="21"/>
          <w:szCs w:val="21"/>
        </w:rPr>
        <w:t>《关于印发节能产品政府采购品目清单的通知》（财库</w:t>
      </w:r>
      <w:r>
        <w:rPr>
          <w:rFonts w:ascii="宋体" w:hAnsi="宋体" w:cs="仿宋_GB2312"/>
          <w:sz w:val="21"/>
          <w:szCs w:val="21"/>
        </w:rPr>
        <w:t>[2019]19</w:t>
      </w:r>
      <w:r>
        <w:rPr>
          <w:rFonts w:hint="eastAsia" w:ascii="宋体" w:hAnsi="宋体" w:cs="仿宋_GB2312"/>
          <w:sz w:val="21"/>
          <w:szCs w:val="21"/>
        </w:rPr>
        <w:t>号）</w:t>
      </w:r>
      <w:r>
        <w:rPr>
          <w:rFonts w:hint="eastAsia" w:ascii="宋体" w:hAnsi="宋体" w:cs="仿宋_GB2312"/>
          <w:sz w:val="21"/>
          <w:szCs w:val="21"/>
          <w:lang w:val="zh-CN"/>
        </w:rPr>
        <w:t>，</w:t>
      </w:r>
      <w:r>
        <w:rPr>
          <w:rFonts w:hint="eastAsia" w:ascii="宋体" w:hAnsi="宋体" w:cs="仿宋_GB2312"/>
          <w:sz w:val="21"/>
          <w:szCs w:val="21"/>
        </w:rPr>
        <w:t>采购属于政府强</w:t>
      </w:r>
      <w:r>
        <w:rPr>
          <w:rFonts w:hint="eastAsia" w:ascii="宋体" w:hAnsi="宋体" w:cs="仿宋_GB2312"/>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pStyle w:val="16"/>
        <w:spacing w:line="360" w:lineRule="auto"/>
        <w:ind w:firstLine="422" w:firstLineChars="200"/>
        <w:contextualSpacing/>
        <w:rPr>
          <w:rFonts w:ascii="宋体" w:cs="仿宋_GB2312"/>
          <w:b/>
          <w:sz w:val="21"/>
          <w:szCs w:val="21"/>
          <w:lang w:val="zh-CN"/>
        </w:rPr>
      </w:pPr>
      <w:r>
        <w:rPr>
          <w:rFonts w:hint="eastAsia" w:ascii="宋体" w:hAnsi="宋体" w:cs="仿宋_GB2312"/>
          <w:b/>
          <w:sz w:val="21"/>
          <w:szCs w:val="21"/>
          <w:lang w:val="zh-CN"/>
        </w:rPr>
        <w:t>二、促进中小企业发展（不含民办非企业）</w:t>
      </w:r>
    </w:p>
    <w:p>
      <w:pPr>
        <w:topLinePunct/>
        <w:spacing w:line="360" w:lineRule="auto"/>
        <w:ind w:firstLine="420" w:firstLineChars="200"/>
        <w:contextualSpacing/>
        <w:rPr>
          <w:rFonts w:ascii="宋体" w:cs="仿宋_GB2312"/>
          <w:szCs w:val="21"/>
          <w:lang w:val="zh-CN"/>
        </w:rPr>
      </w:pPr>
      <w:r>
        <w:rPr>
          <w:rFonts w:ascii="宋体" w:hAnsi="宋体" w:cs="仿宋_GB2312"/>
          <w:szCs w:val="21"/>
          <w:lang w:val="zh-CN"/>
        </w:rPr>
        <w:t>1</w:t>
      </w:r>
      <w:r>
        <w:rPr>
          <w:rFonts w:hint="eastAsia" w:ascii="宋体" w:hAnsi="宋体" w:cs="仿宋_GB2312"/>
          <w:szCs w:val="21"/>
          <w:lang w:val="zh-CN"/>
        </w:rPr>
        <w:t>、根据财政部、工业和信息化部发布的《政府采购促进中小企业发展暂行办法》（财库</w:t>
      </w:r>
      <w:r>
        <w:rPr>
          <w:rFonts w:ascii="宋体" w:hAnsi="宋体" w:cs="仿宋_GB2312"/>
          <w:szCs w:val="21"/>
          <w:lang w:val="zh-CN"/>
        </w:rPr>
        <w:t>[2011]181</w:t>
      </w:r>
      <w:r>
        <w:rPr>
          <w:rFonts w:hint="eastAsia" w:ascii="宋体" w:hAnsi="宋体" w:cs="仿宋_GB2312"/>
          <w:szCs w:val="21"/>
          <w:lang w:val="zh-CN"/>
        </w:rPr>
        <w:t>号）规定，本项目为非专门面向中小企业采购的项目，对小型和微型企业产品的价格给予</w:t>
      </w:r>
      <w:r>
        <w:rPr>
          <w:rFonts w:ascii="宋体" w:hAnsi="宋体" w:cs="仿宋_GB2312"/>
          <w:szCs w:val="21"/>
          <w:lang w:val="zh-CN"/>
        </w:rPr>
        <w:t>6%-10%</w:t>
      </w:r>
      <w:r>
        <w:rPr>
          <w:rFonts w:hint="eastAsia" w:ascii="宋体" w:hAnsi="宋体" w:cs="仿宋_GB2312"/>
          <w:szCs w:val="21"/>
          <w:lang w:val="zh-CN"/>
        </w:rPr>
        <w:t>的扣除，用扣除后的价格参与评审。</w:t>
      </w:r>
    </w:p>
    <w:p>
      <w:pPr>
        <w:spacing w:line="360" w:lineRule="auto"/>
        <w:ind w:firstLine="420" w:firstLineChars="200"/>
        <w:contextualSpacing/>
        <w:rPr>
          <w:rFonts w:ascii="宋体" w:cs="仿宋_GB2312"/>
          <w:szCs w:val="21"/>
          <w:lang w:val="zh-CN"/>
        </w:rPr>
      </w:pPr>
      <w:r>
        <w:rPr>
          <w:rFonts w:ascii="宋体" w:hAnsi="宋体" w:cs="仿宋_GB2312"/>
          <w:szCs w:val="21"/>
          <w:lang w:val="zh-CN"/>
        </w:rPr>
        <w:t>2</w:t>
      </w:r>
      <w:r>
        <w:rPr>
          <w:rFonts w:hint="eastAsia" w:ascii="宋体" w:hAnsi="宋体" w:cs="仿宋_GB2312"/>
          <w:szCs w:val="21"/>
          <w:lang w:val="zh-CN"/>
        </w:rPr>
        <w:t>、如果本项目为非专门面向中小企业采购且接受联合体投标，联合协议中约定小型或微型企业的协议合同金额占到联合体协议合同总金额</w:t>
      </w:r>
      <w:r>
        <w:rPr>
          <w:rFonts w:ascii="宋体" w:hAnsi="宋体" w:cs="仿宋_GB2312"/>
          <w:szCs w:val="21"/>
          <w:lang w:val="zh-CN"/>
        </w:rPr>
        <w:t>30%</w:t>
      </w:r>
      <w:r>
        <w:rPr>
          <w:rFonts w:hint="eastAsia" w:ascii="宋体" w:hAnsi="宋体" w:cs="仿宋_GB2312"/>
          <w:szCs w:val="21"/>
          <w:lang w:val="zh-CN"/>
        </w:rPr>
        <w:t>以上的，给予联合体</w:t>
      </w:r>
      <w:r>
        <w:rPr>
          <w:rFonts w:ascii="宋体" w:hAnsi="宋体" w:cs="仿宋_GB2312"/>
          <w:szCs w:val="21"/>
          <w:lang w:val="zh-CN"/>
        </w:rPr>
        <w:t>2%-3%</w:t>
      </w:r>
      <w:r>
        <w:rPr>
          <w:rFonts w:hint="eastAsia" w:ascii="宋体" w:hAnsi="宋体" w:cs="仿宋_GB2312"/>
          <w:szCs w:val="21"/>
          <w:lang w:val="zh-CN"/>
        </w:rPr>
        <w:t>的价格扣除，用扣除后的价格参与评审。</w:t>
      </w:r>
    </w:p>
    <w:p>
      <w:pPr>
        <w:topLinePunct/>
        <w:spacing w:line="360" w:lineRule="auto"/>
        <w:ind w:firstLine="420" w:firstLineChars="200"/>
        <w:contextualSpacing/>
        <w:rPr>
          <w:rFonts w:ascii="宋体" w:cs="仿宋_GB2312"/>
          <w:szCs w:val="21"/>
          <w:lang w:val="zh-CN"/>
        </w:rPr>
      </w:pPr>
      <w:r>
        <w:rPr>
          <w:rFonts w:ascii="宋体" w:hAnsi="宋体" w:cs="仿宋_GB2312"/>
          <w:szCs w:val="21"/>
          <w:lang w:val="zh-CN"/>
        </w:rPr>
        <w:t>3</w:t>
      </w:r>
      <w:r>
        <w:rPr>
          <w:rFonts w:hint="eastAsia" w:ascii="宋体" w:hAnsi="宋体" w:cs="仿宋_GB2312"/>
          <w:szCs w:val="21"/>
          <w:lang w:val="zh-CN"/>
        </w:rPr>
        <w:t>、联合体各方均为小型或微型企业的，联合体视同为小型、微型企业。组成联合体的大中型企业或者其他自然人、法人或其他组织，与小型、微型企业之间不得存在投资关系。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ascii="宋体" w:cs="仿宋_GB2312"/>
          <w:szCs w:val="21"/>
          <w:lang w:val="zh-CN"/>
        </w:rPr>
      </w:pPr>
      <w:r>
        <w:rPr>
          <w:rFonts w:ascii="宋体" w:hAnsi="宋体" w:cs="仿宋_GB2312"/>
          <w:szCs w:val="21"/>
          <w:lang w:val="zh-CN"/>
        </w:rPr>
        <w:t>4</w:t>
      </w:r>
      <w:r>
        <w:rPr>
          <w:rFonts w:hint="eastAsia" w:ascii="宋体" w:hAnsi="宋体" w:cs="仿宋_GB2312"/>
          <w:szCs w:val="21"/>
          <w:lang w:val="zh-CN"/>
        </w:rPr>
        <w:t>、中小企业投标应提供《中小企业声明函》，如为联合投标的，联合体各方需分别填写《中小企业声明函》。</w:t>
      </w:r>
    </w:p>
    <w:p>
      <w:pPr>
        <w:topLinePunct/>
        <w:spacing w:line="360" w:lineRule="auto"/>
        <w:ind w:firstLine="422" w:firstLineChars="200"/>
        <w:contextualSpacing/>
        <w:rPr>
          <w:rFonts w:ascii="宋体" w:cs="仿宋_GB2312"/>
          <w:b/>
          <w:szCs w:val="21"/>
          <w:lang w:val="zh-CN"/>
        </w:rPr>
      </w:pPr>
      <w:r>
        <w:rPr>
          <w:rFonts w:hint="eastAsia" w:ascii="宋体" w:hAnsi="宋体" w:cs="仿宋_GB2312"/>
          <w:b/>
          <w:szCs w:val="21"/>
          <w:lang w:val="zh-CN"/>
        </w:rPr>
        <w:t>三、支持监狱企业发展</w:t>
      </w:r>
    </w:p>
    <w:p>
      <w:pPr>
        <w:spacing w:line="360" w:lineRule="auto"/>
        <w:ind w:firstLine="420" w:firstLineChars="200"/>
        <w:contextualSpacing/>
        <w:rPr>
          <w:rFonts w:ascii="宋体" w:cs="仿宋_GB2312"/>
          <w:szCs w:val="21"/>
          <w:lang w:val="zh-CN"/>
        </w:rPr>
      </w:pPr>
      <w:r>
        <w:rPr>
          <w:rFonts w:hint="eastAsia" w:ascii="宋体" w:hAnsi="宋体" w:cs="仿宋_GB2312"/>
          <w:szCs w:val="21"/>
          <w:lang w:val="zh-CN"/>
        </w:rPr>
        <w:t>按照财政部、司法部发布的《关于政府采购支持监狱企业发展有关问题的通知》（</w:t>
      </w:r>
      <w:bookmarkStart w:id="11" w:name="OLE_LINK6"/>
      <w:r>
        <w:rPr>
          <w:rFonts w:hint="eastAsia" w:ascii="宋体" w:hAnsi="宋体" w:cs="仿宋_GB2312"/>
          <w:szCs w:val="21"/>
          <w:lang w:val="zh-CN"/>
        </w:rPr>
        <w:t>财库</w:t>
      </w:r>
      <w:r>
        <w:rPr>
          <w:rFonts w:ascii="宋体" w:hAnsi="宋体" w:cs="仿宋_GB2312"/>
          <w:szCs w:val="21"/>
          <w:lang w:val="zh-CN"/>
        </w:rPr>
        <w:t>[2014]68</w:t>
      </w:r>
      <w:r>
        <w:rPr>
          <w:rFonts w:hint="eastAsia" w:ascii="宋体" w:hAnsi="宋体" w:cs="仿宋_GB2312"/>
          <w:szCs w:val="21"/>
          <w:lang w:val="zh-CN"/>
        </w:rPr>
        <w:t>号</w:t>
      </w:r>
      <w:bookmarkEnd w:id="11"/>
      <w:r>
        <w:rPr>
          <w:rFonts w:hint="eastAsia" w:ascii="宋体" w:hAnsi="宋体" w:cs="仿宋_GB2312"/>
          <w:szCs w:val="21"/>
          <w:lang w:val="zh-CN"/>
        </w:rPr>
        <w:t>）规定，在政府采购活动中，监狱企业视同小型、微型企业，享受评审中价格扣除的政府采购政策，用扣除后的价格参与评审。监狱企业应当提供由省级以上监狱管理局、戒毒管理局</w:t>
      </w:r>
      <w:r>
        <w:rPr>
          <w:rFonts w:ascii="宋体" w:hAnsi="宋体" w:cs="仿宋_GB2312"/>
          <w:szCs w:val="21"/>
          <w:lang w:val="zh-CN"/>
        </w:rPr>
        <w:t>(</w:t>
      </w:r>
      <w:r>
        <w:rPr>
          <w:rFonts w:hint="eastAsia" w:ascii="宋体" w:hAnsi="宋体" w:cs="仿宋_GB2312"/>
          <w:szCs w:val="21"/>
          <w:lang w:val="zh-CN"/>
        </w:rPr>
        <w:t>含新疆生产建设兵团</w:t>
      </w:r>
      <w:r>
        <w:rPr>
          <w:rFonts w:ascii="宋体" w:hAnsi="宋体" w:cs="仿宋_GB2312"/>
          <w:szCs w:val="21"/>
          <w:lang w:val="zh-CN"/>
        </w:rPr>
        <w:t>)</w:t>
      </w:r>
      <w:r>
        <w:rPr>
          <w:rFonts w:hint="eastAsia" w:ascii="宋体" w:hAnsi="宋体" w:cs="仿宋_GB2312"/>
          <w:szCs w:val="21"/>
          <w:lang w:val="zh-CN"/>
        </w:rPr>
        <w:t>出具的属于监狱企业的证明文件。</w:t>
      </w:r>
    </w:p>
    <w:p>
      <w:pPr>
        <w:spacing w:line="360" w:lineRule="auto"/>
        <w:ind w:firstLine="422" w:firstLineChars="200"/>
        <w:contextualSpacing/>
        <w:rPr>
          <w:rFonts w:ascii="宋体" w:cs="仿宋_GB2312"/>
          <w:b/>
          <w:szCs w:val="21"/>
          <w:lang w:val="zh-CN"/>
        </w:rPr>
      </w:pPr>
      <w:r>
        <w:rPr>
          <w:rFonts w:hint="eastAsia" w:ascii="宋体" w:hAnsi="宋体" w:cs="仿宋_GB2312"/>
          <w:b/>
          <w:szCs w:val="21"/>
          <w:lang w:val="zh-CN"/>
        </w:rPr>
        <w:t>四、促进残疾人就业</w:t>
      </w:r>
    </w:p>
    <w:p>
      <w:pPr>
        <w:pStyle w:val="16"/>
        <w:spacing w:line="360" w:lineRule="auto"/>
        <w:ind w:firstLine="420" w:firstLineChars="200"/>
        <w:contextualSpacing/>
        <w:rPr>
          <w:rFonts w:ascii="宋体" w:cs="仿宋_GB2312"/>
          <w:sz w:val="21"/>
          <w:szCs w:val="21"/>
          <w:lang w:val="zh-CN"/>
        </w:rPr>
      </w:pPr>
      <w:r>
        <w:rPr>
          <w:rFonts w:ascii="宋体" w:hAnsi="宋体" w:cs="仿宋_GB2312"/>
          <w:sz w:val="21"/>
          <w:szCs w:val="21"/>
          <w:lang w:val="zh-CN"/>
        </w:rPr>
        <w:t>1</w:t>
      </w:r>
      <w:r>
        <w:rPr>
          <w:rFonts w:hint="eastAsia" w:ascii="宋体" w:hAnsi="宋体" w:cs="仿宋_GB2312"/>
          <w:sz w:val="21"/>
          <w:szCs w:val="21"/>
          <w:lang w:val="zh-CN"/>
        </w:rPr>
        <w:t>、按照财政部、民政部、中国残疾人联合会和残疾人发布的《三部门联合发布关于促进残疾人就业政府采购政策的通知》（财库</w:t>
      </w:r>
      <w:r>
        <w:rPr>
          <w:rFonts w:ascii="宋体" w:hAnsi="宋体" w:cs="仿宋_GB2312"/>
          <w:sz w:val="21"/>
          <w:szCs w:val="21"/>
          <w:lang w:val="zh-CN"/>
        </w:rPr>
        <w:t>[2017]141</w:t>
      </w:r>
      <w:r>
        <w:rPr>
          <w:rFonts w:hint="eastAsia" w:ascii="宋体" w:hAnsi="宋体" w:cs="仿宋_GB2312"/>
          <w:sz w:val="21"/>
          <w:szCs w:val="21"/>
          <w:lang w:val="zh-CN"/>
        </w:rPr>
        <w:t>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宋体" w:hAnsi="宋体"/>
          <w:color w:val="000000"/>
          <w:sz w:val="21"/>
          <w:szCs w:val="21"/>
        </w:rPr>
        <w:t>残疾人福利性单位属于小型、微型企业的，不重复享受政策。</w:t>
      </w:r>
    </w:p>
    <w:p>
      <w:pPr>
        <w:pStyle w:val="16"/>
        <w:spacing w:line="360" w:lineRule="auto"/>
        <w:ind w:firstLine="420" w:firstLineChars="200"/>
        <w:contextualSpacing/>
        <w:rPr>
          <w:rFonts w:ascii="宋体" w:cs="仿宋_GB2312"/>
          <w:sz w:val="21"/>
          <w:szCs w:val="21"/>
          <w:lang w:val="zh-CN"/>
        </w:rPr>
      </w:pPr>
      <w:r>
        <w:rPr>
          <w:rFonts w:ascii="宋体" w:hAnsi="宋体" w:cs="仿宋_GB2312"/>
          <w:sz w:val="21"/>
          <w:szCs w:val="21"/>
          <w:lang w:val="zh-CN"/>
        </w:rPr>
        <w:t>2</w:t>
      </w:r>
      <w:r>
        <w:rPr>
          <w:rFonts w:hint="eastAsia" w:ascii="宋体" w:hAnsi="宋体" w:cs="仿宋_GB2312"/>
          <w:sz w:val="21"/>
          <w:szCs w:val="21"/>
          <w:lang w:val="zh-CN"/>
        </w:rPr>
        <w:t>、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6"/>
        <w:spacing w:line="360" w:lineRule="auto"/>
        <w:ind w:firstLine="420" w:firstLineChars="200"/>
        <w:contextualSpacing/>
        <w:rPr>
          <w:rFonts w:ascii="宋体" w:cs="仿宋_GB2312"/>
          <w:szCs w:val="24"/>
          <w:lang w:val="zh-CN"/>
        </w:rPr>
      </w:pPr>
      <w:r>
        <w:rPr>
          <w:rFonts w:ascii="宋体" w:hAnsi="宋体" w:cs="仿宋_GB2312"/>
          <w:sz w:val="21"/>
          <w:szCs w:val="21"/>
          <w:lang w:val="zh-CN"/>
        </w:rPr>
        <w:t>3</w:t>
      </w:r>
      <w:r>
        <w:rPr>
          <w:rFonts w:hint="eastAsia" w:ascii="宋体" w:hAnsi="宋体" w:cs="仿宋_GB2312"/>
          <w:sz w:val="21"/>
          <w:szCs w:val="21"/>
          <w:lang w:val="zh-CN"/>
        </w:rPr>
        <w:t>、中标人为残疾人福利性单位的，采购人应当随中标结果同时公告其《残疾人福利性单位声明函》，接受社会监督。</w:t>
      </w:r>
    </w:p>
    <w:p>
      <w:pPr>
        <w:spacing w:line="360" w:lineRule="auto"/>
        <w:ind w:firstLine="422" w:firstLineChars="200"/>
        <w:contextualSpacing/>
        <w:rPr>
          <w:rFonts w:ascii="宋体" w:cs="仿宋_GB2312"/>
          <w:b/>
          <w:szCs w:val="21"/>
          <w:lang w:val="zh-CN"/>
        </w:rPr>
      </w:pPr>
      <w:r>
        <w:rPr>
          <w:rFonts w:hint="eastAsia" w:ascii="宋体" w:hAnsi="宋体" w:cs="仿宋_GB2312"/>
          <w:b/>
          <w:szCs w:val="21"/>
          <w:lang w:val="zh-CN"/>
        </w:rPr>
        <w:t>五、支持脱贫攻坚（物业服务采购）</w:t>
      </w:r>
    </w:p>
    <w:p>
      <w:pPr>
        <w:topLinePunct/>
        <w:spacing w:line="360" w:lineRule="auto"/>
        <w:ind w:firstLine="420" w:firstLineChars="200"/>
        <w:contextualSpacing/>
        <w:rPr>
          <w:rFonts w:ascii="宋体" w:cs="仿宋_GB2312"/>
          <w:szCs w:val="21"/>
          <w:lang w:val="zh-CN"/>
        </w:rPr>
      </w:pPr>
      <w:r>
        <w:rPr>
          <w:rFonts w:ascii="宋体" w:hAnsi="宋体" w:cs="仿宋_GB2312"/>
          <w:szCs w:val="21"/>
          <w:lang w:val="zh-CN"/>
        </w:rPr>
        <w:t>1</w:t>
      </w:r>
      <w:r>
        <w:rPr>
          <w:rFonts w:hint="eastAsia" w:ascii="宋体" w:hAnsi="宋体" w:cs="仿宋_GB2312"/>
          <w:szCs w:val="21"/>
          <w:lang w:val="zh-CN"/>
        </w:rPr>
        <w:t>、根据《财政部国务院扶贫办关于运用政府采购政策支持脱贫攻坚的通知》财库〔</w:t>
      </w:r>
      <w:r>
        <w:rPr>
          <w:rFonts w:ascii="宋体" w:hAnsi="宋体" w:cs="仿宋_GB2312"/>
          <w:szCs w:val="21"/>
          <w:lang w:val="zh-CN"/>
        </w:rPr>
        <w:t>2019</w:t>
      </w:r>
      <w:r>
        <w:rPr>
          <w:rFonts w:hint="eastAsia" w:ascii="宋体" w:hAnsi="宋体" w:cs="仿宋_GB2312"/>
          <w:szCs w:val="21"/>
          <w:lang w:val="zh-CN"/>
        </w:rPr>
        <w:t>〕</w:t>
      </w:r>
      <w:r>
        <w:rPr>
          <w:rFonts w:ascii="宋体" w:hAnsi="宋体" w:cs="仿宋_GB2312"/>
          <w:szCs w:val="21"/>
          <w:lang w:val="zh-CN"/>
        </w:rPr>
        <w:t>27</w:t>
      </w:r>
      <w:r>
        <w:rPr>
          <w:rFonts w:hint="eastAsia" w:ascii="宋体" w:hAnsi="宋体" w:cs="仿宋_GB2312"/>
          <w:szCs w:val="21"/>
          <w:lang w:val="zh-CN"/>
        </w:rPr>
        <w:t>号有关要求，鼓励优先采购聘用建档立卡贫困人员物业公司提供的物业服务。各级预算单位使用财政性资金采购物业服务的，有条件的应当优先采购注册地在</w:t>
      </w:r>
      <w:r>
        <w:rPr>
          <w:rFonts w:ascii="宋体" w:hAnsi="宋体" w:cs="仿宋_GB2312"/>
          <w:szCs w:val="21"/>
          <w:lang w:val="zh-CN"/>
        </w:rPr>
        <w:t>832</w:t>
      </w:r>
      <w:r>
        <w:rPr>
          <w:rFonts w:hint="eastAsia" w:ascii="宋体" w:hAnsi="宋体" w:cs="仿宋_GB2312"/>
          <w:szCs w:val="21"/>
          <w:lang w:val="zh-CN"/>
        </w:rPr>
        <w:t>个国家级贫困县域内，且聘用建档立卡贫困人员物业公司提供的物业服务。</w:t>
      </w:r>
    </w:p>
    <w:p>
      <w:pPr>
        <w:topLinePunct/>
        <w:spacing w:line="360" w:lineRule="auto"/>
        <w:ind w:firstLine="420" w:firstLineChars="200"/>
        <w:contextualSpacing/>
        <w:rPr>
          <w:rFonts w:ascii="宋体" w:cs="仿宋_GB2312"/>
          <w:szCs w:val="21"/>
          <w:lang w:val="zh-CN"/>
        </w:rPr>
      </w:pPr>
      <w:r>
        <w:rPr>
          <w:rFonts w:ascii="宋体" w:hAnsi="宋体" w:cs="仿宋_GB2312"/>
          <w:szCs w:val="21"/>
          <w:lang w:val="zh-CN"/>
        </w:rPr>
        <w:t>2</w:t>
      </w:r>
      <w:r>
        <w:rPr>
          <w:rFonts w:hint="eastAsia" w:ascii="宋体" w:hAnsi="宋体" w:cs="仿宋_GB2312"/>
          <w:szCs w:val="21"/>
          <w:lang w:val="zh-CN"/>
        </w:rPr>
        <w:t>、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topLinePunct/>
        <w:spacing w:line="360" w:lineRule="auto"/>
        <w:ind w:firstLine="420" w:firstLineChars="200"/>
        <w:contextualSpacing/>
        <w:rPr>
          <w:rFonts w:ascii="宋体" w:cs="仿宋_GB2312"/>
          <w:szCs w:val="21"/>
          <w:lang w:val="zh-CN"/>
        </w:rPr>
      </w:pPr>
    </w:p>
    <w:p>
      <w:pPr>
        <w:pStyle w:val="16"/>
        <w:spacing w:line="360" w:lineRule="auto"/>
        <w:ind w:left="282" w:hanging="282" w:hangingChars="78"/>
        <w:contextualSpacing/>
        <w:jc w:val="center"/>
        <w:rPr>
          <w:rFonts w:ascii="宋体" w:cs="宋体"/>
          <w:b/>
          <w:kern w:val="0"/>
          <w:sz w:val="36"/>
          <w:szCs w:val="36"/>
        </w:rPr>
      </w:pPr>
    </w:p>
    <w:p>
      <w:pPr>
        <w:tabs>
          <w:tab w:val="left" w:pos="1260"/>
        </w:tabs>
        <w:autoSpaceDE w:val="0"/>
        <w:autoSpaceDN w:val="0"/>
        <w:adjustRightInd w:val="0"/>
        <w:spacing w:line="360" w:lineRule="auto"/>
        <w:contextualSpacing/>
        <w:jc w:val="center"/>
        <w:rPr>
          <w:rFonts w:ascii="宋体" w:cs="宋体"/>
          <w:b/>
          <w:kern w:val="0"/>
          <w:sz w:val="32"/>
          <w:szCs w:val="32"/>
        </w:rPr>
      </w:pPr>
      <w:r>
        <w:rPr>
          <w:rFonts w:hint="eastAsia" w:ascii="宋体" w:hAnsi="宋体" w:cs="宋体"/>
          <w:b/>
          <w:kern w:val="0"/>
          <w:sz w:val="32"/>
          <w:szCs w:val="32"/>
        </w:rPr>
        <w:t>第六章</w:t>
      </w:r>
      <w:r>
        <w:rPr>
          <w:rFonts w:ascii="宋体" w:hAnsi="宋体" w:cs="宋体"/>
          <w:b/>
          <w:kern w:val="0"/>
          <w:sz w:val="32"/>
          <w:szCs w:val="32"/>
        </w:rPr>
        <w:t xml:space="preserve"> </w:t>
      </w:r>
      <w:r>
        <w:rPr>
          <w:rFonts w:hint="eastAsia" w:ascii="宋体" w:hAnsi="宋体" w:cs="宋体"/>
          <w:b/>
          <w:kern w:val="0"/>
          <w:sz w:val="32"/>
          <w:szCs w:val="32"/>
        </w:rPr>
        <w:t>资格审查与评标</w:t>
      </w:r>
    </w:p>
    <w:p>
      <w:pPr>
        <w:pStyle w:val="16"/>
        <w:spacing w:line="360" w:lineRule="auto"/>
        <w:contextualSpacing/>
        <w:rPr>
          <w:rFonts w:ascii="宋体"/>
          <w:bCs/>
          <w:sz w:val="21"/>
          <w:szCs w:val="21"/>
        </w:rPr>
      </w:pPr>
      <w:r>
        <w:rPr>
          <w:rFonts w:hint="eastAsia" w:ascii="宋体" w:hAnsi="宋体" w:cs="仿宋_GB2312"/>
          <w:b/>
          <w:sz w:val="21"/>
          <w:szCs w:val="21"/>
          <w:lang w:val="zh-CN"/>
        </w:rPr>
        <w:t>一、资格审查</w:t>
      </w:r>
    </w:p>
    <w:p>
      <w:pPr>
        <w:spacing w:line="360" w:lineRule="auto"/>
        <w:ind w:right="420" w:rightChars="200" w:firstLine="420" w:firstLineChars="200"/>
        <w:contextualSpacing/>
        <w:rPr>
          <w:rFonts w:ascii="宋体"/>
          <w:bCs/>
          <w:szCs w:val="21"/>
        </w:rPr>
      </w:pPr>
      <w:r>
        <w:rPr>
          <w:rFonts w:hint="eastAsia" w:ascii="宋体" w:hAnsi="宋体"/>
          <w:bCs/>
          <w:szCs w:val="21"/>
        </w:rPr>
        <w:t>（一）开标结束后，采购人依法对投标人资格进行审查。确定符合资格的投标人不少于</w:t>
      </w:r>
      <w:r>
        <w:rPr>
          <w:rFonts w:ascii="宋体" w:hAnsi="宋体"/>
          <w:bCs/>
          <w:szCs w:val="21"/>
        </w:rPr>
        <w:t>3</w:t>
      </w:r>
      <w:r>
        <w:rPr>
          <w:rFonts w:hint="eastAsia" w:ascii="宋体" w:hAnsi="宋体"/>
          <w:bCs/>
          <w:szCs w:val="21"/>
        </w:rPr>
        <w:t>家的，将组织评标委员会进行评标。</w:t>
      </w:r>
    </w:p>
    <w:p>
      <w:pPr>
        <w:spacing w:line="360" w:lineRule="auto"/>
        <w:ind w:right="420" w:rightChars="200" w:firstLine="420" w:firstLineChars="200"/>
        <w:contextualSpacing/>
        <w:rPr>
          <w:rFonts w:ascii="宋体" w:cs="仿宋_GB2312"/>
          <w:szCs w:val="21"/>
          <w:lang w:val="zh-CN"/>
        </w:rPr>
      </w:pPr>
      <w:r>
        <w:rPr>
          <w:rFonts w:hint="eastAsia" w:ascii="宋体" w:hAnsi="宋体" w:cs="仿宋_GB2312"/>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ascii="宋体" w:cs="仿宋_GB2312"/>
          <w:szCs w:val="21"/>
          <w:lang w:val="zh-CN"/>
        </w:rPr>
      </w:pPr>
      <w:r>
        <w:rPr>
          <w:rFonts w:hint="eastAsia" w:ascii="宋体" w:hAnsi="宋体" w:cs="仿宋_GB2312"/>
          <w:szCs w:val="21"/>
          <w:lang w:val="zh-CN"/>
        </w:rPr>
        <w:t>（三）资格审查中所涉及到的证书及材料，均须在电子投标文件中提供原件扫描件（或图片）。</w:t>
      </w:r>
    </w:p>
    <w:tbl>
      <w:tblPr>
        <w:tblStyle w:val="24"/>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宋体"/>
                <w:b/>
                <w:szCs w:val="21"/>
              </w:rPr>
            </w:pPr>
            <w:r>
              <w:rPr>
                <w:rFonts w:hint="eastAsia" w:ascii="宋体" w:hAnsi="宋体"/>
                <w:b/>
                <w:szCs w:val="21"/>
              </w:rPr>
              <w:t>序号</w:t>
            </w:r>
          </w:p>
        </w:tc>
        <w:tc>
          <w:tcPr>
            <w:tcW w:w="2410" w:type="dxa"/>
            <w:vAlign w:val="center"/>
          </w:tcPr>
          <w:p>
            <w:pPr>
              <w:spacing w:line="360" w:lineRule="auto"/>
              <w:jc w:val="center"/>
              <w:rPr>
                <w:rFonts w:ascii="宋体"/>
                <w:b/>
                <w:szCs w:val="21"/>
              </w:rPr>
            </w:pPr>
            <w:r>
              <w:rPr>
                <w:rFonts w:hint="eastAsia" w:ascii="宋体" w:hAnsi="宋体"/>
                <w:b/>
                <w:szCs w:val="21"/>
              </w:rPr>
              <w:t>资格审查因素</w:t>
            </w:r>
          </w:p>
        </w:tc>
        <w:tc>
          <w:tcPr>
            <w:tcW w:w="5954" w:type="dxa"/>
            <w:vAlign w:val="center"/>
          </w:tcPr>
          <w:p>
            <w:pPr>
              <w:spacing w:line="360" w:lineRule="auto"/>
              <w:jc w:val="center"/>
              <w:rPr>
                <w:rFonts w:ascii="宋体"/>
                <w:b/>
                <w:szCs w:val="21"/>
              </w:rPr>
            </w:pPr>
            <w:r>
              <w:rPr>
                <w:rFonts w:hint="eastAsia" w:ascii="宋体" w:hAnsi="宋体"/>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宋体" w:hAnsi="宋体"/>
                <w:b/>
                <w:szCs w:val="21"/>
              </w:rPr>
            </w:pPr>
            <w:r>
              <w:rPr>
                <w:rFonts w:ascii="宋体" w:hAnsi="宋体"/>
                <w:b/>
                <w:szCs w:val="21"/>
              </w:rPr>
              <w:t>1</w:t>
            </w:r>
          </w:p>
        </w:tc>
        <w:tc>
          <w:tcPr>
            <w:tcW w:w="2410" w:type="dxa"/>
            <w:vAlign w:val="center"/>
          </w:tcPr>
          <w:p>
            <w:pPr>
              <w:spacing w:line="360" w:lineRule="auto"/>
              <w:jc w:val="center"/>
              <w:rPr>
                <w:rFonts w:ascii="宋体"/>
                <w:b/>
                <w:szCs w:val="21"/>
              </w:rPr>
            </w:pPr>
            <w:r>
              <w:rPr>
                <w:rFonts w:hint="eastAsia" w:ascii="宋体" w:hAnsi="宋体"/>
                <w:b/>
                <w:szCs w:val="21"/>
              </w:rPr>
              <w:t>投标函</w:t>
            </w:r>
          </w:p>
        </w:tc>
        <w:tc>
          <w:tcPr>
            <w:tcW w:w="5954" w:type="dxa"/>
            <w:vAlign w:val="center"/>
          </w:tcPr>
          <w:p>
            <w:pPr>
              <w:spacing w:line="360" w:lineRule="auto"/>
              <w:rPr>
                <w:rFonts w:ascii="宋体"/>
                <w:b/>
                <w:szCs w:val="21"/>
              </w:rPr>
            </w:pPr>
            <w:r>
              <w:rPr>
                <w:rFonts w:hint="eastAsia" w:ascii="宋体" w:hAnsi="宋体" w:cs="微软雅黑"/>
                <w:bCs/>
                <w:szCs w:val="21"/>
              </w:rPr>
              <w:t>参考招标文件第八章</w:t>
            </w:r>
            <w:r>
              <w:rPr>
                <w:rFonts w:ascii="宋体" w:hAnsi="宋体" w:cs="微软雅黑"/>
                <w:bCs/>
                <w:szCs w:val="21"/>
              </w:rPr>
              <w:t>3.1</w:t>
            </w:r>
            <w:r>
              <w:rPr>
                <w:rFonts w:hint="eastAsia" w:ascii="宋体" w:hAnsi="宋体" w:cs="微软雅黑"/>
                <w:bCs/>
                <w:szCs w:val="21"/>
              </w:rPr>
              <w:t>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宋体" w:hAnsi="宋体"/>
                <w:b/>
                <w:bCs/>
                <w:szCs w:val="21"/>
              </w:rPr>
            </w:pPr>
            <w:r>
              <w:rPr>
                <w:rFonts w:ascii="宋体" w:hAnsi="宋体"/>
                <w:b/>
                <w:bCs/>
                <w:szCs w:val="21"/>
              </w:rPr>
              <w:t>2</w:t>
            </w:r>
          </w:p>
        </w:tc>
        <w:tc>
          <w:tcPr>
            <w:tcW w:w="2410" w:type="dxa"/>
            <w:vAlign w:val="center"/>
          </w:tcPr>
          <w:p>
            <w:pPr>
              <w:spacing w:line="360" w:lineRule="auto"/>
              <w:rPr>
                <w:rFonts w:ascii="宋体"/>
                <w:b/>
                <w:szCs w:val="21"/>
              </w:rPr>
            </w:pPr>
            <w:r>
              <w:rPr>
                <w:rFonts w:hint="eastAsia" w:ascii="宋体" w:hAnsi="宋体"/>
                <w:b/>
                <w:bCs/>
                <w:szCs w:val="21"/>
              </w:rPr>
              <w:t>法人或者其他组织的营业执照等证明文件，自然人的身份证明</w:t>
            </w:r>
          </w:p>
        </w:tc>
        <w:tc>
          <w:tcPr>
            <w:tcW w:w="5954" w:type="dxa"/>
            <w:vAlign w:val="center"/>
          </w:tcPr>
          <w:p>
            <w:pPr>
              <w:spacing w:line="360" w:lineRule="auto"/>
              <w:jc w:val="left"/>
              <w:rPr>
                <w:rFonts w:ascii="宋体"/>
                <w:bCs/>
                <w:szCs w:val="21"/>
              </w:rPr>
            </w:pPr>
            <w:r>
              <w:rPr>
                <w:rFonts w:hint="eastAsia" w:ascii="宋体" w:hAnsi="宋体"/>
                <w:bCs/>
                <w:szCs w:val="21"/>
              </w:rPr>
              <w:t>（</w:t>
            </w:r>
            <w:r>
              <w:rPr>
                <w:rFonts w:ascii="宋体" w:hAnsi="宋体"/>
                <w:bCs/>
                <w:szCs w:val="21"/>
              </w:rPr>
              <w:t>1</w:t>
            </w:r>
            <w:r>
              <w:rPr>
                <w:rFonts w:hint="eastAsia" w:ascii="宋体" w:hAnsi="宋体"/>
                <w:bCs/>
                <w:szCs w:val="21"/>
              </w:rPr>
              <w:t>）企业法人营业执照或营业执照。（企业投标提供）</w:t>
            </w:r>
          </w:p>
          <w:p>
            <w:pPr>
              <w:spacing w:line="360" w:lineRule="auto"/>
              <w:jc w:val="left"/>
              <w:rPr>
                <w:rFonts w:ascii="宋体"/>
                <w:bCs/>
                <w:szCs w:val="21"/>
              </w:rPr>
            </w:pPr>
            <w:r>
              <w:rPr>
                <w:rFonts w:hint="eastAsia" w:ascii="宋体" w:hAnsi="宋体"/>
                <w:bCs/>
                <w:szCs w:val="21"/>
              </w:rPr>
              <w:t>（</w:t>
            </w:r>
            <w:r>
              <w:rPr>
                <w:rFonts w:ascii="宋体" w:hAnsi="宋体"/>
                <w:bCs/>
                <w:szCs w:val="21"/>
              </w:rPr>
              <w:t>2</w:t>
            </w:r>
            <w:r>
              <w:rPr>
                <w:rFonts w:hint="eastAsia" w:ascii="宋体" w:hAnsi="宋体"/>
                <w:bCs/>
                <w:szCs w:val="21"/>
              </w:rPr>
              <w:t>）事业单位法人证书。（事业单位投标提供）</w:t>
            </w:r>
          </w:p>
          <w:p>
            <w:pPr>
              <w:spacing w:line="360" w:lineRule="auto"/>
              <w:jc w:val="left"/>
              <w:rPr>
                <w:rFonts w:ascii="宋体"/>
                <w:bCs/>
                <w:szCs w:val="21"/>
              </w:rPr>
            </w:pPr>
            <w:r>
              <w:rPr>
                <w:rFonts w:hint="eastAsia" w:ascii="宋体" w:hAnsi="宋体"/>
                <w:bCs/>
                <w:szCs w:val="21"/>
              </w:rPr>
              <w:t>（</w:t>
            </w:r>
            <w:r>
              <w:rPr>
                <w:rFonts w:ascii="宋体" w:hAnsi="宋体"/>
                <w:bCs/>
                <w:szCs w:val="21"/>
              </w:rPr>
              <w:t>3</w:t>
            </w:r>
            <w:r>
              <w:rPr>
                <w:rFonts w:hint="eastAsia" w:ascii="宋体" w:hAnsi="宋体"/>
                <w:bCs/>
                <w:szCs w:val="21"/>
              </w:rPr>
              <w:t>）执业许可证。（非企业专业服务机构投标提供）</w:t>
            </w:r>
          </w:p>
          <w:p>
            <w:pPr>
              <w:spacing w:line="360" w:lineRule="auto"/>
              <w:jc w:val="left"/>
              <w:rPr>
                <w:rFonts w:ascii="宋体"/>
                <w:bCs/>
                <w:szCs w:val="21"/>
              </w:rPr>
            </w:pPr>
            <w:r>
              <w:rPr>
                <w:rFonts w:hint="eastAsia" w:ascii="宋体" w:hAnsi="宋体"/>
                <w:bCs/>
                <w:szCs w:val="21"/>
              </w:rPr>
              <w:t>（</w:t>
            </w:r>
            <w:r>
              <w:rPr>
                <w:rFonts w:ascii="宋体" w:hAnsi="宋体"/>
                <w:bCs/>
                <w:szCs w:val="21"/>
              </w:rPr>
              <w:t>4</w:t>
            </w:r>
            <w:r>
              <w:rPr>
                <w:rFonts w:hint="eastAsia" w:ascii="宋体" w:hAnsi="宋体"/>
                <w:bCs/>
                <w:szCs w:val="21"/>
              </w:rPr>
              <w:t>）个体工商户营业执照。（个体工商户投标提供）</w:t>
            </w:r>
          </w:p>
          <w:p>
            <w:pPr>
              <w:spacing w:line="360" w:lineRule="auto"/>
              <w:jc w:val="left"/>
              <w:rPr>
                <w:rFonts w:ascii="宋体"/>
                <w:bCs/>
                <w:szCs w:val="21"/>
              </w:rPr>
            </w:pPr>
            <w:r>
              <w:rPr>
                <w:rFonts w:hint="eastAsia" w:ascii="宋体" w:hAnsi="宋体"/>
                <w:bCs/>
                <w:szCs w:val="21"/>
              </w:rPr>
              <w:t>（</w:t>
            </w:r>
            <w:r>
              <w:rPr>
                <w:rFonts w:ascii="宋体" w:hAnsi="宋体"/>
                <w:bCs/>
                <w:szCs w:val="21"/>
              </w:rPr>
              <w:t>5</w:t>
            </w:r>
            <w:r>
              <w:rPr>
                <w:rFonts w:hint="eastAsia" w:ascii="宋体" w:hAnsi="宋体"/>
                <w:bCs/>
                <w:szCs w:val="21"/>
              </w:rPr>
              <w:t>）自然人身份证明。（自然人投标提供）</w:t>
            </w:r>
          </w:p>
          <w:p>
            <w:pPr>
              <w:spacing w:line="360" w:lineRule="auto"/>
              <w:jc w:val="left"/>
              <w:rPr>
                <w:rFonts w:ascii="宋体"/>
                <w:b/>
                <w:bCs/>
                <w:szCs w:val="21"/>
              </w:rPr>
            </w:pPr>
            <w:r>
              <w:rPr>
                <w:rFonts w:hint="eastAsia" w:ascii="宋体" w:hAnsi="宋体"/>
                <w:bCs/>
                <w:szCs w:val="21"/>
              </w:rPr>
              <w:t>（</w:t>
            </w:r>
            <w:r>
              <w:rPr>
                <w:rFonts w:ascii="宋体" w:hAnsi="宋体"/>
                <w:bCs/>
                <w:szCs w:val="21"/>
              </w:rPr>
              <w:t>6</w:t>
            </w:r>
            <w:r>
              <w:rPr>
                <w:rFonts w:hint="eastAsia" w:ascii="宋体" w:hAnsi="宋体"/>
                <w:bCs/>
                <w:szCs w:val="21"/>
              </w:rPr>
              <w:t>）民办非企业单位登记证书。（民办非企业单位投标提供）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宋体" w:hAnsi="宋体"/>
                <w:b/>
                <w:bCs/>
                <w:szCs w:val="21"/>
              </w:rPr>
            </w:pPr>
            <w:r>
              <w:rPr>
                <w:rFonts w:ascii="宋体" w:hAnsi="宋体"/>
                <w:b/>
                <w:bCs/>
                <w:szCs w:val="21"/>
              </w:rPr>
              <w:t>3</w:t>
            </w:r>
          </w:p>
        </w:tc>
        <w:tc>
          <w:tcPr>
            <w:tcW w:w="2410" w:type="dxa"/>
            <w:vAlign w:val="center"/>
          </w:tcPr>
          <w:p>
            <w:pPr>
              <w:spacing w:line="360" w:lineRule="auto"/>
              <w:rPr>
                <w:rFonts w:ascii="宋体"/>
                <w:b/>
                <w:szCs w:val="21"/>
              </w:rPr>
            </w:pPr>
            <w:r>
              <w:rPr>
                <w:rFonts w:hint="eastAsia" w:ascii="宋体" w:hAnsi="宋体"/>
                <w:b/>
                <w:bCs/>
                <w:szCs w:val="21"/>
              </w:rPr>
              <w:t>财务状况报告相关材料</w:t>
            </w:r>
          </w:p>
        </w:tc>
        <w:tc>
          <w:tcPr>
            <w:tcW w:w="5954" w:type="dxa"/>
          </w:tcPr>
          <w:p>
            <w:pPr>
              <w:spacing w:line="360" w:lineRule="auto"/>
              <w:rPr>
                <w:rFonts w:ascii="宋体"/>
                <w:bCs/>
                <w:szCs w:val="21"/>
              </w:rPr>
            </w:pPr>
            <w:r>
              <w:rPr>
                <w:rFonts w:hint="eastAsia" w:ascii="宋体" w:hAnsi="宋体"/>
                <w:bCs/>
                <w:szCs w:val="21"/>
              </w:rPr>
              <w:t>（</w:t>
            </w:r>
            <w:r>
              <w:rPr>
                <w:rFonts w:ascii="宋体" w:hAnsi="宋体"/>
                <w:bCs/>
                <w:szCs w:val="21"/>
              </w:rPr>
              <w:t>1</w:t>
            </w:r>
            <w:r>
              <w:rPr>
                <w:rFonts w:hint="eastAsia" w:ascii="宋体" w:hAnsi="宋体"/>
                <w:bCs/>
                <w:szCs w:val="21"/>
              </w:rPr>
              <w:t>）投标人是法人（法人包括企业法人、机关法人、事业单位法人和社会团体法人），提供本单位：</w:t>
            </w:r>
          </w:p>
          <w:p>
            <w:pPr>
              <w:spacing w:line="360" w:lineRule="auto"/>
              <w:rPr>
                <w:rFonts w:ascii="宋体"/>
                <w:bCs/>
                <w:szCs w:val="21"/>
              </w:rPr>
            </w:pPr>
            <w:r>
              <w:rPr>
                <w:rFonts w:hint="eastAsia" w:ascii="宋体" w:hAnsi="宋体"/>
                <w:bCs/>
                <w:szCs w:val="21"/>
              </w:rPr>
              <w:t>①</w:t>
            </w:r>
            <w:r>
              <w:rPr>
                <w:rFonts w:ascii="宋体" w:hAnsi="宋体"/>
                <w:bCs/>
                <w:szCs w:val="21"/>
              </w:rPr>
              <w:t>2018</w:t>
            </w:r>
            <w:r>
              <w:rPr>
                <w:rFonts w:hint="eastAsia" w:ascii="宋体" w:hAnsi="宋体"/>
                <w:bCs/>
                <w:szCs w:val="21"/>
              </w:rPr>
              <w:t>年度经审计的财务报告，包括资产负债表、利润表、现金流量表、所有者权益变动表及其附注；</w:t>
            </w:r>
          </w:p>
          <w:p>
            <w:pPr>
              <w:spacing w:line="360" w:lineRule="auto"/>
              <w:rPr>
                <w:rFonts w:ascii="宋体"/>
                <w:bCs/>
                <w:szCs w:val="21"/>
              </w:rPr>
            </w:pPr>
            <w:r>
              <w:rPr>
                <w:rFonts w:hint="eastAsia" w:ascii="宋体" w:hAnsi="宋体"/>
                <w:bCs/>
                <w:szCs w:val="21"/>
              </w:rPr>
              <w:t>②基本开户银行出具的资信证明；</w:t>
            </w:r>
          </w:p>
          <w:p>
            <w:pPr>
              <w:spacing w:line="360" w:lineRule="auto"/>
              <w:rPr>
                <w:rFonts w:ascii="宋体"/>
                <w:bCs/>
                <w:szCs w:val="21"/>
              </w:rPr>
            </w:pPr>
            <w:r>
              <w:rPr>
                <w:rFonts w:hint="eastAsia" w:ascii="宋体" w:hAnsi="宋体"/>
                <w:bCs/>
                <w:szCs w:val="21"/>
              </w:rPr>
              <w:t>③财政部门认可的政府采购专业担保机构的证明文件和担保机构出具的投标担保函。</w:t>
            </w:r>
          </w:p>
          <w:p>
            <w:pPr>
              <w:spacing w:line="360" w:lineRule="auto"/>
              <w:rPr>
                <w:rFonts w:ascii="宋体"/>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宋体"/>
                <w:bCs/>
                <w:szCs w:val="21"/>
              </w:rPr>
            </w:pPr>
            <w:r>
              <w:rPr>
                <w:rFonts w:hint="eastAsia" w:ascii="宋体" w:hAnsi="宋体"/>
                <w:bCs/>
                <w:szCs w:val="21"/>
              </w:rPr>
              <w:t>（</w:t>
            </w:r>
            <w:r>
              <w:rPr>
                <w:rFonts w:ascii="宋体" w:hAnsi="宋体"/>
                <w:bCs/>
                <w:szCs w:val="21"/>
              </w:rPr>
              <w:t>2</w:t>
            </w:r>
            <w:r>
              <w:rPr>
                <w:rFonts w:hint="eastAsia" w:ascii="宋体" w:hAnsi="宋体"/>
                <w:bCs/>
                <w:szCs w:val="21"/>
              </w:rPr>
              <w:t>）投标人（其他组织和自然人）提供本单位：</w:t>
            </w:r>
          </w:p>
          <w:p>
            <w:pPr>
              <w:spacing w:line="360" w:lineRule="auto"/>
              <w:rPr>
                <w:rFonts w:ascii="宋体"/>
                <w:bCs/>
                <w:szCs w:val="21"/>
              </w:rPr>
            </w:pPr>
            <w:r>
              <w:rPr>
                <w:rFonts w:hint="eastAsia" w:ascii="宋体" w:hAnsi="宋体"/>
                <w:bCs/>
                <w:szCs w:val="21"/>
              </w:rPr>
              <w:t>①</w:t>
            </w:r>
            <w:r>
              <w:rPr>
                <w:rFonts w:ascii="宋体" w:hAnsi="宋体"/>
                <w:bCs/>
                <w:szCs w:val="21"/>
              </w:rPr>
              <w:t>2018</w:t>
            </w:r>
            <w:r>
              <w:rPr>
                <w:rFonts w:hint="eastAsia" w:ascii="宋体" w:hAnsi="宋体"/>
                <w:bCs/>
                <w:szCs w:val="21"/>
              </w:rPr>
              <w:t>年度经审计的财务报告，包括资产负债表、利润表、现金流量表、所有者权益变动表及其附注；</w:t>
            </w:r>
          </w:p>
          <w:p>
            <w:pPr>
              <w:spacing w:line="360" w:lineRule="auto"/>
              <w:rPr>
                <w:rFonts w:ascii="宋体"/>
                <w:bCs/>
                <w:szCs w:val="21"/>
              </w:rPr>
            </w:pPr>
            <w:r>
              <w:rPr>
                <w:rFonts w:hint="eastAsia" w:ascii="宋体" w:hAnsi="宋体"/>
                <w:bCs/>
                <w:szCs w:val="21"/>
              </w:rPr>
              <w:t>②银行出具的资信证明；</w:t>
            </w:r>
          </w:p>
          <w:p>
            <w:pPr>
              <w:spacing w:line="360" w:lineRule="auto"/>
              <w:rPr>
                <w:rFonts w:ascii="宋体"/>
                <w:bCs/>
                <w:szCs w:val="21"/>
              </w:rPr>
            </w:pPr>
            <w:r>
              <w:rPr>
                <w:rFonts w:hint="eastAsia" w:ascii="宋体" w:hAnsi="宋体"/>
                <w:bCs/>
                <w:szCs w:val="21"/>
              </w:rPr>
              <w:t>③财政部门认可的政府采购专业担保机构的证明文件和担保机构出具的投标担保函。</w:t>
            </w:r>
          </w:p>
          <w:p>
            <w:pPr>
              <w:spacing w:line="360" w:lineRule="auto"/>
              <w:rPr>
                <w:rFonts w:ascii="宋体"/>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宋体" w:hAnsi="宋体"/>
                <w:b/>
                <w:bCs/>
                <w:szCs w:val="21"/>
              </w:rPr>
            </w:pPr>
            <w:r>
              <w:rPr>
                <w:rFonts w:ascii="宋体" w:hAnsi="宋体"/>
                <w:b/>
                <w:bCs/>
                <w:szCs w:val="21"/>
              </w:rPr>
              <w:t>4</w:t>
            </w:r>
          </w:p>
        </w:tc>
        <w:tc>
          <w:tcPr>
            <w:tcW w:w="2410" w:type="dxa"/>
            <w:vAlign w:val="center"/>
          </w:tcPr>
          <w:p>
            <w:pPr>
              <w:spacing w:line="360" w:lineRule="auto"/>
              <w:rPr>
                <w:rFonts w:ascii="宋体"/>
                <w:b/>
                <w:szCs w:val="21"/>
              </w:rPr>
            </w:pPr>
            <w:r>
              <w:rPr>
                <w:rFonts w:hint="eastAsia" w:ascii="宋体" w:hAnsi="宋体"/>
                <w:b/>
                <w:bCs/>
                <w:szCs w:val="21"/>
              </w:rPr>
              <w:t>依法缴纳税收相关材料</w:t>
            </w:r>
          </w:p>
        </w:tc>
        <w:tc>
          <w:tcPr>
            <w:tcW w:w="5954" w:type="dxa"/>
          </w:tcPr>
          <w:p>
            <w:pPr>
              <w:spacing w:line="360" w:lineRule="auto"/>
              <w:rPr>
                <w:rFonts w:ascii="宋体"/>
                <w:b/>
                <w:bCs/>
                <w:szCs w:val="21"/>
              </w:rPr>
            </w:pPr>
            <w:r>
              <w:rPr>
                <w:rFonts w:hint="eastAsia" w:ascii="宋体" w:hAnsi="宋体" w:cs="微软雅黑"/>
                <w:bCs/>
                <w:szCs w:val="21"/>
              </w:rPr>
              <w:t>投标人提供参加本次政府采购项目</w:t>
            </w:r>
            <w:r>
              <w:rPr>
                <w:rFonts w:hint="eastAsia" w:ascii="宋体" w:hAnsi="宋体"/>
                <w:bCs/>
                <w:szCs w:val="21"/>
              </w:rPr>
              <w:t>投标截止时间前六个月内任意一个月缴纳税收凭据。（依法免税的投标人，应提供相应文件证明依法免税）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宋体" w:hAnsi="宋体"/>
                <w:b/>
                <w:bCs/>
                <w:szCs w:val="21"/>
              </w:rPr>
            </w:pPr>
            <w:r>
              <w:rPr>
                <w:rFonts w:ascii="宋体" w:hAnsi="宋体"/>
                <w:b/>
                <w:bCs/>
                <w:szCs w:val="21"/>
              </w:rPr>
              <w:t>5</w:t>
            </w:r>
          </w:p>
        </w:tc>
        <w:tc>
          <w:tcPr>
            <w:tcW w:w="2410" w:type="dxa"/>
            <w:vAlign w:val="center"/>
          </w:tcPr>
          <w:p>
            <w:pPr>
              <w:spacing w:line="360" w:lineRule="auto"/>
              <w:rPr>
                <w:rFonts w:ascii="宋体"/>
                <w:bCs/>
                <w:szCs w:val="21"/>
              </w:rPr>
            </w:pPr>
            <w:r>
              <w:rPr>
                <w:rFonts w:hint="eastAsia" w:ascii="宋体" w:hAnsi="宋体"/>
                <w:b/>
                <w:bCs/>
                <w:szCs w:val="21"/>
              </w:rPr>
              <w:t>依法缴纳社会保障资金的证明材料</w:t>
            </w:r>
          </w:p>
        </w:tc>
        <w:tc>
          <w:tcPr>
            <w:tcW w:w="5954" w:type="dxa"/>
          </w:tcPr>
          <w:p>
            <w:pPr>
              <w:spacing w:line="360" w:lineRule="auto"/>
              <w:rPr>
                <w:rFonts w:ascii="宋体"/>
                <w:b/>
                <w:bCs/>
                <w:szCs w:val="21"/>
              </w:rPr>
            </w:pPr>
            <w:r>
              <w:rPr>
                <w:rFonts w:hint="eastAsia" w:ascii="宋体" w:hAnsi="宋体" w:cs="微软雅黑"/>
                <w:bCs/>
                <w:szCs w:val="21"/>
              </w:rPr>
              <w:t>投标人提供参加本次政府采购项目</w:t>
            </w:r>
            <w:r>
              <w:rPr>
                <w:rFonts w:hint="eastAsia" w:ascii="宋体" w:hAnsi="宋体"/>
                <w:bCs/>
                <w:szCs w:val="21"/>
              </w:rPr>
              <w:t>投标截止时间前六个月内任意一个月缴纳社会保险凭据。（依法不需要缴纳社会保障资金的投标人，应提供相应文件证明依法不需要缴纳社会保障资金）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宋体" w:hAnsi="宋体"/>
                <w:b/>
                <w:bCs/>
                <w:szCs w:val="21"/>
              </w:rPr>
            </w:pPr>
            <w:r>
              <w:rPr>
                <w:rFonts w:ascii="宋体" w:hAnsi="宋体"/>
                <w:b/>
                <w:bCs/>
                <w:szCs w:val="21"/>
              </w:rPr>
              <w:t>6</w:t>
            </w:r>
          </w:p>
        </w:tc>
        <w:tc>
          <w:tcPr>
            <w:tcW w:w="2410" w:type="dxa"/>
            <w:vAlign w:val="center"/>
          </w:tcPr>
          <w:p>
            <w:pPr>
              <w:spacing w:line="360" w:lineRule="auto"/>
              <w:rPr>
                <w:rFonts w:ascii="宋体"/>
                <w:b/>
                <w:szCs w:val="21"/>
              </w:rPr>
            </w:pPr>
            <w:r>
              <w:rPr>
                <w:rFonts w:hint="eastAsia" w:ascii="宋体" w:hAnsi="宋体"/>
                <w:b/>
                <w:bCs/>
                <w:szCs w:val="21"/>
              </w:rPr>
              <w:t>履行合同所必须的设备和专业技术能力的证明材料</w:t>
            </w:r>
          </w:p>
        </w:tc>
        <w:tc>
          <w:tcPr>
            <w:tcW w:w="5954" w:type="dxa"/>
          </w:tcPr>
          <w:p>
            <w:pPr>
              <w:spacing w:line="360" w:lineRule="auto"/>
              <w:rPr>
                <w:rFonts w:ascii="宋体"/>
                <w:bCs/>
                <w:szCs w:val="21"/>
              </w:rPr>
            </w:pPr>
            <w:r>
              <w:rPr>
                <w:rFonts w:hint="eastAsia" w:ascii="宋体" w:hAnsi="宋体"/>
                <w:bCs/>
                <w:szCs w:val="21"/>
              </w:rPr>
              <w:t>①与本项目投标相关设备的购置发票、专业技术人员职称证书、用工合同等；</w:t>
            </w:r>
          </w:p>
          <w:p>
            <w:pPr>
              <w:spacing w:line="360" w:lineRule="auto"/>
              <w:rPr>
                <w:rFonts w:ascii="宋体"/>
                <w:bCs/>
                <w:szCs w:val="21"/>
              </w:rPr>
            </w:pPr>
            <w:r>
              <w:rPr>
                <w:rFonts w:hint="eastAsia" w:ascii="宋体" w:hAnsi="宋体"/>
                <w:bCs/>
                <w:szCs w:val="21"/>
              </w:rPr>
              <w:t>②投标人具备履行合同所必须的设备和专业技术能力承诺函或声明（承诺函或声明格式自拟）。</w:t>
            </w:r>
          </w:p>
          <w:p>
            <w:pPr>
              <w:spacing w:line="360" w:lineRule="auto"/>
              <w:rPr>
                <w:rFonts w:ascii="宋体"/>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宋体" w:hAnsi="宋体"/>
                <w:b/>
                <w:bCs/>
                <w:szCs w:val="21"/>
              </w:rPr>
            </w:pPr>
            <w:r>
              <w:rPr>
                <w:rFonts w:ascii="宋体" w:hAnsi="宋体"/>
                <w:b/>
                <w:bCs/>
                <w:szCs w:val="21"/>
              </w:rPr>
              <w:t>7</w:t>
            </w:r>
          </w:p>
        </w:tc>
        <w:tc>
          <w:tcPr>
            <w:tcW w:w="2410" w:type="dxa"/>
            <w:vAlign w:val="center"/>
          </w:tcPr>
          <w:p>
            <w:pPr>
              <w:spacing w:line="360" w:lineRule="auto"/>
              <w:rPr>
                <w:rFonts w:ascii="宋体"/>
                <w:bCs/>
                <w:szCs w:val="21"/>
              </w:rPr>
            </w:pPr>
            <w:r>
              <w:rPr>
                <w:rFonts w:hint="eastAsia" w:ascii="宋体" w:hAnsi="宋体"/>
                <w:b/>
                <w:bCs/>
                <w:szCs w:val="21"/>
              </w:rPr>
              <w:t>参加政府采购活动前</w:t>
            </w:r>
            <w:r>
              <w:rPr>
                <w:rFonts w:ascii="宋体" w:hAnsi="宋体"/>
                <w:b/>
                <w:bCs/>
                <w:szCs w:val="21"/>
              </w:rPr>
              <w:t>3</w:t>
            </w:r>
            <w:r>
              <w:rPr>
                <w:rFonts w:hint="eastAsia" w:ascii="宋体" w:hAnsi="宋体"/>
                <w:b/>
                <w:bCs/>
                <w:szCs w:val="21"/>
              </w:rPr>
              <w:t>年内在经营活动中没有重大违法记录的声明</w:t>
            </w:r>
          </w:p>
        </w:tc>
        <w:tc>
          <w:tcPr>
            <w:tcW w:w="5954" w:type="dxa"/>
            <w:vAlign w:val="center"/>
          </w:tcPr>
          <w:p>
            <w:pPr>
              <w:spacing w:line="360" w:lineRule="auto"/>
              <w:jc w:val="left"/>
              <w:rPr>
                <w:rFonts w:ascii="宋体"/>
                <w:b/>
                <w:bCs/>
                <w:szCs w:val="21"/>
              </w:rPr>
            </w:pPr>
            <w:r>
              <w:rPr>
                <w:rFonts w:hint="eastAsia" w:ascii="宋体" w:hAnsi="宋体" w:cs="微软雅黑"/>
                <w:bCs/>
                <w:szCs w:val="21"/>
              </w:rPr>
              <w:t>按照招标文件提供格式填写。</w:t>
            </w:r>
            <w:r>
              <w:rPr>
                <w:rFonts w:hint="eastAsia" w:ascii="宋体" w:hAnsi="宋体"/>
                <w:bCs/>
                <w:szCs w:val="21"/>
              </w:rPr>
              <w:t>投标人“参加政府采购活动前</w:t>
            </w:r>
            <w:r>
              <w:rPr>
                <w:rFonts w:ascii="宋体" w:hAnsi="宋体"/>
                <w:bCs/>
                <w:szCs w:val="21"/>
              </w:rPr>
              <w:t>3</w:t>
            </w:r>
            <w:r>
              <w:rPr>
                <w:rFonts w:hint="eastAsia" w:ascii="宋体" w:hAnsi="宋体"/>
                <w:bCs/>
                <w:szCs w:val="21"/>
              </w:rPr>
              <w:t>年内在经营活动中没有重大违法记录的书面声明”。</w:t>
            </w:r>
            <w:r>
              <w:rPr>
                <w:rFonts w:ascii="宋体" w:hAnsi="宋体"/>
                <w:bCs/>
                <w:szCs w:val="21"/>
              </w:rPr>
              <w:t xml:space="preserve"> </w:t>
            </w:r>
            <w:r>
              <w:rPr>
                <w:rFonts w:hint="eastAsia" w:ascii="宋体" w:hAnsi="宋体"/>
                <w:bCs/>
                <w:szCs w:val="21"/>
              </w:rPr>
              <w:t>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宋体" w:hAnsi="宋体"/>
                <w:b/>
                <w:bCs/>
                <w:szCs w:val="21"/>
              </w:rPr>
            </w:pPr>
            <w:r>
              <w:rPr>
                <w:rFonts w:ascii="宋体" w:hAnsi="宋体"/>
                <w:b/>
                <w:bCs/>
                <w:szCs w:val="21"/>
              </w:rPr>
              <w:t>8</w:t>
            </w:r>
          </w:p>
        </w:tc>
        <w:tc>
          <w:tcPr>
            <w:tcW w:w="2410" w:type="dxa"/>
            <w:vAlign w:val="center"/>
          </w:tcPr>
          <w:p>
            <w:pPr>
              <w:spacing w:line="360" w:lineRule="auto"/>
              <w:rPr>
                <w:rFonts w:ascii="宋体"/>
                <w:bCs/>
                <w:szCs w:val="21"/>
              </w:rPr>
            </w:pPr>
            <w:r>
              <w:rPr>
                <w:rFonts w:hint="eastAsia" w:ascii="宋体" w:hAnsi="宋体"/>
                <w:b/>
                <w:bCs/>
                <w:szCs w:val="21"/>
              </w:rPr>
              <w:t>信用记录查询及使用</w:t>
            </w:r>
          </w:p>
        </w:tc>
        <w:tc>
          <w:tcPr>
            <w:tcW w:w="5954" w:type="dxa"/>
          </w:tcPr>
          <w:p>
            <w:pPr>
              <w:spacing w:line="360" w:lineRule="auto"/>
              <w:rPr>
                <w:rFonts w:ascii="宋体"/>
                <w:bCs/>
                <w:szCs w:val="21"/>
              </w:rPr>
            </w:pPr>
            <w:r>
              <w:rPr>
                <w:rFonts w:hint="eastAsia" w:ascii="宋体" w:hAnsi="宋体"/>
                <w:bCs/>
                <w:szCs w:val="21"/>
              </w:rPr>
              <w:t>政府采购活动中查询及使用投标人信用记录的具体要求为：投标人未被列入“信用中国”网站失信被执行人、重大税收违法案件当事人名单、政府采购严重违法失信名单、“中国政府采购网”政府采购严重违法失信行为记录名单、</w:t>
            </w:r>
            <w:r>
              <w:rPr>
                <w:rFonts w:hint="eastAsia" w:ascii="宋体" w:hAnsi="宋体" w:cs="仿宋_GB2312"/>
                <w:color w:val="000000"/>
                <w:szCs w:val="21"/>
              </w:rPr>
              <w:t>“中国社会组织公共服务平台”网站（</w:t>
            </w:r>
            <w:r>
              <w:rPr>
                <w:rFonts w:ascii="宋体" w:hAnsi="宋体" w:cs="仿宋_GB2312"/>
                <w:color w:val="000000"/>
                <w:szCs w:val="21"/>
              </w:rPr>
              <w:t>www.chinanpo.gov.cn</w:t>
            </w:r>
            <w:r>
              <w:rPr>
                <w:rFonts w:hint="eastAsia" w:ascii="宋体" w:hAnsi="宋体" w:cs="仿宋_GB2312"/>
                <w:color w:val="000000"/>
                <w:szCs w:val="21"/>
              </w:rPr>
              <w:t>）严重违法失信社会组织名单的投标人</w:t>
            </w:r>
            <w:r>
              <w:rPr>
                <w:rFonts w:hint="eastAsia" w:ascii="宋体" w:hAnsi="宋体" w:cs="仿宋_GB2312"/>
                <w:b/>
                <w:color w:val="000000"/>
                <w:szCs w:val="21"/>
              </w:rPr>
              <w:t>；</w:t>
            </w:r>
            <w:r>
              <w:rPr>
                <w:rFonts w:hint="eastAsia" w:ascii="宋体" w:hAnsi="宋体"/>
                <w:bCs/>
                <w:szCs w:val="21"/>
              </w:rPr>
              <w:t>（联合体形式投标的，联合体成员存在不良信用记录，视同联合体存在不良信用记录）。</w:t>
            </w:r>
          </w:p>
          <w:p>
            <w:pPr>
              <w:spacing w:line="360" w:lineRule="auto"/>
              <w:rPr>
                <w:rFonts w:ascii="宋体"/>
                <w:bCs/>
                <w:szCs w:val="21"/>
              </w:rPr>
            </w:pPr>
            <w:r>
              <w:rPr>
                <w:rFonts w:hint="eastAsia" w:ascii="宋体" w:hAnsi="宋体"/>
                <w:bCs/>
                <w:szCs w:val="21"/>
              </w:rPr>
              <w:t>（</w:t>
            </w:r>
            <w:r>
              <w:rPr>
                <w:rFonts w:ascii="宋体" w:hAnsi="宋体"/>
                <w:bCs/>
                <w:szCs w:val="21"/>
              </w:rPr>
              <w:t>1</w:t>
            </w:r>
            <w:r>
              <w:rPr>
                <w:rFonts w:hint="eastAsia" w:ascii="宋体" w:hAnsi="宋体"/>
                <w:bCs/>
                <w:szCs w:val="21"/>
              </w:rPr>
              <w:t>）查询渠道：</w:t>
            </w:r>
          </w:p>
          <w:p>
            <w:pPr>
              <w:spacing w:line="360" w:lineRule="auto"/>
              <w:rPr>
                <w:rFonts w:ascii="宋体"/>
                <w:bCs/>
                <w:szCs w:val="21"/>
              </w:rPr>
            </w:pPr>
            <w:r>
              <w:rPr>
                <w:rFonts w:hint="eastAsia" w:ascii="宋体" w:hAnsi="宋体"/>
                <w:bCs/>
                <w:szCs w:val="21"/>
              </w:rPr>
              <w:t>①“信用中国”网站（</w:t>
            </w:r>
            <w:r>
              <w:fldChar w:fldCharType="begin"/>
            </w:r>
            <w:r>
              <w:instrText xml:space="preserve"> HYPERLINK "http://www.creditchina.gov.cn" </w:instrText>
            </w:r>
            <w:r>
              <w:fldChar w:fldCharType="separate"/>
            </w:r>
            <w:r>
              <w:rPr>
                <w:rStyle w:val="28"/>
                <w:rFonts w:ascii="宋体" w:hAnsi="宋体"/>
                <w:bCs/>
                <w:szCs w:val="21"/>
              </w:rPr>
              <w:t>www.creditchina.gov.cn</w:t>
            </w:r>
            <w:r>
              <w:rPr>
                <w:rStyle w:val="28"/>
                <w:rFonts w:ascii="宋体" w:hAnsi="宋体"/>
                <w:bCs/>
                <w:szCs w:val="21"/>
              </w:rPr>
              <w:fldChar w:fldCharType="end"/>
            </w:r>
            <w:r>
              <w:rPr>
                <w:rFonts w:hint="eastAsia" w:ascii="宋体" w:hAnsi="宋体"/>
                <w:bCs/>
                <w:szCs w:val="21"/>
              </w:rPr>
              <w:t>）</w:t>
            </w:r>
          </w:p>
          <w:p>
            <w:pPr>
              <w:spacing w:line="360" w:lineRule="auto"/>
              <w:rPr>
                <w:rFonts w:ascii="宋体"/>
                <w:bCs/>
                <w:szCs w:val="21"/>
              </w:rPr>
            </w:pPr>
            <w:r>
              <w:rPr>
                <w:rFonts w:hint="eastAsia" w:ascii="宋体" w:hAnsi="宋体"/>
                <w:bCs/>
                <w:szCs w:val="21"/>
              </w:rPr>
              <w:t>②“中国政府采购网”（</w:t>
            </w:r>
            <w:r>
              <w:rPr>
                <w:rFonts w:ascii="宋体" w:hAnsi="宋体"/>
                <w:bCs/>
                <w:szCs w:val="21"/>
              </w:rPr>
              <w:t>www.ccgp.gov.cn</w:t>
            </w:r>
            <w:r>
              <w:rPr>
                <w:rFonts w:hint="eastAsia" w:ascii="宋体" w:hAnsi="宋体"/>
                <w:bCs/>
                <w:szCs w:val="21"/>
              </w:rPr>
              <w:t>）</w:t>
            </w:r>
          </w:p>
          <w:p>
            <w:pPr>
              <w:spacing w:line="360" w:lineRule="auto"/>
              <w:rPr>
                <w:rFonts w:ascii="宋体"/>
                <w:bCs/>
                <w:szCs w:val="21"/>
              </w:rPr>
            </w:pPr>
            <w:r>
              <w:rPr>
                <w:rFonts w:hint="eastAsia" w:ascii="宋体" w:hAnsi="宋体"/>
                <w:bCs/>
                <w:szCs w:val="21"/>
              </w:rPr>
              <w:t>③</w:t>
            </w:r>
            <w:r>
              <w:rPr>
                <w:rFonts w:hint="eastAsia" w:ascii="宋体" w:hAnsi="宋体" w:cs="仿宋_GB2312"/>
                <w:color w:val="000000"/>
                <w:szCs w:val="21"/>
              </w:rPr>
              <w:t>“中国社会组织公共服务平台”网站（</w:t>
            </w:r>
            <w:r>
              <w:rPr>
                <w:rFonts w:ascii="宋体" w:hAnsi="宋体" w:cs="仿宋_GB2312"/>
                <w:color w:val="000000"/>
                <w:szCs w:val="21"/>
              </w:rPr>
              <w:t>www.chinanpo.gov.cn</w:t>
            </w:r>
            <w:r>
              <w:rPr>
                <w:rFonts w:hint="eastAsia" w:ascii="宋体" w:hAnsi="宋体" w:cs="仿宋_GB2312"/>
                <w:color w:val="000000"/>
                <w:szCs w:val="21"/>
              </w:rPr>
              <w:t>）（仅查询社会组织）</w:t>
            </w:r>
            <w:r>
              <w:rPr>
                <w:rFonts w:hint="eastAsia" w:ascii="宋体" w:hAnsi="宋体"/>
                <w:bCs/>
                <w:szCs w:val="21"/>
              </w:rPr>
              <w:t>；</w:t>
            </w:r>
          </w:p>
          <w:p>
            <w:pPr>
              <w:spacing w:line="360" w:lineRule="auto"/>
              <w:rPr>
                <w:rFonts w:ascii="宋体"/>
                <w:bCs/>
                <w:szCs w:val="21"/>
              </w:rPr>
            </w:pPr>
            <w:r>
              <w:rPr>
                <w:rFonts w:hint="eastAsia" w:ascii="宋体" w:hAnsi="宋体"/>
                <w:bCs/>
                <w:szCs w:val="21"/>
              </w:rPr>
              <w:t>（</w:t>
            </w:r>
            <w:r>
              <w:rPr>
                <w:rFonts w:ascii="宋体" w:hAnsi="宋体"/>
                <w:bCs/>
                <w:szCs w:val="21"/>
              </w:rPr>
              <w:t>2</w:t>
            </w:r>
            <w:r>
              <w:rPr>
                <w:rFonts w:hint="eastAsia" w:ascii="宋体" w:hAnsi="宋体"/>
                <w:bCs/>
                <w:szCs w:val="21"/>
              </w:rPr>
              <w:t>）截止时间：同投标截止时间；</w:t>
            </w:r>
          </w:p>
          <w:p>
            <w:pPr>
              <w:spacing w:line="360" w:lineRule="auto"/>
              <w:rPr>
                <w:rFonts w:ascii="宋体"/>
                <w:bCs/>
                <w:szCs w:val="21"/>
              </w:rPr>
            </w:pPr>
            <w:r>
              <w:rPr>
                <w:rFonts w:hint="eastAsia" w:ascii="宋体" w:hAnsi="宋体"/>
                <w:bCs/>
                <w:szCs w:val="21"/>
              </w:rPr>
              <w:t>（</w:t>
            </w:r>
            <w:r>
              <w:rPr>
                <w:rFonts w:ascii="宋体" w:hAnsi="宋体"/>
                <w:bCs/>
                <w:szCs w:val="21"/>
              </w:rPr>
              <w:t>3</w:t>
            </w:r>
            <w:r>
              <w:rPr>
                <w:rFonts w:hint="eastAsia" w:ascii="宋体" w:hAnsi="宋体"/>
                <w:bCs/>
                <w:szCs w:val="21"/>
              </w:rPr>
              <w:t>）信用信息查询记录和证据留存具体方式：经采购人确认的查询结果网页截图作为查询记录和证据，与其他采购文件一并保存；</w:t>
            </w:r>
          </w:p>
          <w:p>
            <w:pPr>
              <w:spacing w:line="360" w:lineRule="auto"/>
              <w:rPr>
                <w:rFonts w:ascii="宋体"/>
                <w:b/>
                <w:bCs/>
                <w:szCs w:val="21"/>
              </w:rPr>
            </w:pPr>
            <w:r>
              <w:rPr>
                <w:rFonts w:hint="eastAsia" w:ascii="宋体" w:hAnsi="宋体"/>
                <w:bCs/>
                <w:szCs w:val="21"/>
              </w:rPr>
              <w:t>（</w:t>
            </w:r>
            <w:r>
              <w:rPr>
                <w:rFonts w:ascii="宋体" w:hAnsi="宋体"/>
                <w:bCs/>
                <w:szCs w:val="21"/>
              </w:rPr>
              <w:t>4</w:t>
            </w:r>
            <w:r>
              <w:rPr>
                <w:rFonts w:hint="eastAsia" w:ascii="宋体" w:hAnsi="宋体"/>
                <w:bCs/>
                <w:szCs w:val="21"/>
              </w:rPr>
              <w:t>）信用信息的使用原则：经采购人认定的被列入</w:t>
            </w:r>
            <w:r>
              <w:rPr>
                <w:rFonts w:hint="eastAsia" w:ascii="宋体" w:hAnsi="宋体" w:cs="宋体"/>
                <w:kern w:val="0"/>
                <w:szCs w:val="21"/>
              </w:rPr>
              <w:t>失信被执行人、重大税收违法案件当事人名单、</w:t>
            </w:r>
            <w:r>
              <w:rPr>
                <w:rFonts w:hint="eastAsia" w:ascii="宋体" w:hAnsi="宋体" w:cs="仿宋_GB2312"/>
                <w:color w:val="000000"/>
                <w:szCs w:val="21"/>
                <w:shd w:val="clear" w:color="auto" w:fill="FFFFFF"/>
              </w:rPr>
              <w:t>政府采购严重违法失信名单</w:t>
            </w:r>
            <w:r>
              <w:rPr>
                <w:rFonts w:hint="eastAsia" w:ascii="宋体" w:hAnsi="宋体" w:cs="宋体"/>
                <w:kern w:val="0"/>
                <w:szCs w:val="21"/>
              </w:rPr>
              <w:t>、</w:t>
            </w:r>
            <w:r>
              <w:rPr>
                <w:rFonts w:hint="eastAsia" w:ascii="宋体" w:hAnsi="宋体" w:cs="仿宋_GB2312"/>
                <w:color w:val="000000"/>
                <w:szCs w:val="21"/>
                <w:shd w:val="clear" w:color="auto" w:fill="FFFFFF"/>
              </w:rPr>
              <w:t>政府采购严重违法失信行为记录名单、</w:t>
            </w:r>
            <w:r>
              <w:rPr>
                <w:rFonts w:hint="eastAsia" w:ascii="宋体" w:hAnsi="宋体" w:cs="宋体"/>
                <w:kern w:val="0"/>
                <w:szCs w:val="21"/>
              </w:rPr>
              <w:t>严重违法失信社会组织</w:t>
            </w:r>
            <w:r>
              <w:rPr>
                <w:rFonts w:hint="eastAsia" w:ascii="宋体" w:hAnsi="宋体"/>
                <w:bCs/>
                <w:szCs w:val="21"/>
              </w:rPr>
              <w:t>的投标人，将拒绝其参与本次政府采购活动。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宋体" w:hAnsi="宋体"/>
                <w:b/>
                <w:bCs/>
                <w:szCs w:val="21"/>
              </w:rPr>
            </w:pPr>
            <w:r>
              <w:rPr>
                <w:rFonts w:ascii="宋体" w:hAnsi="宋体"/>
                <w:b/>
                <w:bCs/>
                <w:szCs w:val="21"/>
              </w:rPr>
              <w:t>9</w:t>
            </w:r>
          </w:p>
        </w:tc>
        <w:tc>
          <w:tcPr>
            <w:tcW w:w="2410" w:type="dxa"/>
            <w:vAlign w:val="center"/>
          </w:tcPr>
          <w:p>
            <w:pPr>
              <w:spacing w:line="360" w:lineRule="auto"/>
              <w:rPr>
                <w:rFonts w:ascii="宋体"/>
                <w:b/>
                <w:bCs/>
                <w:szCs w:val="21"/>
              </w:rPr>
            </w:pPr>
            <w:r>
              <w:rPr>
                <w:rFonts w:hint="eastAsia" w:ascii="宋体" w:hAnsi="宋体"/>
                <w:b/>
                <w:bCs/>
                <w:szCs w:val="21"/>
              </w:rPr>
              <w:t>投标</w:t>
            </w:r>
            <w:r>
              <w:rPr>
                <w:rFonts w:hint="eastAsia" w:ascii="宋体" w:hAnsi="宋体" w:cs="仿宋_GB2312"/>
                <w:b/>
                <w:szCs w:val="21"/>
                <w:lang w:val="zh-CN"/>
              </w:rPr>
              <w:t>报价</w:t>
            </w:r>
          </w:p>
        </w:tc>
        <w:tc>
          <w:tcPr>
            <w:tcW w:w="5954" w:type="dxa"/>
          </w:tcPr>
          <w:p>
            <w:pPr>
              <w:spacing w:line="360" w:lineRule="auto"/>
              <w:rPr>
                <w:rFonts w:ascii="宋体"/>
                <w:b/>
                <w:bCs/>
                <w:szCs w:val="21"/>
              </w:rPr>
            </w:pPr>
            <w:r>
              <w:rPr>
                <w:rFonts w:hint="eastAsia" w:ascii="宋体" w:hAnsi="宋体" w:cs="仿宋_GB2312"/>
                <w:szCs w:val="21"/>
                <w:lang w:val="zh-CN"/>
              </w:rPr>
              <w:t>投标报价是否超出招标文件中规定的预算金额，超出预算金额的投标无效。如投标人须知前附表规定最高限价，则</w:t>
            </w:r>
            <w:r>
              <w:rPr>
                <w:rFonts w:hint="eastAsia" w:ascii="宋体" w:hAnsi="宋体" w:cs="宋体"/>
                <w:bCs/>
                <w:szCs w:val="21"/>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宋体" w:hAnsi="宋体"/>
                <w:b/>
                <w:bCs/>
                <w:szCs w:val="21"/>
              </w:rPr>
            </w:pPr>
            <w:r>
              <w:rPr>
                <w:rFonts w:ascii="宋体" w:hAnsi="宋体"/>
                <w:b/>
                <w:bCs/>
                <w:szCs w:val="21"/>
              </w:rPr>
              <w:t>10</w:t>
            </w:r>
          </w:p>
        </w:tc>
        <w:tc>
          <w:tcPr>
            <w:tcW w:w="2410" w:type="dxa"/>
            <w:vAlign w:val="center"/>
          </w:tcPr>
          <w:p>
            <w:pPr>
              <w:spacing w:line="360" w:lineRule="auto"/>
              <w:rPr>
                <w:rFonts w:ascii="宋体"/>
                <w:szCs w:val="21"/>
              </w:rPr>
            </w:pPr>
            <w:r>
              <w:rPr>
                <w:rFonts w:hint="eastAsia" w:ascii="宋体" w:hAnsi="宋体"/>
                <w:b/>
                <w:szCs w:val="21"/>
              </w:rPr>
              <w:t>投标承诺函</w:t>
            </w:r>
          </w:p>
        </w:tc>
        <w:tc>
          <w:tcPr>
            <w:tcW w:w="5954" w:type="dxa"/>
            <w:vAlign w:val="center"/>
          </w:tcPr>
          <w:p>
            <w:pPr>
              <w:spacing w:line="360" w:lineRule="auto"/>
              <w:rPr>
                <w:rFonts w:ascii="宋体"/>
                <w:b/>
                <w:szCs w:val="21"/>
              </w:rPr>
            </w:pPr>
            <w:r>
              <w:rPr>
                <w:rFonts w:hint="eastAsia" w:ascii="宋体" w:hAnsi="宋体"/>
                <w:szCs w:val="21"/>
              </w:rPr>
              <w:t>投标人以投标承诺函的形式替代投标保证金。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宋体" w:hAnsi="宋体"/>
                <w:b/>
                <w:szCs w:val="21"/>
              </w:rPr>
            </w:pPr>
            <w:r>
              <w:rPr>
                <w:rFonts w:ascii="宋体" w:hAnsi="宋体"/>
                <w:b/>
                <w:szCs w:val="21"/>
              </w:rPr>
              <w:t>11</w:t>
            </w:r>
          </w:p>
        </w:tc>
        <w:tc>
          <w:tcPr>
            <w:tcW w:w="2410" w:type="dxa"/>
            <w:vAlign w:val="center"/>
          </w:tcPr>
          <w:p>
            <w:pPr>
              <w:spacing w:line="360" w:lineRule="auto"/>
              <w:rPr>
                <w:rFonts w:ascii="宋体"/>
                <w:b/>
                <w:bCs/>
                <w:szCs w:val="21"/>
              </w:rPr>
            </w:pPr>
            <w:r>
              <w:rPr>
                <w:rFonts w:hint="eastAsia" w:ascii="宋体" w:hAnsi="宋体"/>
                <w:b/>
                <w:bCs/>
                <w:szCs w:val="21"/>
              </w:rPr>
              <w:t>联合体协议</w:t>
            </w:r>
          </w:p>
        </w:tc>
        <w:tc>
          <w:tcPr>
            <w:tcW w:w="5954" w:type="dxa"/>
          </w:tcPr>
          <w:p>
            <w:pPr>
              <w:spacing w:line="360" w:lineRule="auto"/>
              <w:rPr>
                <w:rFonts w:ascii="宋体"/>
                <w:b/>
                <w:bCs/>
                <w:szCs w:val="21"/>
              </w:rPr>
            </w:pPr>
            <w:r>
              <w:rPr>
                <w:rFonts w:hint="eastAsia" w:ascii="宋体" w:hAnsi="宋体"/>
                <w:bCs/>
                <w:szCs w:val="21"/>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宋体" w:hAnsi="宋体"/>
                <w:b/>
                <w:szCs w:val="21"/>
              </w:rPr>
            </w:pPr>
            <w:r>
              <w:rPr>
                <w:rFonts w:ascii="宋体" w:hAnsi="宋体"/>
                <w:b/>
                <w:szCs w:val="21"/>
              </w:rPr>
              <w:t>12</w:t>
            </w:r>
          </w:p>
        </w:tc>
        <w:tc>
          <w:tcPr>
            <w:tcW w:w="2410" w:type="dxa"/>
            <w:vAlign w:val="center"/>
          </w:tcPr>
          <w:p>
            <w:pPr>
              <w:spacing w:line="360" w:lineRule="auto"/>
              <w:contextualSpacing/>
              <w:rPr>
                <w:rFonts w:ascii="宋体"/>
                <w:b/>
                <w:szCs w:val="21"/>
              </w:rPr>
            </w:pPr>
            <w:r>
              <w:rPr>
                <w:rFonts w:hint="eastAsia" w:ascii="宋体" w:hAnsi="宋体"/>
                <w:b/>
                <w:szCs w:val="21"/>
              </w:rPr>
              <w:t>投标人身份证明及授权</w:t>
            </w:r>
          </w:p>
        </w:tc>
        <w:tc>
          <w:tcPr>
            <w:tcW w:w="5954" w:type="dxa"/>
          </w:tcPr>
          <w:p>
            <w:pPr>
              <w:spacing w:line="360" w:lineRule="auto"/>
              <w:rPr>
                <w:rFonts w:ascii="宋体" w:cs="仿宋_GB2312"/>
                <w:szCs w:val="21"/>
                <w:lang w:val="zh-CN"/>
              </w:rPr>
            </w:pPr>
            <w:r>
              <w:rPr>
                <w:rFonts w:hint="eastAsia" w:ascii="宋体" w:hAnsi="宋体" w:cs="仿宋_GB2312"/>
                <w:szCs w:val="21"/>
                <w:lang w:val="zh-CN"/>
              </w:rPr>
              <w:t>（</w:t>
            </w:r>
            <w:r>
              <w:rPr>
                <w:rFonts w:ascii="宋体" w:hAnsi="宋体" w:cs="仿宋_GB2312"/>
                <w:szCs w:val="21"/>
                <w:lang w:val="zh-CN"/>
              </w:rPr>
              <w:t>1</w:t>
            </w:r>
            <w:r>
              <w:rPr>
                <w:rFonts w:hint="eastAsia" w:ascii="宋体" w:hAnsi="宋体" w:cs="仿宋_GB2312"/>
                <w:szCs w:val="21"/>
                <w:lang w:val="zh-CN"/>
              </w:rPr>
              <w:t>）法定代表人身份证明或提供法定代表人授权委托书及被授权人身份证明。（法人投标提供）</w:t>
            </w:r>
          </w:p>
          <w:p>
            <w:pPr>
              <w:spacing w:line="360" w:lineRule="auto"/>
              <w:rPr>
                <w:rFonts w:ascii="宋体" w:cs="仿宋_GB2312"/>
                <w:szCs w:val="21"/>
                <w:lang w:val="zh-CN"/>
              </w:rPr>
            </w:pPr>
            <w:r>
              <w:rPr>
                <w:rFonts w:hint="eastAsia" w:ascii="宋体" w:hAnsi="宋体" w:cs="仿宋_GB2312"/>
                <w:szCs w:val="21"/>
                <w:lang w:val="zh-CN"/>
              </w:rPr>
              <w:t>（</w:t>
            </w:r>
            <w:r>
              <w:rPr>
                <w:rFonts w:ascii="宋体" w:hAnsi="宋体" w:cs="仿宋_GB2312"/>
                <w:szCs w:val="21"/>
                <w:lang w:val="zh-CN"/>
              </w:rPr>
              <w:t>2</w:t>
            </w:r>
            <w:r>
              <w:rPr>
                <w:rFonts w:hint="eastAsia" w:ascii="宋体" w:hAnsi="宋体" w:cs="仿宋_GB2312"/>
                <w:szCs w:val="21"/>
                <w:lang w:val="zh-CN"/>
              </w:rPr>
              <w:t>）单位负责人身份证明或提供单位负责人授权委托书及被授权人身份证明。（非法人投标提供）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宋体"/>
                <w:b/>
                <w:sz w:val="24"/>
                <w:szCs w:val="24"/>
              </w:rPr>
            </w:pPr>
            <w:r>
              <w:rPr>
                <w:rFonts w:hint="eastAsia" w:ascii="楷体" w:hAnsi="楷体" w:eastAsia="楷体"/>
                <w:color w:val="000000"/>
                <w:sz w:val="24"/>
                <w:szCs w:val="24"/>
              </w:rPr>
              <w:t>①企业（银行、保险、石油石化、电力、电信等行业除外）、事业单位和社会团体投标人以法人身份参加投标的，法定代表人应与实际提交的“营业执照等证明文件”载明的一致。</w:t>
            </w:r>
          </w:p>
          <w:p>
            <w:pPr>
              <w:spacing w:line="360" w:lineRule="auto"/>
              <w:contextualSpacing/>
              <w:rPr>
                <w:rFonts w:ascii="楷体" w:hAnsi="楷体" w:eastAsia="楷体"/>
                <w:color w:val="000000"/>
                <w:sz w:val="24"/>
                <w:szCs w:val="24"/>
              </w:rPr>
            </w:pPr>
            <w:r>
              <w:rPr>
                <w:rFonts w:hint="eastAsia" w:ascii="楷体" w:hAnsi="楷体" w:eastAsia="楷体"/>
                <w:color w:val="000000"/>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ascii="宋体"/>
                <w:b/>
                <w:szCs w:val="21"/>
              </w:rPr>
            </w:pPr>
            <w:r>
              <w:rPr>
                <w:rFonts w:hint="eastAsia" w:ascii="楷体" w:hAnsi="楷体" w:eastAsia="楷体"/>
                <w:color w:val="000000"/>
                <w:sz w:val="24"/>
                <w:szCs w:val="24"/>
              </w:rPr>
              <w:t>③</w:t>
            </w:r>
            <w:r>
              <w:rPr>
                <w:rFonts w:hint="eastAsia" w:ascii="楷体" w:hAnsi="楷体" w:eastAsia="楷体"/>
                <w:color w:val="000000"/>
                <w:kern w:val="0"/>
                <w:sz w:val="24"/>
                <w:szCs w:val="24"/>
              </w:rPr>
              <w:t>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hint="eastAsia" w:ascii="宋体" w:hAnsi="宋体" w:eastAsia="宋体"/>
                <w:b/>
                <w:szCs w:val="21"/>
                <w:lang w:eastAsia="zh-CN"/>
              </w:rPr>
            </w:pPr>
            <w:r>
              <w:rPr>
                <w:rFonts w:ascii="宋体" w:hAnsi="宋体"/>
                <w:b/>
                <w:szCs w:val="21"/>
              </w:rPr>
              <w:t>1</w:t>
            </w:r>
            <w:r>
              <w:rPr>
                <w:rFonts w:hint="eastAsia" w:ascii="宋体" w:hAnsi="宋体"/>
                <w:b/>
                <w:szCs w:val="21"/>
                <w:lang w:val="en-US" w:eastAsia="zh-CN"/>
              </w:rPr>
              <w:t>3</w:t>
            </w:r>
          </w:p>
        </w:tc>
        <w:tc>
          <w:tcPr>
            <w:tcW w:w="2410" w:type="dxa"/>
            <w:vAlign w:val="center"/>
          </w:tcPr>
          <w:p>
            <w:pPr>
              <w:spacing w:line="360" w:lineRule="auto"/>
              <w:contextualSpacing/>
              <w:rPr>
                <w:rFonts w:ascii="宋体" w:hAnsi="宋体"/>
                <w:b/>
                <w:szCs w:val="21"/>
              </w:rPr>
            </w:pPr>
            <w:r>
              <w:rPr>
                <w:rFonts w:hint="eastAsia" w:ascii="宋体" w:hAnsi="宋体" w:cs="宋体"/>
                <w:b/>
                <w:bCs/>
                <w:szCs w:val="21"/>
                <w:lang w:val="zh-CN"/>
              </w:rPr>
              <w:t>三年内未被省级或省级以上环境保护主管部门停业整顿的承诺</w:t>
            </w:r>
          </w:p>
        </w:tc>
        <w:tc>
          <w:tcPr>
            <w:tcW w:w="5954" w:type="dxa"/>
          </w:tcPr>
          <w:p>
            <w:pPr>
              <w:tabs>
                <w:tab w:val="left" w:pos="840"/>
              </w:tabs>
              <w:spacing w:line="360" w:lineRule="auto"/>
              <w:rPr>
                <w:rFonts w:ascii="宋体" w:hAnsi="宋体" w:cs="仿宋_GB2312"/>
                <w:szCs w:val="21"/>
                <w:lang w:val="zh-CN"/>
              </w:rPr>
            </w:pPr>
            <w:r>
              <w:rPr>
                <w:rFonts w:hint="eastAsia" w:ascii="宋体" w:hAnsi="宋体" w:cs="宋体"/>
                <w:bCs/>
                <w:szCs w:val="21"/>
                <w:lang w:val="zh-CN"/>
              </w:rPr>
              <w:t>需提供三年内未被省级或省级以上环境保护主管部门停业整顿的承诺，若被省级或省级以上环境保护主管部门作出过停业整顿的处罚，则拒绝其参与本次投标活动。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hint="eastAsia" w:ascii="宋体" w:hAnsi="宋体" w:eastAsia="宋体"/>
                <w:b/>
                <w:szCs w:val="21"/>
                <w:lang w:eastAsia="zh-CN"/>
              </w:rPr>
            </w:pPr>
            <w:r>
              <w:rPr>
                <w:rFonts w:ascii="宋体" w:hAnsi="宋体"/>
                <w:b/>
                <w:szCs w:val="21"/>
              </w:rPr>
              <w:t>1</w:t>
            </w:r>
            <w:r>
              <w:rPr>
                <w:rFonts w:hint="eastAsia" w:ascii="宋体" w:hAnsi="宋体"/>
                <w:b/>
                <w:szCs w:val="21"/>
                <w:lang w:val="en-US" w:eastAsia="zh-CN"/>
              </w:rPr>
              <w:t>4</w:t>
            </w:r>
          </w:p>
        </w:tc>
        <w:tc>
          <w:tcPr>
            <w:tcW w:w="2410" w:type="dxa"/>
            <w:vAlign w:val="center"/>
          </w:tcPr>
          <w:p>
            <w:pPr>
              <w:spacing w:line="360" w:lineRule="auto"/>
              <w:rPr>
                <w:rFonts w:ascii="宋体"/>
                <w:b/>
                <w:bCs/>
                <w:szCs w:val="21"/>
              </w:rPr>
            </w:pPr>
            <w:r>
              <w:rPr>
                <w:rFonts w:hint="eastAsia" w:ascii="宋体" w:hAnsi="宋体"/>
                <w:b/>
                <w:bCs/>
                <w:szCs w:val="21"/>
              </w:rPr>
              <w:t>单位负责人为同一人或者存在直接控股、管理关系的不同供应商，不得参加同一合同项下的政府采购活动</w:t>
            </w:r>
          </w:p>
        </w:tc>
        <w:tc>
          <w:tcPr>
            <w:tcW w:w="5954" w:type="dxa"/>
          </w:tcPr>
          <w:p>
            <w:pPr>
              <w:spacing w:line="360" w:lineRule="auto"/>
              <w:rPr>
                <w:rFonts w:ascii="宋体" w:cs="仿宋_GB2312"/>
                <w:szCs w:val="21"/>
                <w:lang w:val="zh-CN"/>
              </w:rPr>
            </w:pPr>
            <w:r>
              <w:rPr>
                <w:rFonts w:hint="eastAsia" w:ascii="宋体" w:hAnsi="宋体" w:cs="仿宋_GB2312"/>
                <w:szCs w:val="21"/>
                <w:lang w:val="zh-CN"/>
              </w:rPr>
              <w:t>投标人提供与参加本项目投标的其他供应商之间，单位负责人不为同一人并且不存在直接控股、管理关系承诺函（承诺函格式自拟）。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hint="eastAsia" w:ascii="宋体" w:hAnsi="宋体" w:eastAsia="宋体"/>
                <w:b/>
                <w:szCs w:val="21"/>
                <w:lang w:eastAsia="zh-CN"/>
              </w:rPr>
            </w:pPr>
            <w:r>
              <w:rPr>
                <w:rFonts w:ascii="宋体" w:hAnsi="宋体"/>
                <w:b/>
                <w:szCs w:val="21"/>
              </w:rPr>
              <w:t>1</w:t>
            </w:r>
            <w:r>
              <w:rPr>
                <w:rFonts w:hint="eastAsia" w:ascii="宋体" w:hAnsi="宋体"/>
                <w:b/>
                <w:szCs w:val="21"/>
                <w:lang w:val="en-US" w:eastAsia="zh-CN"/>
              </w:rPr>
              <w:t>5</w:t>
            </w:r>
          </w:p>
        </w:tc>
        <w:tc>
          <w:tcPr>
            <w:tcW w:w="2410" w:type="dxa"/>
            <w:vAlign w:val="center"/>
          </w:tcPr>
          <w:p>
            <w:pPr>
              <w:spacing w:line="360" w:lineRule="auto"/>
              <w:rPr>
                <w:rFonts w:ascii="宋体"/>
                <w:b/>
                <w:bCs/>
                <w:szCs w:val="21"/>
              </w:rPr>
            </w:pPr>
            <w:r>
              <w:rPr>
                <w:rFonts w:hint="eastAsia" w:ascii="宋体" w:hAnsi="宋体"/>
                <w:b/>
                <w:bCs/>
                <w:szCs w:val="21"/>
              </w:rPr>
              <w:t>为本项目提供整体设计、规范编制或者项目管理、监理、检测等服务的供应商不得参加本项目投标</w:t>
            </w:r>
          </w:p>
        </w:tc>
        <w:tc>
          <w:tcPr>
            <w:tcW w:w="5954" w:type="dxa"/>
          </w:tcPr>
          <w:p>
            <w:pPr>
              <w:spacing w:line="360" w:lineRule="auto"/>
              <w:rPr>
                <w:rFonts w:ascii="宋体" w:cs="仿宋_GB2312"/>
                <w:szCs w:val="21"/>
                <w:lang w:val="zh-CN"/>
              </w:rPr>
            </w:pPr>
            <w:r>
              <w:rPr>
                <w:rFonts w:hint="eastAsia" w:ascii="宋体" w:hAnsi="宋体" w:cs="仿宋_GB2312"/>
                <w:szCs w:val="21"/>
                <w:lang w:val="zh-CN"/>
              </w:rPr>
              <w:t>投标人</w:t>
            </w:r>
            <w:bookmarkStart w:id="12" w:name="baidusnap2"/>
            <w:bookmarkEnd w:id="12"/>
            <w:r>
              <w:rPr>
                <w:rFonts w:hint="eastAsia" w:ascii="宋体" w:hAnsi="宋体" w:cs="仿宋_GB2312"/>
                <w:szCs w:val="21"/>
                <w:lang w:val="zh-CN"/>
              </w:rPr>
              <w:t>提供未为本项目提供整体设计、</w:t>
            </w:r>
            <w:bookmarkStart w:id="13" w:name="baidusnap9"/>
            <w:bookmarkEnd w:id="13"/>
            <w:r>
              <w:rPr>
                <w:rFonts w:hint="eastAsia" w:ascii="宋体" w:hAnsi="宋体" w:cs="仿宋_GB2312"/>
                <w:szCs w:val="21"/>
                <w:lang w:val="zh-CN"/>
              </w:rPr>
              <w:t>规范编制或者项目管理、监理、检测等服务承诺函（承诺函格式自拟）。</w:t>
            </w:r>
          </w:p>
          <w:p>
            <w:pPr>
              <w:spacing w:line="360" w:lineRule="auto"/>
              <w:rPr>
                <w:rFonts w:ascii="宋体"/>
                <w:bCs/>
                <w:szCs w:val="21"/>
              </w:rPr>
            </w:pPr>
          </w:p>
        </w:tc>
      </w:tr>
    </w:tbl>
    <w:p>
      <w:pPr>
        <w:pStyle w:val="16"/>
        <w:spacing w:line="360" w:lineRule="auto"/>
        <w:contextualSpacing/>
        <w:rPr>
          <w:rFonts w:ascii="宋体" w:cs="仿宋_GB2312"/>
          <w:b/>
          <w:sz w:val="21"/>
          <w:szCs w:val="21"/>
          <w:lang w:val="zh-CN"/>
        </w:rPr>
      </w:pPr>
      <w:r>
        <w:rPr>
          <w:rFonts w:hint="eastAsia" w:ascii="宋体" w:hAnsi="宋体" w:cs="仿宋_GB2312"/>
          <w:b/>
          <w:sz w:val="21"/>
          <w:szCs w:val="21"/>
          <w:lang w:val="zh-CN"/>
        </w:rPr>
        <w:t>二、评标</w:t>
      </w:r>
    </w:p>
    <w:p>
      <w:pPr>
        <w:pStyle w:val="16"/>
        <w:spacing w:line="360" w:lineRule="auto"/>
        <w:ind w:firstLine="422" w:firstLineChars="200"/>
        <w:contextualSpacing/>
        <w:rPr>
          <w:rFonts w:ascii="宋体" w:cs="仿宋_GB2312"/>
          <w:b/>
          <w:sz w:val="21"/>
          <w:szCs w:val="21"/>
          <w:lang w:val="zh-CN"/>
        </w:rPr>
      </w:pPr>
      <w:r>
        <w:rPr>
          <w:rFonts w:hint="eastAsia" w:ascii="宋体" w:hAnsi="宋体" w:cs="仿宋_GB2312"/>
          <w:b/>
          <w:sz w:val="21"/>
          <w:szCs w:val="21"/>
          <w:lang w:val="zh-CN"/>
        </w:rPr>
        <w:t>（一）评标方法</w:t>
      </w:r>
    </w:p>
    <w:p>
      <w:pPr>
        <w:pStyle w:val="16"/>
        <w:spacing w:line="360" w:lineRule="auto"/>
        <w:ind w:firstLine="420" w:firstLineChars="200"/>
        <w:contextualSpacing/>
        <w:rPr>
          <w:rFonts w:ascii="宋体" w:cs="仿宋_GB2312"/>
          <w:b/>
          <w:sz w:val="21"/>
          <w:szCs w:val="21"/>
          <w:lang w:val="zh-CN"/>
        </w:rPr>
      </w:pPr>
      <w:r>
        <w:rPr>
          <w:rFonts w:hint="eastAsia" w:ascii="宋体" w:hAnsi="宋体" w:cs="仿宋_GB2312"/>
          <w:sz w:val="21"/>
          <w:szCs w:val="21"/>
          <w:lang w:val="zh-CN"/>
        </w:rPr>
        <w:t>本项目采用综合评分法。总分为</w:t>
      </w:r>
      <w:r>
        <w:rPr>
          <w:rFonts w:ascii="宋体" w:hAnsi="宋体" w:cs="仿宋_GB2312"/>
          <w:sz w:val="21"/>
          <w:szCs w:val="21"/>
          <w:lang w:val="zh-CN"/>
        </w:rPr>
        <w:t>100</w:t>
      </w:r>
      <w:r>
        <w:rPr>
          <w:rFonts w:hint="eastAsia" w:ascii="宋体" w:hAnsi="宋体" w:cs="仿宋_GB2312"/>
          <w:sz w:val="21"/>
          <w:szCs w:val="21"/>
          <w:lang w:val="zh-CN"/>
        </w:rPr>
        <w:t>分。</w:t>
      </w:r>
    </w:p>
    <w:p>
      <w:pPr>
        <w:pStyle w:val="16"/>
        <w:spacing w:line="360" w:lineRule="auto"/>
        <w:ind w:firstLine="422" w:firstLineChars="200"/>
        <w:contextualSpacing/>
        <w:rPr>
          <w:rFonts w:ascii="宋体" w:cs="仿宋_GB2312"/>
          <w:b/>
          <w:sz w:val="21"/>
          <w:szCs w:val="21"/>
          <w:lang w:val="zh-CN"/>
        </w:rPr>
      </w:pPr>
      <w:r>
        <w:rPr>
          <w:rFonts w:hint="eastAsia" w:ascii="宋体" w:hAnsi="宋体" w:cs="仿宋_GB2312"/>
          <w:b/>
          <w:sz w:val="21"/>
          <w:szCs w:val="21"/>
          <w:lang w:val="zh-CN"/>
        </w:rPr>
        <w:t>（二）评标委员会负责具体评标事务，并独立履行下列职责</w:t>
      </w:r>
    </w:p>
    <w:p>
      <w:pPr>
        <w:pStyle w:val="16"/>
        <w:spacing w:line="360" w:lineRule="auto"/>
        <w:ind w:firstLine="422" w:firstLineChars="200"/>
        <w:contextualSpacing/>
        <w:jc w:val="left"/>
        <w:rPr>
          <w:rFonts w:ascii="宋体" w:cs="仿宋_GB2312"/>
          <w:b/>
          <w:sz w:val="21"/>
          <w:szCs w:val="21"/>
          <w:lang w:val="zh-CN"/>
        </w:rPr>
      </w:pPr>
      <w:r>
        <w:rPr>
          <w:rFonts w:ascii="宋体" w:hAnsi="宋体" w:cs="仿宋_GB2312"/>
          <w:b/>
          <w:sz w:val="21"/>
          <w:szCs w:val="21"/>
          <w:lang w:val="zh-CN"/>
        </w:rPr>
        <w:t>1</w:t>
      </w:r>
      <w:r>
        <w:rPr>
          <w:rFonts w:hint="eastAsia" w:ascii="宋体" w:hAnsi="宋体" w:cs="仿宋_GB2312"/>
          <w:b/>
          <w:sz w:val="21"/>
          <w:szCs w:val="21"/>
          <w:lang w:val="zh-CN"/>
        </w:rPr>
        <w:t>、审查、评价投标文件是否符合招标文件的商务、技术等实质性要求；</w:t>
      </w:r>
    </w:p>
    <w:p>
      <w:pPr>
        <w:pStyle w:val="16"/>
        <w:spacing w:line="360" w:lineRule="auto"/>
        <w:ind w:firstLine="420" w:firstLineChars="200"/>
        <w:contextualSpacing/>
        <w:jc w:val="left"/>
        <w:rPr>
          <w:rFonts w:ascii="宋体" w:cs="仿宋_GB2312"/>
          <w:sz w:val="21"/>
          <w:szCs w:val="21"/>
          <w:lang w:val="zh-CN"/>
        </w:rPr>
      </w:pPr>
      <w:r>
        <w:rPr>
          <w:rFonts w:hint="eastAsia" w:ascii="宋体" w:hAnsi="宋体" w:cs="仿宋_GB2312"/>
          <w:sz w:val="21"/>
          <w:szCs w:val="21"/>
          <w:lang w:val="zh-CN"/>
        </w:rPr>
        <w:t>评标委员会对符合资格的投标人的投标文件进行符合性审查，以确定其是否满足招标文件的商务、技术等实质性要求。</w:t>
      </w:r>
    </w:p>
    <w:p>
      <w:pPr>
        <w:pStyle w:val="16"/>
        <w:spacing w:line="360" w:lineRule="auto"/>
        <w:ind w:firstLine="420" w:firstLineChars="200"/>
        <w:contextualSpacing/>
        <w:jc w:val="left"/>
        <w:rPr>
          <w:rFonts w:ascii="宋体" w:cs="仿宋_GB2312"/>
          <w:sz w:val="21"/>
          <w:szCs w:val="21"/>
          <w:lang w:val="zh-CN"/>
        </w:rPr>
      </w:pPr>
      <w:r>
        <w:rPr>
          <w:rFonts w:hint="eastAsia" w:ascii="宋体" w:hAnsi="宋体" w:cs="仿宋_GB2312"/>
          <w:sz w:val="21"/>
          <w:szCs w:val="21"/>
          <w:lang w:val="zh-CN"/>
        </w:rPr>
        <w:t>注：符合性审查中所涉及到的证书及材料，均应在电子投标文件中提供原件扫描件（或图片）。</w:t>
      </w:r>
    </w:p>
    <w:p>
      <w:pPr>
        <w:pStyle w:val="16"/>
        <w:spacing w:line="360" w:lineRule="auto"/>
        <w:ind w:firstLine="422" w:firstLineChars="200"/>
        <w:contextualSpacing/>
        <w:rPr>
          <w:rFonts w:ascii="宋体" w:cs="仿宋_GB2312"/>
          <w:b/>
          <w:sz w:val="21"/>
          <w:szCs w:val="21"/>
          <w:lang w:val="zh-CN"/>
        </w:rPr>
      </w:pPr>
      <w:r>
        <w:rPr>
          <w:rFonts w:ascii="宋体" w:hAnsi="宋体" w:cs="仿宋_GB2312"/>
          <w:b/>
          <w:sz w:val="21"/>
          <w:szCs w:val="21"/>
          <w:lang w:val="zh-CN"/>
        </w:rPr>
        <w:t>2</w:t>
      </w:r>
      <w:r>
        <w:rPr>
          <w:rFonts w:hint="eastAsia" w:ascii="宋体" w:hAnsi="宋体" w:cs="仿宋_GB2312"/>
          <w:b/>
          <w:sz w:val="21"/>
          <w:szCs w:val="21"/>
          <w:lang w:val="zh-CN"/>
        </w:rPr>
        <w:t>、要求投标人对投标文件有关事项作出澄清或者说明；</w:t>
      </w:r>
    </w:p>
    <w:p>
      <w:pPr>
        <w:pStyle w:val="16"/>
        <w:spacing w:line="360" w:lineRule="auto"/>
        <w:ind w:firstLine="420" w:firstLineChars="200"/>
        <w:contextualSpacing/>
        <w:rPr>
          <w:rFonts w:ascii="宋体" w:cs="仿宋_GB2312"/>
          <w:sz w:val="21"/>
          <w:szCs w:val="21"/>
          <w:lang w:val="zh-CN"/>
        </w:rPr>
      </w:pPr>
      <w:r>
        <w:rPr>
          <w:rFonts w:hint="eastAsia" w:ascii="宋体" w:hAnsi="宋体" w:cs="仿宋_GB2312"/>
          <w:sz w:val="21"/>
          <w:szCs w:val="21"/>
          <w:lang w:val="zh-CN"/>
        </w:rPr>
        <w:t>对于投标文件中含义不明确、同类问题表述不一致或者有明显文字和计算错误的内容，评标委员会应当以书面形式要求投标人作出必要的澄清、说明或者补正。</w:t>
      </w:r>
    </w:p>
    <w:p>
      <w:pPr>
        <w:pStyle w:val="16"/>
        <w:spacing w:line="360" w:lineRule="auto"/>
        <w:ind w:firstLine="420" w:firstLineChars="200"/>
        <w:contextualSpacing/>
        <w:rPr>
          <w:rFonts w:ascii="宋体" w:cs="仿宋_GB2312"/>
          <w:sz w:val="21"/>
          <w:szCs w:val="21"/>
          <w:lang w:val="zh-CN"/>
        </w:rPr>
      </w:pPr>
      <w:r>
        <w:rPr>
          <w:rFonts w:hint="eastAsia" w:ascii="宋体" w:hAnsi="宋体" w:cs="仿宋_GB2312"/>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6"/>
        <w:spacing w:line="360" w:lineRule="auto"/>
        <w:ind w:firstLine="465"/>
        <w:contextualSpacing/>
        <w:jc w:val="left"/>
        <w:rPr>
          <w:rFonts w:ascii="宋体" w:cs="仿宋_GB2312"/>
          <w:b/>
          <w:sz w:val="21"/>
          <w:szCs w:val="21"/>
          <w:lang w:val="zh-CN"/>
        </w:rPr>
      </w:pPr>
      <w:r>
        <w:rPr>
          <w:rFonts w:ascii="宋体" w:hAnsi="宋体" w:cs="仿宋_GB2312"/>
          <w:b/>
          <w:sz w:val="21"/>
          <w:szCs w:val="21"/>
          <w:lang w:val="zh-CN"/>
        </w:rPr>
        <w:t>3</w:t>
      </w:r>
      <w:r>
        <w:rPr>
          <w:rFonts w:hint="eastAsia" w:ascii="宋体" w:hAnsi="宋体" w:cs="仿宋_GB2312"/>
          <w:b/>
          <w:sz w:val="21"/>
          <w:szCs w:val="21"/>
          <w:lang w:val="zh-CN"/>
        </w:rPr>
        <w:t>、对投标文件进行比较和评价；</w:t>
      </w:r>
    </w:p>
    <w:p>
      <w:pPr>
        <w:pStyle w:val="16"/>
        <w:spacing w:line="360" w:lineRule="auto"/>
        <w:ind w:firstLine="420" w:firstLineChars="200"/>
        <w:contextualSpacing/>
        <w:rPr>
          <w:rFonts w:ascii="宋体" w:cs="仿宋_GB2312"/>
          <w:sz w:val="21"/>
          <w:szCs w:val="21"/>
          <w:lang w:val="zh-CN"/>
        </w:rPr>
      </w:pPr>
      <w:r>
        <w:rPr>
          <w:rFonts w:hint="eastAsia" w:ascii="宋体" w:hAnsi="宋体" w:cs="仿宋_GB2312"/>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pPr>
        <w:pStyle w:val="16"/>
        <w:spacing w:line="360" w:lineRule="auto"/>
        <w:ind w:firstLine="420" w:firstLineChars="200"/>
        <w:contextualSpacing/>
        <w:rPr>
          <w:rFonts w:ascii="宋体" w:cs="仿宋_GB2312"/>
          <w:sz w:val="21"/>
          <w:szCs w:val="21"/>
          <w:lang w:val="zh-CN"/>
        </w:rPr>
      </w:pPr>
      <w:r>
        <w:rPr>
          <w:rFonts w:hint="eastAsia" w:ascii="宋体" w:hAnsi="宋体" w:cs="仿宋_GB2312"/>
          <w:sz w:val="21"/>
          <w:szCs w:val="21"/>
          <w:lang w:val="zh-CN"/>
        </w:rPr>
        <w:t>注：评标标准中所涉及到的证书及材料，均应在电子投标文件中提供原件扫描件（或图片）。</w:t>
      </w:r>
    </w:p>
    <w:p>
      <w:pPr>
        <w:pStyle w:val="16"/>
        <w:spacing w:line="360" w:lineRule="auto"/>
        <w:ind w:firstLine="422" w:firstLineChars="200"/>
        <w:contextualSpacing/>
        <w:rPr>
          <w:rFonts w:ascii="宋体" w:cs="仿宋_GB2312"/>
          <w:b/>
          <w:sz w:val="21"/>
          <w:szCs w:val="21"/>
          <w:lang w:val="zh-CN"/>
        </w:rPr>
      </w:pPr>
      <w:r>
        <w:rPr>
          <w:rFonts w:hint="eastAsia" w:ascii="宋体" w:hAnsi="宋体" w:cs="仿宋_GB2312"/>
          <w:b/>
          <w:sz w:val="21"/>
          <w:szCs w:val="21"/>
          <w:lang w:val="zh-CN"/>
        </w:rPr>
        <w:t>（</w:t>
      </w:r>
      <w:r>
        <w:rPr>
          <w:rFonts w:ascii="宋体" w:hAnsi="宋体" w:cs="仿宋_GB2312"/>
          <w:b/>
          <w:sz w:val="21"/>
          <w:szCs w:val="21"/>
          <w:lang w:val="zh-CN"/>
        </w:rPr>
        <w:t>1</w:t>
      </w:r>
      <w:r>
        <w:rPr>
          <w:rFonts w:hint="eastAsia" w:ascii="宋体" w:hAnsi="宋体" w:cs="仿宋_GB2312"/>
          <w:b/>
          <w:sz w:val="21"/>
          <w:szCs w:val="21"/>
          <w:lang w:val="zh-CN"/>
        </w:rPr>
        <w:t>）价格分计算</w:t>
      </w:r>
    </w:p>
    <w:p>
      <w:pPr>
        <w:pStyle w:val="16"/>
        <w:spacing w:line="360" w:lineRule="auto"/>
        <w:ind w:firstLine="420" w:firstLineChars="200"/>
        <w:contextualSpacing/>
        <w:rPr>
          <w:rFonts w:ascii="宋体" w:cs="仿宋_GB2312"/>
          <w:sz w:val="21"/>
          <w:szCs w:val="21"/>
          <w:lang w:val="zh-CN"/>
        </w:rPr>
      </w:pPr>
      <w:r>
        <w:rPr>
          <w:rFonts w:hint="eastAsia" w:ascii="宋体" w:hAnsi="宋体" w:cs="仿宋_GB2312"/>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6"/>
        <w:spacing w:line="360" w:lineRule="auto"/>
        <w:ind w:firstLine="420" w:firstLineChars="200"/>
        <w:contextualSpacing/>
        <w:rPr>
          <w:rFonts w:ascii="宋体" w:cs="仿宋_GB2312"/>
          <w:sz w:val="21"/>
          <w:szCs w:val="21"/>
          <w:lang w:val="zh-CN"/>
        </w:rPr>
      </w:pPr>
      <w:r>
        <w:rPr>
          <w:rFonts w:ascii="宋体" w:hAnsi="宋体" w:cs="仿宋_GB2312"/>
          <w:sz w:val="21"/>
          <w:szCs w:val="21"/>
          <w:lang w:val="zh-CN"/>
        </w:rPr>
        <w:t>1</w:t>
      </w:r>
      <w:r>
        <w:rPr>
          <w:rFonts w:hint="eastAsia" w:ascii="宋体" w:hAnsi="宋体" w:cs="仿宋_GB2312"/>
          <w:sz w:val="21"/>
          <w:szCs w:val="21"/>
          <w:lang w:val="zh-CN"/>
        </w:rPr>
        <w:t>）如果本项目非专门面向中小企业采购，对小型和微型企业产品的价格给予</w:t>
      </w:r>
      <w:r>
        <w:rPr>
          <w:rFonts w:ascii="宋体" w:hAnsi="宋体" w:cs="仿宋_GB2312"/>
          <w:sz w:val="21"/>
          <w:szCs w:val="21"/>
          <w:lang w:val="zh-CN"/>
        </w:rPr>
        <w:t>6%</w:t>
      </w:r>
      <w:r>
        <w:rPr>
          <w:rFonts w:hint="eastAsia" w:ascii="宋体" w:hAnsi="宋体" w:cs="仿宋_GB2312"/>
          <w:sz w:val="21"/>
          <w:szCs w:val="21"/>
          <w:lang w:val="zh-CN"/>
        </w:rPr>
        <w:t>的扣除，用扣除后的价格参与评审。如果本项目非专门面向中小企业采购且接受联合体投标，联合协议中约定小型或微型企业的协议合同金额占到联合体协议合同总金额</w:t>
      </w:r>
      <w:r>
        <w:rPr>
          <w:rFonts w:ascii="宋体" w:hAnsi="宋体" w:cs="仿宋_GB2312"/>
          <w:sz w:val="21"/>
          <w:szCs w:val="21"/>
          <w:lang w:val="zh-CN"/>
        </w:rPr>
        <w:t>30%</w:t>
      </w:r>
      <w:r>
        <w:rPr>
          <w:rFonts w:hint="eastAsia" w:ascii="宋体" w:hAnsi="宋体" w:cs="仿宋_GB2312"/>
          <w:sz w:val="21"/>
          <w:szCs w:val="21"/>
          <w:lang w:val="zh-CN"/>
        </w:rPr>
        <w:t>以上的，给予联合体</w:t>
      </w:r>
      <w:r>
        <w:rPr>
          <w:rFonts w:ascii="宋体" w:hAnsi="宋体" w:cs="仿宋_GB2312"/>
          <w:sz w:val="21"/>
          <w:szCs w:val="21"/>
          <w:lang w:val="zh-CN"/>
        </w:rPr>
        <w:t>2%</w:t>
      </w:r>
      <w:r>
        <w:rPr>
          <w:rFonts w:hint="eastAsia" w:ascii="宋体" w:hAnsi="宋体" w:cs="仿宋_GB2312"/>
          <w:sz w:val="21"/>
          <w:szCs w:val="21"/>
          <w:lang w:val="zh-CN"/>
        </w:rPr>
        <w:t>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pStyle w:val="16"/>
        <w:spacing w:line="360" w:lineRule="auto"/>
        <w:ind w:firstLine="420" w:firstLineChars="200"/>
        <w:contextualSpacing/>
        <w:rPr>
          <w:rFonts w:ascii="宋体" w:cs="仿宋_GB2312"/>
          <w:sz w:val="21"/>
          <w:szCs w:val="21"/>
          <w:lang w:val="zh-CN"/>
        </w:rPr>
      </w:pPr>
      <w:r>
        <w:rPr>
          <w:rFonts w:hint="eastAsia" w:ascii="宋体" w:hAnsi="宋体" w:cs="仿宋_GB2312"/>
          <w:sz w:val="21"/>
          <w:szCs w:val="21"/>
          <w:lang w:val="zh-CN"/>
        </w:rPr>
        <w:t>小型和微型企业不包含民办非企业单位。</w:t>
      </w:r>
    </w:p>
    <w:p>
      <w:pPr>
        <w:spacing w:line="360" w:lineRule="auto"/>
        <w:ind w:firstLine="420" w:firstLineChars="200"/>
        <w:contextualSpacing/>
        <w:rPr>
          <w:rFonts w:ascii="宋体" w:cs="仿宋_GB2312"/>
          <w:szCs w:val="21"/>
          <w:lang w:val="zh-CN"/>
        </w:rPr>
      </w:pPr>
      <w:r>
        <w:rPr>
          <w:rFonts w:ascii="宋体" w:hAnsi="宋体" w:cs="仿宋_GB2312"/>
          <w:szCs w:val="21"/>
          <w:lang w:val="zh-CN"/>
        </w:rPr>
        <w:t>2</w:t>
      </w:r>
      <w:r>
        <w:rPr>
          <w:rFonts w:hint="eastAsia" w:ascii="宋体" w:hAnsi="宋体" w:cs="仿宋_GB2312"/>
          <w:szCs w:val="21"/>
          <w:lang w:val="zh-CN"/>
        </w:rPr>
        <w:t>）监狱企业视同小型、微型企业，对监狱企业价格给予</w:t>
      </w:r>
      <w:r>
        <w:rPr>
          <w:rFonts w:ascii="宋体" w:hAnsi="宋体" w:cs="仿宋_GB2312"/>
          <w:szCs w:val="21"/>
          <w:lang w:val="zh-CN"/>
        </w:rPr>
        <w:t>6%</w:t>
      </w:r>
      <w:r>
        <w:rPr>
          <w:rFonts w:hint="eastAsia" w:ascii="宋体" w:hAnsi="宋体" w:cs="仿宋_GB2312"/>
          <w:szCs w:val="21"/>
          <w:lang w:val="zh-CN"/>
        </w:rPr>
        <w:t>的扣除，用扣除后的价格参与评审。监狱企业应当提供由省级以上监狱管理局、戒毒管理局</w:t>
      </w:r>
      <w:r>
        <w:rPr>
          <w:rFonts w:ascii="宋体" w:hAnsi="宋体" w:cs="仿宋_GB2312"/>
          <w:szCs w:val="21"/>
          <w:lang w:val="zh-CN"/>
        </w:rPr>
        <w:t>(</w:t>
      </w:r>
      <w:r>
        <w:rPr>
          <w:rFonts w:hint="eastAsia" w:ascii="宋体" w:hAnsi="宋体" w:cs="仿宋_GB2312"/>
          <w:szCs w:val="21"/>
          <w:lang w:val="zh-CN"/>
        </w:rPr>
        <w:t>含新疆生产建设兵团</w:t>
      </w:r>
      <w:r>
        <w:rPr>
          <w:rFonts w:ascii="宋体" w:hAnsi="宋体" w:cs="仿宋_GB2312"/>
          <w:szCs w:val="21"/>
          <w:lang w:val="zh-CN"/>
        </w:rPr>
        <w:t>)</w:t>
      </w:r>
      <w:r>
        <w:rPr>
          <w:rFonts w:hint="eastAsia" w:ascii="宋体" w:hAnsi="宋体" w:cs="仿宋_GB2312"/>
          <w:szCs w:val="21"/>
          <w:lang w:val="zh-CN"/>
        </w:rPr>
        <w:t>出具的属于监狱企业的证明文件。</w:t>
      </w:r>
    </w:p>
    <w:p>
      <w:pPr>
        <w:pStyle w:val="16"/>
        <w:spacing w:line="360" w:lineRule="auto"/>
        <w:ind w:firstLine="420" w:firstLineChars="200"/>
        <w:contextualSpacing/>
        <w:rPr>
          <w:rFonts w:ascii="宋体"/>
          <w:color w:val="000000"/>
          <w:sz w:val="21"/>
          <w:szCs w:val="21"/>
        </w:rPr>
      </w:pPr>
      <w:r>
        <w:rPr>
          <w:rFonts w:ascii="宋体" w:hAnsi="宋体" w:cs="仿宋_GB2312"/>
          <w:sz w:val="21"/>
          <w:szCs w:val="21"/>
          <w:lang w:val="zh-CN"/>
        </w:rPr>
        <w:t>3</w:t>
      </w:r>
      <w:r>
        <w:rPr>
          <w:rFonts w:hint="eastAsia" w:ascii="宋体" w:hAnsi="宋体" w:cs="仿宋_GB2312"/>
          <w:sz w:val="21"/>
          <w:szCs w:val="21"/>
          <w:lang w:val="zh-CN"/>
        </w:rPr>
        <w:t>）残疾人福利性单位视同小型、微型企业，对残疾人福利性单位提供本单位制造的货物、承担的工程或者服务，或者提供其他残疾人福利性单位制造的货物（不包括使用非残疾人福利性单位注册商标的货物）价格给予</w:t>
      </w:r>
      <w:r>
        <w:rPr>
          <w:rFonts w:ascii="宋体" w:hAnsi="宋体" w:cs="仿宋_GB2312"/>
          <w:sz w:val="21"/>
          <w:szCs w:val="21"/>
          <w:lang w:val="zh-CN"/>
        </w:rPr>
        <w:t>6%</w:t>
      </w:r>
      <w:r>
        <w:rPr>
          <w:rFonts w:hint="eastAsia" w:ascii="宋体" w:hAnsi="宋体" w:cs="仿宋_GB2312"/>
          <w:sz w:val="21"/>
          <w:szCs w:val="21"/>
          <w:lang w:val="zh-CN"/>
        </w:rPr>
        <w:t>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宋体" w:hAnsi="宋体"/>
          <w:color w:val="000000"/>
          <w:sz w:val="21"/>
          <w:szCs w:val="21"/>
        </w:rPr>
        <w:t>残疾人福利性单位属于小型、微型企业的，不重复享受政策。</w:t>
      </w:r>
    </w:p>
    <w:p>
      <w:pPr>
        <w:pStyle w:val="16"/>
        <w:spacing w:line="360" w:lineRule="auto"/>
        <w:ind w:firstLine="422" w:firstLineChars="200"/>
        <w:contextualSpacing/>
        <w:rPr>
          <w:rFonts w:ascii="宋体" w:cs="仿宋_GB2312"/>
          <w:b/>
          <w:sz w:val="21"/>
          <w:szCs w:val="21"/>
          <w:lang w:val="zh-CN"/>
        </w:rPr>
      </w:pPr>
      <w:r>
        <w:rPr>
          <w:rFonts w:hint="eastAsia" w:ascii="宋体" w:hAnsi="宋体"/>
          <w:b/>
          <w:color w:val="000000"/>
          <w:sz w:val="21"/>
          <w:szCs w:val="21"/>
        </w:rPr>
        <w:t>（</w:t>
      </w:r>
      <w:r>
        <w:rPr>
          <w:rFonts w:ascii="宋体" w:hAnsi="宋体"/>
          <w:b/>
          <w:color w:val="000000"/>
          <w:sz w:val="21"/>
          <w:szCs w:val="21"/>
        </w:rPr>
        <w:t>2</w:t>
      </w:r>
      <w:r>
        <w:rPr>
          <w:rFonts w:hint="eastAsia" w:ascii="宋体" w:hAnsi="宋体"/>
          <w:b/>
          <w:color w:val="000000"/>
          <w:sz w:val="21"/>
          <w:szCs w:val="21"/>
        </w:rPr>
        <w:t>）</w:t>
      </w:r>
      <w:r>
        <w:rPr>
          <w:rFonts w:hint="eastAsia" w:ascii="宋体" w:hAnsi="宋体" w:cs="仿宋_GB2312"/>
          <w:b/>
          <w:sz w:val="21"/>
          <w:szCs w:val="21"/>
          <w:lang w:val="zh-CN"/>
        </w:rPr>
        <w:t>关于相同品牌产品</w:t>
      </w:r>
      <w:r>
        <w:rPr>
          <w:rFonts w:hint="eastAsia" w:ascii="宋体" w:hAnsi="宋体" w:cs="仿宋_GB2312"/>
          <w:b/>
          <w:bCs/>
          <w:sz w:val="21"/>
          <w:szCs w:val="21"/>
          <w:lang w:val="zh-CN"/>
        </w:rPr>
        <w:t>（服务类项目不适用本条款规定）</w:t>
      </w:r>
    </w:p>
    <w:p>
      <w:pPr>
        <w:pStyle w:val="16"/>
        <w:spacing w:line="360" w:lineRule="auto"/>
        <w:ind w:firstLine="465"/>
        <w:contextualSpacing/>
        <w:jc w:val="left"/>
        <w:rPr>
          <w:rFonts w:ascii="宋体" w:cs="仿宋_GB2312"/>
          <w:sz w:val="21"/>
          <w:szCs w:val="21"/>
          <w:lang w:val="zh-CN"/>
        </w:rPr>
      </w:pPr>
      <w:r>
        <w:rPr>
          <w:rFonts w:hint="eastAsia" w:ascii="宋体" w:hAnsi="宋体" w:cs="仿宋_GB2312"/>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采取随机抽取方式确定一个参加评标的投标人，其他投标无效。</w:t>
      </w:r>
    </w:p>
    <w:p>
      <w:pPr>
        <w:pStyle w:val="16"/>
        <w:spacing w:line="360" w:lineRule="auto"/>
        <w:ind w:firstLine="465"/>
        <w:contextualSpacing/>
        <w:jc w:val="left"/>
        <w:rPr>
          <w:rFonts w:ascii="宋体" w:cs="仿宋_GB2312"/>
          <w:sz w:val="21"/>
          <w:szCs w:val="21"/>
          <w:lang w:val="zh-CN"/>
        </w:rPr>
      </w:pPr>
      <w:r>
        <w:rPr>
          <w:rFonts w:hint="eastAsia" w:ascii="宋体" w:hAnsi="宋体" w:cs="仿宋_GB2312"/>
          <w:sz w:val="21"/>
          <w:szCs w:val="21"/>
          <w:lang w:val="zh-CN"/>
        </w:rPr>
        <w:t>采用综合评分法的，提供相同品牌产品（非单一产品采购项目，多家投标人提供的核心产品品牌相同）且通过资格审查、符合性审查的不同投标人参加同一合同项下投标的，按一家投标人计算，评审后得分最高的同品牌投标人作为中标候选人推荐；评审得分相同的，由采购人或者采购人委托评标委员会采取随机抽取方式确定一个投标人获得中标人推荐资格，其他同品牌投标人不作为中标候选人。</w:t>
      </w:r>
    </w:p>
    <w:p>
      <w:pPr>
        <w:pStyle w:val="16"/>
        <w:spacing w:line="360" w:lineRule="auto"/>
        <w:ind w:firstLine="422" w:firstLineChars="200"/>
        <w:contextualSpacing/>
        <w:rPr>
          <w:rFonts w:ascii="宋体" w:cs="仿宋_GB2312"/>
          <w:b/>
          <w:sz w:val="21"/>
          <w:szCs w:val="21"/>
          <w:lang w:val="zh-CN"/>
        </w:rPr>
      </w:pPr>
      <w:r>
        <w:rPr>
          <w:rFonts w:hint="eastAsia" w:ascii="宋体" w:hAnsi="宋体"/>
          <w:b/>
          <w:color w:val="000000"/>
          <w:sz w:val="21"/>
          <w:szCs w:val="21"/>
        </w:rPr>
        <w:t>（</w:t>
      </w:r>
      <w:r>
        <w:rPr>
          <w:rFonts w:ascii="宋体" w:hAnsi="宋体"/>
          <w:b/>
          <w:color w:val="000000"/>
          <w:sz w:val="21"/>
          <w:szCs w:val="21"/>
        </w:rPr>
        <w:t>3</w:t>
      </w:r>
      <w:r>
        <w:rPr>
          <w:rFonts w:hint="eastAsia" w:ascii="宋体" w:hAnsi="宋体"/>
          <w:b/>
          <w:color w:val="000000"/>
          <w:sz w:val="21"/>
          <w:szCs w:val="21"/>
        </w:rPr>
        <w:t>）强制采购节能产品和优先采购节能产品、优先采购环保产品</w:t>
      </w:r>
    </w:p>
    <w:p>
      <w:pPr>
        <w:pStyle w:val="16"/>
        <w:spacing w:line="360" w:lineRule="auto"/>
        <w:ind w:firstLine="465"/>
        <w:contextualSpacing/>
        <w:jc w:val="left"/>
        <w:rPr>
          <w:rFonts w:ascii="宋体" w:cs="仿宋_GB2312"/>
          <w:sz w:val="21"/>
          <w:szCs w:val="21"/>
          <w:lang w:val="zh-CN"/>
        </w:rPr>
      </w:pPr>
      <w:r>
        <w:rPr>
          <w:rFonts w:ascii="宋体" w:hAnsi="宋体" w:cs="仿宋_GB2312"/>
          <w:sz w:val="21"/>
          <w:szCs w:val="21"/>
          <w:lang w:val="zh-CN"/>
        </w:rPr>
        <w:t>1</w:t>
      </w:r>
      <w:r>
        <w:rPr>
          <w:rFonts w:hint="eastAsia" w:ascii="宋体" w:hAnsi="宋体" w:cs="仿宋_GB2312"/>
          <w:sz w:val="21"/>
          <w:szCs w:val="21"/>
          <w:lang w:val="zh-CN"/>
        </w:rPr>
        <w:t>）对《节能产品政府采购品目清单》所列的政府强制采购节能产品</w:t>
      </w:r>
      <w:r>
        <w:rPr>
          <w:rFonts w:hint="eastAsia" w:ascii="宋体" w:hAnsi="宋体" w:cs="仿宋_GB2312"/>
          <w:sz w:val="21"/>
          <w:szCs w:val="21"/>
        </w:rPr>
        <w:t>，</w:t>
      </w:r>
      <w:r>
        <w:rPr>
          <w:rFonts w:hint="eastAsia" w:ascii="宋体" w:hAnsi="宋体" w:cs="仿宋_GB2312"/>
          <w:sz w:val="21"/>
          <w:szCs w:val="21"/>
          <w:lang w:val="zh-CN"/>
        </w:rPr>
        <w:t>投标人投标文件中应提供具有国家确定的认证机构出具的、处于有效期之内的节能产品或环境标志产品认证证书，否则将承担其投标被视为非实质性响应投标的风险。</w:t>
      </w:r>
    </w:p>
    <w:p>
      <w:pPr>
        <w:pStyle w:val="16"/>
        <w:spacing w:line="360" w:lineRule="auto"/>
        <w:ind w:firstLine="465"/>
        <w:contextualSpacing/>
        <w:jc w:val="left"/>
        <w:rPr>
          <w:rFonts w:ascii="宋体" w:cs="仿宋_GB2312"/>
          <w:sz w:val="21"/>
          <w:szCs w:val="21"/>
          <w:lang w:val="zh-CN"/>
        </w:rPr>
      </w:pPr>
      <w:r>
        <w:rPr>
          <w:rFonts w:hint="eastAsia" w:ascii="宋体" w:hAnsi="宋体" w:cs="仿宋_GB2312"/>
          <w:sz w:val="21"/>
          <w:szCs w:val="21"/>
          <w:lang w:val="zh-CN"/>
        </w:rPr>
        <w:t>投标人所投其他产品若属于《节能产品政府采购品目清单》优先采购产品，投标文件中应提供具有国家确定的认证机构出具的、处于有效期之内的节能产品认证证书，评标委员会根据本项目评标标准予以判定并赋分。</w:t>
      </w:r>
    </w:p>
    <w:p>
      <w:pPr>
        <w:pStyle w:val="16"/>
        <w:spacing w:line="360" w:lineRule="auto"/>
        <w:ind w:firstLine="420" w:firstLineChars="200"/>
        <w:contextualSpacing/>
        <w:rPr>
          <w:rFonts w:ascii="宋体" w:cs="仿宋_GB2312"/>
          <w:sz w:val="21"/>
          <w:szCs w:val="21"/>
          <w:lang w:val="zh-CN"/>
        </w:rPr>
      </w:pPr>
      <w:r>
        <w:rPr>
          <w:rFonts w:ascii="宋体" w:hAnsi="宋体" w:cs="仿宋_GB2312"/>
          <w:sz w:val="21"/>
          <w:szCs w:val="21"/>
          <w:lang w:val="zh-CN"/>
        </w:rPr>
        <w:t>2</w:t>
      </w:r>
      <w:r>
        <w:rPr>
          <w:rFonts w:hint="eastAsia" w:ascii="宋体" w:hAnsi="宋体" w:cs="仿宋_GB2312"/>
          <w:sz w:val="21"/>
          <w:szCs w:val="21"/>
          <w:lang w:val="zh-CN"/>
        </w:rPr>
        <w:t>）投标人所投产品若属于《环境标志产品政府采购品目清单》内产品，投标文件中应提供具有国家确定的认证机构出具的、处于有效期之内的环境标志产品认证证书，评标委员会根据本项目评标标准予以判定并赋分。</w:t>
      </w:r>
    </w:p>
    <w:p>
      <w:pPr>
        <w:pStyle w:val="16"/>
        <w:spacing w:line="360" w:lineRule="auto"/>
        <w:ind w:firstLine="465"/>
        <w:contextualSpacing/>
        <w:jc w:val="left"/>
        <w:rPr>
          <w:rFonts w:ascii="宋体" w:cs="仿宋_GB2312"/>
          <w:b/>
          <w:sz w:val="21"/>
          <w:szCs w:val="21"/>
          <w:lang w:val="zh-CN"/>
        </w:rPr>
      </w:pPr>
      <w:r>
        <w:rPr>
          <w:rFonts w:hint="eastAsia" w:ascii="宋体" w:hAnsi="宋体" w:cs="仿宋_GB2312"/>
          <w:b/>
          <w:sz w:val="21"/>
          <w:szCs w:val="21"/>
          <w:lang w:val="zh-CN"/>
        </w:rPr>
        <w:t>（</w:t>
      </w:r>
      <w:r>
        <w:rPr>
          <w:rFonts w:ascii="宋体" w:hAnsi="宋体" w:cs="仿宋_GB2312"/>
          <w:b/>
          <w:sz w:val="21"/>
          <w:szCs w:val="21"/>
          <w:lang w:val="zh-CN"/>
        </w:rPr>
        <w:t>4</w:t>
      </w:r>
      <w:r>
        <w:rPr>
          <w:rFonts w:hint="eastAsia" w:ascii="宋体" w:hAnsi="宋体" w:cs="仿宋_GB2312"/>
          <w:b/>
          <w:sz w:val="21"/>
          <w:szCs w:val="21"/>
          <w:lang w:val="zh-CN"/>
        </w:rPr>
        <w:t>）关于强制性产品认证</w:t>
      </w:r>
    </w:p>
    <w:p>
      <w:pPr>
        <w:spacing w:line="360" w:lineRule="auto"/>
        <w:ind w:firstLine="420" w:firstLineChars="200"/>
        <w:contextualSpacing/>
        <w:rPr>
          <w:rFonts w:ascii="宋体" w:cs="宋体"/>
          <w:kern w:val="0"/>
          <w:szCs w:val="21"/>
        </w:rPr>
      </w:pPr>
      <w:r>
        <w:rPr>
          <w:rFonts w:ascii="宋体" w:hAnsi="宋体" w:cs="仿宋_GB2312"/>
          <w:szCs w:val="21"/>
          <w:lang w:val="zh-CN"/>
        </w:rPr>
        <w:t>1</w:t>
      </w:r>
      <w:r>
        <w:rPr>
          <w:rFonts w:hint="eastAsia" w:ascii="宋体" w:hAnsi="宋体" w:cs="仿宋_GB2312"/>
          <w:szCs w:val="21"/>
          <w:lang w:val="zh-CN"/>
        </w:rPr>
        <w:t>）如投标人所投产品属于“中国强制性产品认证”（</w:t>
      </w:r>
      <w:r>
        <w:rPr>
          <w:rFonts w:ascii="宋体" w:hAnsi="宋体" w:cs="仿宋_GB2312"/>
          <w:szCs w:val="21"/>
          <w:lang w:val="zh-CN"/>
        </w:rPr>
        <w:t>3C</w:t>
      </w:r>
      <w:r>
        <w:rPr>
          <w:rFonts w:hint="eastAsia" w:ascii="宋体" w:hAnsi="宋体" w:cs="仿宋_GB2312"/>
          <w:szCs w:val="21"/>
          <w:lang w:val="zh-CN"/>
        </w:rPr>
        <w:t>认证）范围内</w:t>
      </w:r>
      <w:r>
        <w:rPr>
          <w:rFonts w:ascii="宋体" w:cs="仿宋_GB2312"/>
          <w:szCs w:val="21"/>
          <w:lang w:val="zh-CN"/>
        </w:rPr>
        <w:t>,</w:t>
      </w:r>
      <w:r>
        <w:rPr>
          <w:rFonts w:hint="eastAsia" w:ascii="宋体" w:hAnsi="宋体" w:cs="仿宋_GB2312"/>
          <w:szCs w:val="21"/>
          <w:lang w:val="zh-CN"/>
        </w:rPr>
        <w:t>则必须承诺采用《中华人民共和国实施强制性产品认证的产品目录》并在有效期内的产品，应在投标文件中提供“所投产品符合国家强制性要求承诺函”并加盖投标人公章，否则将承担其投标被视为非实质性响应投标的风险。</w:t>
      </w:r>
    </w:p>
    <w:p>
      <w:pPr>
        <w:wordWrap w:val="0"/>
        <w:autoSpaceDE w:val="0"/>
        <w:autoSpaceDN w:val="0"/>
        <w:spacing w:line="360" w:lineRule="auto"/>
        <w:ind w:firstLine="420" w:firstLineChars="200"/>
        <w:contextualSpacing/>
        <w:rPr>
          <w:rFonts w:ascii="宋体" w:cs="仿宋_GB2312"/>
          <w:szCs w:val="21"/>
          <w:lang w:val="zh-CN"/>
        </w:rPr>
      </w:pPr>
      <w:r>
        <w:rPr>
          <w:rFonts w:ascii="宋体" w:hAnsi="宋体" w:cs="宋体"/>
          <w:kern w:val="0"/>
          <w:szCs w:val="21"/>
        </w:rPr>
        <w:t>2)</w:t>
      </w:r>
      <w:r>
        <w:rPr>
          <w:rFonts w:hint="eastAsia" w:ascii="宋体" w:hAnsi="宋体" w:cs="宋体"/>
          <w:kern w:val="0"/>
          <w:szCs w:val="21"/>
        </w:rPr>
        <w:t>投标人所投产品如被列入《信息安全产品强制性认证目录》，</w:t>
      </w:r>
      <w:r>
        <w:rPr>
          <w:rFonts w:hint="eastAsia" w:ascii="宋体" w:hAnsi="宋体" w:cs="仿宋_GB2312"/>
          <w:szCs w:val="21"/>
          <w:lang w:val="zh-CN"/>
        </w:rPr>
        <w:t>则投标文件中应根据本项目招标文件“第二章</w:t>
      </w:r>
      <w:r>
        <w:rPr>
          <w:rFonts w:ascii="宋体" w:hAnsi="宋体" w:cs="仿宋_GB2312"/>
          <w:szCs w:val="21"/>
          <w:lang w:val="zh-CN"/>
        </w:rPr>
        <w:t xml:space="preserve"> </w:t>
      </w:r>
      <w:r>
        <w:rPr>
          <w:rFonts w:hint="eastAsia" w:ascii="宋体" w:hAnsi="宋体" w:cs="仿宋_GB2312"/>
          <w:szCs w:val="21"/>
          <w:lang w:val="zh-CN"/>
        </w:rPr>
        <w:t>项目需求”提供：</w:t>
      </w:r>
    </w:p>
    <w:p>
      <w:pPr>
        <w:wordWrap w:val="0"/>
        <w:autoSpaceDE w:val="0"/>
        <w:autoSpaceDN w:val="0"/>
        <w:spacing w:line="360" w:lineRule="auto"/>
        <w:ind w:firstLine="420" w:firstLineChars="200"/>
        <w:contextualSpacing/>
        <w:rPr>
          <w:rFonts w:ascii="宋体" w:cs="宋体"/>
          <w:kern w:val="0"/>
          <w:szCs w:val="21"/>
        </w:rPr>
      </w:pPr>
      <w:r>
        <w:rPr>
          <w:rFonts w:hint="eastAsia" w:ascii="宋体" w:hAnsi="宋体" w:cs="宋体"/>
          <w:kern w:val="0"/>
          <w:szCs w:val="21"/>
        </w:rPr>
        <w:t>①中国信息安全认证中心官网（</w:t>
      </w:r>
      <w:r>
        <w:rPr>
          <w:rFonts w:ascii="宋体" w:hAnsi="宋体" w:cs="宋体"/>
          <w:kern w:val="0"/>
          <w:szCs w:val="21"/>
        </w:rPr>
        <w:t>http://www.isccc.gov.cn/index.shtml</w:t>
      </w:r>
      <w:r>
        <w:rPr>
          <w:rFonts w:hint="eastAsia" w:ascii="宋体" w:hAnsi="宋体" w:cs="宋体"/>
          <w:kern w:val="0"/>
          <w:szCs w:val="21"/>
        </w:rPr>
        <w:t>）产品查询结果截图并加盖投标人公章；</w:t>
      </w:r>
    </w:p>
    <w:p>
      <w:pPr>
        <w:wordWrap w:val="0"/>
        <w:autoSpaceDE w:val="0"/>
        <w:autoSpaceDN w:val="0"/>
        <w:spacing w:line="360" w:lineRule="auto"/>
        <w:ind w:firstLine="420" w:firstLineChars="200"/>
        <w:contextualSpacing/>
        <w:rPr>
          <w:rFonts w:ascii="宋体" w:cs="仿宋_GB2312"/>
          <w:szCs w:val="21"/>
          <w:lang w:val="zh-CN"/>
        </w:rPr>
      </w:pPr>
      <w:r>
        <w:rPr>
          <w:rFonts w:hint="eastAsia" w:ascii="宋体" w:hAnsi="宋体" w:cs="宋体"/>
          <w:kern w:val="0"/>
          <w:szCs w:val="21"/>
        </w:rPr>
        <w:t>②中国信息安全认证中心</w:t>
      </w:r>
      <w:r>
        <w:rPr>
          <w:rFonts w:hint="eastAsia" w:ascii="宋体" w:hAnsi="宋体" w:cs="仿宋_GB2312"/>
          <w:szCs w:val="21"/>
          <w:lang w:val="zh-CN"/>
        </w:rPr>
        <w:t>颁发的《中国国家信息安全产品认证证书》加盖投标人公章的原件扫描件（或图片）。</w:t>
      </w:r>
    </w:p>
    <w:p>
      <w:pPr>
        <w:wordWrap w:val="0"/>
        <w:spacing w:line="360" w:lineRule="auto"/>
        <w:ind w:firstLine="480" w:firstLineChars="200"/>
        <w:contextualSpacing/>
        <w:rPr>
          <w:rFonts w:ascii="楷体" w:hAnsi="楷体" w:eastAsia="楷体"/>
          <w:color w:val="00000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tabs>
          <w:tab w:val="left" w:pos="1260"/>
        </w:tabs>
        <w:autoSpaceDE w:val="0"/>
        <w:autoSpaceDN w:val="0"/>
        <w:spacing w:line="360" w:lineRule="auto"/>
        <w:ind w:firstLine="422" w:firstLineChars="200"/>
        <w:contextualSpacing/>
        <w:rPr>
          <w:rFonts w:ascii="宋体" w:cs="仿宋_GB2312"/>
          <w:b/>
          <w:szCs w:val="21"/>
          <w:lang w:val="zh-CN"/>
        </w:rPr>
      </w:pPr>
      <w:r>
        <w:rPr>
          <w:rFonts w:hint="eastAsia" w:ascii="宋体" w:hAnsi="宋体" w:cs="仿宋_GB2312"/>
          <w:b/>
          <w:szCs w:val="21"/>
          <w:lang w:val="zh-CN"/>
        </w:rPr>
        <w:t>（</w:t>
      </w:r>
      <w:r>
        <w:rPr>
          <w:rFonts w:ascii="宋体" w:hAnsi="宋体" w:cs="仿宋_GB2312"/>
          <w:b/>
          <w:szCs w:val="21"/>
          <w:lang w:val="zh-CN"/>
        </w:rPr>
        <w:t>5</w:t>
      </w:r>
      <w:r>
        <w:rPr>
          <w:rFonts w:hint="eastAsia" w:ascii="宋体" w:hAnsi="宋体" w:cs="仿宋_GB2312"/>
          <w:b/>
          <w:szCs w:val="21"/>
          <w:lang w:val="zh-CN"/>
        </w:rPr>
        <w:t>）支持脱贫攻坚（物业服务项目）</w:t>
      </w:r>
    </w:p>
    <w:p>
      <w:pPr>
        <w:tabs>
          <w:tab w:val="left" w:pos="1260"/>
        </w:tabs>
        <w:autoSpaceDE w:val="0"/>
        <w:autoSpaceDN w:val="0"/>
        <w:spacing w:line="360" w:lineRule="auto"/>
        <w:ind w:firstLine="420" w:firstLineChars="200"/>
        <w:contextualSpacing/>
        <w:rPr>
          <w:rFonts w:ascii="宋体" w:cs="仿宋_GB2312"/>
          <w:szCs w:val="21"/>
          <w:lang w:val="zh-CN"/>
        </w:rPr>
      </w:pPr>
      <w:r>
        <w:rPr>
          <w:rFonts w:hint="eastAsia" w:ascii="宋体" w:hAnsi="宋体" w:cs="仿宋_GB2312"/>
          <w:szCs w:val="21"/>
          <w:lang w:val="zh-CN"/>
        </w:rPr>
        <w:t>在物业项目中，对注册地在</w:t>
      </w:r>
      <w:r>
        <w:rPr>
          <w:rFonts w:ascii="宋体" w:hAnsi="宋体" w:cs="仿宋_GB2312"/>
          <w:szCs w:val="21"/>
          <w:lang w:val="zh-CN"/>
        </w:rPr>
        <w:t>832</w:t>
      </w:r>
      <w:r>
        <w:rPr>
          <w:rFonts w:hint="eastAsia" w:ascii="宋体" w:hAnsi="宋体" w:cs="仿宋_GB2312"/>
          <w:szCs w:val="21"/>
          <w:lang w:val="zh-CN"/>
        </w:rPr>
        <w:t>个国家级贫困县域内且聘用建档立卡贫困人员的物业公司，提供注册地证明材料、贫困县扶贫部门出具的聘用建档立卡贫困人员身份证明及社保材料（开标前</w:t>
      </w:r>
      <w:r>
        <w:rPr>
          <w:rFonts w:ascii="宋体" w:hAnsi="宋体" w:cs="仿宋_GB2312"/>
          <w:szCs w:val="21"/>
          <w:lang w:val="zh-CN"/>
        </w:rPr>
        <w:t>12</w:t>
      </w:r>
      <w:r>
        <w:rPr>
          <w:rFonts w:hint="eastAsia" w:ascii="宋体" w:hAnsi="宋体" w:cs="仿宋_GB2312"/>
          <w:szCs w:val="21"/>
          <w:lang w:val="zh-CN"/>
        </w:rPr>
        <w:t>个月内至少连续</w:t>
      </w:r>
      <w:r>
        <w:rPr>
          <w:rFonts w:ascii="宋体" w:hAnsi="宋体" w:cs="仿宋_GB2312"/>
          <w:szCs w:val="21"/>
          <w:lang w:val="zh-CN"/>
        </w:rPr>
        <w:t>3</w:t>
      </w:r>
      <w:r>
        <w:rPr>
          <w:rFonts w:hint="eastAsia" w:ascii="宋体" w:hAnsi="宋体" w:cs="仿宋_GB2312"/>
          <w:szCs w:val="21"/>
          <w:lang w:val="zh-CN"/>
        </w:rPr>
        <w:t>个月）的有效证明后，评标委员会根据本项目评标标准予以判定并赋分。</w:t>
      </w:r>
    </w:p>
    <w:p>
      <w:pPr>
        <w:tabs>
          <w:tab w:val="left" w:pos="1260"/>
        </w:tabs>
        <w:autoSpaceDE w:val="0"/>
        <w:autoSpaceDN w:val="0"/>
        <w:spacing w:line="360" w:lineRule="auto"/>
        <w:ind w:firstLine="422" w:firstLineChars="200"/>
        <w:contextualSpacing/>
        <w:rPr>
          <w:rFonts w:ascii="宋体" w:cs="仿宋_GB2312"/>
          <w:b/>
          <w:szCs w:val="21"/>
          <w:lang w:val="zh-CN"/>
        </w:rPr>
      </w:pPr>
      <w:r>
        <w:rPr>
          <w:rFonts w:hint="eastAsia" w:ascii="宋体" w:hAnsi="宋体" w:cs="仿宋_GB2312"/>
          <w:b/>
          <w:szCs w:val="21"/>
          <w:lang w:val="zh-CN"/>
        </w:rPr>
        <w:t>（</w:t>
      </w:r>
      <w:r>
        <w:rPr>
          <w:rFonts w:ascii="宋体" w:hAnsi="宋体" w:cs="仿宋_GB2312"/>
          <w:b/>
          <w:szCs w:val="21"/>
          <w:lang w:val="zh-CN"/>
        </w:rPr>
        <w:t>6</w:t>
      </w:r>
      <w:r>
        <w:rPr>
          <w:rFonts w:hint="eastAsia" w:ascii="宋体" w:hAnsi="宋体" w:cs="仿宋_GB2312"/>
          <w:b/>
          <w:szCs w:val="21"/>
          <w:lang w:val="zh-CN"/>
        </w:rPr>
        <w:t>）投标无效情形</w:t>
      </w:r>
    </w:p>
    <w:p>
      <w:pPr>
        <w:tabs>
          <w:tab w:val="left" w:pos="1260"/>
        </w:tabs>
        <w:autoSpaceDE w:val="0"/>
        <w:autoSpaceDN w:val="0"/>
        <w:spacing w:line="360" w:lineRule="auto"/>
        <w:ind w:firstLine="420" w:firstLineChars="200"/>
        <w:contextualSpacing/>
        <w:rPr>
          <w:rFonts w:ascii="宋体" w:cs="仿宋_GB2312"/>
          <w:szCs w:val="21"/>
          <w:lang w:val="zh-CN"/>
        </w:rPr>
      </w:pPr>
      <w:r>
        <w:rPr>
          <w:rFonts w:ascii="宋体" w:hAnsi="宋体" w:cs="仿宋_GB2312"/>
          <w:szCs w:val="21"/>
          <w:lang w:val="zh-CN"/>
        </w:rPr>
        <w:t>1</w:t>
      </w:r>
      <w:r>
        <w:rPr>
          <w:rFonts w:hint="eastAsia" w:ascii="宋体" w:hAnsi="宋体" w:cs="仿宋_GB2312"/>
          <w:szCs w:val="21"/>
          <w:lang w:val="zh-CN"/>
        </w:rPr>
        <w:t>）投标人应当遵循公平竞争的原则，不得恶意串通，不得妨碍其他投标人的竞争行为，不得损害采购人或者其他投标人的合法权益。在评标过程中发现投标人有上述情形的，评标委员会应当认定其投标无效。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20" w:firstLineChars="200"/>
        <w:contextualSpacing/>
        <w:rPr>
          <w:rFonts w:ascii="宋体" w:cs="仿宋_GB2312"/>
          <w:szCs w:val="21"/>
          <w:lang w:val="zh-CN"/>
        </w:rPr>
      </w:pPr>
      <w:r>
        <w:rPr>
          <w:rFonts w:ascii="宋体" w:hAnsi="宋体" w:cs="仿宋_GB2312"/>
          <w:szCs w:val="21"/>
          <w:lang w:val="zh-CN"/>
        </w:rPr>
        <w:t>2</w:t>
      </w:r>
      <w:r>
        <w:rPr>
          <w:rFonts w:hint="eastAsia" w:ascii="宋体" w:hAnsi="宋体" w:cs="仿宋_GB2312"/>
          <w:szCs w:val="21"/>
          <w:lang w:val="zh-CN"/>
        </w:rPr>
        <w:t>）符合性审查资料未按招标文件要求签署、盖章的；</w:t>
      </w:r>
    </w:p>
    <w:p>
      <w:pPr>
        <w:tabs>
          <w:tab w:val="left" w:pos="1260"/>
        </w:tabs>
        <w:autoSpaceDE w:val="0"/>
        <w:autoSpaceDN w:val="0"/>
        <w:spacing w:line="360" w:lineRule="auto"/>
        <w:ind w:firstLine="420" w:firstLineChars="200"/>
        <w:contextualSpacing/>
        <w:rPr>
          <w:rFonts w:ascii="宋体" w:cs="仿宋_GB2312"/>
          <w:szCs w:val="21"/>
          <w:lang w:val="zh-CN"/>
        </w:rPr>
      </w:pPr>
      <w:r>
        <w:rPr>
          <w:rFonts w:ascii="宋体" w:hAnsi="宋体" w:cs="仿宋_GB2312"/>
          <w:szCs w:val="21"/>
          <w:lang w:val="zh-CN"/>
        </w:rPr>
        <w:t>3</w:t>
      </w:r>
      <w:r>
        <w:rPr>
          <w:rFonts w:hint="eastAsia" w:ascii="宋体" w:hAnsi="宋体" w:cs="仿宋_GB2312"/>
          <w:szCs w:val="21"/>
          <w:lang w:val="zh-CN"/>
        </w:rPr>
        <w:t>）有下列情形之一的，视为投标人串通投标，其投标无效：</w:t>
      </w:r>
    </w:p>
    <w:p>
      <w:pPr>
        <w:tabs>
          <w:tab w:val="left" w:pos="1260"/>
        </w:tabs>
        <w:autoSpaceDE w:val="0"/>
        <w:autoSpaceDN w:val="0"/>
        <w:spacing w:line="360" w:lineRule="auto"/>
        <w:ind w:firstLine="420" w:firstLineChars="200"/>
        <w:contextualSpacing/>
        <w:rPr>
          <w:rFonts w:ascii="宋体" w:cs="仿宋_GB2312"/>
          <w:szCs w:val="21"/>
          <w:lang w:val="zh-CN"/>
        </w:rPr>
      </w:pPr>
      <w:r>
        <w:rPr>
          <w:rFonts w:ascii="宋体" w:hAnsi="宋体" w:cs="仿宋_GB2312"/>
          <w:szCs w:val="21"/>
          <w:lang w:val="zh-CN"/>
        </w:rPr>
        <w:t>a.</w:t>
      </w:r>
      <w:r>
        <w:rPr>
          <w:rFonts w:hint="eastAsia" w:ascii="宋体" w:hAnsi="宋体" w:cs="仿宋_GB2312"/>
          <w:szCs w:val="21"/>
          <w:lang w:val="zh-CN"/>
        </w:rPr>
        <w:t>不同投标人的投标文件由同一单位或者个人编制；</w:t>
      </w:r>
    </w:p>
    <w:p>
      <w:pPr>
        <w:tabs>
          <w:tab w:val="left" w:pos="1260"/>
        </w:tabs>
        <w:autoSpaceDE w:val="0"/>
        <w:autoSpaceDN w:val="0"/>
        <w:spacing w:line="360" w:lineRule="auto"/>
        <w:ind w:firstLine="420" w:firstLineChars="200"/>
        <w:contextualSpacing/>
        <w:rPr>
          <w:rFonts w:ascii="宋体" w:cs="仿宋_GB2312"/>
          <w:szCs w:val="21"/>
          <w:lang w:val="zh-CN"/>
        </w:rPr>
      </w:pPr>
      <w:r>
        <w:rPr>
          <w:rFonts w:ascii="宋体" w:hAnsi="宋体" w:cs="仿宋_GB2312"/>
          <w:szCs w:val="21"/>
          <w:lang w:val="zh-CN"/>
        </w:rPr>
        <w:t>b.</w:t>
      </w:r>
      <w:r>
        <w:rPr>
          <w:rFonts w:hint="eastAsia" w:ascii="宋体" w:hAnsi="宋体" w:cs="仿宋_GB2312"/>
          <w:szCs w:val="21"/>
          <w:lang w:val="zh-CN"/>
        </w:rPr>
        <w:t>不同投标人委托同一单位或者个人办理投标事宜；</w:t>
      </w:r>
    </w:p>
    <w:p>
      <w:pPr>
        <w:tabs>
          <w:tab w:val="left" w:pos="1260"/>
        </w:tabs>
        <w:autoSpaceDE w:val="0"/>
        <w:autoSpaceDN w:val="0"/>
        <w:spacing w:line="360" w:lineRule="auto"/>
        <w:ind w:firstLine="420" w:firstLineChars="200"/>
        <w:contextualSpacing/>
        <w:rPr>
          <w:rFonts w:ascii="宋体" w:cs="仿宋_GB2312"/>
          <w:szCs w:val="21"/>
          <w:lang w:val="zh-CN"/>
        </w:rPr>
      </w:pPr>
      <w:r>
        <w:rPr>
          <w:rFonts w:ascii="宋体" w:hAnsi="宋体" w:cs="仿宋_GB2312"/>
          <w:szCs w:val="21"/>
          <w:lang w:val="zh-CN"/>
        </w:rPr>
        <w:t>c.</w:t>
      </w:r>
      <w:r>
        <w:rPr>
          <w:rFonts w:hint="eastAsia" w:ascii="宋体" w:hAnsi="宋体" w:cs="仿宋_GB2312"/>
          <w:szCs w:val="21"/>
          <w:lang w:val="zh-CN"/>
        </w:rPr>
        <w:t>不同投标人的投标文件载明的项目管理成员或者联系人员为同一人；</w:t>
      </w:r>
    </w:p>
    <w:p>
      <w:pPr>
        <w:tabs>
          <w:tab w:val="left" w:pos="1260"/>
        </w:tabs>
        <w:autoSpaceDE w:val="0"/>
        <w:autoSpaceDN w:val="0"/>
        <w:spacing w:line="360" w:lineRule="auto"/>
        <w:ind w:firstLine="420" w:firstLineChars="200"/>
        <w:contextualSpacing/>
        <w:rPr>
          <w:rFonts w:ascii="宋体" w:cs="仿宋_GB2312"/>
          <w:szCs w:val="21"/>
          <w:lang w:val="zh-CN"/>
        </w:rPr>
      </w:pPr>
      <w:r>
        <w:rPr>
          <w:rFonts w:ascii="宋体" w:hAnsi="宋体" w:cs="仿宋_GB2312"/>
          <w:szCs w:val="21"/>
          <w:lang w:val="zh-CN"/>
        </w:rPr>
        <w:t>d.</w:t>
      </w:r>
      <w:r>
        <w:rPr>
          <w:rFonts w:hint="eastAsia" w:ascii="宋体" w:hAnsi="宋体" w:cs="仿宋_GB2312"/>
          <w:szCs w:val="21"/>
          <w:lang w:val="zh-CN"/>
        </w:rPr>
        <w:t>不同投标人的投标文件异常一致或者投标报价呈规律性差异；</w:t>
      </w:r>
    </w:p>
    <w:p>
      <w:pPr>
        <w:tabs>
          <w:tab w:val="left" w:pos="1260"/>
        </w:tabs>
        <w:autoSpaceDE w:val="0"/>
        <w:autoSpaceDN w:val="0"/>
        <w:spacing w:line="360" w:lineRule="auto"/>
        <w:ind w:firstLine="420" w:firstLineChars="200"/>
        <w:contextualSpacing/>
        <w:rPr>
          <w:rFonts w:ascii="宋体" w:cs="仿宋_GB2312"/>
          <w:szCs w:val="21"/>
          <w:lang w:val="zh-CN"/>
        </w:rPr>
      </w:pPr>
      <w:r>
        <w:rPr>
          <w:rFonts w:ascii="宋体" w:hAnsi="宋体" w:cs="仿宋_GB2312"/>
          <w:szCs w:val="21"/>
          <w:lang w:val="zh-CN"/>
        </w:rPr>
        <w:t>e.</w:t>
      </w:r>
      <w:r>
        <w:rPr>
          <w:rFonts w:hint="eastAsia" w:ascii="宋体" w:hAnsi="宋体" w:cs="仿宋_GB2312"/>
          <w:szCs w:val="21"/>
          <w:lang w:val="zh-CN"/>
        </w:rPr>
        <w:t>不同投标人的投标文件相互混装；</w:t>
      </w:r>
    </w:p>
    <w:p>
      <w:pPr>
        <w:spacing w:line="360" w:lineRule="auto"/>
        <w:ind w:firstLine="420" w:firstLineChars="200"/>
        <w:contextualSpacing/>
        <w:rPr>
          <w:rFonts w:ascii="宋体" w:cs="仿宋_GB2312"/>
          <w:szCs w:val="21"/>
          <w:lang w:val="zh-CN"/>
        </w:rPr>
      </w:pPr>
      <w:r>
        <w:rPr>
          <w:rFonts w:ascii="宋体" w:hAnsi="宋体" w:cs="仿宋_GB2312"/>
          <w:szCs w:val="21"/>
          <w:lang w:val="zh-CN"/>
        </w:rPr>
        <w:t>4</w:t>
      </w:r>
      <w:r>
        <w:rPr>
          <w:rFonts w:hint="eastAsia" w:ascii="宋体" w:hAnsi="宋体" w:cs="仿宋_GB2312"/>
          <w:szCs w:val="21"/>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20" w:firstLineChars="200"/>
        <w:contextualSpacing/>
        <w:rPr>
          <w:rFonts w:ascii="宋体" w:cs="仿宋_GB2312"/>
          <w:szCs w:val="21"/>
          <w:lang w:val="zh-CN"/>
        </w:rPr>
      </w:pPr>
      <w:r>
        <w:rPr>
          <w:rFonts w:ascii="宋体" w:hAnsi="宋体" w:cs="仿宋_GB2312"/>
          <w:szCs w:val="21"/>
          <w:lang w:val="zh-CN"/>
        </w:rPr>
        <w:t>5</w:t>
      </w:r>
      <w:r>
        <w:rPr>
          <w:rFonts w:hint="eastAsia" w:ascii="宋体" w:hAnsi="宋体" w:cs="仿宋_GB2312"/>
          <w:szCs w:val="21"/>
          <w:lang w:val="zh-CN"/>
        </w:rPr>
        <w:t>）法律、法规和招标文件规定的其他无效情形。</w:t>
      </w:r>
    </w:p>
    <w:p>
      <w:pPr>
        <w:widowControl/>
        <w:shd w:val="clear" w:color="auto" w:fill="FFFFFF"/>
        <w:spacing w:line="360" w:lineRule="atLeast"/>
        <w:ind w:firstLine="600"/>
        <w:jc w:val="left"/>
        <w:rPr>
          <w:rFonts w:hint="eastAsia" w:ascii="宋体" w:hAnsi="宋体" w:cs="仿宋_GB2312"/>
          <w:b/>
          <w:szCs w:val="21"/>
          <w:lang w:val="zh-CN"/>
        </w:rPr>
      </w:pPr>
      <w:r>
        <w:rPr>
          <w:rFonts w:hint="eastAsia" w:ascii="宋体" w:hAnsi="宋体" w:cs="仿宋_GB2312"/>
          <w:b/>
          <w:szCs w:val="21"/>
          <w:lang w:val="zh-CN"/>
        </w:rPr>
        <w:t>（</w:t>
      </w:r>
      <w:r>
        <w:rPr>
          <w:rFonts w:ascii="宋体" w:hAnsi="宋体" w:cs="仿宋_GB2312"/>
          <w:b/>
          <w:szCs w:val="21"/>
          <w:lang w:val="zh-CN"/>
        </w:rPr>
        <w:t>7</w:t>
      </w:r>
      <w:r>
        <w:rPr>
          <w:rFonts w:hint="eastAsia" w:ascii="宋体" w:hAnsi="宋体" w:cs="仿宋_GB2312"/>
          <w:b/>
          <w:szCs w:val="21"/>
          <w:lang w:val="zh-CN"/>
        </w:rPr>
        <w:t>）评标标准</w:t>
      </w:r>
    </w:p>
    <w:tbl>
      <w:tblPr>
        <w:tblStyle w:val="24"/>
        <w:tblW w:w="9039" w:type="dxa"/>
        <w:tblInd w:w="0" w:type="dxa"/>
        <w:tblLayout w:type="fixed"/>
        <w:tblCellMar>
          <w:top w:w="0" w:type="dxa"/>
          <w:left w:w="108" w:type="dxa"/>
          <w:bottom w:w="0" w:type="dxa"/>
          <w:right w:w="108" w:type="dxa"/>
        </w:tblCellMar>
      </w:tblPr>
      <w:tblGrid>
        <w:gridCol w:w="1384"/>
        <w:gridCol w:w="1563"/>
        <w:gridCol w:w="6092"/>
      </w:tblGrid>
      <w:tr>
        <w:tblPrEx>
          <w:tblCellMar>
            <w:top w:w="0" w:type="dxa"/>
            <w:left w:w="108" w:type="dxa"/>
            <w:bottom w:w="0" w:type="dxa"/>
            <w:right w:w="108" w:type="dxa"/>
          </w:tblCellMar>
        </w:tblPrEx>
        <w:trPr>
          <w:trHeight w:val="1615" w:hRule="atLeast"/>
        </w:trPr>
        <w:tc>
          <w:tcPr>
            <w:tcW w:w="2947"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420" w:lineRule="atLeast"/>
              <w:jc w:val="center"/>
              <w:rPr>
                <w:rFonts w:ascii="宋体" w:hAnsi="宋体" w:eastAsia="宋体" w:cs="宋体"/>
                <w:color w:val="auto"/>
                <w:szCs w:val="21"/>
              </w:rPr>
            </w:pPr>
            <w:r>
              <w:rPr>
                <w:rFonts w:hint="eastAsia" w:ascii="宋体" w:hAnsi="宋体" w:eastAsia="宋体" w:cs="宋体"/>
                <w:color w:val="auto"/>
                <w:szCs w:val="21"/>
              </w:rPr>
              <w:t>分值构成</w:t>
            </w:r>
          </w:p>
          <w:p>
            <w:pPr>
              <w:widowControl/>
              <w:spacing w:line="420" w:lineRule="atLeast"/>
              <w:jc w:val="center"/>
              <w:rPr>
                <w:rFonts w:ascii="宋体" w:hAnsi="宋体" w:eastAsia="宋体" w:cs="宋体"/>
                <w:color w:val="auto"/>
                <w:szCs w:val="21"/>
              </w:rPr>
            </w:pPr>
            <w:r>
              <w:rPr>
                <w:rFonts w:hint="eastAsia" w:ascii="宋体" w:hAnsi="宋体" w:eastAsia="宋体" w:cs="宋体"/>
                <w:color w:val="auto"/>
                <w:szCs w:val="21"/>
              </w:rPr>
              <w:t>(总分100分)</w:t>
            </w:r>
          </w:p>
        </w:tc>
        <w:tc>
          <w:tcPr>
            <w:tcW w:w="6092" w:type="dxa"/>
            <w:tcBorders>
              <w:top w:val="single" w:color="auto" w:sz="4" w:space="0"/>
              <w:left w:val="nil"/>
              <w:bottom w:val="single" w:color="auto" w:sz="4" w:space="0"/>
              <w:right w:val="single" w:color="auto" w:sz="4" w:space="0"/>
            </w:tcBorders>
            <w:noWrap/>
            <w:vAlign w:val="center"/>
          </w:tcPr>
          <w:p>
            <w:pPr>
              <w:pStyle w:val="67"/>
              <w:spacing w:line="420" w:lineRule="atLeast"/>
              <w:jc w:val="center"/>
              <w:rPr>
                <w:rFonts w:ascii="宋体" w:hAnsi="宋体" w:cs="宋体"/>
                <w:color w:val="auto"/>
                <w:sz w:val="21"/>
                <w:szCs w:val="21"/>
              </w:rPr>
            </w:pPr>
            <w:r>
              <w:rPr>
                <w:rFonts w:hint="eastAsia" w:ascii="宋体" w:hAnsi="宋体" w:cs="宋体"/>
                <w:color w:val="auto"/>
                <w:sz w:val="21"/>
                <w:szCs w:val="21"/>
              </w:rPr>
              <w:t>价格分值：30分</w:t>
            </w:r>
          </w:p>
          <w:p>
            <w:pPr>
              <w:pStyle w:val="67"/>
              <w:spacing w:line="420" w:lineRule="atLeast"/>
              <w:jc w:val="center"/>
              <w:rPr>
                <w:rFonts w:ascii="宋体" w:hAnsi="宋体" w:cs="宋体"/>
                <w:color w:val="auto"/>
                <w:sz w:val="21"/>
                <w:szCs w:val="21"/>
              </w:rPr>
            </w:pPr>
            <w:r>
              <w:rPr>
                <w:rFonts w:hint="eastAsia" w:ascii="宋体" w:hAnsi="宋体" w:cs="宋体"/>
                <w:color w:val="auto"/>
                <w:sz w:val="21"/>
                <w:szCs w:val="21"/>
              </w:rPr>
              <w:t>商务部分：20分</w:t>
            </w:r>
          </w:p>
          <w:p>
            <w:pPr>
              <w:pStyle w:val="67"/>
              <w:spacing w:line="420" w:lineRule="atLeast"/>
              <w:jc w:val="center"/>
              <w:rPr>
                <w:rFonts w:ascii="宋体" w:hAnsi="宋体" w:cs="宋体"/>
                <w:color w:val="auto"/>
                <w:sz w:val="21"/>
                <w:szCs w:val="21"/>
              </w:rPr>
            </w:pPr>
            <w:r>
              <w:rPr>
                <w:rFonts w:hint="eastAsia" w:ascii="宋体" w:hAnsi="宋体" w:cs="宋体"/>
                <w:color w:val="auto"/>
                <w:sz w:val="21"/>
                <w:szCs w:val="21"/>
              </w:rPr>
              <w:t>技术部分：40分</w:t>
            </w:r>
          </w:p>
          <w:p>
            <w:pPr>
              <w:pStyle w:val="67"/>
              <w:spacing w:line="420" w:lineRule="atLeast"/>
              <w:jc w:val="center"/>
              <w:rPr>
                <w:rFonts w:ascii="宋体" w:hAnsi="宋体" w:cs="宋体"/>
                <w:color w:val="auto"/>
                <w:sz w:val="21"/>
                <w:szCs w:val="21"/>
              </w:rPr>
            </w:pPr>
            <w:r>
              <w:rPr>
                <w:rFonts w:hint="eastAsia" w:ascii="宋体" w:hAnsi="宋体" w:cs="宋体"/>
                <w:color w:val="auto"/>
                <w:sz w:val="21"/>
                <w:szCs w:val="21"/>
              </w:rPr>
              <w:t>服务部分：10分</w:t>
            </w:r>
          </w:p>
        </w:tc>
      </w:tr>
      <w:tr>
        <w:tblPrEx>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noWrap/>
            <w:vAlign w:val="center"/>
          </w:tcPr>
          <w:p>
            <w:pPr>
              <w:widowControl/>
              <w:spacing w:line="420" w:lineRule="atLeast"/>
              <w:jc w:val="center"/>
              <w:rPr>
                <w:rFonts w:ascii="宋体" w:hAnsi="宋体" w:eastAsia="宋体" w:cs="宋体"/>
                <w:color w:val="auto"/>
                <w:szCs w:val="21"/>
              </w:rPr>
            </w:pPr>
            <w:r>
              <w:rPr>
                <w:rFonts w:hint="eastAsia" w:ascii="宋体" w:hAnsi="宋体" w:eastAsia="宋体" w:cs="宋体"/>
                <w:b/>
                <w:color w:val="auto"/>
                <w:kern w:val="0"/>
                <w:szCs w:val="21"/>
              </w:rPr>
              <w:t>评审项</w:t>
            </w:r>
          </w:p>
        </w:tc>
        <w:tc>
          <w:tcPr>
            <w:tcW w:w="1563" w:type="dxa"/>
            <w:tcBorders>
              <w:top w:val="single" w:color="auto" w:sz="4" w:space="0"/>
              <w:left w:val="nil"/>
              <w:bottom w:val="single" w:color="auto" w:sz="4" w:space="0"/>
              <w:right w:val="single" w:color="auto" w:sz="4" w:space="0"/>
            </w:tcBorders>
            <w:noWrap/>
            <w:vAlign w:val="center"/>
          </w:tcPr>
          <w:p>
            <w:pPr>
              <w:widowControl/>
              <w:spacing w:line="420" w:lineRule="atLeast"/>
              <w:jc w:val="center"/>
              <w:rPr>
                <w:rFonts w:ascii="宋体" w:hAnsi="宋体" w:eastAsia="宋体" w:cs="宋体"/>
                <w:color w:val="auto"/>
                <w:szCs w:val="21"/>
              </w:rPr>
            </w:pPr>
            <w:r>
              <w:rPr>
                <w:rFonts w:hint="eastAsia" w:ascii="宋体" w:hAnsi="宋体" w:eastAsia="宋体" w:cs="宋体"/>
                <w:b/>
                <w:color w:val="auto"/>
                <w:kern w:val="0"/>
                <w:szCs w:val="21"/>
              </w:rPr>
              <w:t>评分因素</w:t>
            </w:r>
          </w:p>
        </w:tc>
        <w:tc>
          <w:tcPr>
            <w:tcW w:w="6092" w:type="dxa"/>
            <w:tcBorders>
              <w:top w:val="single" w:color="auto" w:sz="4" w:space="0"/>
              <w:left w:val="nil"/>
              <w:bottom w:val="single" w:color="auto" w:sz="4" w:space="0"/>
              <w:right w:val="single" w:color="auto" w:sz="4" w:space="0"/>
            </w:tcBorders>
            <w:noWrap/>
            <w:vAlign w:val="center"/>
          </w:tcPr>
          <w:p>
            <w:pPr>
              <w:widowControl/>
              <w:spacing w:line="420" w:lineRule="atLeast"/>
              <w:jc w:val="center"/>
              <w:rPr>
                <w:rFonts w:ascii="宋体" w:hAnsi="宋体" w:eastAsia="宋体" w:cs="宋体"/>
                <w:color w:val="auto"/>
                <w:szCs w:val="21"/>
              </w:rPr>
            </w:pPr>
            <w:r>
              <w:rPr>
                <w:rFonts w:hint="eastAsia" w:ascii="宋体" w:hAnsi="宋体" w:eastAsia="宋体" w:cs="宋体"/>
                <w:b/>
                <w:color w:val="auto"/>
                <w:kern w:val="0"/>
                <w:szCs w:val="21"/>
              </w:rPr>
              <w:t>评标标准</w:t>
            </w:r>
          </w:p>
        </w:tc>
      </w:tr>
      <w:tr>
        <w:tblPrEx>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noWrap/>
            <w:vAlign w:val="center"/>
          </w:tcPr>
          <w:p>
            <w:pPr>
              <w:widowControl/>
              <w:spacing w:line="420" w:lineRule="atLeast"/>
              <w:ind w:leftChars="-2" w:hanging="4" w:hangingChars="2"/>
              <w:jc w:val="center"/>
              <w:rPr>
                <w:rFonts w:ascii="宋体" w:hAnsi="宋体" w:eastAsia="宋体" w:cs="宋体"/>
                <w:color w:val="auto"/>
                <w:szCs w:val="21"/>
              </w:rPr>
            </w:pPr>
            <w:r>
              <w:rPr>
                <w:rFonts w:hint="eastAsia" w:ascii="宋体" w:hAnsi="宋体" w:eastAsia="宋体" w:cs="宋体"/>
                <w:color w:val="auto"/>
                <w:szCs w:val="21"/>
              </w:rPr>
              <w:t>报价部分</w:t>
            </w:r>
          </w:p>
          <w:p>
            <w:pPr>
              <w:widowControl/>
              <w:spacing w:line="420" w:lineRule="atLeast"/>
              <w:ind w:leftChars="-2" w:hanging="4" w:hangingChars="2"/>
              <w:jc w:val="center"/>
              <w:rPr>
                <w:rFonts w:ascii="宋体" w:hAnsi="宋体" w:eastAsia="宋体" w:cs="宋体"/>
                <w:color w:val="auto"/>
                <w:szCs w:val="21"/>
              </w:rPr>
            </w:pPr>
            <w:r>
              <w:rPr>
                <w:rFonts w:hint="eastAsia" w:ascii="宋体" w:hAnsi="宋体" w:eastAsia="宋体" w:cs="宋体"/>
                <w:color w:val="auto"/>
                <w:szCs w:val="21"/>
              </w:rPr>
              <w:t>（</w:t>
            </w:r>
            <w:r>
              <w:rPr>
                <w:rFonts w:hint="eastAsia" w:ascii="宋体" w:hAnsi="宋体" w:eastAsia="宋体" w:cs="宋体"/>
                <w:color w:val="auto"/>
                <w:kern w:val="0"/>
                <w:szCs w:val="21"/>
              </w:rPr>
              <w:t>30</w:t>
            </w:r>
            <w:r>
              <w:rPr>
                <w:rFonts w:hint="eastAsia" w:ascii="宋体" w:hAnsi="宋体" w:eastAsia="宋体" w:cs="宋体"/>
                <w:color w:val="auto"/>
                <w:szCs w:val="21"/>
              </w:rPr>
              <w:t>分）</w:t>
            </w:r>
          </w:p>
        </w:tc>
        <w:tc>
          <w:tcPr>
            <w:tcW w:w="1563" w:type="dxa"/>
            <w:tcBorders>
              <w:top w:val="single" w:color="auto" w:sz="4" w:space="0"/>
              <w:left w:val="single" w:color="auto" w:sz="4" w:space="0"/>
              <w:bottom w:val="single" w:color="auto" w:sz="4" w:space="0"/>
              <w:right w:val="single" w:color="auto" w:sz="4" w:space="0"/>
            </w:tcBorders>
            <w:noWrap/>
            <w:vAlign w:val="center"/>
          </w:tcPr>
          <w:p>
            <w:pPr>
              <w:widowControl/>
              <w:spacing w:line="420" w:lineRule="atLeast"/>
              <w:jc w:val="center"/>
              <w:rPr>
                <w:rFonts w:ascii="宋体" w:hAnsi="宋体" w:eastAsia="宋体" w:cs="宋体"/>
                <w:color w:val="auto"/>
                <w:szCs w:val="21"/>
              </w:rPr>
            </w:pPr>
            <w:r>
              <w:rPr>
                <w:rFonts w:hint="eastAsia" w:ascii="宋体" w:hAnsi="宋体" w:eastAsia="宋体" w:cs="宋体"/>
                <w:color w:val="auto"/>
                <w:szCs w:val="21"/>
              </w:rPr>
              <w:t>报价</w:t>
            </w:r>
          </w:p>
          <w:p>
            <w:pPr>
              <w:widowControl/>
              <w:spacing w:line="420" w:lineRule="atLeast"/>
              <w:jc w:val="center"/>
              <w:rPr>
                <w:rFonts w:ascii="宋体" w:hAnsi="宋体" w:eastAsia="宋体" w:cs="宋体"/>
                <w:color w:val="auto"/>
                <w:szCs w:val="21"/>
              </w:rPr>
            </w:pPr>
            <w:r>
              <w:rPr>
                <w:rFonts w:hint="eastAsia" w:ascii="宋体" w:hAnsi="宋体" w:eastAsia="宋体" w:cs="宋体"/>
                <w:color w:val="auto"/>
                <w:szCs w:val="21"/>
              </w:rPr>
              <w:t>（</w:t>
            </w:r>
            <w:r>
              <w:rPr>
                <w:rFonts w:hint="eastAsia" w:ascii="宋体" w:hAnsi="宋体" w:eastAsia="宋体" w:cs="宋体"/>
                <w:color w:val="auto"/>
                <w:kern w:val="0"/>
                <w:szCs w:val="21"/>
              </w:rPr>
              <w:t>30</w:t>
            </w:r>
            <w:r>
              <w:rPr>
                <w:rFonts w:hint="eastAsia" w:ascii="宋体" w:hAnsi="宋体" w:eastAsia="宋体" w:cs="宋体"/>
                <w:color w:val="auto"/>
                <w:szCs w:val="21"/>
              </w:rPr>
              <w:t>分）</w:t>
            </w:r>
          </w:p>
        </w:tc>
        <w:tc>
          <w:tcPr>
            <w:tcW w:w="6092" w:type="dxa"/>
            <w:tcBorders>
              <w:top w:val="single" w:color="auto" w:sz="4" w:space="0"/>
              <w:left w:val="single" w:color="auto" w:sz="4" w:space="0"/>
              <w:bottom w:val="single" w:color="auto" w:sz="4" w:space="0"/>
              <w:right w:val="single" w:color="auto" w:sz="4" w:space="0"/>
            </w:tcBorders>
            <w:noWrap/>
            <w:vAlign w:val="center"/>
          </w:tcPr>
          <w:p>
            <w:pPr>
              <w:widowControl/>
              <w:spacing w:line="420" w:lineRule="atLeast"/>
              <w:rPr>
                <w:rFonts w:ascii="宋体" w:hAnsi="宋体" w:eastAsia="宋体" w:cs="宋体"/>
                <w:color w:val="auto"/>
                <w:szCs w:val="21"/>
              </w:rPr>
            </w:pPr>
            <w:r>
              <w:rPr>
                <w:rFonts w:hint="eastAsia" w:ascii="宋体" w:hAnsi="宋体" w:eastAsia="宋体" w:cs="宋体"/>
                <w:color w:val="auto"/>
                <w:szCs w:val="21"/>
              </w:rPr>
              <w:t>评标基准价：满足招标文件要求的有效投标报价中，最低的投标报价为评标基准价。</w:t>
            </w:r>
          </w:p>
          <w:p>
            <w:pPr>
              <w:widowControl/>
              <w:spacing w:line="420" w:lineRule="atLeast"/>
              <w:rPr>
                <w:rFonts w:ascii="宋体" w:hAnsi="宋体" w:eastAsia="宋体" w:cs="宋体"/>
                <w:color w:val="auto"/>
                <w:szCs w:val="21"/>
              </w:rPr>
            </w:pPr>
            <w:r>
              <w:rPr>
                <w:rFonts w:hint="eastAsia" w:ascii="宋体" w:hAnsi="宋体" w:eastAsia="宋体" w:cs="宋体"/>
                <w:color w:val="auto"/>
                <w:szCs w:val="21"/>
              </w:rPr>
              <w:t>投标报价得分=（评标基准价/投标报价）× 30</w:t>
            </w:r>
          </w:p>
        </w:tc>
      </w:tr>
      <w:tr>
        <w:tblPrEx>
          <w:tblCellMar>
            <w:top w:w="0" w:type="dxa"/>
            <w:left w:w="108" w:type="dxa"/>
            <w:bottom w:w="0" w:type="dxa"/>
            <w:right w:w="108" w:type="dxa"/>
          </w:tblCellMar>
        </w:tblPrEx>
        <w:tc>
          <w:tcPr>
            <w:tcW w:w="1384" w:type="dxa"/>
            <w:vMerge w:val="restart"/>
            <w:tcBorders>
              <w:top w:val="single" w:color="auto" w:sz="4" w:space="0"/>
              <w:left w:val="single" w:color="auto" w:sz="4" w:space="0"/>
              <w:bottom w:val="single" w:color="auto" w:sz="4" w:space="0"/>
              <w:right w:val="single" w:color="auto" w:sz="4" w:space="0"/>
            </w:tcBorders>
            <w:noWrap/>
            <w:vAlign w:val="center"/>
          </w:tcPr>
          <w:p>
            <w:pPr>
              <w:widowControl/>
              <w:spacing w:line="420" w:lineRule="atLeast"/>
              <w:ind w:leftChars="-2" w:hanging="4" w:hangingChars="2"/>
              <w:jc w:val="center"/>
              <w:rPr>
                <w:rFonts w:ascii="宋体" w:hAnsi="宋体" w:eastAsia="宋体" w:cs="宋体"/>
                <w:color w:val="auto"/>
                <w:szCs w:val="21"/>
              </w:rPr>
            </w:pPr>
            <w:r>
              <w:rPr>
                <w:rFonts w:hint="eastAsia" w:ascii="宋体" w:hAnsi="宋体" w:eastAsia="宋体" w:cs="宋体"/>
                <w:color w:val="auto"/>
                <w:szCs w:val="21"/>
              </w:rPr>
              <w:t>商务部分</w:t>
            </w:r>
          </w:p>
          <w:p>
            <w:pPr>
              <w:widowControl/>
              <w:spacing w:line="420" w:lineRule="atLeast"/>
              <w:ind w:leftChars="-2" w:hanging="4" w:hangingChars="2"/>
              <w:jc w:val="center"/>
              <w:rPr>
                <w:rFonts w:ascii="宋体" w:hAnsi="宋体" w:eastAsia="宋体" w:cs="宋体"/>
                <w:color w:val="auto"/>
                <w:szCs w:val="21"/>
              </w:rPr>
            </w:pPr>
            <w:r>
              <w:rPr>
                <w:rFonts w:hint="eastAsia" w:ascii="宋体" w:hAnsi="宋体" w:eastAsia="宋体" w:cs="宋体"/>
                <w:color w:val="auto"/>
                <w:szCs w:val="21"/>
              </w:rPr>
              <w:t>（</w:t>
            </w:r>
            <w:r>
              <w:rPr>
                <w:rFonts w:hint="eastAsia" w:ascii="宋体" w:hAnsi="宋体" w:eastAsia="宋体" w:cs="宋体"/>
                <w:color w:val="auto"/>
                <w:kern w:val="0"/>
                <w:szCs w:val="21"/>
              </w:rPr>
              <w:t>20</w:t>
            </w:r>
            <w:r>
              <w:rPr>
                <w:rFonts w:hint="eastAsia" w:ascii="宋体" w:hAnsi="宋体" w:eastAsia="宋体" w:cs="宋体"/>
                <w:color w:val="auto"/>
                <w:szCs w:val="21"/>
              </w:rPr>
              <w:t>分）</w:t>
            </w:r>
          </w:p>
        </w:tc>
        <w:tc>
          <w:tcPr>
            <w:tcW w:w="1563" w:type="dxa"/>
            <w:tcBorders>
              <w:top w:val="single" w:color="auto" w:sz="4" w:space="0"/>
              <w:left w:val="single" w:color="auto" w:sz="4" w:space="0"/>
              <w:bottom w:val="single" w:color="auto" w:sz="4" w:space="0"/>
              <w:right w:val="single" w:color="auto" w:sz="4" w:space="0"/>
            </w:tcBorders>
            <w:noWrap/>
            <w:vAlign w:val="center"/>
          </w:tcPr>
          <w:p>
            <w:pPr>
              <w:snapToGrid w:val="0"/>
              <w:spacing w:line="420" w:lineRule="atLeast"/>
              <w:jc w:val="center"/>
              <w:rPr>
                <w:rFonts w:ascii="宋体" w:hAnsi="宋体" w:eastAsia="宋体" w:cs="宋体"/>
                <w:color w:val="auto"/>
                <w:szCs w:val="21"/>
              </w:rPr>
            </w:pPr>
          </w:p>
          <w:p>
            <w:pPr>
              <w:snapToGrid w:val="0"/>
              <w:spacing w:line="420" w:lineRule="atLeast"/>
              <w:jc w:val="center"/>
              <w:rPr>
                <w:rFonts w:ascii="宋体" w:hAnsi="宋体" w:eastAsia="宋体" w:cs="宋体"/>
                <w:color w:val="auto"/>
                <w:szCs w:val="21"/>
              </w:rPr>
            </w:pPr>
            <w:r>
              <w:rPr>
                <w:rFonts w:hint="eastAsia" w:ascii="宋体" w:hAnsi="宋体" w:eastAsia="宋体" w:cs="宋体"/>
                <w:color w:val="auto"/>
                <w:szCs w:val="21"/>
              </w:rPr>
              <w:t>综合实力（10分）</w:t>
            </w:r>
          </w:p>
        </w:tc>
        <w:tc>
          <w:tcPr>
            <w:tcW w:w="6092" w:type="dxa"/>
            <w:tcBorders>
              <w:top w:val="single" w:color="auto" w:sz="4" w:space="0"/>
              <w:left w:val="single" w:color="auto" w:sz="4" w:space="0"/>
              <w:bottom w:val="single" w:color="auto" w:sz="4" w:space="0"/>
              <w:right w:val="single" w:color="auto" w:sz="4" w:space="0"/>
            </w:tcBorders>
            <w:noWrap/>
            <w:vAlign w:val="center"/>
          </w:tcPr>
          <w:p>
            <w:pPr>
              <w:pStyle w:val="10"/>
              <w:numPr>
                <w:ilvl w:val="0"/>
                <w:numId w:val="16"/>
              </w:numPr>
              <w:spacing w:line="420" w:lineRule="atLeast"/>
              <w:ind w:firstLine="420" w:firstLineChars="200"/>
              <w:jc w:val="both"/>
              <w:rPr>
                <w:rFonts w:ascii="宋体" w:hAnsi="宋体" w:cs="宋体"/>
                <w:color w:val="auto"/>
                <w:szCs w:val="21"/>
              </w:rPr>
            </w:pPr>
            <w:r>
              <w:rPr>
                <w:rFonts w:hint="eastAsia" w:ascii="宋体" w:hAnsi="宋体" w:cs="宋体"/>
                <w:color w:val="auto"/>
                <w:szCs w:val="21"/>
              </w:rPr>
              <w:t>投标人综合能力：</w:t>
            </w:r>
          </w:p>
          <w:p>
            <w:pPr>
              <w:pStyle w:val="10"/>
              <w:spacing w:line="420" w:lineRule="atLeast"/>
              <w:ind w:firstLine="420" w:firstLineChars="200"/>
              <w:jc w:val="both"/>
              <w:rPr>
                <w:rFonts w:ascii="宋体" w:hAnsi="宋体" w:cs="宋体"/>
                <w:color w:val="auto"/>
                <w:szCs w:val="21"/>
              </w:rPr>
            </w:pPr>
            <w:r>
              <w:rPr>
                <w:rFonts w:hint="eastAsia" w:ascii="宋体" w:hAnsi="宋体" w:cs="宋体"/>
                <w:color w:val="auto"/>
                <w:szCs w:val="21"/>
              </w:rPr>
              <w:t>（1）投标人具有电子与智能化工程专业承包二级及以上资质、建筑装修装饰工程专业承包二级及以上资质的，每具有一项加</w:t>
            </w:r>
            <w:r>
              <w:rPr>
                <w:rFonts w:ascii="宋体" w:hAnsi="宋体" w:cs="宋体"/>
                <w:color w:val="auto"/>
                <w:szCs w:val="21"/>
              </w:rPr>
              <w:t>1.5</w:t>
            </w:r>
            <w:r>
              <w:rPr>
                <w:rFonts w:hint="eastAsia" w:ascii="宋体" w:hAnsi="宋体" w:cs="宋体"/>
                <w:color w:val="auto"/>
                <w:szCs w:val="21"/>
              </w:rPr>
              <w:t>分，本项共</w:t>
            </w:r>
            <w:r>
              <w:rPr>
                <w:rFonts w:ascii="宋体" w:hAnsi="宋体" w:cs="宋体"/>
                <w:color w:val="auto"/>
                <w:szCs w:val="21"/>
              </w:rPr>
              <w:t>3</w:t>
            </w:r>
            <w:r>
              <w:rPr>
                <w:rFonts w:hint="eastAsia" w:ascii="宋体" w:hAnsi="宋体" w:cs="宋体"/>
                <w:color w:val="auto"/>
                <w:szCs w:val="21"/>
              </w:rPr>
              <w:t>分；</w:t>
            </w:r>
          </w:p>
          <w:p>
            <w:pPr>
              <w:pStyle w:val="10"/>
              <w:spacing w:line="420" w:lineRule="atLeast"/>
              <w:ind w:firstLine="420" w:firstLineChars="200"/>
              <w:jc w:val="both"/>
              <w:rPr>
                <w:rFonts w:ascii="宋体" w:hAnsi="宋体" w:cs="宋体"/>
                <w:color w:val="auto"/>
                <w:szCs w:val="21"/>
              </w:rPr>
            </w:pPr>
            <w:r>
              <w:rPr>
                <w:rFonts w:hint="eastAsia" w:ascii="宋体" w:hAnsi="宋体" w:cs="宋体"/>
                <w:color w:val="auto"/>
                <w:szCs w:val="21"/>
              </w:rPr>
              <w:t>（2）投标人投标人具有高新技术企业证书、省级科技型企业证书的，每提供一项符合要求的得1分，本项共2分；</w:t>
            </w:r>
          </w:p>
          <w:p>
            <w:pPr>
              <w:pStyle w:val="10"/>
              <w:spacing w:line="420" w:lineRule="atLeast"/>
              <w:ind w:firstLine="420" w:firstLineChars="200"/>
              <w:jc w:val="both"/>
              <w:rPr>
                <w:rFonts w:hint="eastAsia" w:ascii="宋体" w:hAnsi="宋体" w:cs="宋体"/>
                <w:color w:val="auto"/>
                <w:szCs w:val="21"/>
                <w:lang w:eastAsia="zh-CN"/>
              </w:rPr>
            </w:pPr>
            <w:r>
              <w:rPr>
                <w:rFonts w:hint="eastAsia" w:ascii="宋体" w:hAnsi="宋体" w:cs="宋体"/>
                <w:color w:val="auto"/>
                <w:szCs w:val="21"/>
              </w:rPr>
              <w:t>（3）企业信用等级为AAA 的，得</w:t>
            </w:r>
            <w:r>
              <w:rPr>
                <w:rFonts w:ascii="宋体" w:hAnsi="宋体" w:cs="宋体"/>
                <w:color w:val="auto"/>
                <w:szCs w:val="21"/>
              </w:rPr>
              <w:t>1</w:t>
            </w:r>
            <w:r>
              <w:rPr>
                <w:rFonts w:hint="eastAsia" w:ascii="宋体" w:hAnsi="宋体" w:cs="宋体"/>
                <w:color w:val="auto"/>
                <w:szCs w:val="21"/>
                <w:lang w:val="en-US" w:eastAsia="zh-CN"/>
              </w:rPr>
              <w:t>.5</w:t>
            </w:r>
            <w:r>
              <w:rPr>
                <w:rFonts w:hint="eastAsia" w:ascii="宋体" w:hAnsi="宋体" w:cs="宋体"/>
                <w:color w:val="auto"/>
                <w:szCs w:val="21"/>
              </w:rPr>
              <w:t>分，AA得</w:t>
            </w:r>
            <w:r>
              <w:rPr>
                <w:rFonts w:ascii="宋体" w:hAnsi="宋体" w:cs="宋体"/>
                <w:color w:val="auto"/>
                <w:szCs w:val="21"/>
              </w:rPr>
              <w:t>0.5</w:t>
            </w:r>
            <w:r>
              <w:rPr>
                <w:rFonts w:hint="eastAsia" w:ascii="宋体" w:hAnsi="宋体" w:cs="宋体"/>
                <w:color w:val="auto"/>
                <w:szCs w:val="21"/>
              </w:rPr>
              <w:t>分，本项共1</w:t>
            </w:r>
            <w:r>
              <w:rPr>
                <w:rFonts w:hint="eastAsia" w:ascii="宋体" w:hAnsi="宋体" w:cs="宋体"/>
                <w:color w:val="auto"/>
                <w:szCs w:val="21"/>
                <w:lang w:val="en-US" w:eastAsia="zh-CN"/>
              </w:rPr>
              <w:t>.5</w:t>
            </w:r>
            <w:r>
              <w:rPr>
                <w:rFonts w:hint="eastAsia" w:ascii="宋体" w:hAnsi="宋体" w:cs="宋体"/>
                <w:color w:val="auto"/>
                <w:szCs w:val="21"/>
              </w:rPr>
              <w:t>分</w:t>
            </w:r>
            <w:r>
              <w:rPr>
                <w:rFonts w:hint="eastAsia" w:ascii="宋体" w:hAnsi="宋体" w:cs="宋体"/>
                <w:color w:val="auto"/>
                <w:szCs w:val="21"/>
                <w:lang w:eastAsia="zh-CN"/>
              </w:rPr>
              <w:t>；</w:t>
            </w:r>
          </w:p>
          <w:p>
            <w:pPr>
              <w:pStyle w:val="10"/>
              <w:spacing w:line="420" w:lineRule="atLeast"/>
              <w:ind w:firstLine="420" w:firstLineChars="200"/>
              <w:jc w:val="both"/>
              <w:rPr>
                <w:rFonts w:ascii="宋体" w:hAnsi="宋体" w:cs="宋体"/>
                <w:color w:val="auto"/>
                <w:szCs w:val="21"/>
              </w:rPr>
            </w:pPr>
            <w:r>
              <w:rPr>
                <w:rFonts w:hint="eastAsia" w:ascii="宋体" w:hAnsi="宋体" w:cs="宋体"/>
                <w:color w:val="auto"/>
                <w:szCs w:val="21"/>
              </w:rPr>
              <w:t>（4）提供ISO9000质量管理体系认证证书、 ISO14001 环境管理体系认证证书，OHSAS18001 职业健康安全管理体系证书，每提供一项符合要求的得</w:t>
            </w:r>
            <w:r>
              <w:rPr>
                <w:rFonts w:ascii="宋体" w:hAnsi="宋体" w:cs="宋体"/>
                <w:color w:val="auto"/>
                <w:szCs w:val="21"/>
              </w:rPr>
              <w:t>0.5</w:t>
            </w:r>
            <w:r>
              <w:rPr>
                <w:rFonts w:hint="eastAsia" w:ascii="宋体" w:hAnsi="宋体" w:cs="宋体"/>
                <w:color w:val="auto"/>
                <w:szCs w:val="21"/>
              </w:rPr>
              <w:t>分，本项共</w:t>
            </w:r>
            <w:r>
              <w:rPr>
                <w:rFonts w:ascii="宋体" w:hAnsi="宋体" w:cs="宋体"/>
                <w:color w:val="auto"/>
                <w:szCs w:val="21"/>
              </w:rPr>
              <w:t>1.5</w:t>
            </w:r>
            <w:r>
              <w:rPr>
                <w:rFonts w:hint="eastAsia" w:ascii="宋体" w:hAnsi="宋体" w:cs="宋体"/>
                <w:color w:val="auto"/>
                <w:szCs w:val="21"/>
              </w:rPr>
              <w:t>分；</w:t>
            </w:r>
          </w:p>
          <w:p>
            <w:pPr>
              <w:pStyle w:val="10"/>
              <w:spacing w:line="420" w:lineRule="atLeast"/>
              <w:ind w:firstLine="420" w:firstLineChars="200"/>
              <w:jc w:val="both"/>
              <w:rPr>
                <w:rFonts w:ascii="宋体" w:hAnsi="宋体" w:cs="宋体" w:eastAsiaTheme="minorEastAsia"/>
                <w:color w:val="auto"/>
                <w:szCs w:val="21"/>
              </w:rPr>
            </w:pPr>
            <w:r>
              <w:rPr>
                <w:rFonts w:hint="eastAsia" w:ascii="宋体" w:hAnsi="宋体" w:cs="宋体"/>
                <w:color w:val="auto"/>
                <w:szCs w:val="21"/>
              </w:rPr>
              <w:t>（5）在音视频集成、LED显示方面具有相应资质的，每一项加</w:t>
            </w:r>
            <w:r>
              <w:rPr>
                <w:rFonts w:ascii="宋体" w:hAnsi="宋体" w:cs="宋体"/>
                <w:color w:val="auto"/>
                <w:szCs w:val="21"/>
              </w:rPr>
              <w:t>1</w:t>
            </w:r>
            <w:r>
              <w:rPr>
                <w:rFonts w:hint="eastAsia" w:ascii="宋体" w:hAnsi="宋体" w:cs="宋体"/>
                <w:color w:val="auto"/>
                <w:szCs w:val="21"/>
              </w:rPr>
              <w:t>分，本项共</w:t>
            </w:r>
            <w:r>
              <w:rPr>
                <w:rFonts w:ascii="宋体" w:hAnsi="宋体" w:cs="宋体"/>
                <w:color w:val="auto"/>
                <w:szCs w:val="21"/>
              </w:rPr>
              <w:t>2</w:t>
            </w:r>
            <w:r>
              <w:rPr>
                <w:rFonts w:hint="eastAsia" w:ascii="宋体" w:hAnsi="宋体" w:cs="宋体"/>
                <w:color w:val="auto"/>
                <w:szCs w:val="21"/>
              </w:rPr>
              <w:t>分。</w:t>
            </w:r>
          </w:p>
        </w:tc>
      </w:tr>
      <w:tr>
        <w:tblPrEx>
          <w:tblCellMar>
            <w:top w:w="0" w:type="dxa"/>
            <w:left w:w="108" w:type="dxa"/>
            <w:bottom w:w="0" w:type="dxa"/>
            <w:right w:w="108" w:type="dxa"/>
          </w:tblCellMar>
        </w:tblPrEx>
        <w:tc>
          <w:tcPr>
            <w:tcW w:w="1384" w:type="dxa"/>
            <w:vMerge w:val="continue"/>
            <w:tcBorders>
              <w:top w:val="single" w:color="auto" w:sz="4" w:space="0"/>
              <w:left w:val="single" w:color="auto" w:sz="4" w:space="0"/>
              <w:bottom w:val="single" w:color="auto" w:sz="4" w:space="0"/>
              <w:right w:val="single" w:color="auto" w:sz="4" w:space="0"/>
            </w:tcBorders>
            <w:noWrap/>
            <w:vAlign w:val="center"/>
          </w:tcPr>
          <w:p>
            <w:pPr>
              <w:spacing w:line="420" w:lineRule="atLeast"/>
              <w:rPr>
                <w:rFonts w:ascii="宋体" w:hAnsi="宋体" w:eastAsia="宋体" w:cs="宋体"/>
                <w:color w:val="auto"/>
                <w:szCs w:val="21"/>
              </w:rPr>
            </w:pPr>
          </w:p>
        </w:tc>
        <w:tc>
          <w:tcPr>
            <w:tcW w:w="1563" w:type="dxa"/>
            <w:tcBorders>
              <w:top w:val="single" w:color="auto" w:sz="4" w:space="0"/>
              <w:left w:val="single" w:color="auto" w:sz="4" w:space="0"/>
              <w:bottom w:val="single" w:color="auto" w:sz="4" w:space="0"/>
              <w:right w:val="single" w:color="auto" w:sz="4" w:space="0"/>
            </w:tcBorders>
            <w:noWrap/>
            <w:vAlign w:val="center"/>
          </w:tcPr>
          <w:p>
            <w:pPr>
              <w:widowControl/>
              <w:spacing w:line="420" w:lineRule="atLeast"/>
              <w:jc w:val="left"/>
              <w:rPr>
                <w:color w:val="auto"/>
                <w:szCs w:val="21"/>
              </w:rPr>
            </w:pPr>
            <w:r>
              <w:rPr>
                <w:rFonts w:hint="eastAsia"/>
                <w:color w:val="auto"/>
                <w:szCs w:val="21"/>
              </w:rPr>
              <w:t>业绩（8分）</w:t>
            </w:r>
          </w:p>
        </w:tc>
        <w:tc>
          <w:tcPr>
            <w:tcW w:w="6092" w:type="dxa"/>
            <w:tcBorders>
              <w:top w:val="single" w:color="auto" w:sz="4" w:space="0"/>
              <w:left w:val="single" w:color="auto" w:sz="4" w:space="0"/>
              <w:bottom w:val="single" w:color="auto" w:sz="4" w:space="0"/>
              <w:right w:val="single" w:color="auto" w:sz="4" w:space="0"/>
            </w:tcBorders>
            <w:noWrap/>
            <w:vAlign w:val="center"/>
          </w:tcPr>
          <w:p>
            <w:pPr>
              <w:widowControl/>
              <w:numPr>
                <w:ilvl w:val="0"/>
                <w:numId w:val="17"/>
              </w:numPr>
              <w:spacing w:line="420" w:lineRule="atLeast"/>
              <w:ind w:firstLine="420" w:firstLineChars="200"/>
              <w:jc w:val="left"/>
              <w:rPr>
                <w:color w:val="auto"/>
                <w:szCs w:val="21"/>
              </w:rPr>
            </w:pPr>
            <w:r>
              <w:rPr>
                <w:rFonts w:hint="eastAsia"/>
                <w:color w:val="auto"/>
                <w:szCs w:val="21"/>
              </w:rPr>
              <w:t>投标人提供2016年1月1日以来类似项目业绩（以合同签订时间为准，投标文件中提供合同复印件），提供1份得2分，本项共6分。（类似项目：含有LED显示屏产品、标准化机房建设等项目）</w:t>
            </w:r>
          </w:p>
          <w:p>
            <w:pPr>
              <w:widowControl/>
              <w:numPr>
                <w:ilvl w:val="0"/>
                <w:numId w:val="17"/>
              </w:numPr>
              <w:spacing w:line="420" w:lineRule="atLeast"/>
              <w:ind w:firstLine="420" w:firstLineChars="200"/>
              <w:jc w:val="left"/>
              <w:rPr>
                <w:color w:val="auto"/>
                <w:szCs w:val="21"/>
              </w:rPr>
            </w:pPr>
            <w:r>
              <w:rPr>
                <w:rFonts w:hint="eastAsia"/>
                <w:color w:val="auto"/>
                <w:szCs w:val="21"/>
              </w:rPr>
              <w:t>投标人在同类电子智能化系统项目中包含有为系统及设备配套的装饰改造项目经历的：由本公司开展施工的，每提供加1分；分包其他单位施工的，加0.5分；本项共2分（在合同中需能显示装饰项目，同时提供相应资格证件）</w:t>
            </w:r>
          </w:p>
        </w:tc>
      </w:tr>
      <w:tr>
        <w:tblPrEx>
          <w:tblCellMar>
            <w:top w:w="0" w:type="dxa"/>
            <w:left w:w="108" w:type="dxa"/>
            <w:bottom w:w="0" w:type="dxa"/>
            <w:right w:w="108" w:type="dxa"/>
          </w:tblCellMar>
        </w:tblPrEx>
        <w:trPr>
          <w:trHeight w:val="2894" w:hRule="atLeast"/>
        </w:trPr>
        <w:tc>
          <w:tcPr>
            <w:tcW w:w="1384" w:type="dxa"/>
            <w:vMerge w:val="continue"/>
            <w:tcBorders>
              <w:top w:val="single" w:color="auto" w:sz="4" w:space="0"/>
              <w:left w:val="single" w:color="auto" w:sz="4" w:space="0"/>
              <w:bottom w:val="single" w:color="auto" w:sz="4" w:space="0"/>
              <w:right w:val="single" w:color="auto" w:sz="4" w:space="0"/>
            </w:tcBorders>
            <w:noWrap/>
            <w:vAlign w:val="center"/>
          </w:tcPr>
          <w:p>
            <w:pPr>
              <w:spacing w:line="420" w:lineRule="atLeast"/>
              <w:rPr>
                <w:rFonts w:ascii="宋体" w:hAnsi="宋体" w:eastAsia="宋体" w:cs="宋体"/>
                <w:color w:val="auto"/>
                <w:szCs w:val="21"/>
              </w:rPr>
            </w:pPr>
          </w:p>
        </w:tc>
        <w:tc>
          <w:tcPr>
            <w:tcW w:w="1563" w:type="dxa"/>
            <w:tcBorders>
              <w:top w:val="single" w:color="auto" w:sz="4" w:space="0"/>
              <w:left w:val="single" w:color="auto" w:sz="4" w:space="0"/>
              <w:bottom w:val="single" w:color="auto" w:sz="4" w:space="0"/>
              <w:right w:val="single" w:color="auto" w:sz="4" w:space="0"/>
            </w:tcBorders>
            <w:noWrap/>
            <w:vAlign w:val="center"/>
          </w:tcPr>
          <w:p>
            <w:pPr>
              <w:widowControl/>
              <w:shd w:val="clear" w:color="auto" w:fill="FFFFFF"/>
              <w:spacing w:line="420" w:lineRule="atLeast"/>
              <w:jc w:val="center"/>
              <w:rPr>
                <w:rFonts w:ascii="宋体" w:hAnsi="宋体" w:eastAsia="宋体" w:cs="宋体"/>
                <w:color w:val="auto"/>
                <w:kern w:val="0"/>
                <w:szCs w:val="21"/>
                <w:shd w:val="clear" w:color="auto" w:fill="FFFFFF"/>
              </w:rPr>
            </w:pPr>
            <w:r>
              <w:rPr>
                <w:rFonts w:hint="eastAsia" w:ascii="宋体" w:hAnsi="宋体" w:eastAsia="宋体" w:cs="宋体"/>
                <w:color w:val="auto"/>
                <w:kern w:val="0"/>
                <w:szCs w:val="21"/>
                <w:shd w:val="clear" w:color="auto" w:fill="FFFFFF"/>
              </w:rPr>
              <w:t>节约能源、保护环境政策</w:t>
            </w:r>
          </w:p>
          <w:p>
            <w:pPr>
              <w:widowControl/>
              <w:shd w:val="clear" w:color="auto" w:fill="FFFFFF"/>
              <w:spacing w:line="420" w:lineRule="atLeast"/>
              <w:jc w:val="center"/>
              <w:rPr>
                <w:rFonts w:ascii="宋体" w:hAnsi="宋体" w:eastAsia="宋体" w:cs="宋体"/>
                <w:color w:val="auto"/>
                <w:szCs w:val="21"/>
              </w:rPr>
            </w:pPr>
            <w:r>
              <w:rPr>
                <w:rFonts w:hint="eastAsia" w:ascii="宋体" w:hAnsi="宋体" w:eastAsia="宋体" w:cs="宋体"/>
                <w:color w:val="auto"/>
                <w:kern w:val="0"/>
                <w:szCs w:val="21"/>
                <w:shd w:val="clear" w:color="auto" w:fill="FFFFFF"/>
              </w:rPr>
              <w:t>加分</w:t>
            </w:r>
          </w:p>
          <w:p>
            <w:pPr>
              <w:widowControl/>
              <w:shd w:val="clear" w:color="auto" w:fill="FFFFFF"/>
              <w:spacing w:line="420" w:lineRule="atLeast"/>
              <w:jc w:val="center"/>
              <w:rPr>
                <w:rFonts w:ascii="宋体" w:hAnsi="宋体" w:eastAsia="宋体" w:cs="宋体"/>
                <w:color w:val="auto"/>
                <w:szCs w:val="21"/>
              </w:rPr>
            </w:pPr>
            <w:r>
              <w:rPr>
                <w:rFonts w:hint="eastAsia" w:ascii="宋体" w:hAnsi="宋体" w:eastAsia="宋体" w:cs="宋体"/>
                <w:color w:val="auto"/>
                <w:kern w:val="0"/>
                <w:szCs w:val="21"/>
                <w:shd w:val="clear" w:color="auto" w:fill="FFFFFF"/>
              </w:rPr>
              <w:t>（2分）</w:t>
            </w:r>
          </w:p>
          <w:p>
            <w:pPr>
              <w:spacing w:line="420" w:lineRule="atLeast"/>
              <w:jc w:val="center"/>
              <w:rPr>
                <w:rFonts w:ascii="宋体" w:hAnsi="宋体" w:eastAsia="宋体" w:cs="宋体"/>
                <w:color w:val="auto"/>
                <w:szCs w:val="21"/>
              </w:rPr>
            </w:pPr>
          </w:p>
        </w:tc>
        <w:tc>
          <w:tcPr>
            <w:tcW w:w="6092" w:type="dxa"/>
            <w:tcBorders>
              <w:top w:val="single" w:color="auto" w:sz="4" w:space="0"/>
              <w:left w:val="single" w:color="auto" w:sz="4" w:space="0"/>
              <w:bottom w:val="single" w:color="auto" w:sz="4" w:space="0"/>
              <w:right w:val="single" w:color="auto" w:sz="4" w:space="0"/>
            </w:tcBorders>
            <w:noWrap/>
            <w:vAlign w:val="center"/>
          </w:tcPr>
          <w:p>
            <w:pPr>
              <w:widowControl/>
              <w:numPr>
                <w:ilvl w:val="0"/>
                <w:numId w:val="18"/>
              </w:numPr>
              <w:spacing w:line="420" w:lineRule="atLeast"/>
              <w:ind w:firstLine="420" w:firstLineChars="200"/>
              <w:jc w:val="left"/>
              <w:rPr>
                <w:color w:val="auto"/>
                <w:szCs w:val="21"/>
              </w:rPr>
            </w:pPr>
            <w:r>
              <w:rPr>
                <w:rFonts w:hint="eastAsia"/>
                <w:color w:val="auto"/>
                <w:szCs w:val="21"/>
              </w:rPr>
              <w:t>除政府强制采购的节能产品外，投标人所投产品属于“节能产品政府采购品目清单”优先采购产品，投标文件中提供具有国家确定的认证机构出具的、处于有效期之内的节能产品认证证书。每项0.5分，满分1分。</w:t>
            </w:r>
          </w:p>
          <w:p>
            <w:pPr>
              <w:widowControl/>
              <w:spacing w:line="420" w:lineRule="atLeast"/>
              <w:ind w:firstLine="420" w:firstLineChars="200"/>
              <w:jc w:val="left"/>
              <w:rPr>
                <w:color w:val="auto"/>
                <w:szCs w:val="21"/>
              </w:rPr>
            </w:pPr>
            <w:r>
              <w:rPr>
                <w:rFonts w:hint="eastAsia"/>
                <w:color w:val="auto"/>
                <w:szCs w:val="21"/>
              </w:rPr>
              <w:t>2、投标人所投产品属于“环境标志产品政府采购品目清单”内产品，投标文件中提供具有国家确定的认证机构出具的、处于有效期之内的环境标志产品认证证书。每项0.5分，满分1分。</w:t>
            </w:r>
          </w:p>
        </w:tc>
      </w:tr>
      <w:tr>
        <w:tblPrEx>
          <w:tblCellMar>
            <w:top w:w="0" w:type="dxa"/>
            <w:left w:w="108" w:type="dxa"/>
            <w:bottom w:w="0" w:type="dxa"/>
            <w:right w:w="108" w:type="dxa"/>
          </w:tblCellMar>
        </w:tblPrEx>
        <w:trPr>
          <w:trHeight w:val="460" w:hRule="atLeast"/>
        </w:trPr>
        <w:tc>
          <w:tcPr>
            <w:tcW w:w="1384" w:type="dxa"/>
            <w:vMerge w:val="restart"/>
            <w:tcBorders>
              <w:top w:val="single" w:color="auto" w:sz="4" w:space="0"/>
              <w:left w:val="single" w:color="auto" w:sz="4" w:space="0"/>
              <w:right w:val="single" w:color="auto" w:sz="4" w:space="0"/>
            </w:tcBorders>
            <w:noWrap/>
            <w:vAlign w:val="center"/>
          </w:tcPr>
          <w:p>
            <w:pPr>
              <w:spacing w:line="420" w:lineRule="atLeast"/>
              <w:jc w:val="center"/>
              <w:rPr>
                <w:rFonts w:ascii="宋体" w:hAnsi="宋体" w:eastAsia="宋体" w:cs="宋体"/>
                <w:color w:val="auto"/>
                <w:szCs w:val="21"/>
              </w:rPr>
            </w:pPr>
            <w:r>
              <w:rPr>
                <w:rFonts w:hint="eastAsia" w:ascii="宋体" w:hAnsi="宋体" w:eastAsia="宋体" w:cs="宋体"/>
                <w:color w:val="auto"/>
                <w:szCs w:val="21"/>
              </w:rPr>
              <w:t>技术部分</w:t>
            </w:r>
          </w:p>
          <w:p>
            <w:pPr>
              <w:spacing w:line="420" w:lineRule="atLeast"/>
              <w:jc w:val="center"/>
              <w:rPr>
                <w:rFonts w:ascii="宋体" w:hAnsi="宋体" w:eastAsia="宋体" w:cs="宋体"/>
                <w:color w:val="auto"/>
                <w:szCs w:val="21"/>
              </w:rPr>
            </w:pPr>
            <w:r>
              <w:rPr>
                <w:rFonts w:hint="eastAsia" w:ascii="宋体" w:hAnsi="宋体" w:eastAsia="宋体" w:cs="宋体"/>
                <w:color w:val="auto"/>
                <w:szCs w:val="21"/>
              </w:rPr>
              <w:t>（40分）</w:t>
            </w:r>
          </w:p>
        </w:tc>
        <w:tc>
          <w:tcPr>
            <w:tcW w:w="1563" w:type="dxa"/>
            <w:tcBorders>
              <w:top w:val="single" w:color="auto" w:sz="4" w:space="0"/>
              <w:left w:val="single" w:color="auto" w:sz="4" w:space="0"/>
              <w:bottom w:val="single" w:color="auto" w:sz="4" w:space="0"/>
              <w:right w:val="single" w:color="auto" w:sz="4" w:space="0"/>
            </w:tcBorders>
            <w:noWrap/>
            <w:vAlign w:val="center"/>
          </w:tcPr>
          <w:p>
            <w:pPr>
              <w:spacing w:line="420" w:lineRule="atLeast"/>
              <w:jc w:val="center"/>
              <w:rPr>
                <w:rFonts w:ascii="宋体" w:hAnsi="宋体" w:eastAsia="宋体" w:cs="宋体"/>
                <w:color w:val="auto"/>
                <w:szCs w:val="21"/>
              </w:rPr>
            </w:pPr>
            <w:r>
              <w:rPr>
                <w:rFonts w:hint="eastAsia" w:ascii="宋体" w:hAnsi="宋体" w:eastAsia="宋体" w:cs="宋体"/>
                <w:color w:val="auto"/>
                <w:szCs w:val="21"/>
              </w:rPr>
              <w:t>技术服务能力</w:t>
            </w:r>
          </w:p>
          <w:p>
            <w:pPr>
              <w:spacing w:line="420" w:lineRule="atLeast"/>
              <w:jc w:val="center"/>
              <w:rPr>
                <w:rFonts w:ascii="宋体" w:hAnsi="宋体" w:eastAsia="宋体" w:cs="宋体"/>
                <w:color w:val="auto"/>
                <w:szCs w:val="21"/>
              </w:rPr>
            </w:pPr>
            <w:r>
              <w:rPr>
                <w:rFonts w:hint="eastAsia" w:ascii="宋体" w:hAnsi="宋体" w:eastAsia="宋体" w:cs="宋体"/>
                <w:color w:val="auto"/>
                <w:szCs w:val="21"/>
              </w:rPr>
              <w:t>（1</w:t>
            </w:r>
            <w:r>
              <w:rPr>
                <w:rFonts w:ascii="宋体" w:hAnsi="宋体" w:eastAsia="宋体" w:cs="宋体"/>
                <w:color w:val="auto"/>
                <w:szCs w:val="21"/>
              </w:rPr>
              <w:t>5</w:t>
            </w:r>
            <w:r>
              <w:rPr>
                <w:rFonts w:hint="eastAsia" w:ascii="宋体" w:hAnsi="宋体" w:eastAsia="宋体" w:cs="宋体"/>
                <w:color w:val="auto"/>
                <w:szCs w:val="21"/>
              </w:rPr>
              <w:t>分）</w:t>
            </w:r>
          </w:p>
        </w:tc>
        <w:tc>
          <w:tcPr>
            <w:tcW w:w="6092" w:type="dxa"/>
            <w:tcBorders>
              <w:top w:val="single" w:color="auto" w:sz="4" w:space="0"/>
              <w:left w:val="single" w:color="auto" w:sz="4" w:space="0"/>
              <w:bottom w:val="single" w:color="auto" w:sz="4" w:space="0"/>
              <w:right w:val="single" w:color="auto" w:sz="4" w:space="0"/>
            </w:tcBorders>
            <w:noWrap/>
            <w:vAlign w:val="center"/>
          </w:tcPr>
          <w:p>
            <w:pPr>
              <w:widowControl/>
              <w:numPr>
                <w:ilvl w:val="0"/>
                <w:numId w:val="19"/>
              </w:numPr>
              <w:spacing w:line="420" w:lineRule="atLeast"/>
              <w:ind w:firstLine="420" w:firstLineChars="200"/>
              <w:jc w:val="left"/>
              <w:rPr>
                <w:color w:val="auto"/>
                <w:szCs w:val="21"/>
              </w:rPr>
            </w:pPr>
            <w:r>
              <w:rPr>
                <w:rFonts w:hint="eastAsia"/>
                <w:color w:val="auto"/>
                <w:szCs w:val="21"/>
              </w:rPr>
              <w:t>投标人提供拟投入本项目技术人员的相关职称证书，中级及中级职称以上的，得1分，最高2分；（需提供证书复印件和投标人所缴纳的连续3个月以上的社保证明）</w:t>
            </w:r>
          </w:p>
          <w:p>
            <w:pPr>
              <w:pStyle w:val="10"/>
              <w:numPr>
                <w:ilvl w:val="0"/>
                <w:numId w:val="16"/>
              </w:numPr>
              <w:spacing w:line="420" w:lineRule="atLeast"/>
              <w:ind w:firstLine="420" w:firstLineChars="200"/>
              <w:jc w:val="both"/>
              <w:rPr>
                <w:rFonts w:ascii="宋体" w:hAnsi="宋体" w:cs="宋体"/>
                <w:color w:val="auto"/>
                <w:szCs w:val="21"/>
              </w:rPr>
            </w:pPr>
            <w:r>
              <w:rPr>
                <w:rFonts w:hint="eastAsia" w:ascii="宋体" w:hAnsi="宋体" w:cs="宋体"/>
                <w:color w:val="auto"/>
                <w:szCs w:val="21"/>
              </w:rPr>
              <w:t>所投模块化数据中心机房制造商技术能力：</w:t>
            </w:r>
          </w:p>
          <w:p>
            <w:pPr>
              <w:pStyle w:val="10"/>
              <w:numPr>
                <w:ilvl w:val="0"/>
                <w:numId w:val="20"/>
              </w:numPr>
              <w:spacing w:line="420" w:lineRule="atLeast"/>
              <w:ind w:firstLine="420"/>
              <w:jc w:val="both"/>
              <w:rPr>
                <w:rFonts w:ascii="宋体" w:hAnsi="宋体" w:cs="宋体"/>
                <w:color w:val="auto"/>
                <w:szCs w:val="21"/>
              </w:rPr>
            </w:pPr>
            <w:r>
              <w:rPr>
                <w:rFonts w:hint="eastAsia" w:ascii="宋体" w:hAnsi="宋体" w:cs="宋体"/>
                <w:color w:val="auto"/>
                <w:szCs w:val="21"/>
              </w:rPr>
              <w:t>所投模块化数据中心机房制造商参加《模块化微型数据机房建设标准》编制的加</w:t>
            </w:r>
            <w:r>
              <w:rPr>
                <w:rFonts w:ascii="宋体" w:hAnsi="宋体" w:cs="宋体"/>
                <w:color w:val="auto"/>
                <w:szCs w:val="21"/>
              </w:rPr>
              <w:t>2</w:t>
            </w:r>
            <w:r>
              <w:rPr>
                <w:rFonts w:hint="eastAsia" w:ascii="宋体" w:hAnsi="宋体" w:cs="宋体"/>
                <w:color w:val="auto"/>
                <w:szCs w:val="21"/>
              </w:rPr>
              <w:t>分；提供有第三方微型数据中心冷通道整体结构检测报告的，得1分，本项共</w:t>
            </w:r>
            <w:r>
              <w:rPr>
                <w:rFonts w:ascii="宋体" w:hAnsi="宋体" w:cs="宋体"/>
                <w:color w:val="auto"/>
                <w:szCs w:val="21"/>
              </w:rPr>
              <w:t>3</w:t>
            </w:r>
            <w:r>
              <w:rPr>
                <w:rFonts w:hint="eastAsia" w:ascii="宋体" w:hAnsi="宋体" w:cs="宋体"/>
                <w:color w:val="auto"/>
                <w:szCs w:val="21"/>
              </w:rPr>
              <w:t>分。</w:t>
            </w:r>
          </w:p>
          <w:p>
            <w:pPr>
              <w:pStyle w:val="10"/>
              <w:spacing w:line="420" w:lineRule="atLeast"/>
              <w:ind w:left="420"/>
              <w:jc w:val="both"/>
              <w:rPr>
                <w:rFonts w:ascii="宋体" w:hAnsi="宋体" w:cs="宋体"/>
                <w:color w:val="auto"/>
                <w:szCs w:val="21"/>
              </w:rPr>
            </w:pPr>
            <w:r>
              <w:rPr>
                <w:rFonts w:hint="eastAsia" w:ascii="宋体" w:hAnsi="宋体" w:cs="宋体"/>
                <w:color w:val="auto"/>
                <w:szCs w:val="21"/>
              </w:rPr>
              <w:t>（2）所投模块化中心机房制造商具有ISO 27001信息安全管理体系认证证书、ISO 20000信息技术服务管理体系认证证书、具有ITSS《信息技术服务运行维护标准符合性证书》达到成熟度等级叁级及以上认证证书，每提供一项符合要求的得</w:t>
            </w:r>
            <w:r>
              <w:rPr>
                <w:rFonts w:ascii="宋体" w:hAnsi="宋体" w:cs="宋体"/>
                <w:color w:val="auto"/>
                <w:szCs w:val="21"/>
              </w:rPr>
              <w:t>1</w:t>
            </w:r>
            <w:r>
              <w:rPr>
                <w:rFonts w:hint="eastAsia" w:ascii="宋体" w:hAnsi="宋体" w:cs="宋体"/>
                <w:color w:val="auto"/>
                <w:szCs w:val="21"/>
              </w:rPr>
              <w:t>分，本项共</w:t>
            </w:r>
            <w:r>
              <w:rPr>
                <w:rFonts w:ascii="宋体" w:hAnsi="宋体" w:cs="宋体"/>
                <w:color w:val="auto"/>
                <w:szCs w:val="21"/>
              </w:rPr>
              <w:t>3</w:t>
            </w:r>
            <w:r>
              <w:rPr>
                <w:rFonts w:hint="eastAsia" w:ascii="宋体" w:hAnsi="宋体" w:cs="宋体"/>
                <w:color w:val="auto"/>
                <w:szCs w:val="21"/>
              </w:rPr>
              <w:t>分。</w:t>
            </w:r>
          </w:p>
          <w:p>
            <w:pPr>
              <w:pStyle w:val="10"/>
              <w:spacing w:line="420" w:lineRule="atLeast"/>
              <w:ind w:firstLine="420" w:firstLineChars="200"/>
              <w:jc w:val="both"/>
              <w:rPr>
                <w:rFonts w:hint="eastAsia" w:ascii="宋体" w:hAnsi="宋体" w:eastAsia="宋体" w:cs="宋体"/>
                <w:color w:val="auto"/>
                <w:szCs w:val="21"/>
                <w:lang w:eastAsia="zh-CN"/>
              </w:rPr>
            </w:pPr>
            <w:r>
              <w:rPr>
                <w:rFonts w:hint="eastAsia" w:ascii="宋体" w:hAnsi="宋体" w:cs="宋体"/>
                <w:color w:val="auto"/>
                <w:szCs w:val="21"/>
              </w:rPr>
              <w:t>3、所投服务器制造商技术能力：提供IDC（互联网数据中心）出具的证明文件，在计算机系统领域获得过国家科学进步奖，提供服务器操作系统安全增强软件的公安部销售许可证，每提供一项符合要求的得</w:t>
            </w:r>
            <w:r>
              <w:rPr>
                <w:rFonts w:ascii="宋体" w:hAnsi="宋体" w:cs="宋体"/>
                <w:color w:val="auto"/>
                <w:szCs w:val="21"/>
              </w:rPr>
              <w:t>1</w:t>
            </w:r>
            <w:r>
              <w:rPr>
                <w:rFonts w:hint="eastAsia" w:ascii="宋体" w:hAnsi="宋体" w:cs="宋体"/>
                <w:color w:val="auto"/>
                <w:szCs w:val="21"/>
              </w:rPr>
              <w:t>分，本项共</w:t>
            </w:r>
            <w:r>
              <w:rPr>
                <w:rFonts w:ascii="宋体" w:hAnsi="宋体" w:cs="宋体"/>
                <w:color w:val="auto"/>
                <w:szCs w:val="21"/>
              </w:rPr>
              <w:t>3</w:t>
            </w:r>
            <w:r>
              <w:rPr>
                <w:rFonts w:hint="eastAsia" w:ascii="宋体" w:hAnsi="宋体" w:cs="宋体"/>
                <w:color w:val="auto"/>
                <w:szCs w:val="21"/>
              </w:rPr>
              <w:t>分</w:t>
            </w:r>
            <w:r>
              <w:rPr>
                <w:rFonts w:hint="eastAsia" w:ascii="宋体" w:hAnsi="宋体" w:cs="宋体"/>
                <w:color w:val="auto"/>
                <w:szCs w:val="21"/>
                <w:lang w:eastAsia="zh-CN"/>
              </w:rPr>
              <w:t>。</w:t>
            </w:r>
          </w:p>
          <w:p>
            <w:pPr>
              <w:pStyle w:val="10"/>
              <w:spacing w:line="420" w:lineRule="atLeast"/>
              <w:ind w:firstLine="420" w:firstLineChars="200"/>
              <w:jc w:val="both"/>
              <w:rPr>
                <w:color w:val="auto"/>
                <w:szCs w:val="21"/>
              </w:rPr>
            </w:pPr>
            <w:r>
              <w:rPr>
                <w:rFonts w:hint="eastAsia" w:ascii="宋体" w:hAnsi="宋体" w:cs="宋体"/>
                <w:color w:val="auto"/>
                <w:szCs w:val="21"/>
              </w:rPr>
              <w:t>4、网络及安全设备商技术服务能力：拥有自主知识产权的核心技术、具有良好的创新管理体系，受省级及以上有关部门授予“创新型企业”的得</w:t>
            </w:r>
            <w:r>
              <w:rPr>
                <w:rFonts w:ascii="宋体" w:hAnsi="宋体" w:cs="宋体"/>
                <w:color w:val="auto"/>
                <w:szCs w:val="21"/>
              </w:rPr>
              <w:t>2</w:t>
            </w:r>
            <w:r>
              <w:rPr>
                <w:rFonts w:hint="eastAsia" w:ascii="宋体" w:hAnsi="宋体" w:cs="宋体"/>
                <w:color w:val="auto"/>
                <w:szCs w:val="21"/>
              </w:rPr>
              <w:t>分；售后服务体系通过符合GB/T 27922-2011标准的售后服务认证，5星级得</w:t>
            </w:r>
            <w:r>
              <w:rPr>
                <w:rFonts w:ascii="宋体" w:hAnsi="宋体" w:cs="宋体"/>
                <w:color w:val="auto"/>
                <w:szCs w:val="21"/>
              </w:rPr>
              <w:t>2</w:t>
            </w:r>
            <w:r>
              <w:rPr>
                <w:rFonts w:hint="eastAsia" w:ascii="宋体" w:hAnsi="宋体" w:cs="宋体"/>
                <w:color w:val="auto"/>
                <w:szCs w:val="21"/>
              </w:rPr>
              <w:t>分，4星级得</w:t>
            </w:r>
            <w:r>
              <w:rPr>
                <w:rFonts w:ascii="宋体" w:hAnsi="宋体" w:cs="宋体"/>
                <w:color w:val="auto"/>
                <w:szCs w:val="21"/>
              </w:rPr>
              <w:t>1</w:t>
            </w:r>
            <w:r>
              <w:rPr>
                <w:rFonts w:hint="eastAsia" w:ascii="宋体" w:hAnsi="宋体" w:cs="宋体"/>
                <w:color w:val="auto"/>
                <w:szCs w:val="21"/>
              </w:rPr>
              <w:t>分；本项共</w:t>
            </w:r>
            <w:r>
              <w:rPr>
                <w:rFonts w:ascii="宋体" w:hAnsi="宋体" w:cs="宋体"/>
                <w:color w:val="auto"/>
                <w:szCs w:val="21"/>
              </w:rPr>
              <w:t>4</w:t>
            </w:r>
            <w:r>
              <w:rPr>
                <w:rFonts w:hint="eastAsia" w:ascii="宋体" w:hAnsi="宋体" w:cs="宋体"/>
                <w:color w:val="auto"/>
                <w:szCs w:val="21"/>
              </w:rPr>
              <w:t>分。</w:t>
            </w:r>
          </w:p>
        </w:tc>
      </w:tr>
      <w:tr>
        <w:tblPrEx>
          <w:tblCellMar>
            <w:top w:w="0" w:type="dxa"/>
            <w:left w:w="108" w:type="dxa"/>
            <w:bottom w:w="0" w:type="dxa"/>
            <w:right w:w="108" w:type="dxa"/>
          </w:tblCellMar>
        </w:tblPrEx>
        <w:trPr>
          <w:trHeight w:val="1694" w:hRule="atLeast"/>
        </w:trPr>
        <w:tc>
          <w:tcPr>
            <w:tcW w:w="1384" w:type="dxa"/>
            <w:vMerge w:val="continue"/>
            <w:tcBorders>
              <w:left w:val="single" w:color="auto" w:sz="4" w:space="0"/>
              <w:right w:val="single" w:color="auto" w:sz="4" w:space="0"/>
            </w:tcBorders>
            <w:noWrap/>
            <w:vAlign w:val="center"/>
          </w:tcPr>
          <w:p>
            <w:pPr>
              <w:spacing w:line="420" w:lineRule="atLeast"/>
              <w:rPr>
                <w:rFonts w:ascii="宋体" w:hAnsi="宋体" w:eastAsia="宋体" w:cs="宋体"/>
                <w:color w:val="auto"/>
                <w:szCs w:val="21"/>
              </w:rPr>
            </w:pPr>
          </w:p>
        </w:tc>
        <w:tc>
          <w:tcPr>
            <w:tcW w:w="1563" w:type="dxa"/>
            <w:tcBorders>
              <w:top w:val="single" w:color="auto" w:sz="4" w:space="0"/>
              <w:left w:val="single" w:color="auto" w:sz="4" w:space="0"/>
              <w:bottom w:val="single" w:color="auto" w:sz="4" w:space="0"/>
              <w:right w:val="single" w:color="auto" w:sz="4" w:space="0"/>
            </w:tcBorders>
            <w:noWrap/>
            <w:vAlign w:val="center"/>
          </w:tcPr>
          <w:p>
            <w:pPr>
              <w:spacing w:line="420" w:lineRule="atLeast"/>
              <w:jc w:val="center"/>
              <w:rPr>
                <w:rFonts w:ascii="宋体" w:hAnsi="宋体" w:eastAsia="宋体" w:cs="宋体"/>
                <w:color w:val="auto"/>
                <w:szCs w:val="21"/>
              </w:rPr>
            </w:pPr>
            <w:r>
              <w:rPr>
                <w:rFonts w:hint="eastAsia" w:ascii="宋体" w:hAnsi="宋体" w:eastAsia="宋体" w:cs="宋体"/>
                <w:color w:val="auto"/>
                <w:szCs w:val="21"/>
              </w:rPr>
              <w:t>货物技术规格、参数与</w:t>
            </w:r>
          </w:p>
          <w:p>
            <w:pPr>
              <w:spacing w:line="420" w:lineRule="atLeast"/>
              <w:jc w:val="center"/>
              <w:rPr>
                <w:rFonts w:ascii="宋体" w:hAnsi="宋体" w:eastAsia="宋体" w:cs="宋体"/>
                <w:color w:val="auto"/>
                <w:szCs w:val="21"/>
              </w:rPr>
            </w:pPr>
            <w:r>
              <w:rPr>
                <w:rFonts w:hint="eastAsia" w:ascii="宋体" w:hAnsi="宋体" w:eastAsia="宋体" w:cs="宋体"/>
                <w:color w:val="auto"/>
                <w:szCs w:val="21"/>
              </w:rPr>
              <w:t>要求响应</w:t>
            </w:r>
          </w:p>
          <w:p>
            <w:pPr>
              <w:spacing w:line="420" w:lineRule="atLeast"/>
              <w:jc w:val="center"/>
              <w:rPr>
                <w:rFonts w:ascii="宋体" w:hAnsi="宋体" w:eastAsia="宋体" w:cs="宋体"/>
                <w:color w:val="auto"/>
                <w:szCs w:val="21"/>
              </w:rPr>
            </w:pPr>
            <w:r>
              <w:rPr>
                <w:rFonts w:hint="eastAsia" w:ascii="宋体" w:hAnsi="宋体" w:eastAsia="宋体" w:cs="宋体"/>
                <w:color w:val="auto"/>
                <w:szCs w:val="21"/>
              </w:rPr>
              <w:t>（</w:t>
            </w:r>
            <w:r>
              <w:rPr>
                <w:rFonts w:ascii="宋体" w:hAnsi="宋体" w:eastAsia="宋体" w:cs="宋体"/>
                <w:color w:val="auto"/>
                <w:szCs w:val="21"/>
              </w:rPr>
              <w:t>4</w:t>
            </w:r>
            <w:r>
              <w:rPr>
                <w:rFonts w:hint="eastAsia" w:ascii="宋体" w:hAnsi="宋体" w:eastAsia="宋体" w:cs="宋体"/>
                <w:color w:val="auto"/>
                <w:szCs w:val="21"/>
              </w:rPr>
              <w:t>分）</w:t>
            </w:r>
          </w:p>
        </w:tc>
        <w:tc>
          <w:tcPr>
            <w:tcW w:w="6092" w:type="dxa"/>
            <w:tcBorders>
              <w:top w:val="single" w:color="auto" w:sz="4" w:space="0"/>
              <w:left w:val="single" w:color="auto" w:sz="4" w:space="0"/>
              <w:bottom w:val="single" w:color="auto" w:sz="4" w:space="0"/>
              <w:right w:val="single" w:color="auto" w:sz="4" w:space="0"/>
            </w:tcBorders>
            <w:noWrap/>
            <w:vAlign w:val="center"/>
          </w:tcPr>
          <w:p>
            <w:pPr>
              <w:pStyle w:val="13"/>
              <w:numPr>
                <w:ilvl w:val="0"/>
                <w:numId w:val="21"/>
              </w:numPr>
              <w:adjustRightInd/>
              <w:spacing w:line="420" w:lineRule="atLeast"/>
              <w:ind w:left="0" w:right="0" w:rightChars="0" w:firstLine="420" w:firstLineChars="200"/>
              <w:rPr>
                <w:rFonts w:ascii="宋体" w:hAnsi="宋体"/>
                <w:color w:val="auto"/>
                <w:sz w:val="21"/>
                <w:szCs w:val="21"/>
              </w:rPr>
            </w:pPr>
            <w:r>
              <w:rPr>
                <w:rFonts w:hint="eastAsia" w:ascii="宋体" w:hAnsi="宋体" w:eastAsia="宋体" w:cs="宋体"/>
                <w:color w:val="auto"/>
                <w:kern w:val="2"/>
                <w:sz w:val="21"/>
                <w:szCs w:val="21"/>
              </w:rPr>
              <w:t>为确保项目质量，标示★的设备参数中每优于一项得</w:t>
            </w:r>
            <w:r>
              <w:rPr>
                <w:rFonts w:ascii="宋体" w:hAnsi="宋体" w:eastAsia="宋体" w:cs="宋体"/>
                <w:color w:val="auto"/>
                <w:kern w:val="2"/>
                <w:sz w:val="21"/>
                <w:szCs w:val="21"/>
              </w:rPr>
              <w:t>0.5</w:t>
            </w:r>
            <w:r>
              <w:rPr>
                <w:rFonts w:hint="eastAsia" w:ascii="宋体" w:hAnsi="宋体" w:eastAsia="宋体" w:cs="宋体"/>
                <w:color w:val="auto"/>
                <w:kern w:val="2"/>
                <w:sz w:val="21"/>
                <w:szCs w:val="21"/>
              </w:rPr>
              <w:t>分，本项共</w:t>
            </w:r>
            <w:r>
              <w:rPr>
                <w:rFonts w:ascii="宋体" w:hAnsi="宋体" w:eastAsia="宋体" w:cs="宋体"/>
                <w:color w:val="auto"/>
                <w:kern w:val="2"/>
                <w:sz w:val="21"/>
                <w:szCs w:val="21"/>
              </w:rPr>
              <w:t>4</w:t>
            </w:r>
            <w:r>
              <w:rPr>
                <w:rFonts w:hint="eastAsia" w:ascii="宋体" w:hAnsi="宋体" w:eastAsia="宋体" w:cs="宋体"/>
                <w:color w:val="auto"/>
                <w:kern w:val="2"/>
                <w:sz w:val="21"/>
                <w:szCs w:val="21"/>
              </w:rPr>
              <w:t>分。</w:t>
            </w:r>
          </w:p>
        </w:tc>
      </w:tr>
      <w:tr>
        <w:tblPrEx>
          <w:tblCellMar>
            <w:top w:w="0" w:type="dxa"/>
            <w:left w:w="108" w:type="dxa"/>
            <w:bottom w:w="0" w:type="dxa"/>
            <w:right w:w="108" w:type="dxa"/>
          </w:tblCellMar>
        </w:tblPrEx>
        <w:trPr>
          <w:trHeight w:val="1138" w:hRule="atLeast"/>
        </w:trPr>
        <w:tc>
          <w:tcPr>
            <w:tcW w:w="1384" w:type="dxa"/>
            <w:vMerge w:val="continue"/>
            <w:tcBorders>
              <w:left w:val="single" w:color="auto" w:sz="4" w:space="0"/>
              <w:right w:val="single" w:color="auto" w:sz="4" w:space="0"/>
            </w:tcBorders>
            <w:noWrap/>
            <w:vAlign w:val="center"/>
          </w:tcPr>
          <w:p>
            <w:pPr>
              <w:spacing w:line="420" w:lineRule="atLeast"/>
              <w:rPr>
                <w:rFonts w:ascii="宋体" w:hAnsi="宋体" w:eastAsia="宋体" w:cs="宋体"/>
                <w:color w:val="auto"/>
                <w:szCs w:val="21"/>
              </w:rPr>
            </w:pPr>
          </w:p>
        </w:tc>
        <w:tc>
          <w:tcPr>
            <w:tcW w:w="1563" w:type="dxa"/>
            <w:tcBorders>
              <w:top w:val="single" w:color="auto" w:sz="4" w:space="0"/>
              <w:left w:val="single" w:color="auto" w:sz="4" w:space="0"/>
              <w:bottom w:val="single" w:color="auto" w:sz="4" w:space="0"/>
              <w:right w:val="single" w:color="auto" w:sz="4" w:space="0"/>
            </w:tcBorders>
            <w:noWrap/>
            <w:vAlign w:val="center"/>
          </w:tcPr>
          <w:p>
            <w:pPr>
              <w:spacing w:line="420" w:lineRule="atLeast"/>
              <w:jc w:val="center"/>
              <w:rPr>
                <w:color w:val="auto"/>
                <w:szCs w:val="21"/>
              </w:rPr>
            </w:pPr>
            <w:r>
              <w:rPr>
                <w:rFonts w:hint="eastAsia"/>
                <w:color w:val="auto"/>
                <w:szCs w:val="21"/>
              </w:rPr>
              <w:t>技术方案</w:t>
            </w:r>
          </w:p>
          <w:p>
            <w:pPr>
              <w:pStyle w:val="2"/>
              <w:spacing w:after="0" w:line="420" w:lineRule="atLeast"/>
              <w:ind w:firstLine="210"/>
              <w:rPr>
                <w:color w:val="auto"/>
                <w:sz w:val="21"/>
                <w:szCs w:val="21"/>
              </w:rPr>
            </w:pPr>
            <w:r>
              <w:rPr>
                <w:rFonts w:hint="eastAsia" w:asciiTheme="minorHAnsi" w:hAnsiTheme="minorHAnsi" w:eastAsiaTheme="minorEastAsia" w:cstheme="minorBidi"/>
                <w:color w:val="auto"/>
                <w:kern w:val="2"/>
                <w:sz w:val="21"/>
                <w:szCs w:val="21"/>
              </w:rPr>
              <w:t>（15分）</w:t>
            </w:r>
          </w:p>
        </w:tc>
        <w:tc>
          <w:tcPr>
            <w:tcW w:w="6092" w:type="dxa"/>
            <w:tcBorders>
              <w:top w:val="single" w:color="auto" w:sz="4" w:space="0"/>
              <w:left w:val="single" w:color="auto" w:sz="4" w:space="0"/>
              <w:bottom w:val="single" w:color="auto" w:sz="4" w:space="0"/>
              <w:right w:val="single" w:color="auto" w:sz="4" w:space="0"/>
            </w:tcBorders>
            <w:noWrap/>
            <w:vAlign w:val="center"/>
          </w:tcPr>
          <w:p>
            <w:pPr>
              <w:spacing w:line="420" w:lineRule="atLeast"/>
              <w:ind w:firstLine="420" w:firstLineChars="200"/>
              <w:rPr>
                <w:rFonts w:hint="default" w:eastAsiaTheme="minorEastAsia"/>
                <w:color w:val="auto"/>
                <w:szCs w:val="21"/>
                <w:lang w:val="en-US" w:eastAsia="zh-CN"/>
              </w:rPr>
            </w:pPr>
            <w:r>
              <w:rPr>
                <w:rFonts w:hint="eastAsia"/>
                <w:color w:val="auto"/>
                <w:szCs w:val="21"/>
              </w:rPr>
              <w:t>1、对机房、指挥大厅、多功能厅设备的安装、调试</w:t>
            </w:r>
            <w:r>
              <w:rPr>
                <w:rFonts w:hint="eastAsia"/>
                <w:color w:val="auto"/>
                <w:szCs w:val="21"/>
                <w:lang w:eastAsia="zh-CN"/>
              </w:rPr>
              <w:t>及装饰</w:t>
            </w:r>
            <w:r>
              <w:rPr>
                <w:rFonts w:hint="eastAsia"/>
                <w:color w:val="auto"/>
                <w:szCs w:val="21"/>
              </w:rPr>
              <w:t>提出技术方案。方案的完整性、可行性符合采购要求的得10分，基本符合的得5分，一般得3分。</w:t>
            </w:r>
            <w:r>
              <w:rPr>
                <w:rFonts w:hint="eastAsia"/>
                <w:color w:val="auto"/>
                <w:szCs w:val="21"/>
                <w:lang w:eastAsia="zh-CN"/>
              </w:rPr>
              <w:t>本项共</w:t>
            </w:r>
            <w:r>
              <w:rPr>
                <w:rFonts w:hint="eastAsia"/>
                <w:color w:val="auto"/>
                <w:szCs w:val="21"/>
                <w:lang w:val="en-US" w:eastAsia="zh-CN"/>
              </w:rPr>
              <w:t>10分。</w:t>
            </w:r>
          </w:p>
          <w:p>
            <w:pPr>
              <w:spacing w:line="420" w:lineRule="atLeast"/>
              <w:ind w:firstLine="420" w:firstLineChars="200"/>
              <w:rPr>
                <w:rFonts w:ascii="宋体" w:hAnsi="宋体" w:eastAsia="宋体" w:cs="宋体"/>
                <w:color w:val="auto"/>
                <w:kern w:val="0"/>
                <w:szCs w:val="21"/>
              </w:rPr>
            </w:pPr>
            <w:r>
              <w:rPr>
                <w:rFonts w:hint="eastAsia"/>
                <w:color w:val="auto"/>
                <w:szCs w:val="21"/>
              </w:rPr>
              <w:t>2、对大数据管理服务系统的开发集成提出技术方案，方案的完整性、合理性符合采购要求的得5分，基本符合的得2分，一般得1分。</w:t>
            </w:r>
            <w:r>
              <w:rPr>
                <w:rFonts w:hint="eastAsia"/>
                <w:color w:val="auto"/>
                <w:szCs w:val="21"/>
                <w:lang w:eastAsia="zh-CN"/>
              </w:rPr>
              <w:t>本项共</w:t>
            </w:r>
            <w:r>
              <w:rPr>
                <w:rFonts w:hint="eastAsia"/>
                <w:color w:val="auto"/>
                <w:szCs w:val="21"/>
                <w:lang w:val="en-US" w:eastAsia="zh-CN"/>
              </w:rPr>
              <w:t>5分。</w:t>
            </w:r>
          </w:p>
        </w:tc>
      </w:tr>
      <w:tr>
        <w:tblPrEx>
          <w:tblCellMar>
            <w:top w:w="0" w:type="dxa"/>
            <w:left w:w="108" w:type="dxa"/>
            <w:bottom w:w="0" w:type="dxa"/>
            <w:right w:w="108" w:type="dxa"/>
          </w:tblCellMar>
        </w:tblPrEx>
        <w:trPr>
          <w:trHeight w:val="1138" w:hRule="atLeast"/>
        </w:trPr>
        <w:tc>
          <w:tcPr>
            <w:tcW w:w="1384" w:type="dxa"/>
            <w:vMerge w:val="continue"/>
            <w:tcBorders>
              <w:left w:val="single" w:color="auto" w:sz="4" w:space="0"/>
              <w:bottom w:val="single" w:color="auto" w:sz="4" w:space="0"/>
              <w:right w:val="single" w:color="auto" w:sz="4" w:space="0"/>
            </w:tcBorders>
            <w:noWrap/>
            <w:vAlign w:val="center"/>
          </w:tcPr>
          <w:p>
            <w:pPr>
              <w:spacing w:line="420" w:lineRule="atLeast"/>
              <w:rPr>
                <w:rFonts w:ascii="宋体" w:hAnsi="宋体" w:eastAsia="宋体" w:cs="宋体"/>
                <w:color w:val="auto"/>
                <w:szCs w:val="21"/>
              </w:rPr>
            </w:pPr>
          </w:p>
        </w:tc>
        <w:tc>
          <w:tcPr>
            <w:tcW w:w="1563" w:type="dxa"/>
            <w:tcBorders>
              <w:top w:val="single" w:color="auto" w:sz="4" w:space="0"/>
              <w:left w:val="single" w:color="auto" w:sz="4" w:space="0"/>
              <w:bottom w:val="single" w:color="auto" w:sz="4" w:space="0"/>
              <w:right w:val="single" w:color="auto" w:sz="4" w:space="0"/>
            </w:tcBorders>
            <w:noWrap/>
            <w:vAlign w:val="center"/>
          </w:tcPr>
          <w:p>
            <w:pPr>
              <w:spacing w:line="420" w:lineRule="atLeast"/>
              <w:jc w:val="center"/>
              <w:rPr>
                <w:rFonts w:ascii="宋体" w:hAnsi="宋体" w:eastAsia="宋体" w:cs="宋体"/>
                <w:color w:val="auto"/>
                <w:szCs w:val="21"/>
              </w:rPr>
            </w:pPr>
            <w:r>
              <w:rPr>
                <w:rFonts w:hint="eastAsia" w:ascii="宋体" w:hAnsi="宋体" w:eastAsia="宋体" w:cs="宋体"/>
                <w:color w:val="auto"/>
                <w:szCs w:val="21"/>
              </w:rPr>
              <w:t>专业配合方案（6分）</w:t>
            </w:r>
          </w:p>
        </w:tc>
        <w:tc>
          <w:tcPr>
            <w:tcW w:w="6092" w:type="dxa"/>
            <w:tcBorders>
              <w:top w:val="single" w:color="auto" w:sz="4" w:space="0"/>
              <w:left w:val="single" w:color="auto" w:sz="4" w:space="0"/>
              <w:bottom w:val="single" w:color="auto" w:sz="4" w:space="0"/>
              <w:right w:val="single" w:color="auto" w:sz="4" w:space="0"/>
            </w:tcBorders>
            <w:noWrap/>
            <w:vAlign w:val="center"/>
          </w:tcPr>
          <w:p>
            <w:pPr>
              <w:widowControl/>
              <w:snapToGrid w:val="0"/>
              <w:spacing w:line="420" w:lineRule="atLeast"/>
              <w:ind w:firstLine="420" w:firstLineChars="200"/>
              <w:jc w:val="left"/>
              <w:rPr>
                <w:color w:val="auto"/>
                <w:szCs w:val="21"/>
              </w:rPr>
            </w:pPr>
            <w:r>
              <w:rPr>
                <w:rFonts w:hint="eastAsia"/>
                <w:color w:val="auto"/>
                <w:szCs w:val="21"/>
              </w:rPr>
              <w:t>由于本项目中，对原建筑物内部分设施需要拆除及重装、需安装新风、空调、加固等工序，与电子智能化系统设备的安装与调试存在交叉。</w:t>
            </w:r>
          </w:p>
          <w:p>
            <w:pPr>
              <w:widowControl/>
              <w:numPr>
                <w:ilvl w:val="0"/>
                <w:numId w:val="22"/>
              </w:numPr>
              <w:snapToGrid w:val="0"/>
              <w:spacing w:line="420" w:lineRule="atLeast"/>
              <w:ind w:firstLine="420" w:firstLineChars="200"/>
              <w:jc w:val="left"/>
              <w:rPr>
                <w:color w:val="auto"/>
                <w:szCs w:val="21"/>
              </w:rPr>
            </w:pPr>
            <w:r>
              <w:rPr>
                <w:rFonts w:hint="eastAsia"/>
                <w:color w:val="auto"/>
                <w:szCs w:val="21"/>
              </w:rPr>
              <w:t>提供本项目详细采购、安装、调试计划的，计划可行得1分，一般得0.5分；提供施工进度计划表的加1分；本项共2分</w:t>
            </w:r>
            <w:r>
              <w:rPr>
                <w:rFonts w:hint="eastAsia"/>
                <w:color w:val="auto"/>
                <w:szCs w:val="21"/>
                <w:lang w:eastAsia="zh-CN"/>
              </w:rPr>
              <w:t>。</w:t>
            </w:r>
          </w:p>
          <w:p>
            <w:pPr>
              <w:widowControl/>
              <w:numPr>
                <w:ilvl w:val="0"/>
                <w:numId w:val="22"/>
              </w:numPr>
              <w:snapToGrid w:val="0"/>
              <w:spacing w:line="420" w:lineRule="atLeast"/>
              <w:ind w:firstLine="420" w:firstLineChars="200"/>
              <w:jc w:val="left"/>
              <w:rPr>
                <w:color w:val="auto"/>
                <w:szCs w:val="21"/>
              </w:rPr>
            </w:pPr>
            <w:r>
              <w:rPr>
                <w:rFonts w:hint="eastAsia"/>
                <w:color w:val="auto"/>
                <w:szCs w:val="21"/>
              </w:rPr>
              <w:t>提供各工序配合保障措施说明的，措施可行得1分，一般得0.5分；本项共1分</w:t>
            </w:r>
            <w:r>
              <w:rPr>
                <w:rFonts w:hint="eastAsia"/>
                <w:color w:val="auto"/>
                <w:szCs w:val="21"/>
                <w:lang w:eastAsia="zh-CN"/>
              </w:rPr>
              <w:t>。</w:t>
            </w:r>
          </w:p>
          <w:p>
            <w:pPr>
              <w:widowControl/>
              <w:snapToGrid w:val="0"/>
              <w:spacing w:line="420" w:lineRule="atLeast"/>
              <w:ind w:firstLine="420" w:firstLineChars="200"/>
              <w:jc w:val="left"/>
              <w:rPr>
                <w:color w:val="auto"/>
                <w:szCs w:val="21"/>
              </w:rPr>
            </w:pPr>
            <w:r>
              <w:rPr>
                <w:rFonts w:hint="eastAsia"/>
                <w:color w:val="auto"/>
                <w:szCs w:val="21"/>
              </w:rPr>
              <w:t>3、对质量、安全、文明、消防、环保、成品保护等提出措施的，每一项得0.5分。本项共3分。</w:t>
            </w:r>
          </w:p>
        </w:tc>
      </w:tr>
      <w:tr>
        <w:tblPrEx>
          <w:tblCellMar>
            <w:top w:w="0" w:type="dxa"/>
            <w:left w:w="108" w:type="dxa"/>
            <w:bottom w:w="0" w:type="dxa"/>
            <w:right w:w="108" w:type="dxa"/>
          </w:tblCellMar>
        </w:tblPrEx>
        <w:trPr>
          <w:trHeight w:val="1703" w:hRule="atLeast"/>
        </w:trPr>
        <w:tc>
          <w:tcPr>
            <w:tcW w:w="1384" w:type="dxa"/>
            <w:vMerge w:val="restart"/>
            <w:tcBorders>
              <w:top w:val="single" w:color="auto" w:sz="4" w:space="0"/>
              <w:left w:val="single" w:color="auto" w:sz="4" w:space="0"/>
              <w:right w:val="single" w:color="auto" w:sz="4" w:space="0"/>
            </w:tcBorders>
            <w:noWrap/>
            <w:vAlign w:val="center"/>
          </w:tcPr>
          <w:p>
            <w:pPr>
              <w:widowControl/>
              <w:spacing w:line="420" w:lineRule="atLeast"/>
              <w:jc w:val="center"/>
              <w:rPr>
                <w:rFonts w:ascii="宋体" w:hAnsi="宋体" w:eastAsia="宋体" w:cs="宋体"/>
                <w:color w:val="auto"/>
                <w:szCs w:val="21"/>
              </w:rPr>
            </w:pPr>
            <w:r>
              <w:rPr>
                <w:rFonts w:hint="eastAsia" w:ascii="宋体" w:hAnsi="宋体" w:eastAsia="宋体" w:cs="宋体"/>
                <w:color w:val="auto"/>
                <w:szCs w:val="21"/>
              </w:rPr>
              <w:t>服务部分</w:t>
            </w:r>
          </w:p>
          <w:p>
            <w:pPr>
              <w:widowControl/>
              <w:spacing w:line="420" w:lineRule="atLeast"/>
              <w:jc w:val="center"/>
              <w:rPr>
                <w:rFonts w:ascii="宋体" w:hAnsi="宋体" w:eastAsia="宋体" w:cs="宋体"/>
                <w:color w:val="auto"/>
                <w:szCs w:val="21"/>
              </w:rPr>
            </w:pPr>
            <w:r>
              <w:rPr>
                <w:rFonts w:hint="eastAsia" w:ascii="宋体" w:hAnsi="宋体" w:eastAsia="宋体" w:cs="宋体"/>
                <w:color w:val="auto"/>
                <w:szCs w:val="21"/>
              </w:rPr>
              <w:t>（1</w:t>
            </w:r>
            <w:r>
              <w:rPr>
                <w:rFonts w:hint="eastAsia" w:ascii="宋体" w:hAnsi="宋体" w:eastAsia="宋体" w:cs="宋体"/>
                <w:color w:val="auto"/>
                <w:kern w:val="0"/>
                <w:szCs w:val="21"/>
              </w:rPr>
              <w:t>0</w:t>
            </w:r>
            <w:r>
              <w:rPr>
                <w:rFonts w:hint="eastAsia" w:ascii="宋体" w:hAnsi="宋体" w:eastAsia="宋体" w:cs="宋体"/>
                <w:color w:val="auto"/>
                <w:szCs w:val="21"/>
              </w:rPr>
              <w:t>分）</w:t>
            </w:r>
          </w:p>
        </w:tc>
        <w:tc>
          <w:tcPr>
            <w:tcW w:w="1563" w:type="dxa"/>
            <w:tcBorders>
              <w:top w:val="single" w:color="auto" w:sz="4" w:space="0"/>
              <w:left w:val="nil"/>
              <w:bottom w:val="single" w:color="auto" w:sz="4" w:space="0"/>
              <w:right w:val="single" w:color="auto" w:sz="4" w:space="0"/>
            </w:tcBorders>
            <w:noWrap/>
            <w:vAlign w:val="center"/>
          </w:tcPr>
          <w:p>
            <w:pPr>
              <w:widowControl/>
              <w:spacing w:line="420" w:lineRule="atLeast"/>
              <w:jc w:val="center"/>
              <w:rPr>
                <w:rFonts w:ascii="宋体" w:hAnsi="宋体" w:eastAsia="宋体" w:cs="宋体"/>
                <w:color w:val="auto"/>
                <w:szCs w:val="21"/>
              </w:rPr>
            </w:pPr>
            <w:r>
              <w:rPr>
                <w:rFonts w:hint="eastAsia" w:ascii="宋体" w:hAnsi="宋体" w:eastAsia="宋体" w:cs="宋体"/>
                <w:color w:val="auto"/>
                <w:szCs w:val="21"/>
              </w:rPr>
              <w:t>售后服务响应</w:t>
            </w:r>
          </w:p>
          <w:p>
            <w:pPr>
              <w:widowControl/>
              <w:spacing w:line="420" w:lineRule="atLeast"/>
              <w:jc w:val="center"/>
              <w:rPr>
                <w:rFonts w:ascii="宋体" w:hAnsi="宋体" w:eastAsia="宋体" w:cs="宋体"/>
                <w:color w:val="auto"/>
                <w:szCs w:val="21"/>
              </w:rPr>
            </w:pPr>
            <w:r>
              <w:rPr>
                <w:rFonts w:hint="eastAsia" w:ascii="宋体" w:hAnsi="宋体" w:eastAsia="宋体" w:cs="宋体"/>
                <w:color w:val="auto"/>
                <w:szCs w:val="21"/>
              </w:rPr>
              <w:t>（</w:t>
            </w:r>
            <w:r>
              <w:rPr>
                <w:rFonts w:hint="eastAsia" w:ascii="宋体" w:hAnsi="宋体" w:eastAsia="宋体" w:cs="宋体"/>
                <w:color w:val="auto"/>
                <w:kern w:val="0"/>
                <w:szCs w:val="21"/>
              </w:rPr>
              <w:t>3</w:t>
            </w:r>
            <w:r>
              <w:rPr>
                <w:rFonts w:hint="eastAsia" w:ascii="宋体" w:hAnsi="宋体" w:eastAsia="宋体" w:cs="宋体"/>
                <w:color w:val="auto"/>
                <w:szCs w:val="21"/>
              </w:rPr>
              <w:t>分）</w:t>
            </w:r>
          </w:p>
        </w:tc>
        <w:tc>
          <w:tcPr>
            <w:tcW w:w="6092" w:type="dxa"/>
            <w:tcBorders>
              <w:top w:val="single" w:color="auto" w:sz="4" w:space="0"/>
              <w:left w:val="nil"/>
              <w:bottom w:val="single" w:color="auto" w:sz="4" w:space="0"/>
              <w:right w:val="single" w:color="auto" w:sz="4" w:space="0"/>
            </w:tcBorders>
            <w:noWrap/>
            <w:vAlign w:val="center"/>
          </w:tcPr>
          <w:p>
            <w:pPr>
              <w:spacing w:line="420" w:lineRule="atLeast"/>
              <w:ind w:firstLine="420" w:firstLineChars="200"/>
              <w:rPr>
                <w:rFonts w:ascii="宋体" w:hAnsi="宋体" w:eastAsia="宋体" w:cs="宋体"/>
                <w:color w:val="auto"/>
                <w:szCs w:val="21"/>
              </w:rPr>
            </w:pPr>
            <w:r>
              <w:rPr>
                <w:rFonts w:hint="eastAsia" w:ascii="宋体" w:hAnsi="宋体" w:eastAsia="宋体" w:cs="宋体"/>
                <w:bCs/>
                <w:color w:val="auto"/>
                <w:szCs w:val="21"/>
              </w:rPr>
              <w:t>售后服务，</w:t>
            </w:r>
            <w:r>
              <w:rPr>
                <w:rFonts w:hint="eastAsia" w:ascii="宋体" w:hAnsi="宋体" w:eastAsia="宋体" w:cs="宋体"/>
                <w:color w:val="auto"/>
                <w:szCs w:val="21"/>
              </w:rPr>
              <w:t>质保期方案完全满足招标文件要求；售后服务体系完善，承诺服务内容优越，响应时间，售后服务人员组织结构合理、维护体系健全，技术支持保障到位。2小时内到达现场得3分，6小时内到达现场得1分，超过6小时的不得分。</w:t>
            </w:r>
          </w:p>
        </w:tc>
      </w:tr>
      <w:tr>
        <w:tblPrEx>
          <w:tblCellMar>
            <w:top w:w="0" w:type="dxa"/>
            <w:left w:w="108" w:type="dxa"/>
            <w:bottom w:w="0" w:type="dxa"/>
            <w:right w:w="108" w:type="dxa"/>
          </w:tblCellMar>
        </w:tblPrEx>
        <w:trPr>
          <w:trHeight w:val="1489" w:hRule="atLeast"/>
        </w:trPr>
        <w:tc>
          <w:tcPr>
            <w:tcW w:w="1384" w:type="dxa"/>
            <w:vMerge w:val="continue"/>
            <w:tcBorders>
              <w:left w:val="single" w:color="auto" w:sz="4" w:space="0"/>
              <w:right w:val="single" w:color="auto" w:sz="4" w:space="0"/>
            </w:tcBorders>
            <w:noWrap/>
            <w:vAlign w:val="center"/>
          </w:tcPr>
          <w:p>
            <w:pPr>
              <w:spacing w:line="420" w:lineRule="atLeast"/>
              <w:rPr>
                <w:rFonts w:ascii="宋体" w:hAnsi="宋体" w:eastAsia="宋体" w:cs="宋体"/>
                <w:color w:val="auto"/>
                <w:szCs w:val="21"/>
              </w:rPr>
            </w:pPr>
          </w:p>
        </w:tc>
        <w:tc>
          <w:tcPr>
            <w:tcW w:w="1563" w:type="dxa"/>
            <w:tcBorders>
              <w:top w:val="single" w:color="auto" w:sz="4" w:space="0"/>
              <w:left w:val="nil"/>
              <w:bottom w:val="single" w:color="auto" w:sz="4" w:space="0"/>
              <w:right w:val="single" w:color="auto" w:sz="4" w:space="0"/>
            </w:tcBorders>
            <w:noWrap/>
            <w:vAlign w:val="center"/>
          </w:tcPr>
          <w:p>
            <w:pPr>
              <w:spacing w:line="420" w:lineRule="atLeast"/>
              <w:jc w:val="center"/>
              <w:rPr>
                <w:rFonts w:ascii="宋体" w:hAnsi="宋体" w:eastAsia="宋体" w:cs="宋体"/>
                <w:color w:val="auto"/>
                <w:szCs w:val="21"/>
              </w:rPr>
            </w:pPr>
            <w:r>
              <w:rPr>
                <w:rFonts w:hint="eastAsia" w:ascii="宋体" w:hAnsi="宋体" w:eastAsia="宋体" w:cs="宋体"/>
                <w:color w:val="auto"/>
                <w:szCs w:val="21"/>
              </w:rPr>
              <w:t>技术培训</w:t>
            </w:r>
          </w:p>
          <w:p>
            <w:pPr>
              <w:spacing w:line="420" w:lineRule="atLeast"/>
              <w:jc w:val="center"/>
              <w:rPr>
                <w:rFonts w:ascii="宋体" w:hAnsi="宋体" w:eastAsia="宋体" w:cs="宋体"/>
                <w:color w:val="auto"/>
                <w:szCs w:val="21"/>
              </w:rPr>
            </w:pPr>
            <w:r>
              <w:rPr>
                <w:rFonts w:hint="eastAsia" w:ascii="宋体" w:hAnsi="宋体" w:eastAsia="宋体" w:cs="宋体"/>
                <w:color w:val="auto"/>
                <w:szCs w:val="21"/>
              </w:rPr>
              <w:t>（3分）</w:t>
            </w:r>
          </w:p>
        </w:tc>
        <w:tc>
          <w:tcPr>
            <w:tcW w:w="6092" w:type="dxa"/>
            <w:tcBorders>
              <w:top w:val="single" w:color="auto" w:sz="4" w:space="0"/>
              <w:left w:val="nil"/>
              <w:bottom w:val="single" w:color="auto" w:sz="4" w:space="0"/>
              <w:right w:val="single" w:color="auto" w:sz="4" w:space="0"/>
            </w:tcBorders>
            <w:noWrap/>
            <w:vAlign w:val="center"/>
          </w:tcPr>
          <w:p>
            <w:pPr>
              <w:widowControl/>
              <w:spacing w:line="420" w:lineRule="atLeast"/>
              <w:ind w:firstLine="420" w:firstLineChars="200"/>
              <w:textAlignment w:val="center"/>
              <w:rPr>
                <w:rFonts w:ascii="宋体" w:hAnsi="宋体" w:eastAsia="宋体" w:cs="宋体"/>
                <w:color w:val="auto"/>
                <w:kern w:val="0"/>
                <w:szCs w:val="21"/>
              </w:rPr>
            </w:pPr>
            <w:r>
              <w:rPr>
                <w:rFonts w:hint="eastAsia" w:ascii="宋体" w:hAnsi="宋体" w:eastAsia="宋体" w:cs="宋体"/>
                <w:color w:val="auto"/>
                <w:szCs w:val="21"/>
              </w:rPr>
              <w:t>投标文件中有完整的技术培训方案。其中，包括：1、培训承诺、2、培训计划、3培训内容、4培训人员安排、5培训地点、6培训专家安排；每项内容得0.5分，缺项不得分。本项共3分。</w:t>
            </w:r>
          </w:p>
        </w:tc>
      </w:tr>
      <w:tr>
        <w:tblPrEx>
          <w:tblCellMar>
            <w:top w:w="0" w:type="dxa"/>
            <w:left w:w="108" w:type="dxa"/>
            <w:bottom w:w="0" w:type="dxa"/>
            <w:right w:w="108" w:type="dxa"/>
          </w:tblCellMar>
        </w:tblPrEx>
        <w:trPr>
          <w:trHeight w:val="419" w:hRule="atLeast"/>
        </w:trPr>
        <w:tc>
          <w:tcPr>
            <w:tcW w:w="1384" w:type="dxa"/>
            <w:tcBorders>
              <w:left w:val="single" w:color="auto" w:sz="4" w:space="0"/>
              <w:right w:val="single" w:color="auto" w:sz="4" w:space="0"/>
            </w:tcBorders>
            <w:noWrap/>
            <w:vAlign w:val="center"/>
          </w:tcPr>
          <w:p>
            <w:pPr>
              <w:spacing w:line="420" w:lineRule="atLeast"/>
              <w:rPr>
                <w:rFonts w:ascii="宋体" w:hAnsi="宋体" w:eastAsia="宋体" w:cs="宋体"/>
                <w:color w:val="auto"/>
                <w:szCs w:val="21"/>
              </w:rPr>
            </w:pPr>
          </w:p>
        </w:tc>
        <w:tc>
          <w:tcPr>
            <w:tcW w:w="1563" w:type="dxa"/>
            <w:tcBorders>
              <w:top w:val="single" w:color="auto" w:sz="4" w:space="0"/>
              <w:left w:val="nil"/>
              <w:bottom w:val="single" w:color="auto" w:sz="4" w:space="0"/>
              <w:right w:val="single" w:color="auto" w:sz="4" w:space="0"/>
            </w:tcBorders>
            <w:noWrap/>
            <w:vAlign w:val="center"/>
          </w:tcPr>
          <w:p>
            <w:pPr>
              <w:spacing w:line="420" w:lineRule="atLeast"/>
              <w:jc w:val="center"/>
              <w:rPr>
                <w:color w:val="auto"/>
                <w:szCs w:val="21"/>
              </w:rPr>
            </w:pPr>
            <w:r>
              <w:rPr>
                <w:rFonts w:hint="eastAsia"/>
                <w:color w:val="auto"/>
                <w:szCs w:val="21"/>
              </w:rPr>
              <w:t>其他服务</w:t>
            </w:r>
          </w:p>
          <w:p>
            <w:pPr>
              <w:spacing w:line="420" w:lineRule="atLeast"/>
              <w:jc w:val="center"/>
              <w:rPr>
                <w:color w:val="auto"/>
                <w:szCs w:val="21"/>
              </w:rPr>
            </w:pPr>
            <w:r>
              <w:rPr>
                <w:rFonts w:hint="eastAsia"/>
                <w:color w:val="auto"/>
                <w:szCs w:val="21"/>
              </w:rPr>
              <w:t>（2分）</w:t>
            </w:r>
          </w:p>
        </w:tc>
        <w:tc>
          <w:tcPr>
            <w:tcW w:w="6092" w:type="dxa"/>
            <w:tcBorders>
              <w:top w:val="single" w:color="auto" w:sz="4" w:space="0"/>
              <w:left w:val="nil"/>
              <w:bottom w:val="single" w:color="auto" w:sz="4" w:space="0"/>
              <w:right w:val="single" w:color="auto" w:sz="4" w:space="0"/>
            </w:tcBorders>
            <w:noWrap/>
            <w:vAlign w:val="center"/>
          </w:tcPr>
          <w:p>
            <w:pPr>
              <w:spacing w:line="420" w:lineRule="atLeast"/>
              <w:ind w:firstLine="420" w:firstLineChars="200"/>
              <w:jc w:val="left"/>
              <w:rPr>
                <w:color w:val="auto"/>
                <w:szCs w:val="21"/>
              </w:rPr>
            </w:pPr>
            <w:r>
              <w:rPr>
                <w:rFonts w:hint="eastAsia"/>
                <w:color w:val="auto"/>
                <w:szCs w:val="21"/>
              </w:rPr>
              <w:t>售后服务期外，提供有利于采购人的服务、优惠等，得2分，一般得1分，未提供不得分，本项共2分。</w:t>
            </w:r>
          </w:p>
        </w:tc>
      </w:tr>
      <w:tr>
        <w:tblPrEx>
          <w:tblCellMar>
            <w:top w:w="0" w:type="dxa"/>
            <w:left w:w="108" w:type="dxa"/>
            <w:bottom w:w="0" w:type="dxa"/>
            <w:right w:w="108" w:type="dxa"/>
          </w:tblCellMar>
        </w:tblPrEx>
        <w:trPr>
          <w:trHeight w:val="419" w:hRule="atLeast"/>
        </w:trPr>
        <w:tc>
          <w:tcPr>
            <w:tcW w:w="1384" w:type="dxa"/>
            <w:tcBorders>
              <w:left w:val="single" w:color="auto" w:sz="4" w:space="0"/>
              <w:bottom w:val="single" w:color="auto" w:sz="4" w:space="0"/>
              <w:right w:val="single" w:color="auto" w:sz="4" w:space="0"/>
            </w:tcBorders>
            <w:noWrap/>
            <w:vAlign w:val="center"/>
          </w:tcPr>
          <w:p>
            <w:pPr>
              <w:spacing w:line="420" w:lineRule="atLeast"/>
              <w:rPr>
                <w:rFonts w:ascii="宋体" w:hAnsi="宋体" w:eastAsia="宋体" w:cs="宋体"/>
                <w:color w:val="auto"/>
                <w:szCs w:val="21"/>
              </w:rPr>
            </w:pPr>
          </w:p>
        </w:tc>
        <w:tc>
          <w:tcPr>
            <w:tcW w:w="1563" w:type="dxa"/>
            <w:tcBorders>
              <w:top w:val="single" w:color="auto" w:sz="4" w:space="0"/>
              <w:left w:val="nil"/>
              <w:bottom w:val="single" w:color="auto" w:sz="4" w:space="0"/>
              <w:right w:val="single" w:color="auto" w:sz="4" w:space="0"/>
            </w:tcBorders>
            <w:noWrap/>
            <w:vAlign w:val="center"/>
          </w:tcPr>
          <w:p>
            <w:pPr>
              <w:widowControl/>
              <w:spacing w:line="420" w:lineRule="atLeast"/>
              <w:jc w:val="center"/>
              <w:rPr>
                <w:rFonts w:ascii="宋体" w:hAnsi="宋体" w:eastAsia="宋体" w:cs="宋体"/>
                <w:color w:val="auto"/>
                <w:szCs w:val="21"/>
              </w:rPr>
            </w:pPr>
            <w:r>
              <w:rPr>
                <w:rFonts w:hint="eastAsia" w:ascii="宋体" w:hAnsi="宋体" w:eastAsia="宋体" w:cs="宋体"/>
                <w:color w:val="auto"/>
                <w:szCs w:val="21"/>
              </w:rPr>
              <w:t>投标文件编制</w:t>
            </w:r>
          </w:p>
          <w:p>
            <w:pPr>
              <w:widowControl/>
              <w:spacing w:line="420" w:lineRule="atLeast"/>
              <w:jc w:val="center"/>
              <w:rPr>
                <w:rFonts w:ascii="宋体" w:hAnsi="宋体" w:eastAsia="宋体" w:cs="宋体"/>
                <w:color w:val="auto"/>
                <w:szCs w:val="21"/>
              </w:rPr>
            </w:pPr>
            <w:r>
              <w:rPr>
                <w:rFonts w:hint="eastAsia" w:ascii="宋体" w:hAnsi="宋体" w:eastAsia="宋体" w:cs="宋体"/>
                <w:color w:val="auto"/>
                <w:szCs w:val="21"/>
              </w:rPr>
              <w:t>（2分）</w:t>
            </w:r>
          </w:p>
        </w:tc>
        <w:tc>
          <w:tcPr>
            <w:tcW w:w="6092" w:type="dxa"/>
            <w:tcBorders>
              <w:top w:val="single" w:color="auto" w:sz="4" w:space="0"/>
              <w:left w:val="nil"/>
              <w:bottom w:val="single" w:color="auto" w:sz="4" w:space="0"/>
              <w:right w:val="single" w:color="auto" w:sz="4" w:space="0"/>
            </w:tcBorders>
            <w:noWrap/>
            <w:vAlign w:val="center"/>
          </w:tcPr>
          <w:p>
            <w:pPr>
              <w:widowControl/>
              <w:tabs>
                <w:tab w:val="left" w:pos="312"/>
              </w:tabs>
              <w:spacing w:line="420" w:lineRule="atLeast"/>
              <w:ind w:firstLine="420" w:firstLineChars="200"/>
              <w:jc w:val="left"/>
              <w:rPr>
                <w:rFonts w:ascii="宋体" w:hAnsi="宋体" w:eastAsia="宋体" w:cs="宋体"/>
                <w:color w:val="auto"/>
                <w:szCs w:val="21"/>
              </w:rPr>
            </w:pPr>
            <w:r>
              <w:rPr>
                <w:rFonts w:hint="eastAsia" w:ascii="宋体" w:hAnsi="宋体" w:eastAsia="宋体" w:cs="宋体"/>
                <w:color w:val="auto"/>
                <w:szCs w:val="21"/>
              </w:rPr>
              <w:t>投标文件编制完整，投标文件格式规范、符合招标文件要求得1分；所提供资料准确完整、无差错，得1分。招标文件有关内容前后矛盾、与招标文件要求不一致的不得分。</w:t>
            </w:r>
          </w:p>
        </w:tc>
      </w:tr>
    </w:tbl>
    <w:p>
      <w:pPr>
        <w:pStyle w:val="58"/>
        <w:spacing w:line="360" w:lineRule="auto"/>
        <w:contextualSpacing/>
        <w:rPr>
          <w:rFonts w:ascii="宋体" w:cs="仿宋_GB2312"/>
          <w:b/>
          <w:szCs w:val="21"/>
          <w:lang w:val="zh-CN"/>
        </w:rPr>
      </w:pPr>
      <w:r>
        <w:rPr>
          <w:rFonts w:hint="eastAsia" w:ascii="宋体" w:hAnsi="宋体" w:cs="仿宋_GB2312"/>
          <w:b/>
          <w:szCs w:val="21"/>
          <w:lang w:val="zh-CN"/>
        </w:rPr>
        <w:t>其中：价格分计算（落实政府采购政策价格调整部分）</w:t>
      </w:r>
    </w:p>
    <w:tbl>
      <w:tblPr>
        <w:tblStyle w:val="24"/>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1" w:type="dxa"/>
            <w:vAlign w:val="center"/>
          </w:tcPr>
          <w:p>
            <w:pPr>
              <w:jc w:val="center"/>
              <w:rPr>
                <w:rFonts w:ascii="宋体"/>
                <w:b/>
                <w:color w:val="000000"/>
                <w:szCs w:val="21"/>
                <w:lang w:val="en-GB"/>
              </w:rPr>
            </w:pPr>
            <w:r>
              <w:rPr>
                <w:rFonts w:hint="eastAsia" w:ascii="宋体" w:hAnsi="宋体"/>
                <w:b/>
                <w:color w:val="000000"/>
                <w:szCs w:val="21"/>
                <w:lang w:val="en-GB"/>
              </w:rPr>
              <w:t>序号</w:t>
            </w:r>
          </w:p>
        </w:tc>
        <w:tc>
          <w:tcPr>
            <w:tcW w:w="2823" w:type="dxa"/>
            <w:vAlign w:val="center"/>
          </w:tcPr>
          <w:p>
            <w:pPr>
              <w:jc w:val="center"/>
              <w:rPr>
                <w:rFonts w:ascii="宋体"/>
                <w:b/>
                <w:color w:val="000000"/>
                <w:szCs w:val="21"/>
                <w:lang w:val="en-GB"/>
              </w:rPr>
            </w:pPr>
            <w:r>
              <w:rPr>
                <w:rFonts w:hint="eastAsia" w:ascii="宋体" w:hAnsi="宋体"/>
                <w:b/>
                <w:color w:val="000000"/>
                <w:szCs w:val="21"/>
                <w:lang w:val="en-GB"/>
              </w:rPr>
              <w:t>情形</w:t>
            </w:r>
          </w:p>
        </w:tc>
        <w:tc>
          <w:tcPr>
            <w:tcW w:w="2552" w:type="dxa"/>
            <w:vAlign w:val="center"/>
          </w:tcPr>
          <w:p>
            <w:pPr>
              <w:jc w:val="center"/>
              <w:rPr>
                <w:rFonts w:ascii="宋体"/>
                <w:b/>
                <w:color w:val="000000"/>
                <w:szCs w:val="21"/>
                <w:lang w:val="en-GB"/>
              </w:rPr>
            </w:pPr>
            <w:r>
              <w:rPr>
                <w:rFonts w:hint="eastAsia" w:ascii="宋体" w:hAnsi="宋体"/>
                <w:b/>
                <w:color w:val="000000"/>
                <w:szCs w:val="21"/>
              </w:rPr>
              <w:t>价格扣除</w:t>
            </w:r>
            <w:r>
              <w:rPr>
                <w:rFonts w:hint="eastAsia" w:ascii="宋体" w:hAnsi="宋体"/>
                <w:b/>
                <w:color w:val="000000"/>
                <w:szCs w:val="21"/>
                <w:lang w:val="en-GB"/>
              </w:rPr>
              <w:t>比例</w:t>
            </w:r>
          </w:p>
        </w:tc>
        <w:tc>
          <w:tcPr>
            <w:tcW w:w="2835" w:type="dxa"/>
            <w:vAlign w:val="center"/>
          </w:tcPr>
          <w:p>
            <w:pPr>
              <w:jc w:val="center"/>
              <w:rPr>
                <w:rFonts w:ascii="宋体"/>
                <w:b/>
                <w:color w:val="000000"/>
                <w:szCs w:val="21"/>
                <w:lang w:val="en-GB"/>
              </w:rPr>
            </w:pPr>
            <w:r>
              <w:rPr>
                <w:rFonts w:hint="eastAsia" w:ascii="宋体" w:hAnsi="宋体"/>
                <w:b/>
                <w:color w:val="000000"/>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Cs w:val="21"/>
                <w:lang w:val="en-GB"/>
              </w:rPr>
            </w:pPr>
            <w:r>
              <w:rPr>
                <w:rFonts w:ascii="宋体" w:hAnsi="宋体"/>
                <w:b/>
                <w:color w:val="000000"/>
                <w:szCs w:val="21"/>
                <w:lang w:val="en-GB"/>
              </w:rPr>
              <w:t>1</w:t>
            </w:r>
          </w:p>
        </w:tc>
        <w:tc>
          <w:tcPr>
            <w:tcW w:w="2823" w:type="dxa"/>
            <w:vAlign w:val="center"/>
          </w:tcPr>
          <w:p>
            <w:pPr>
              <w:jc w:val="center"/>
              <w:rPr>
                <w:rFonts w:ascii="宋体"/>
                <w:b/>
                <w:color w:val="000000"/>
                <w:szCs w:val="21"/>
                <w:lang w:val="en-GB"/>
              </w:rPr>
            </w:pPr>
            <w:r>
              <w:rPr>
                <w:rFonts w:hint="eastAsia" w:ascii="宋体" w:hAnsi="宋体"/>
                <w:color w:val="000000"/>
                <w:szCs w:val="21"/>
                <w:lang w:val="en-GB"/>
              </w:rPr>
              <w:t>非联合体投标人</w:t>
            </w:r>
          </w:p>
        </w:tc>
        <w:tc>
          <w:tcPr>
            <w:tcW w:w="2552" w:type="dxa"/>
            <w:vAlign w:val="center"/>
          </w:tcPr>
          <w:p>
            <w:pPr>
              <w:jc w:val="center"/>
              <w:rPr>
                <w:rFonts w:ascii="宋体"/>
                <w:b/>
                <w:szCs w:val="21"/>
                <w:lang w:val="en-GB"/>
              </w:rPr>
            </w:pPr>
            <w:r>
              <w:rPr>
                <w:rFonts w:hint="eastAsia" w:ascii="宋体" w:hAnsi="宋体"/>
                <w:color w:val="000000"/>
                <w:szCs w:val="21"/>
              </w:rPr>
              <w:t>对小型和微型企业产品的价格扣除</w:t>
            </w:r>
            <w:r>
              <w:rPr>
                <w:rFonts w:ascii="宋体" w:hAnsi="宋体"/>
                <w:szCs w:val="21"/>
                <w:u w:val="single"/>
              </w:rPr>
              <w:t>10</w:t>
            </w:r>
            <w:r>
              <w:rPr>
                <w:rFonts w:ascii="宋体" w:hAnsi="宋体"/>
                <w:szCs w:val="21"/>
              </w:rPr>
              <w:t>%</w:t>
            </w:r>
          </w:p>
        </w:tc>
        <w:tc>
          <w:tcPr>
            <w:tcW w:w="2835" w:type="dxa"/>
            <w:vMerge w:val="restart"/>
            <w:vAlign w:val="center"/>
          </w:tcPr>
          <w:p>
            <w:pPr>
              <w:jc w:val="center"/>
              <w:rPr>
                <w:color w:val="000000"/>
                <w:szCs w:val="21"/>
                <w:lang w:val="en-GB"/>
              </w:rPr>
            </w:pPr>
            <w:r>
              <w:rPr>
                <w:rFonts w:hint="eastAsia"/>
                <w:color w:val="000000"/>
                <w:szCs w:val="21"/>
                <w:lang w:val="en-GB"/>
              </w:rPr>
              <w:t>评标价格＝投标报价</w:t>
            </w:r>
            <w:r>
              <w:rPr>
                <w:color w:val="000000"/>
                <w:szCs w:val="21"/>
                <w:lang w:val="en-GB"/>
              </w:rPr>
              <w:t>—</w:t>
            </w:r>
            <w:r>
              <w:rPr>
                <w:rFonts w:hint="eastAsia"/>
                <w:color w:val="000000"/>
                <w:szCs w:val="21"/>
              </w:rPr>
              <w:t>小型和微型企业产品的价格</w:t>
            </w:r>
            <w:r>
              <w:rPr>
                <w:rFonts w:hint="eastAsia" w:ascii="宋体" w:hAnsi="宋体"/>
                <w:color w:val="000000"/>
                <w:szCs w:val="21"/>
                <w:lang w:val="en-GB"/>
              </w:rPr>
              <w:t>×</w:t>
            </w:r>
            <w:r>
              <w:rPr>
                <w:color w:val="000000"/>
                <w:szCs w:val="21"/>
                <w:lang w:val="en-GB"/>
              </w:rPr>
              <w:t>10%</w:t>
            </w:r>
          </w:p>
          <w:p>
            <w:pPr>
              <w:jc w:val="center"/>
              <w:rPr>
                <w:rFonts w:asci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Cs w:val="21"/>
                <w:lang w:val="en-GB"/>
              </w:rPr>
            </w:pPr>
            <w:r>
              <w:rPr>
                <w:rFonts w:ascii="宋体" w:hAnsi="宋体"/>
                <w:b/>
                <w:color w:val="000000"/>
                <w:szCs w:val="21"/>
                <w:lang w:val="en-GB"/>
              </w:rPr>
              <w:t>2</w:t>
            </w:r>
          </w:p>
        </w:tc>
        <w:tc>
          <w:tcPr>
            <w:tcW w:w="2823" w:type="dxa"/>
            <w:vAlign w:val="center"/>
          </w:tcPr>
          <w:p>
            <w:pPr>
              <w:jc w:val="center"/>
              <w:rPr>
                <w:rFonts w:ascii="宋体"/>
                <w:b/>
                <w:color w:val="000000"/>
                <w:szCs w:val="21"/>
              </w:rPr>
            </w:pPr>
            <w:r>
              <w:rPr>
                <w:rFonts w:hint="eastAsia" w:ascii="宋体" w:hAnsi="宋体"/>
                <w:color w:val="000000"/>
                <w:szCs w:val="21"/>
                <w:lang w:val="en-GB"/>
              </w:rPr>
              <w:t>联合体各方均为小型、微型企业</w:t>
            </w:r>
          </w:p>
        </w:tc>
        <w:tc>
          <w:tcPr>
            <w:tcW w:w="2552" w:type="dxa"/>
            <w:vAlign w:val="center"/>
          </w:tcPr>
          <w:p>
            <w:pPr>
              <w:jc w:val="center"/>
              <w:rPr>
                <w:rFonts w:ascii="宋体" w:hAnsi="宋体"/>
                <w:szCs w:val="21"/>
              </w:rPr>
            </w:pPr>
            <w:r>
              <w:rPr>
                <w:rFonts w:hint="eastAsia" w:ascii="宋体" w:hAnsi="宋体"/>
                <w:color w:val="000000"/>
                <w:szCs w:val="21"/>
              </w:rPr>
              <w:t>对小型和微型企业产品的价格扣除</w:t>
            </w:r>
            <w:r>
              <w:rPr>
                <w:rFonts w:ascii="宋体" w:hAnsi="宋体"/>
                <w:szCs w:val="21"/>
                <w:u w:val="single"/>
              </w:rPr>
              <w:t>10</w:t>
            </w:r>
            <w:r>
              <w:rPr>
                <w:rFonts w:ascii="宋体" w:hAnsi="宋体"/>
                <w:szCs w:val="21"/>
              </w:rPr>
              <w:t>%</w:t>
            </w:r>
          </w:p>
          <w:p>
            <w:pPr>
              <w:jc w:val="center"/>
              <w:rPr>
                <w:rFonts w:ascii="宋体"/>
                <w:b/>
                <w:szCs w:val="21"/>
                <w:lang w:val="en-GB"/>
              </w:rPr>
            </w:pPr>
            <w:r>
              <w:rPr>
                <w:rFonts w:hint="eastAsia" w:ascii="宋体" w:hAnsi="宋体"/>
                <w:szCs w:val="21"/>
              </w:rPr>
              <w:t>（不再享受序号</w:t>
            </w:r>
            <w:r>
              <w:rPr>
                <w:rFonts w:ascii="宋体" w:hAnsi="宋体"/>
                <w:szCs w:val="21"/>
              </w:rPr>
              <w:t>3</w:t>
            </w:r>
            <w:r>
              <w:rPr>
                <w:rFonts w:hint="eastAsia" w:ascii="宋体" w:hAnsi="宋体"/>
                <w:szCs w:val="21"/>
              </w:rPr>
              <w:t>的价格折扣）</w:t>
            </w:r>
          </w:p>
        </w:tc>
        <w:tc>
          <w:tcPr>
            <w:tcW w:w="2835" w:type="dxa"/>
            <w:vMerge w:val="continue"/>
          </w:tcPr>
          <w:p>
            <w:pPr>
              <w:rPr>
                <w:rFonts w:ascii="宋体"/>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ascii="宋体" w:hAnsi="宋体"/>
                <w:b/>
                <w:color w:val="000000"/>
                <w:szCs w:val="21"/>
                <w:lang w:val="en-GB"/>
              </w:rPr>
              <w:t>3</w:t>
            </w:r>
          </w:p>
        </w:tc>
        <w:tc>
          <w:tcPr>
            <w:tcW w:w="2823" w:type="dxa"/>
            <w:vAlign w:val="center"/>
          </w:tcPr>
          <w:p>
            <w:pPr>
              <w:jc w:val="center"/>
              <w:rPr>
                <w:rFonts w:ascii="宋体"/>
                <w:b/>
                <w:color w:val="000000"/>
                <w:szCs w:val="21"/>
                <w:lang w:val="en-GB"/>
              </w:rPr>
            </w:pPr>
            <w:r>
              <w:rPr>
                <w:rFonts w:hint="eastAsia" w:ascii="宋体" w:hAnsi="宋体"/>
                <w:color w:val="000000"/>
                <w:szCs w:val="21"/>
                <w:lang w:val="en-GB"/>
              </w:rPr>
              <w:t>联合体一方为小型、微型企业且小型、微型企业协议合同金额占联合体协议合同总金额</w:t>
            </w:r>
            <w:r>
              <w:rPr>
                <w:rFonts w:ascii="宋体" w:hAnsi="宋体"/>
                <w:color w:val="000000"/>
                <w:szCs w:val="21"/>
                <w:lang w:val="en-GB"/>
              </w:rPr>
              <w:t>30%</w:t>
            </w:r>
            <w:r>
              <w:rPr>
                <w:rFonts w:hint="eastAsia" w:ascii="宋体" w:hAnsi="宋体"/>
                <w:color w:val="000000"/>
                <w:szCs w:val="21"/>
                <w:lang w:val="en-GB"/>
              </w:rPr>
              <w:t>以上的</w:t>
            </w:r>
          </w:p>
        </w:tc>
        <w:tc>
          <w:tcPr>
            <w:tcW w:w="2552" w:type="dxa"/>
            <w:vAlign w:val="center"/>
          </w:tcPr>
          <w:p>
            <w:pPr>
              <w:jc w:val="center"/>
              <w:rPr>
                <w:rFonts w:ascii="宋体"/>
                <w:color w:val="000000"/>
                <w:szCs w:val="21"/>
                <w:lang w:val="en-GB"/>
              </w:rPr>
            </w:pPr>
            <w:r>
              <w:rPr>
                <w:rFonts w:hint="eastAsia" w:ascii="宋体" w:hAnsi="宋体"/>
                <w:color w:val="000000"/>
                <w:szCs w:val="21"/>
                <w:lang w:val="en-GB"/>
              </w:rPr>
              <w:t>对联合体总金额扣除</w:t>
            </w:r>
          </w:p>
          <w:p>
            <w:pPr>
              <w:jc w:val="center"/>
              <w:rPr>
                <w:rFonts w:ascii="宋体"/>
                <w:b/>
                <w:szCs w:val="21"/>
                <w:lang w:val="en-GB"/>
              </w:rPr>
            </w:pPr>
            <w:r>
              <w:rPr>
                <w:rFonts w:ascii="宋体" w:hAnsi="宋体"/>
                <w:szCs w:val="21"/>
                <w:u w:val="single"/>
              </w:rPr>
              <w:t>2</w:t>
            </w:r>
            <w:r>
              <w:rPr>
                <w:rFonts w:ascii="宋体" w:hAnsi="宋体"/>
                <w:szCs w:val="21"/>
              </w:rPr>
              <w:t>%</w:t>
            </w:r>
          </w:p>
        </w:tc>
        <w:tc>
          <w:tcPr>
            <w:tcW w:w="2835" w:type="dxa"/>
            <w:vAlign w:val="center"/>
          </w:tcPr>
          <w:p>
            <w:pPr>
              <w:jc w:val="center"/>
              <w:rPr>
                <w:rFonts w:ascii="宋体"/>
                <w:color w:val="FF0000"/>
                <w:szCs w:val="21"/>
                <w:u w:val="single"/>
              </w:rPr>
            </w:pPr>
            <w:r>
              <w:rPr>
                <w:rFonts w:hint="eastAsia" w:ascii="宋体" w:hAnsi="宋体"/>
                <w:color w:val="000000"/>
                <w:szCs w:val="21"/>
                <w:lang w:val="en-GB"/>
              </w:rPr>
              <w:t>评标价格＝投标报价×</w:t>
            </w:r>
            <w:r>
              <w:rPr>
                <w:rFonts w:ascii="宋体" w:hAnsi="宋体"/>
                <w:color w:val="000000"/>
                <w:szCs w:val="21"/>
              </w:rPr>
              <w:t>(1-</w:t>
            </w:r>
            <w:r>
              <w:rPr>
                <w:rFonts w:ascii="宋体" w:hAnsi="宋体"/>
                <w:color w:val="000000"/>
                <w:szCs w:val="21"/>
                <w:u w:val="single"/>
              </w:rPr>
              <w:t>2%)</w:t>
            </w:r>
          </w:p>
          <w:p>
            <w:pPr>
              <w:jc w:val="center"/>
              <w:rPr>
                <w:rFonts w:asci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ascii="宋体" w:hAnsi="宋体"/>
                <w:b/>
                <w:color w:val="000000"/>
                <w:szCs w:val="21"/>
                <w:lang w:val="en-GB"/>
              </w:rPr>
              <w:t>4</w:t>
            </w:r>
          </w:p>
        </w:tc>
        <w:tc>
          <w:tcPr>
            <w:tcW w:w="2823" w:type="dxa"/>
            <w:vAlign w:val="center"/>
          </w:tcPr>
          <w:p>
            <w:pPr>
              <w:jc w:val="center"/>
              <w:rPr>
                <w:rFonts w:ascii="宋体"/>
                <w:color w:val="000000"/>
                <w:szCs w:val="21"/>
                <w:lang w:val="en-GB"/>
              </w:rPr>
            </w:pPr>
            <w:r>
              <w:rPr>
                <w:rFonts w:hint="eastAsia" w:ascii="宋体" w:hAnsi="宋体"/>
                <w:color w:val="000000"/>
                <w:szCs w:val="21"/>
                <w:lang w:val="en-GB"/>
              </w:rPr>
              <w:t>监狱企业</w:t>
            </w:r>
          </w:p>
        </w:tc>
        <w:tc>
          <w:tcPr>
            <w:tcW w:w="2552" w:type="dxa"/>
            <w:vAlign w:val="center"/>
          </w:tcPr>
          <w:p>
            <w:pPr>
              <w:jc w:val="center"/>
              <w:rPr>
                <w:rFonts w:ascii="宋体"/>
                <w:color w:val="000000"/>
                <w:szCs w:val="21"/>
                <w:lang w:val="en-GB"/>
              </w:rPr>
            </w:pPr>
            <w:r>
              <w:rPr>
                <w:rFonts w:hint="eastAsia" w:ascii="宋体" w:hAnsi="宋体"/>
                <w:color w:val="000000"/>
                <w:szCs w:val="21"/>
                <w:lang w:val="en-GB"/>
              </w:rPr>
              <w:t>视同小型、微型企业</w:t>
            </w:r>
          </w:p>
          <w:p>
            <w:pPr>
              <w:jc w:val="center"/>
              <w:rPr>
                <w:rFonts w:ascii="宋体"/>
                <w:color w:val="000000"/>
                <w:szCs w:val="21"/>
                <w:lang w:val="en-GB"/>
              </w:rPr>
            </w:pPr>
            <w:r>
              <w:rPr>
                <w:rFonts w:hint="eastAsia" w:ascii="宋体" w:hAnsi="宋体"/>
                <w:color w:val="000000"/>
                <w:szCs w:val="21"/>
                <w:lang w:val="en-GB"/>
              </w:rPr>
              <w:t>对监狱企业产品价格扣除</w:t>
            </w:r>
            <w:r>
              <w:rPr>
                <w:rFonts w:ascii="宋体" w:hAnsi="宋体"/>
                <w:szCs w:val="21"/>
                <w:u w:val="single"/>
              </w:rPr>
              <w:t>6</w:t>
            </w:r>
            <w:r>
              <w:rPr>
                <w:rFonts w:ascii="宋体" w:hAnsi="宋体"/>
                <w:szCs w:val="21"/>
              </w:rPr>
              <w:t>%</w:t>
            </w:r>
          </w:p>
        </w:tc>
        <w:tc>
          <w:tcPr>
            <w:tcW w:w="2835" w:type="dxa"/>
            <w:vAlign w:val="center"/>
          </w:tcPr>
          <w:p>
            <w:pPr>
              <w:jc w:val="center"/>
              <w:rPr>
                <w:rFonts w:ascii="宋体"/>
                <w:color w:val="000000"/>
                <w:szCs w:val="21"/>
                <w:lang w:val="en-GB"/>
              </w:rPr>
            </w:pPr>
            <w:r>
              <w:rPr>
                <w:rFonts w:hint="eastAsia"/>
                <w:color w:val="000000"/>
                <w:szCs w:val="21"/>
                <w:lang w:val="en-GB"/>
              </w:rPr>
              <w:t>评标价格＝投标报价</w:t>
            </w:r>
            <w:r>
              <w:rPr>
                <w:color w:val="000000"/>
                <w:szCs w:val="21"/>
                <w:lang w:val="en-GB"/>
              </w:rPr>
              <w:t>—</w:t>
            </w:r>
            <w:r>
              <w:rPr>
                <w:rFonts w:hint="eastAsia"/>
                <w:color w:val="000000"/>
                <w:szCs w:val="21"/>
              </w:rPr>
              <w:t>监狱企业产品的价格</w:t>
            </w:r>
            <w:r>
              <w:rPr>
                <w:rFonts w:hint="eastAsia" w:ascii="宋体" w:hAnsi="宋体"/>
                <w:color w:val="000000"/>
                <w:szCs w:val="21"/>
                <w:lang w:val="en-GB"/>
              </w:rPr>
              <w:t>×</w:t>
            </w:r>
            <w:r>
              <w:rPr>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ascii="宋体" w:hAnsi="宋体"/>
                <w:b/>
                <w:color w:val="000000"/>
                <w:szCs w:val="21"/>
                <w:lang w:val="en-GB"/>
              </w:rPr>
              <w:t>5</w:t>
            </w:r>
          </w:p>
        </w:tc>
        <w:tc>
          <w:tcPr>
            <w:tcW w:w="2823" w:type="dxa"/>
            <w:vAlign w:val="center"/>
          </w:tcPr>
          <w:p>
            <w:pPr>
              <w:jc w:val="center"/>
              <w:rPr>
                <w:rFonts w:ascii="宋体"/>
                <w:color w:val="000000"/>
                <w:szCs w:val="21"/>
                <w:lang w:val="en-GB"/>
              </w:rPr>
            </w:pPr>
            <w:r>
              <w:rPr>
                <w:rFonts w:hint="eastAsia" w:ascii="宋体" w:hAnsi="宋体"/>
                <w:color w:val="000000"/>
                <w:szCs w:val="21"/>
                <w:lang w:val="en-GB"/>
              </w:rPr>
              <w:t>残疾人福利性单位</w:t>
            </w:r>
          </w:p>
        </w:tc>
        <w:tc>
          <w:tcPr>
            <w:tcW w:w="2552" w:type="dxa"/>
            <w:vAlign w:val="center"/>
          </w:tcPr>
          <w:p>
            <w:pPr>
              <w:jc w:val="center"/>
              <w:rPr>
                <w:rFonts w:ascii="宋体"/>
                <w:color w:val="000000"/>
                <w:szCs w:val="21"/>
                <w:lang w:val="en-GB"/>
              </w:rPr>
            </w:pPr>
            <w:r>
              <w:rPr>
                <w:rFonts w:hint="eastAsia" w:ascii="宋体" w:hAnsi="宋体"/>
                <w:color w:val="000000"/>
                <w:szCs w:val="21"/>
                <w:lang w:val="en-GB"/>
              </w:rPr>
              <w:t>视同小型、微型企业</w:t>
            </w:r>
          </w:p>
          <w:p>
            <w:pPr>
              <w:jc w:val="center"/>
              <w:rPr>
                <w:rFonts w:ascii="宋体"/>
                <w:color w:val="000000"/>
                <w:szCs w:val="21"/>
                <w:lang w:val="en-GB"/>
              </w:rPr>
            </w:pPr>
            <w:r>
              <w:rPr>
                <w:rFonts w:hint="eastAsia" w:ascii="宋体" w:hAnsi="宋体"/>
                <w:color w:val="000000"/>
                <w:szCs w:val="21"/>
                <w:lang w:val="en-GB"/>
              </w:rPr>
              <w:t>对残疾人福利性单位产品价格扣除</w:t>
            </w:r>
            <w:r>
              <w:rPr>
                <w:rFonts w:ascii="宋体" w:hAnsi="宋体"/>
                <w:szCs w:val="21"/>
                <w:u w:val="single"/>
              </w:rPr>
              <w:t>6</w:t>
            </w:r>
            <w:r>
              <w:rPr>
                <w:rFonts w:ascii="宋体" w:hAnsi="宋体"/>
                <w:szCs w:val="21"/>
              </w:rPr>
              <w:t>%</w:t>
            </w:r>
          </w:p>
        </w:tc>
        <w:tc>
          <w:tcPr>
            <w:tcW w:w="2835" w:type="dxa"/>
            <w:vAlign w:val="center"/>
          </w:tcPr>
          <w:p>
            <w:pPr>
              <w:jc w:val="center"/>
              <w:rPr>
                <w:color w:val="000000"/>
                <w:szCs w:val="21"/>
                <w:lang w:val="en-GB"/>
              </w:rPr>
            </w:pPr>
            <w:r>
              <w:rPr>
                <w:rFonts w:hint="eastAsia"/>
                <w:color w:val="000000"/>
                <w:szCs w:val="21"/>
                <w:lang w:val="en-GB"/>
              </w:rPr>
              <w:t>评标价格＝投标报价</w:t>
            </w:r>
            <w:r>
              <w:rPr>
                <w:color w:val="000000"/>
                <w:szCs w:val="21"/>
                <w:lang w:val="en-GB"/>
              </w:rPr>
              <w:t>—</w:t>
            </w:r>
            <w:r>
              <w:rPr>
                <w:rFonts w:hint="eastAsia"/>
                <w:color w:val="000000"/>
                <w:szCs w:val="21"/>
              </w:rPr>
              <w:t>残疾人福利性单位产品的价格</w:t>
            </w:r>
            <w:r>
              <w:rPr>
                <w:rFonts w:hint="eastAsia" w:ascii="宋体" w:hAnsi="宋体"/>
                <w:color w:val="000000"/>
                <w:szCs w:val="21"/>
                <w:lang w:val="en-GB"/>
              </w:rPr>
              <w:t>×</w:t>
            </w:r>
            <w:r>
              <w:rPr>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20" w:firstLineChars="200"/>
              <w:jc w:val="left"/>
              <w:rPr>
                <w:rFonts w:ascii="宋体" w:cs="仿宋_GB2312"/>
                <w:szCs w:val="21"/>
                <w:lang w:val="zh-CN"/>
              </w:rPr>
            </w:pPr>
            <w:r>
              <w:rPr>
                <w:rFonts w:ascii="宋体" w:hAnsi="宋体" w:cs="仿宋_GB2312"/>
                <w:szCs w:val="21"/>
                <w:lang w:val="zh-CN"/>
              </w:rPr>
              <w:t>1</w:t>
            </w:r>
            <w:r>
              <w:rPr>
                <w:rFonts w:hint="eastAsia" w:ascii="宋体" w:hAnsi="宋体" w:cs="仿宋_GB2312"/>
                <w:szCs w:val="21"/>
                <w:lang w:val="zh-CN"/>
              </w:rPr>
              <w:t>、中小企业应在投标文件提供《中小企业声明函》。监狱企业应当在投标文件中提供由省级以上监狱管理局、戒毒管理局</w:t>
            </w:r>
            <w:r>
              <w:rPr>
                <w:rFonts w:ascii="宋体" w:hAnsi="宋体" w:cs="仿宋_GB2312"/>
                <w:szCs w:val="21"/>
                <w:lang w:val="zh-CN"/>
              </w:rPr>
              <w:t>(</w:t>
            </w:r>
            <w:r>
              <w:rPr>
                <w:rFonts w:hint="eastAsia" w:ascii="宋体" w:hAnsi="宋体" w:cs="仿宋_GB2312"/>
                <w:szCs w:val="21"/>
                <w:lang w:val="zh-CN"/>
              </w:rPr>
              <w:t>含新疆生产建设兵团</w:t>
            </w:r>
            <w:r>
              <w:rPr>
                <w:rFonts w:ascii="宋体" w:hAnsi="宋体" w:cs="仿宋_GB2312"/>
                <w:szCs w:val="21"/>
                <w:lang w:val="zh-CN"/>
              </w:rPr>
              <w:t>)</w:t>
            </w:r>
            <w:r>
              <w:rPr>
                <w:rFonts w:hint="eastAsia" w:ascii="宋体" w:hAnsi="宋体" w:cs="仿宋_GB2312"/>
                <w:szCs w:val="21"/>
                <w:lang w:val="zh-CN"/>
              </w:rPr>
              <w:t>出具的属于监狱企业的证明文件。残疾人福利性单位应当在投标文件中提供《残疾人福利性单位声明函》。</w:t>
            </w:r>
          </w:p>
          <w:p>
            <w:pPr>
              <w:widowControl/>
              <w:adjustRightInd w:val="0"/>
              <w:spacing w:line="360" w:lineRule="auto"/>
              <w:ind w:left="-2" w:leftChars="-1" w:firstLine="420" w:firstLineChars="200"/>
              <w:jc w:val="left"/>
              <w:rPr>
                <w:rFonts w:ascii="宋体" w:cs="仿宋_GB2312"/>
                <w:szCs w:val="21"/>
                <w:lang w:val="zh-CN"/>
              </w:rPr>
            </w:pPr>
            <w:r>
              <w:rPr>
                <w:rFonts w:ascii="宋体" w:hAnsi="宋体" w:cs="仿宋_GB2312"/>
                <w:szCs w:val="21"/>
                <w:lang w:val="zh-CN"/>
              </w:rPr>
              <w:t>2</w:t>
            </w:r>
            <w:r>
              <w:rPr>
                <w:rFonts w:hint="eastAsia" w:ascii="宋体" w:hAnsi="宋体" w:cs="仿宋_GB2312"/>
                <w:szCs w:val="21"/>
                <w:lang w:val="zh-CN"/>
              </w:rPr>
              <w:t>、经评标委员会审查、评价，投标文件符合招标文件实质性要求且进行了政策性价格扣除后，以评标价格的最低价者定为评标基准价，其价格分为满分。其他投标人的价格分统一按下列公式计算。即：</w:t>
            </w:r>
          </w:p>
          <w:p>
            <w:pPr>
              <w:widowControl/>
              <w:adjustRightInd w:val="0"/>
              <w:spacing w:line="360" w:lineRule="auto"/>
              <w:ind w:left="-88" w:leftChars="-42" w:firstLine="449" w:firstLineChars="214"/>
              <w:jc w:val="left"/>
              <w:rPr>
                <w:rFonts w:ascii="宋体" w:cs="仿宋_GB2312"/>
                <w:szCs w:val="21"/>
                <w:lang w:val="zh-CN"/>
              </w:rPr>
            </w:pPr>
            <w:r>
              <w:rPr>
                <w:rFonts w:hint="eastAsia" w:ascii="宋体" w:hAnsi="宋体" w:cs="仿宋_GB2312"/>
                <w:szCs w:val="21"/>
                <w:lang w:val="zh-CN"/>
              </w:rPr>
              <w:t>评标基准价</w:t>
            </w:r>
            <w:r>
              <w:rPr>
                <w:rFonts w:ascii="宋体" w:hAnsi="宋体" w:cs="仿宋_GB2312"/>
                <w:szCs w:val="21"/>
                <w:lang w:val="zh-CN"/>
              </w:rPr>
              <w:t>=</w:t>
            </w:r>
            <w:r>
              <w:rPr>
                <w:rFonts w:hint="eastAsia" w:ascii="宋体" w:hAnsi="宋体" w:cs="仿宋_GB2312"/>
                <w:szCs w:val="21"/>
                <w:lang w:val="zh-CN"/>
              </w:rPr>
              <w:t>评标价格的最低价</w:t>
            </w:r>
          </w:p>
          <w:p>
            <w:pPr>
              <w:adjustRightInd w:val="0"/>
              <w:spacing w:line="360" w:lineRule="auto"/>
              <w:ind w:left="-88" w:leftChars="-42" w:firstLine="449" w:firstLineChars="214"/>
              <w:jc w:val="left"/>
              <w:rPr>
                <w:rFonts w:ascii="宋体" w:cs="仿宋_GB2312"/>
                <w:szCs w:val="21"/>
                <w:lang w:val="zh-CN"/>
              </w:rPr>
            </w:pPr>
            <w:r>
              <w:rPr>
                <w:rFonts w:hint="eastAsia" w:ascii="宋体" w:hAnsi="宋体" w:cs="仿宋_GB2312"/>
                <w:szCs w:val="21"/>
                <w:lang w:val="zh-CN"/>
              </w:rPr>
              <w:t>其他投标报价得分</w:t>
            </w:r>
            <w:r>
              <w:rPr>
                <w:rFonts w:ascii="宋体" w:hAnsi="宋体" w:cs="仿宋_GB2312"/>
                <w:szCs w:val="21"/>
                <w:lang w:val="zh-CN"/>
              </w:rPr>
              <w:t>=</w:t>
            </w:r>
            <w:r>
              <w:rPr>
                <w:rFonts w:hint="eastAsia" w:ascii="宋体" w:hAnsi="宋体" w:cs="仿宋_GB2312"/>
                <w:szCs w:val="21"/>
                <w:lang w:val="zh-CN"/>
              </w:rPr>
              <w:t>（评标基准价</w:t>
            </w:r>
            <w:r>
              <w:rPr>
                <w:rFonts w:ascii="宋体" w:hAnsi="宋体" w:cs="仿宋_GB2312"/>
                <w:szCs w:val="21"/>
                <w:lang w:val="zh-CN"/>
              </w:rPr>
              <w:t>/</w:t>
            </w:r>
            <w:r>
              <w:rPr>
                <w:rFonts w:hint="eastAsia" w:ascii="宋体" w:hAnsi="宋体" w:cs="仿宋_GB2312"/>
                <w:szCs w:val="21"/>
                <w:lang w:val="zh-CN"/>
              </w:rPr>
              <w:t>评标价格）×评标标准中价格分值</w:t>
            </w:r>
          </w:p>
        </w:tc>
      </w:tr>
    </w:tbl>
    <w:p>
      <w:pPr>
        <w:spacing w:line="360" w:lineRule="auto"/>
        <w:rPr>
          <w:rFonts w:ascii="宋体"/>
          <w:bCs/>
          <w:szCs w:val="21"/>
          <w:lang w:val="en-GB"/>
        </w:rPr>
      </w:pPr>
      <w:r>
        <w:rPr>
          <w:rFonts w:hint="eastAsia" w:ascii="宋体" w:hAnsi="宋体"/>
          <w:bCs/>
          <w:szCs w:val="21"/>
          <w:lang w:val="en-GB"/>
        </w:rPr>
        <w:t>备注：</w:t>
      </w:r>
    </w:p>
    <w:p>
      <w:pPr>
        <w:spacing w:line="360" w:lineRule="auto"/>
        <w:ind w:firstLine="420" w:firstLineChars="200"/>
        <w:rPr>
          <w:rFonts w:ascii="宋体"/>
          <w:bCs/>
          <w:szCs w:val="21"/>
          <w:lang w:val="en-GB"/>
        </w:rPr>
      </w:pPr>
      <w:r>
        <w:rPr>
          <w:rFonts w:ascii="宋体" w:hAnsi="宋体"/>
          <w:bCs/>
          <w:szCs w:val="21"/>
          <w:lang w:val="en-GB"/>
        </w:rPr>
        <w:t>a</w:t>
      </w:r>
      <w:r>
        <w:rPr>
          <w:rFonts w:hint="eastAsia" w:ascii="宋体" w:hAnsi="宋体"/>
          <w:bCs/>
          <w:szCs w:val="21"/>
          <w:lang w:val="en-GB"/>
        </w:rPr>
        <w:t>、不接受联合体投标的项目，本表中第</w:t>
      </w:r>
      <w:r>
        <w:rPr>
          <w:rFonts w:ascii="宋体" w:hAnsi="宋体"/>
          <w:bCs/>
          <w:szCs w:val="21"/>
          <w:lang w:val="en-GB"/>
        </w:rPr>
        <w:t>2</w:t>
      </w:r>
      <w:r>
        <w:rPr>
          <w:rFonts w:hint="eastAsia" w:ascii="宋体" w:hAnsi="宋体"/>
          <w:bCs/>
          <w:szCs w:val="21"/>
          <w:lang w:val="en-GB"/>
        </w:rPr>
        <w:t>项、第</w:t>
      </w:r>
      <w:r>
        <w:rPr>
          <w:rFonts w:ascii="宋体" w:hAnsi="宋体"/>
          <w:bCs/>
          <w:szCs w:val="21"/>
          <w:lang w:val="en-GB"/>
        </w:rPr>
        <w:t>3</w:t>
      </w:r>
      <w:r>
        <w:rPr>
          <w:rFonts w:hint="eastAsia" w:ascii="宋体" w:hAnsi="宋体"/>
          <w:bCs/>
          <w:szCs w:val="21"/>
          <w:lang w:val="en-GB"/>
        </w:rPr>
        <w:t>项情形不适用。</w:t>
      </w:r>
    </w:p>
    <w:p>
      <w:pPr>
        <w:spacing w:line="360" w:lineRule="auto"/>
        <w:ind w:firstLine="420" w:firstLineChars="200"/>
        <w:rPr>
          <w:rFonts w:ascii="宋体"/>
          <w:bCs/>
          <w:szCs w:val="21"/>
          <w:lang w:val="en-GB"/>
        </w:rPr>
      </w:pPr>
      <w:r>
        <w:rPr>
          <w:rFonts w:ascii="宋体" w:hAnsi="宋体"/>
          <w:bCs/>
          <w:szCs w:val="21"/>
          <w:lang w:val="en-GB"/>
        </w:rPr>
        <w:t>b</w:t>
      </w:r>
      <w:r>
        <w:rPr>
          <w:rFonts w:hint="eastAsia" w:ascii="宋体" w:hAnsi="宋体"/>
          <w:bCs/>
          <w:szCs w:val="21"/>
          <w:lang w:val="en-GB"/>
        </w:rPr>
        <w:t>、小型和微型企业产品包括货物及其提供的服务与工程。</w:t>
      </w:r>
    </w:p>
    <w:p>
      <w:pPr>
        <w:spacing w:line="360" w:lineRule="auto"/>
        <w:ind w:firstLine="420" w:firstLineChars="200"/>
        <w:rPr>
          <w:rFonts w:ascii="宋体"/>
          <w:bCs/>
          <w:szCs w:val="21"/>
          <w:lang w:val="en-GB"/>
        </w:rPr>
      </w:pPr>
      <w:r>
        <w:rPr>
          <w:rFonts w:ascii="宋体" w:hAnsi="宋体"/>
          <w:bCs/>
          <w:szCs w:val="21"/>
          <w:lang w:val="en-GB"/>
        </w:rPr>
        <w:t>c</w:t>
      </w:r>
      <w:r>
        <w:rPr>
          <w:rFonts w:hint="eastAsia" w:ascii="宋体" w:hAnsi="宋体"/>
          <w:bCs/>
          <w:szCs w:val="21"/>
          <w:lang w:val="en-GB"/>
        </w:rPr>
        <w:t>、中小企业、残疾人福利性单位提供其他企业制造的货物的，则该货物的制造商也必须为上述企业，否则不能享受价格优惠。</w:t>
      </w:r>
    </w:p>
    <w:p>
      <w:pPr>
        <w:spacing w:line="360" w:lineRule="auto"/>
        <w:ind w:firstLine="420" w:firstLineChars="200"/>
        <w:rPr>
          <w:rFonts w:ascii="宋体"/>
          <w:bCs/>
          <w:szCs w:val="21"/>
          <w:lang w:val="en-GB"/>
        </w:rPr>
      </w:pPr>
      <w:r>
        <w:rPr>
          <w:rFonts w:ascii="宋体" w:hAnsi="宋体"/>
          <w:bCs/>
          <w:szCs w:val="21"/>
          <w:lang w:val="en-GB"/>
        </w:rPr>
        <w:t>d</w:t>
      </w:r>
      <w:r>
        <w:rPr>
          <w:rFonts w:hint="eastAsia" w:ascii="宋体" w:hAnsi="宋体"/>
          <w:bCs/>
          <w:szCs w:val="21"/>
          <w:lang w:val="en-GB"/>
        </w:rPr>
        <w:t>、残疾人福利性单位属于小型、微型企业的，不重复享受政策。</w:t>
      </w:r>
    </w:p>
    <w:p>
      <w:pPr>
        <w:spacing w:line="360" w:lineRule="auto"/>
        <w:ind w:firstLine="420" w:firstLineChars="200"/>
        <w:rPr>
          <w:rFonts w:ascii="宋体"/>
          <w:bCs/>
          <w:szCs w:val="21"/>
          <w:lang w:val="en-GB"/>
        </w:rPr>
      </w:pPr>
      <w:r>
        <w:rPr>
          <w:rFonts w:ascii="宋体" w:hAnsi="宋体"/>
          <w:bCs/>
          <w:szCs w:val="21"/>
          <w:lang w:val="en-GB"/>
        </w:rPr>
        <w:t>E</w:t>
      </w:r>
      <w:r>
        <w:rPr>
          <w:rFonts w:hint="eastAsia" w:ascii="宋体" w:hAnsi="宋体"/>
          <w:bCs/>
          <w:szCs w:val="21"/>
          <w:lang w:val="en-GB"/>
        </w:rPr>
        <w:t>、小型和微型企业不包括民办非企业单位。</w:t>
      </w:r>
    </w:p>
    <w:p>
      <w:pPr>
        <w:pStyle w:val="16"/>
        <w:spacing w:line="360" w:lineRule="auto"/>
        <w:ind w:firstLine="422" w:firstLineChars="200"/>
        <w:contextualSpacing/>
        <w:rPr>
          <w:rFonts w:ascii="宋体" w:cs="仿宋_GB2312"/>
          <w:sz w:val="21"/>
          <w:szCs w:val="21"/>
          <w:lang w:val="zh-CN"/>
        </w:rPr>
      </w:pPr>
      <w:r>
        <w:rPr>
          <w:rFonts w:hint="eastAsia" w:ascii="宋体" w:hAnsi="宋体" w:cs="仿宋_GB2312"/>
          <w:b/>
          <w:sz w:val="21"/>
          <w:szCs w:val="21"/>
          <w:lang w:val="zh-CN"/>
        </w:rPr>
        <w:t>（</w:t>
      </w:r>
      <w:r>
        <w:rPr>
          <w:rFonts w:ascii="宋体" w:hAnsi="宋体" w:cs="仿宋_GB2312"/>
          <w:b/>
          <w:sz w:val="21"/>
          <w:szCs w:val="21"/>
          <w:lang w:val="zh-CN"/>
        </w:rPr>
        <w:t>8</w:t>
      </w:r>
      <w:r>
        <w:rPr>
          <w:rFonts w:hint="eastAsia" w:ascii="宋体" w:hAnsi="宋体" w:cs="仿宋_GB2312"/>
          <w:b/>
          <w:sz w:val="21"/>
          <w:szCs w:val="21"/>
          <w:lang w:val="zh-CN"/>
        </w:rPr>
        <w:t>）评标结果汇总完成后，除下列情形外，任何人不得修改评标结果：</w:t>
      </w:r>
    </w:p>
    <w:p>
      <w:pPr>
        <w:tabs>
          <w:tab w:val="left" w:pos="1260"/>
        </w:tabs>
        <w:autoSpaceDE w:val="0"/>
        <w:autoSpaceDN w:val="0"/>
        <w:spacing w:line="360" w:lineRule="auto"/>
        <w:ind w:firstLine="420" w:firstLineChars="200"/>
        <w:contextualSpacing/>
        <w:rPr>
          <w:rFonts w:ascii="宋体" w:cs="仿宋_GB2312"/>
          <w:szCs w:val="21"/>
          <w:lang w:val="zh-CN"/>
        </w:rPr>
      </w:pPr>
      <w:r>
        <w:rPr>
          <w:rFonts w:ascii="宋体" w:hAnsi="宋体" w:cs="仿宋_GB2312"/>
          <w:szCs w:val="21"/>
          <w:lang w:val="zh-CN"/>
        </w:rPr>
        <w:t>1</w:t>
      </w:r>
      <w:r>
        <w:rPr>
          <w:rFonts w:hint="eastAsia" w:ascii="宋体" w:hAnsi="宋体" w:cs="仿宋_GB2312"/>
          <w:szCs w:val="21"/>
          <w:lang w:val="zh-CN"/>
        </w:rPr>
        <w:t>）</w:t>
      </w:r>
      <w:r>
        <w:rPr>
          <w:rFonts w:ascii="宋体" w:hAnsi="宋体" w:cs="仿宋_GB2312"/>
          <w:szCs w:val="21"/>
          <w:lang w:val="zh-CN"/>
        </w:rPr>
        <w:t xml:space="preserve"> </w:t>
      </w:r>
      <w:r>
        <w:rPr>
          <w:rFonts w:hint="eastAsia" w:ascii="宋体" w:hAnsi="宋体" w:cs="仿宋_GB2312"/>
          <w:szCs w:val="21"/>
          <w:lang w:val="zh-CN"/>
        </w:rPr>
        <w:t>分值汇总计算错误的；</w:t>
      </w:r>
    </w:p>
    <w:p>
      <w:pPr>
        <w:tabs>
          <w:tab w:val="left" w:pos="1260"/>
        </w:tabs>
        <w:autoSpaceDE w:val="0"/>
        <w:autoSpaceDN w:val="0"/>
        <w:spacing w:line="360" w:lineRule="auto"/>
        <w:ind w:firstLine="420" w:firstLineChars="200"/>
        <w:contextualSpacing/>
        <w:rPr>
          <w:rFonts w:ascii="宋体" w:cs="仿宋_GB2312"/>
          <w:szCs w:val="21"/>
          <w:lang w:val="zh-CN"/>
        </w:rPr>
      </w:pPr>
      <w:r>
        <w:rPr>
          <w:rFonts w:ascii="宋体" w:hAnsi="宋体" w:cs="仿宋_GB2312"/>
          <w:szCs w:val="21"/>
          <w:lang w:val="zh-CN"/>
        </w:rPr>
        <w:t>2</w:t>
      </w:r>
      <w:r>
        <w:rPr>
          <w:rFonts w:hint="eastAsia" w:ascii="宋体" w:hAnsi="宋体" w:cs="仿宋_GB2312"/>
          <w:szCs w:val="21"/>
          <w:lang w:val="zh-CN"/>
        </w:rPr>
        <w:t>）</w:t>
      </w:r>
      <w:r>
        <w:rPr>
          <w:rFonts w:ascii="宋体" w:hAnsi="宋体" w:cs="仿宋_GB2312"/>
          <w:szCs w:val="21"/>
          <w:lang w:val="zh-CN"/>
        </w:rPr>
        <w:t xml:space="preserve"> </w:t>
      </w:r>
      <w:r>
        <w:rPr>
          <w:rFonts w:hint="eastAsia" w:ascii="宋体" w:hAnsi="宋体" w:cs="仿宋_GB2312"/>
          <w:szCs w:val="21"/>
          <w:lang w:val="zh-CN"/>
        </w:rPr>
        <w:t>分项评分超出评分标准范围的；</w:t>
      </w:r>
    </w:p>
    <w:p>
      <w:pPr>
        <w:tabs>
          <w:tab w:val="left" w:pos="1260"/>
        </w:tabs>
        <w:autoSpaceDE w:val="0"/>
        <w:autoSpaceDN w:val="0"/>
        <w:spacing w:line="360" w:lineRule="auto"/>
        <w:ind w:firstLine="420" w:firstLineChars="200"/>
        <w:contextualSpacing/>
        <w:rPr>
          <w:rFonts w:ascii="宋体" w:cs="仿宋_GB2312"/>
          <w:szCs w:val="21"/>
          <w:lang w:val="zh-CN"/>
        </w:rPr>
      </w:pPr>
      <w:r>
        <w:rPr>
          <w:rFonts w:ascii="宋体" w:hAnsi="宋体" w:cs="仿宋_GB2312"/>
          <w:szCs w:val="21"/>
          <w:lang w:val="zh-CN"/>
        </w:rPr>
        <w:t>3</w:t>
      </w:r>
      <w:r>
        <w:rPr>
          <w:rFonts w:hint="eastAsia" w:ascii="宋体" w:hAnsi="宋体" w:cs="仿宋_GB2312"/>
          <w:szCs w:val="21"/>
          <w:lang w:val="zh-CN"/>
        </w:rPr>
        <w:t>）</w:t>
      </w:r>
      <w:r>
        <w:rPr>
          <w:rFonts w:ascii="宋体" w:hAnsi="宋体" w:cs="仿宋_GB2312"/>
          <w:szCs w:val="21"/>
          <w:lang w:val="zh-CN"/>
        </w:rPr>
        <w:t xml:space="preserve"> </w:t>
      </w:r>
      <w:r>
        <w:rPr>
          <w:rFonts w:hint="eastAsia" w:ascii="宋体" w:hAnsi="宋体" w:cs="仿宋_GB2312"/>
          <w:szCs w:val="21"/>
          <w:lang w:val="zh-CN"/>
        </w:rPr>
        <w:t>评标委员会成员对客观评审因素评分不一致的；</w:t>
      </w:r>
    </w:p>
    <w:p>
      <w:pPr>
        <w:tabs>
          <w:tab w:val="left" w:pos="1260"/>
        </w:tabs>
        <w:autoSpaceDE w:val="0"/>
        <w:autoSpaceDN w:val="0"/>
        <w:spacing w:line="360" w:lineRule="auto"/>
        <w:ind w:firstLine="420" w:firstLineChars="200"/>
        <w:contextualSpacing/>
        <w:rPr>
          <w:rFonts w:ascii="宋体" w:cs="仿宋_GB2312"/>
          <w:szCs w:val="21"/>
          <w:lang w:val="zh-CN"/>
        </w:rPr>
      </w:pPr>
      <w:r>
        <w:rPr>
          <w:rFonts w:ascii="宋体" w:hAnsi="宋体" w:cs="仿宋_GB2312"/>
          <w:szCs w:val="21"/>
          <w:lang w:val="zh-CN"/>
        </w:rPr>
        <w:t>4</w:t>
      </w:r>
      <w:r>
        <w:rPr>
          <w:rFonts w:hint="eastAsia" w:ascii="宋体" w:hAnsi="宋体" w:cs="仿宋_GB2312"/>
          <w:szCs w:val="21"/>
          <w:lang w:val="zh-CN"/>
        </w:rPr>
        <w:t>）</w:t>
      </w:r>
      <w:r>
        <w:rPr>
          <w:rFonts w:ascii="宋体" w:hAnsi="宋体" w:cs="仿宋_GB2312"/>
          <w:szCs w:val="21"/>
          <w:lang w:val="zh-CN"/>
        </w:rPr>
        <w:t xml:space="preserve"> </w:t>
      </w:r>
      <w:r>
        <w:rPr>
          <w:rFonts w:hint="eastAsia" w:ascii="宋体" w:hAnsi="宋体" w:cs="仿宋_GB2312"/>
          <w:szCs w:val="21"/>
          <w:lang w:val="zh-CN"/>
        </w:rPr>
        <w:t>经评标委员会认定评分畸高、畸低的。</w:t>
      </w:r>
    </w:p>
    <w:p>
      <w:pPr>
        <w:tabs>
          <w:tab w:val="left" w:pos="1260"/>
        </w:tabs>
        <w:autoSpaceDE w:val="0"/>
        <w:autoSpaceDN w:val="0"/>
        <w:spacing w:line="360" w:lineRule="auto"/>
        <w:ind w:firstLine="420" w:firstLineChars="200"/>
        <w:contextualSpacing/>
        <w:rPr>
          <w:rFonts w:ascii="宋体" w:cs="仿宋_GB2312"/>
          <w:szCs w:val="21"/>
          <w:lang w:val="zh-CN"/>
        </w:rPr>
      </w:pPr>
      <w:r>
        <w:rPr>
          <w:rFonts w:hint="eastAsia" w:ascii="宋体" w:hAnsi="宋体" w:cs="仿宋_GB2312"/>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20" w:firstLineChars="200"/>
        <w:contextualSpacing/>
        <w:rPr>
          <w:rFonts w:ascii="宋体" w:cs="仿宋_GB2312"/>
          <w:szCs w:val="21"/>
          <w:lang w:val="zh-CN"/>
        </w:rPr>
      </w:pPr>
      <w:r>
        <w:rPr>
          <w:rFonts w:hint="eastAsia" w:ascii="宋体" w:hAnsi="宋体" w:cs="仿宋_GB2312"/>
          <w:szCs w:val="21"/>
          <w:lang w:val="zh-CN"/>
        </w:rPr>
        <w:t>投标人对本条第一款情形提出质疑的，采购人或者采购代理机构可以组织原评标委员会进行重新评审，重新评审改变评标结果的，应当书面报告本级财政部门。</w:t>
      </w:r>
    </w:p>
    <w:p>
      <w:pPr>
        <w:wordWrap w:val="0"/>
        <w:spacing w:line="360" w:lineRule="auto"/>
        <w:ind w:firstLine="420" w:firstLineChars="200"/>
        <w:contextualSpacing/>
        <w:rPr>
          <w:rFonts w:ascii="宋体" w:cs="仿宋_GB2312"/>
          <w:szCs w:val="21"/>
          <w:lang w:val="zh-CN"/>
        </w:rPr>
      </w:pPr>
      <w:r>
        <w:rPr>
          <w:rFonts w:hint="eastAsia" w:ascii="宋体" w:hAnsi="宋体" w:cs="仿宋_GB2312"/>
          <w:szCs w:val="21"/>
          <w:lang w:val="zh-CN"/>
        </w:rPr>
        <w:t>（</w:t>
      </w:r>
      <w:r>
        <w:rPr>
          <w:rFonts w:ascii="宋体" w:hAnsi="宋体" w:cs="仿宋_GB2312"/>
          <w:szCs w:val="21"/>
          <w:lang w:val="zh-CN"/>
        </w:rPr>
        <w:t>9</w:t>
      </w:r>
      <w:r>
        <w:rPr>
          <w:rFonts w:hint="eastAsia" w:ascii="宋体" w:hAnsi="宋体" w:cs="仿宋_GB2312"/>
          <w:szCs w:val="21"/>
          <w:lang w:val="zh-CN"/>
        </w:rPr>
        <w:t>）</w:t>
      </w:r>
      <w:r>
        <w:rPr>
          <w:rFonts w:hint="eastAsia" w:ascii="宋体" w:hAnsi="宋体" w:cs="仿宋_GB2312"/>
          <w:b/>
          <w:bCs/>
          <w:szCs w:val="21"/>
          <w:lang w:val="zh-CN"/>
        </w:rPr>
        <w:t>按照《关于推进全流程电子化交易和在线监管工作有关问题的通知》（许公管办</w:t>
      </w:r>
      <w:r>
        <w:rPr>
          <w:rFonts w:ascii="宋体" w:hAnsi="宋体" w:cs="仿宋_GB2312"/>
          <w:b/>
          <w:bCs/>
          <w:szCs w:val="21"/>
          <w:lang w:val="zh-CN"/>
        </w:rPr>
        <w:t>[2019]3</w:t>
      </w:r>
      <w:r>
        <w:rPr>
          <w:rFonts w:hint="eastAsia" w:ascii="宋体" w:hAnsi="宋体" w:cs="仿宋_GB2312"/>
          <w:b/>
          <w:bCs/>
          <w:szCs w:val="21"/>
          <w:lang w:val="zh-CN"/>
        </w:rPr>
        <w:t>号）规定：评标专家应严格按照要求查看“硬件特征码”相关信息并进行评审，在评审报告中显示“不同投标人电子投标文件制作硬件特征码”是否雷同的分析及判定结果。</w:t>
      </w:r>
    </w:p>
    <w:p>
      <w:pPr>
        <w:tabs>
          <w:tab w:val="left" w:pos="1260"/>
        </w:tabs>
        <w:autoSpaceDE w:val="0"/>
        <w:autoSpaceDN w:val="0"/>
        <w:spacing w:line="360" w:lineRule="auto"/>
        <w:ind w:firstLine="422" w:firstLineChars="200"/>
        <w:contextualSpacing/>
        <w:rPr>
          <w:rFonts w:ascii="宋体" w:cs="仿宋_GB2312"/>
          <w:b/>
          <w:szCs w:val="21"/>
          <w:lang w:val="zh-CN"/>
        </w:rPr>
      </w:pPr>
      <w:r>
        <w:rPr>
          <w:rFonts w:hint="eastAsia" w:ascii="宋体" w:hAnsi="宋体" w:cs="仿宋_GB2312"/>
          <w:b/>
          <w:szCs w:val="21"/>
          <w:lang w:val="zh-CN"/>
        </w:rPr>
        <w:t>（</w:t>
      </w:r>
      <w:r>
        <w:rPr>
          <w:rFonts w:ascii="宋体" w:hAnsi="宋体" w:cs="仿宋_GB2312"/>
          <w:b/>
          <w:szCs w:val="21"/>
          <w:lang w:val="zh-CN"/>
        </w:rPr>
        <w:t>10</w:t>
      </w:r>
      <w:r>
        <w:rPr>
          <w:rFonts w:hint="eastAsia" w:ascii="宋体" w:hAnsi="宋体" w:cs="仿宋_GB2312"/>
          <w:b/>
          <w:szCs w:val="21"/>
          <w:lang w:val="zh-CN"/>
        </w:rPr>
        <w:t>）评标委员会争议处理</w:t>
      </w:r>
    </w:p>
    <w:p>
      <w:pPr>
        <w:tabs>
          <w:tab w:val="left" w:pos="1260"/>
        </w:tabs>
        <w:autoSpaceDE w:val="0"/>
        <w:autoSpaceDN w:val="0"/>
        <w:spacing w:line="360" w:lineRule="auto"/>
        <w:ind w:firstLine="420" w:firstLineChars="200"/>
        <w:contextualSpacing/>
        <w:rPr>
          <w:rFonts w:ascii="宋体" w:cs="仿宋_GB2312"/>
          <w:szCs w:val="21"/>
          <w:lang w:val="zh-CN"/>
        </w:rPr>
      </w:pPr>
      <w:r>
        <w:rPr>
          <w:rFonts w:hint="eastAsia" w:ascii="宋体" w:hAnsi="宋体" w:cs="仿宋_GB2312"/>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22" w:firstLineChars="200"/>
        <w:contextualSpacing/>
        <w:rPr>
          <w:rFonts w:ascii="宋体" w:cs="仿宋_GB2312"/>
          <w:b/>
          <w:szCs w:val="21"/>
          <w:lang w:val="zh-CN"/>
        </w:rPr>
      </w:pPr>
      <w:r>
        <w:rPr>
          <w:rFonts w:ascii="宋体" w:hAnsi="宋体" w:cs="仿宋_GB2312"/>
          <w:b/>
          <w:szCs w:val="21"/>
          <w:lang w:val="zh-CN"/>
        </w:rPr>
        <w:t>4</w:t>
      </w:r>
      <w:r>
        <w:rPr>
          <w:rFonts w:hint="eastAsia" w:ascii="宋体" w:hAnsi="宋体" w:cs="仿宋_GB2312"/>
          <w:b/>
          <w:szCs w:val="21"/>
          <w:lang w:val="zh-CN"/>
        </w:rPr>
        <w:t>、确定中标候选人名单，以及根据采购人委托直接确定中标人。</w:t>
      </w:r>
    </w:p>
    <w:p>
      <w:pPr>
        <w:adjustRightInd w:val="0"/>
        <w:snapToGrid w:val="0"/>
        <w:spacing w:line="360" w:lineRule="auto"/>
        <w:ind w:firstLine="420" w:firstLineChars="200"/>
        <w:rPr>
          <w:rFonts w:ascii="宋体" w:cs="Courier New"/>
          <w:szCs w:val="21"/>
        </w:rPr>
      </w:pPr>
    </w:p>
    <w:p>
      <w:pPr>
        <w:adjustRightInd w:val="0"/>
        <w:snapToGrid w:val="0"/>
        <w:spacing w:line="360" w:lineRule="auto"/>
        <w:ind w:firstLine="420" w:firstLineChars="200"/>
        <w:rPr>
          <w:rFonts w:ascii="宋体" w:cs="Courier New"/>
          <w:szCs w:val="21"/>
        </w:rPr>
      </w:pPr>
    </w:p>
    <w:p>
      <w:pPr>
        <w:adjustRightInd w:val="0"/>
        <w:snapToGrid w:val="0"/>
        <w:spacing w:line="360" w:lineRule="auto"/>
        <w:ind w:firstLine="420" w:firstLineChars="200"/>
        <w:rPr>
          <w:rFonts w:ascii="宋体" w:cs="Courier New"/>
          <w:szCs w:val="21"/>
        </w:rPr>
      </w:pPr>
    </w:p>
    <w:p>
      <w:pPr>
        <w:adjustRightInd w:val="0"/>
        <w:snapToGrid w:val="0"/>
        <w:spacing w:line="360" w:lineRule="auto"/>
        <w:ind w:firstLine="420" w:firstLineChars="200"/>
        <w:rPr>
          <w:rFonts w:ascii="宋体" w:cs="Courier New"/>
          <w:szCs w:val="21"/>
        </w:rPr>
      </w:pPr>
    </w:p>
    <w:p>
      <w:pPr>
        <w:adjustRightInd w:val="0"/>
        <w:snapToGrid w:val="0"/>
        <w:spacing w:line="360" w:lineRule="auto"/>
        <w:ind w:firstLine="420" w:firstLineChars="200"/>
        <w:rPr>
          <w:rFonts w:ascii="宋体" w:cs="Courier New"/>
          <w:szCs w:val="21"/>
        </w:rPr>
      </w:pPr>
    </w:p>
    <w:p>
      <w:pPr>
        <w:adjustRightInd w:val="0"/>
        <w:snapToGrid w:val="0"/>
        <w:spacing w:line="360" w:lineRule="auto"/>
        <w:rPr>
          <w:rFonts w:ascii="宋体" w:cs="Courier New"/>
          <w:szCs w:val="21"/>
        </w:rPr>
      </w:pPr>
    </w:p>
    <w:p>
      <w:pPr>
        <w:tabs>
          <w:tab w:val="left" w:pos="1260"/>
        </w:tabs>
        <w:autoSpaceDE w:val="0"/>
        <w:autoSpaceDN w:val="0"/>
        <w:adjustRightInd w:val="0"/>
        <w:spacing w:line="360" w:lineRule="auto"/>
        <w:contextualSpacing/>
        <w:jc w:val="center"/>
        <w:rPr>
          <w:rFonts w:ascii="宋体" w:cs="宋体"/>
          <w:b/>
          <w:kern w:val="0"/>
          <w:sz w:val="32"/>
          <w:szCs w:val="32"/>
        </w:rPr>
      </w:pPr>
      <w:r>
        <w:rPr>
          <w:rFonts w:hint="eastAsia" w:ascii="宋体" w:hAnsi="宋体" w:cs="宋体"/>
          <w:b/>
          <w:kern w:val="0"/>
          <w:sz w:val="32"/>
          <w:szCs w:val="32"/>
        </w:rPr>
        <w:t>第七章合同条款及格式</w:t>
      </w:r>
    </w:p>
    <w:p>
      <w:pPr>
        <w:pStyle w:val="16"/>
        <w:spacing w:line="360" w:lineRule="auto"/>
        <w:contextualSpacing/>
        <w:jc w:val="center"/>
        <w:rPr>
          <w:rFonts w:ascii="宋体" w:cs="宋体"/>
          <w:b/>
          <w:kern w:val="0"/>
          <w:sz w:val="36"/>
          <w:szCs w:val="36"/>
        </w:rPr>
      </w:pPr>
    </w:p>
    <w:p>
      <w:pPr>
        <w:spacing w:line="360" w:lineRule="auto"/>
        <w:jc w:val="center"/>
        <w:rPr>
          <w:rFonts w:ascii="宋体" w:cs="微软雅黑"/>
          <w:b/>
          <w:bCs/>
          <w:szCs w:val="21"/>
        </w:rPr>
      </w:pPr>
      <w:r>
        <w:rPr>
          <w:rFonts w:hint="eastAsia" w:ascii="宋体" w:hAnsi="宋体" w:cs="微软雅黑"/>
          <w:b/>
          <w:bCs/>
          <w:szCs w:val="21"/>
        </w:rPr>
        <w:t>（此合同仅供参考。以最终采购人与中标人签定的合同条款为准进行公示，</w:t>
      </w:r>
    </w:p>
    <w:p>
      <w:pPr>
        <w:spacing w:line="360" w:lineRule="auto"/>
        <w:jc w:val="center"/>
        <w:rPr>
          <w:rFonts w:ascii="宋体" w:cs="微软雅黑"/>
          <w:b/>
          <w:bCs/>
          <w:szCs w:val="21"/>
        </w:rPr>
      </w:pPr>
      <w:r>
        <w:rPr>
          <w:rFonts w:hint="eastAsia" w:ascii="宋体" w:hAnsi="宋体" w:cs="微软雅黑"/>
          <w:b/>
          <w:bCs/>
          <w:szCs w:val="21"/>
        </w:rPr>
        <w:t>最终签定合同的主要条款不能与招标文件有冲突）</w:t>
      </w:r>
    </w:p>
    <w:p>
      <w:pPr>
        <w:pStyle w:val="23"/>
        <w:spacing w:before="75" w:after="75"/>
        <w:rPr>
          <w:rFonts w:ascii="微软雅黑" w:hAnsi="微软雅黑" w:eastAsia="微软雅黑"/>
          <w:color w:val="000000"/>
          <w:sz w:val="27"/>
          <w:szCs w:val="27"/>
        </w:rPr>
      </w:pPr>
      <w:r>
        <w:rPr>
          <w:rFonts w:ascii="宋体" w:hAnsi="宋体" w:eastAsia="微软雅黑"/>
          <w:color w:val="000000"/>
          <w:u w:val="single"/>
        </w:rPr>
        <w:t> </w:t>
      </w:r>
    </w:p>
    <w:p>
      <w:pPr>
        <w:pStyle w:val="23"/>
        <w:spacing w:before="75" w:after="75" w:line="360" w:lineRule="auto"/>
        <w:rPr>
          <w:rFonts w:ascii="宋体"/>
          <w:color w:val="000000"/>
          <w:sz w:val="21"/>
          <w:szCs w:val="21"/>
        </w:rPr>
      </w:pPr>
      <w:r>
        <w:rPr>
          <w:rFonts w:hint="eastAsia" w:ascii="宋体" w:hAnsi="宋体"/>
          <w:color w:val="000000"/>
          <w:sz w:val="21"/>
          <w:szCs w:val="21"/>
        </w:rPr>
        <w:t>甲方：</w:t>
      </w:r>
      <w:r>
        <w:rPr>
          <w:rFonts w:hint="eastAsia" w:ascii="宋体" w:hAnsi="宋体"/>
          <w:color w:val="000000"/>
          <w:sz w:val="21"/>
          <w:szCs w:val="21"/>
          <w:u w:val="single"/>
        </w:rPr>
        <w:t>（采购人全称）</w:t>
      </w:r>
    </w:p>
    <w:p>
      <w:pPr>
        <w:pStyle w:val="23"/>
        <w:spacing w:before="75" w:after="75" w:line="360" w:lineRule="auto"/>
        <w:rPr>
          <w:rFonts w:ascii="宋体"/>
          <w:color w:val="000000"/>
          <w:sz w:val="21"/>
          <w:szCs w:val="21"/>
        </w:rPr>
      </w:pPr>
      <w:r>
        <w:rPr>
          <w:rFonts w:hint="eastAsia" w:ascii="宋体" w:hAnsi="宋体"/>
          <w:color w:val="000000"/>
          <w:sz w:val="21"/>
          <w:szCs w:val="21"/>
        </w:rPr>
        <w:t>乙方：</w:t>
      </w:r>
      <w:r>
        <w:rPr>
          <w:rFonts w:hint="eastAsia" w:ascii="宋体" w:hAnsi="宋体"/>
          <w:color w:val="000000"/>
          <w:sz w:val="21"/>
          <w:szCs w:val="21"/>
          <w:u w:val="single"/>
        </w:rPr>
        <w:t>（中标人全称）</w:t>
      </w:r>
    </w:p>
    <w:p>
      <w:pPr>
        <w:pStyle w:val="23"/>
        <w:spacing w:before="75" w:after="75"/>
        <w:rPr>
          <w:rFonts w:ascii="宋体"/>
          <w:color w:val="000000"/>
          <w:sz w:val="21"/>
          <w:szCs w:val="21"/>
        </w:rPr>
      </w:pPr>
      <w:r>
        <w:rPr>
          <w:rFonts w:ascii="宋体"/>
          <w:color w:val="000000"/>
          <w:sz w:val="21"/>
          <w:szCs w:val="21"/>
        </w:rPr>
        <w:t> </w:t>
      </w:r>
    </w:p>
    <w:p>
      <w:pPr>
        <w:pStyle w:val="23"/>
        <w:spacing w:before="75" w:after="75" w:line="360" w:lineRule="auto"/>
        <w:ind w:firstLine="482"/>
        <w:rPr>
          <w:rFonts w:ascii="宋体"/>
          <w:color w:val="000000"/>
          <w:sz w:val="21"/>
          <w:szCs w:val="21"/>
        </w:rPr>
      </w:pPr>
      <w:r>
        <w:rPr>
          <w:rFonts w:hint="eastAsia" w:ascii="宋体" w:hAnsi="宋体"/>
          <w:color w:val="000000"/>
          <w:sz w:val="21"/>
          <w:szCs w:val="21"/>
        </w:rPr>
        <w:t>根据招标编号为</w:t>
      </w:r>
      <w:r>
        <w:rPr>
          <w:rFonts w:ascii="宋体"/>
          <w:color w:val="000000"/>
          <w:sz w:val="21"/>
          <w:szCs w:val="21"/>
          <w:u w:val="single"/>
        </w:rPr>
        <w:t>            </w:t>
      </w:r>
      <w:r>
        <w:rPr>
          <w:rFonts w:hint="eastAsia" w:ascii="宋体" w:hAnsi="宋体"/>
          <w:color w:val="000000"/>
          <w:sz w:val="21"/>
          <w:szCs w:val="21"/>
        </w:rPr>
        <w:t>的</w:t>
      </w:r>
      <w:r>
        <w:rPr>
          <w:rFonts w:hint="eastAsia" w:ascii="宋体" w:hAnsi="宋体"/>
          <w:color w:val="000000"/>
          <w:sz w:val="21"/>
          <w:szCs w:val="21"/>
          <w:u w:val="single"/>
        </w:rPr>
        <w:t>（填写“项目名称”）</w:t>
      </w:r>
      <w:r>
        <w:rPr>
          <w:rFonts w:hint="eastAsia" w:ascii="宋体" w:hAnsi="宋体"/>
          <w:color w:val="000000"/>
          <w:sz w:val="21"/>
          <w:szCs w:val="21"/>
        </w:rPr>
        <w:t>项目（以下简称：“本项目”）的招标结果，乙方为中标人。现经甲乙双方友好协商，就以下事项达成一致并签订本合同：</w:t>
      </w:r>
    </w:p>
    <w:p>
      <w:pPr>
        <w:pStyle w:val="23"/>
        <w:spacing w:before="75" w:after="75" w:line="360" w:lineRule="auto"/>
        <w:ind w:firstLine="482"/>
        <w:rPr>
          <w:rFonts w:ascii="宋体"/>
          <w:color w:val="000000"/>
          <w:sz w:val="21"/>
          <w:szCs w:val="21"/>
        </w:rPr>
      </w:pPr>
      <w:r>
        <w:rPr>
          <w:rFonts w:ascii="宋体" w:hAnsi="宋体"/>
          <w:color w:val="000000"/>
          <w:sz w:val="21"/>
          <w:szCs w:val="21"/>
        </w:rPr>
        <w:t>1</w:t>
      </w:r>
      <w:r>
        <w:rPr>
          <w:rFonts w:hint="eastAsia" w:ascii="宋体" w:hAnsi="宋体"/>
          <w:color w:val="000000"/>
          <w:sz w:val="21"/>
          <w:szCs w:val="21"/>
        </w:rPr>
        <w:t>、下列合同文件是构成本合同不可分割的部分：</w:t>
      </w:r>
    </w:p>
    <w:p>
      <w:pPr>
        <w:pStyle w:val="23"/>
        <w:spacing w:before="75" w:after="75" w:line="360" w:lineRule="auto"/>
        <w:ind w:firstLine="482"/>
        <w:rPr>
          <w:rFonts w:ascii="宋体"/>
          <w:color w:val="000000"/>
          <w:sz w:val="21"/>
          <w:szCs w:val="21"/>
        </w:rPr>
      </w:pPr>
      <w:r>
        <w:rPr>
          <w:rFonts w:ascii="宋体" w:hAnsi="宋体"/>
          <w:color w:val="000000"/>
          <w:sz w:val="21"/>
          <w:szCs w:val="21"/>
        </w:rPr>
        <w:t>1.1</w:t>
      </w:r>
      <w:r>
        <w:rPr>
          <w:rFonts w:hint="eastAsia" w:ascii="宋体" w:hAnsi="宋体"/>
          <w:color w:val="000000"/>
          <w:sz w:val="21"/>
          <w:szCs w:val="21"/>
        </w:rPr>
        <w:t>合同条款；</w:t>
      </w:r>
    </w:p>
    <w:p>
      <w:pPr>
        <w:pStyle w:val="23"/>
        <w:spacing w:before="75" w:after="75" w:line="360" w:lineRule="auto"/>
        <w:ind w:firstLine="482"/>
        <w:rPr>
          <w:rFonts w:ascii="宋体"/>
          <w:color w:val="000000"/>
          <w:sz w:val="21"/>
          <w:szCs w:val="21"/>
        </w:rPr>
      </w:pPr>
      <w:r>
        <w:rPr>
          <w:rFonts w:ascii="宋体" w:hAnsi="宋体"/>
          <w:color w:val="000000"/>
          <w:sz w:val="21"/>
          <w:szCs w:val="21"/>
        </w:rPr>
        <w:t>1.2</w:t>
      </w:r>
      <w:r>
        <w:rPr>
          <w:rFonts w:hint="eastAsia" w:ascii="宋体" w:hAnsi="宋体"/>
          <w:color w:val="000000"/>
          <w:sz w:val="21"/>
          <w:szCs w:val="21"/>
        </w:rPr>
        <w:t>招标文件、乙方的投标文件；</w:t>
      </w:r>
    </w:p>
    <w:p>
      <w:pPr>
        <w:pStyle w:val="23"/>
        <w:spacing w:before="75" w:after="75" w:line="360" w:lineRule="auto"/>
        <w:ind w:firstLine="482"/>
        <w:rPr>
          <w:rFonts w:ascii="宋体"/>
          <w:color w:val="000000"/>
          <w:sz w:val="21"/>
          <w:szCs w:val="21"/>
        </w:rPr>
      </w:pPr>
      <w:r>
        <w:rPr>
          <w:rFonts w:ascii="宋体" w:hAnsi="宋体"/>
          <w:color w:val="000000"/>
          <w:sz w:val="21"/>
          <w:szCs w:val="21"/>
        </w:rPr>
        <w:t>1.3</w:t>
      </w:r>
      <w:r>
        <w:rPr>
          <w:rFonts w:hint="eastAsia" w:ascii="宋体" w:hAnsi="宋体"/>
          <w:color w:val="000000"/>
          <w:sz w:val="21"/>
          <w:szCs w:val="21"/>
        </w:rPr>
        <w:t>其他文件或材料：□无。□</w:t>
      </w:r>
      <w:r>
        <w:rPr>
          <w:rFonts w:hint="eastAsia" w:ascii="宋体" w:hAnsi="宋体"/>
          <w:color w:val="000000"/>
          <w:sz w:val="21"/>
          <w:szCs w:val="21"/>
          <w:u w:val="single"/>
        </w:rPr>
        <w:t>（按照实际情况编制填写需要增加的内容）</w:t>
      </w:r>
      <w:r>
        <w:rPr>
          <w:rFonts w:hint="eastAsia" w:ascii="宋体" w:hAnsi="宋体"/>
          <w:color w:val="000000"/>
          <w:sz w:val="21"/>
          <w:szCs w:val="21"/>
        </w:rPr>
        <w:t>。</w:t>
      </w:r>
    </w:p>
    <w:p>
      <w:pPr>
        <w:pStyle w:val="23"/>
        <w:spacing w:before="75" w:after="75" w:line="360" w:lineRule="auto"/>
        <w:ind w:firstLine="482"/>
        <w:rPr>
          <w:rFonts w:ascii="宋体"/>
          <w:color w:val="000000"/>
          <w:sz w:val="21"/>
          <w:szCs w:val="21"/>
        </w:rPr>
      </w:pPr>
      <w:r>
        <w:rPr>
          <w:rFonts w:ascii="宋体" w:hAnsi="宋体"/>
          <w:color w:val="000000"/>
          <w:sz w:val="21"/>
          <w:szCs w:val="21"/>
        </w:rPr>
        <w:t>2</w:t>
      </w:r>
      <w:r>
        <w:rPr>
          <w:rFonts w:hint="eastAsia" w:ascii="宋体" w:hAnsi="宋体"/>
          <w:color w:val="000000"/>
          <w:sz w:val="21"/>
          <w:szCs w:val="21"/>
        </w:rPr>
        <w:t>、合同标的</w:t>
      </w:r>
    </w:p>
    <w:p>
      <w:pPr>
        <w:pStyle w:val="23"/>
        <w:spacing w:before="75" w:after="75" w:line="360" w:lineRule="auto"/>
        <w:ind w:firstLine="482"/>
        <w:rPr>
          <w:rFonts w:ascii="宋体"/>
          <w:color w:val="000000"/>
          <w:sz w:val="21"/>
          <w:szCs w:val="21"/>
        </w:rPr>
      </w:pPr>
      <w:r>
        <w:rPr>
          <w:rFonts w:hint="eastAsia" w:ascii="宋体" w:hAnsi="宋体"/>
          <w:color w:val="000000"/>
          <w:sz w:val="21"/>
          <w:szCs w:val="21"/>
          <w:u w:val="single"/>
        </w:rPr>
        <w:t>（按照实际情况编制填写，可以是表格或文字描述）</w:t>
      </w:r>
      <w:r>
        <w:rPr>
          <w:rFonts w:hint="eastAsia" w:ascii="宋体" w:hAnsi="宋体"/>
          <w:color w:val="000000"/>
          <w:sz w:val="21"/>
          <w:szCs w:val="21"/>
        </w:rPr>
        <w:t>。</w:t>
      </w:r>
    </w:p>
    <w:p>
      <w:pPr>
        <w:pStyle w:val="23"/>
        <w:spacing w:before="75" w:after="75" w:line="360" w:lineRule="auto"/>
        <w:ind w:firstLine="482"/>
        <w:rPr>
          <w:rFonts w:ascii="宋体"/>
          <w:color w:val="000000"/>
          <w:sz w:val="21"/>
          <w:szCs w:val="21"/>
        </w:rPr>
      </w:pPr>
      <w:r>
        <w:rPr>
          <w:rFonts w:ascii="宋体" w:hAnsi="宋体"/>
          <w:color w:val="000000"/>
          <w:sz w:val="21"/>
          <w:szCs w:val="21"/>
        </w:rPr>
        <w:t>3</w:t>
      </w:r>
      <w:r>
        <w:rPr>
          <w:rFonts w:hint="eastAsia" w:ascii="宋体" w:hAnsi="宋体"/>
          <w:color w:val="000000"/>
          <w:sz w:val="21"/>
          <w:szCs w:val="21"/>
        </w:rPr>
        <w:t>、合同总金额</w:t>
      </w:r>
    </w:p>
    <w:p>
      <w:pPr>
        <w:pStyle w:val="23"/>
        <w:spacing w:before="75" w:after="75" w:line="360" w:lineRule="auto"/>
        <w:ind w:firstLine="482"/>
        <w:rPr>
          <w:rFonts w:ascii="宋体"/>
          <w:color w:val="000000"/>
          <w:sz w:val="21"/>
          <w:szCs w:val="21"/>
        </w:rPr>
      </w:pPr>
      <w:r>
        <w:rPr>
          <w:rFonts w:ascii="宋体" w:hAnsi="宋体"/>
          <w:color w:val="000000"/>
          <w:sz w:val="21"/>
          <w:szCs w:val="21"/>
        </w:rPr>
        <w:t>3.1</w:t>
      </w:r>
      <w:r>
        <w:rPr>
          <w:rFonts w:hint="eastAsia" w:ascii="宋体" w:hAnsi="宋体"/>
          <w:color w:val="000000"/>
          <w:sz w:val="21"/>
          <w:szCs w:val="21"/>
        </w:rPr>
        <w:t>合同总金额为人民币大写：</w:t>
      </w:r>
      <w:r>
        <w:rPr>
          <w:rFonts w:ascii="宋体"/>
          <w:color w:val="000000"/>
          <w:sz w:val="21"/>
          <w:szCs w:val="21"/>
          <w:u w:val="single"/>
        </w:rPr>
        <w:t>           </w:t>
      </w:r>
      <w:r>
        <w:rPr>
          <w:rFonts w:hint="eastAsia" w:ascii="宋体" w:hAnsi="宋体"/>
          <w:color w:val="000000"/>
          <w:sz w:val="21"/>
          <w:szCs w:val="21"/>
        </w:rPr>
        <w:t>元（￥</w:t>
      </w:r>
      <w:r>
        <w:rPr>
          <w:rFonts w:ascii="宋体"/>
          <w:color w:val="000000"/>
          <w:sz w:val="21"/>
          <w:szCs w:val="21"/>
          <w:u w:val="single"/>
        </w:rPr>
        <w:t>          </w:t>
      </w:r>
      <w:r>
        <w:rPr>
          <w:rFonts w:hint="eastAsia" w:ascii="宋体" w:hAnsi="宋体"/>
          <w:color w:val="000000"/>
          <w:sz w:val="21"/>
          <w:szCs w:val="21"/>
        </w:rPr>
        <w:t>）。</w:t>
      </w:r>
    </w:p>
    <w:p>
      <w:pPr>
        <w:pStyle w:val="23"/>
        <w:spacing w:before="75" w:after="75" w:line="360" w:lineRule="auto"/>
        <w:ind w:firstLine="482"/>
        <w:rPr>
          <w:rFonts w:ascii="宋体"/>
          <w:color w:val="000000"/>
          <w:sz w:val="21"/>
          <w:szCs w:val="21"/>
        </w:rPr>
      </w:pPr>
      <w:r>
        <w:rPr>
          <w:rFonts w:ascii="宋体" w:hAnsi="宋体"/>
          <w:color w:val="000000"/>
          <w:sz w:val="21"/>
          <w:szCs w:val="21"/>
        </w:rPr>
        <w:t>4</w:t>
      </w:r>
      <w:r>
        <w:rPr>
          <w:rFonts w:hint="eastAsia" w:ascii="宋体" w:hAnsi="宋体"/>
          <w:color w:val="000000"/>
          <w:sz w:val="21"/>
          <w:szCs w:val="21"/>
        </w:rPr>
        <w:t>、合同标的交付时间、地点和条件</w:t>
      </w:r>
    </w:p>
    <w:p>
      <w:pPr>
        <w:pStyle w:val="23"/>
        <w:spacing w:before="75" w:after="75" w:line="360" w:lineRule="auto"/>
        <w:ind w:firstLine="482"/>
        <w:rPr>
          <w:rFonts w:ascii="宋体"/>
          <w:color w:val="000000"/>
          <w:sz w:val="21"/>
          <w:szCs w:val="21"/>
        </w:rPr>
      </w:pPr>
      <w:r>
        <w:rPr>
          <w:rFonts w:ascii="宋体" w:hAnsi="宋体"/>
          <w:color w:val="000000"/>
          <w:sz w:val="21"/>
          <w:szCs w:val="21"/>
        </w:rPr>
        <w:t>4.1</w:t>
      </w:r>
      <w:r>
        <w:rPr>
          <w:rFonts w:hint="eastAsia" w:ascii="宋体" w:hAnsi="宋体"/>
          <w:color w:val="000000"/>
          <w:sz w:val="21"/>
          <w:szCs w:val="21"/>
        </w:rPr>
        <w:t>交付时间：</w:t>
      </w:r>
      <w:r>
        <w:rPr>
          <w:rFonts w:hint="eastAsia" w:ascii="宋体" w:hAnsi="宋体"/>
          <w:color w:val="000000"/>
          <w:sz w:val="21"/>
          <w:szCs w:val="21"/>
          <w:u w:val="single"/>
          <w:lang w:val="en-US" w:eastAsia="zh-CN"/>
        </w:rPr>
        <w:t xml:space="preserve">      </w:t>
      </w:r>
      <w:r>
        <w:rPr>
          <w:rFonts w:hint="eastAsia" w:ascii="宋体" w:hAnsi="宋体"/>
          <w:color w:val="000000"/>
          <w:sz w:val="21"/>
          <w:szCs w:val="21"/>
          <w:u w:val="single"/>
        </w:rPr>
        <w:t>年</w:t>
      </w:r>
      <w:r>
        <w:rPr>
          <w:rFonts w:hint="eastAsia" w:ascii="宋体" w:hAnsi="宋体"/>
          <w:color w:val="000000"/>
          <w:sz w:val="21"/>
          <w:szCs w:val="21"/>
          <w:u w:val="single"/>
          <w:lang w:val="en-US" w:eastAsia="zh-CN"/>
        </w:rPr>
        <w:t xml:space="preserve">  </w:t>
      </w:r>
      <w:r>
        <w:rPr>
          <w:rFonts w:hint="eastAsia" w:ascii="宋体" w:hAnsi="宋体"/>
          <w:color w:val="000000"/>
          <w:sz w:val="21"/>
          <w:szCs w:val="21"/>
          <w:u w:val="single"/>
        </w:rPr>
        <w:t>月</w:t>
      </w:r>
      <w:r>
        <w:rPr>
          <w:rFonts w:hint="eastAsia" w:ascii="宋体" w:hAnsi="宋体"/>
          <w:color w:val="000000"/>
          <w:sz w:val="21"/>
          <w:szCs w:val="21"/>
          <w:u w:val="single"/>
          <w:lang w:val="en-US" w:eastAsia="zh-CN"/>
        </w:rPr>
        <w:t xml:space="preserve">  </w:t>
      </w:r>
      <w:r>
        <w:rPr>
          <w:rFonts w:hint="eastAsia" w:ascii="宋体" w:hAnsi="宋体"/>
          <w:color w:val="000000"/>
          <w:sz w:val="21"/>
          <w:szCs w:val="21"/>
          <w:u w:val="single"/>
        </w:rPr>
        <w:t>日至</w:t>
      </w:r>
      <w:r>
        <w:rPr>
          <w:rFonts w:hint="eastAsia" w:ascii="宋体" w:hAnsi="宋体"/>
          <w:color w:val="000000"/>
          <w:sz w:val="21"/>
          <w:szCs w:val="21"/>
          <w:u w:val="single"/>
          <w:lang w:val="en-US" w:eastAsia="zh-CN"/>
        </w:rPr>
        <w:t xml:space="preserve">    </w:t>
      </w:r>
      <w:r>
        <w:rPr>
          <w:rFonts w:hint="eastAsia" w:ascii="宋体" w:hAnsi="宋体"/>
          <w:color w:val="000000"/>
          <w:sz w:val="21"/>
          <w:szCs w:val="21"/>
          <w:u w:val="single"/>
        </w:rPr>
        <w:t>年</w:t>
      </w:r>
      <w:r>
        <w:rPr>
          <w:rFonts w:hint="eastAsia" w:ascii="宋体" w:hAnsi="宋体"/>
          <w:color w:val="000000"/>
          <w:sz w:val="21"/>
          <w:szCs w:val="21"/>
          <w:u w:val="single"/>
          <w:lang w:val="en-US" w:eastAsia="zh-CN"/>
        </w:rPr>
        <w:t xml:space="preserve">  </w:t>
      </w:r>
      <w:r>
        <w:rPr>
          <w:rFonts w:hint="eastAsia" w:ascii="宋体" w:hAnsi="宋体"/>
          <w:color w:val="000000"/>
          <w:sz w:val="21"/>
          <w:szCs w:val="21"/>
          <w:u w:val="single"/>
        </w:rPr>
        <w:t>月</w:t>
      </w:r>
      <w:r>
        <w:rPr>
          <w:rFonts w:hint="eastAsia" w:ascii="宋体" w:hAnsi="宋体"/>
          <w:color w:val="000000"/>
          <w:sz w:val="21"/>
          <w:szCs w:val="21"/>
          <w:u w:val="single"/>
          <w:lang w:val="en-US" w:eastAsia="zh-CN"/>
        </w:rPr>
        <w:t xml:space="preserve">  </w:t>
      </w:r>
      <w:r>
        <w:rPr>
          <w:rFonts w:hint="eastAsia" w:ascii="宋体" w:hAnsi="宋体"/>
          <w:color w:val="000000"/>
          <w:sz w:val="21"/>
          <w:szCs w:val="21"/>
          <w:u w:val="single"/>
        </w:rPr>
        <w:t>日</w:t>
      </w:r>
      <w:r>
        <w:rPr>
          <w:rFonts w:hint="eastAsia" w:ascii="宋体" w:hAnsi="宋体"/>
          <w:color w:val="000000"/>
          <w:sz w:val="21"/>
          <w:szCs w:val="21"/>
        </w:rPr>
        <w:t>；</w:t>
      </w:r>
    </w:p>
    <w:p>
      <w:pPr>
        <w:pStyle w:val="23"/>
        <w:spacing w:before="75" w:after="75" w:line="360" w:lineRule="auto"/>
        <w:ind w:firstLine="482"/>
        <w:rPr>
          <w:rFonts w:ascii="宋体"/>
          <w:color w:val="000000"/>
          <w:sz w:val="21"/>
          <w:szCs w:val="21"/>
        </w:rPr>
      </w:pPr>
      <w:r>
        <w:rPr>
          <w:rFonts w:ascii="宋体" w:hAnsi="宋体"/>
          <w:color w:val="000000"/>
          <w:sz w:val="21"/>
          <w:szCs w:val="21"/>
        </w:rPr>
        <w:t>4.2</w:t>
      </w:r>
      <w:r>
        <w:rPr>
          <w:rFonts w:hint="eastAsia" w:ascii="宋体" w:hAnsi="宋体"/>
          <w:color w:val="000000"/>
          <w:sz w:val="21"/>
          <w:szCs w:val="21"/>
        </w:rPr>
        <w:t>交付地点：</w:t>
      </w:r>
      <w:r>
        <w:rPr>
          <w:rFonts w:ascii="宋体"/>
          <w:color w:val="000000"/>
          <w:sz w:val="21"/>
          <w:szCs w:val="21"/>
          <w:u w:val="single"/>
        </w:rPr>
        <w:t>                     </w:t>
      </w:r>
      <w:r>
        <w:rPr>
          <w:rFonts w:hint="eastAsia" w:ascii="宋体" w:hAnsi="宋体"/>
          <w:color w:val="000000"/>
          <w:sz w:val="21"/>
          <w:szCs w:val="21"/>
        </w:rPr>
        <w:t>；</w:t>
      </w:r>
    </w:p>
    <w:p>
      <w:pPr>
        <w:pStyle w:val="23"/>
        <w:spacing w:before="75" w:after="75" w:line="360" w:lineRule="auto"/>
        <w:ind w:firstLine="482"/>
        <w:rPr>
          <w:rFonts w:ascii="宋体"/>
          <w:color w:val="000000"/>
          <w:sz w:val="21"/>
          <w:szCs w:val="21"/>
        </w:rPr>
      </w:pPr>
      <w:r>
        <w:rPr>
          <w:rFonts w:ascii="宋体" w:hAnsi="宋体"/>
          <w:color w:val="000000"/>
          <w:sz w:val="21"/>
          <w:szCs w:val="21"/>
        </w:rPr>
        <w:t>4.3</w:t>
      </w:r>
      <w:r>
        <w:rPr>
          <w:rFonts w:hint="eastAsia" w:ascii="宋体" w:hAnsi="宋体"/>
          <w:color w:val="000000"/>
          <w:sz w:val="21"/>
          <w:szCs w:val="21"/>
        </w:rPr>
        <w:t>交付条件：</w:t>
      </w:r>
      <w:r>
        <w:rPr>
          <w:rFonts w:ascii="宋体"/>
          <w:color w:val="000000"/>
          <w:sz w:val="21"/>
          <w:szCs w:val="21"/>
          <w:u w:val="single"/>
        </w:rPr>
        <w:t>                     </w:t>
      </w:r>
      <w:r>
        <w:rPr>
          <w:rFonts w:hint="eastAsia" w:ascii="宋体" w:hAnsi="宋体"/>
          <w:color w:val="000000"/>
          <w:sz w:val="21"/>
          <w:szCs w:val="21"/>
        </w:rPr>
        <w:t>。</w:t>
      </w:r>
    </w:p>
    <w:p>
      <w:pPr>
        <w:pStyle w:val="23"/>
        <w:spacing w:before="75" w:after="75" w:line="360" w:lineRule="auto"/>
        <w:ind w:firstLine="482"/>
        <w:rPr>
          <w:rFonts w:ascii="宋体"/>
          <w:color w:val="000000"/>
          <w:sz w:val="21"/>
          <w:szCs w:val="21"/>
        </w:rPr>
      </w:pPr>
      <w:r>
        <w:rPr>
          <w:rFonts w:ascii="宋体" w:hAnsi="宋体"/>
          <w:color w:val="000000"/>
          <w:sz w:val="21"/>
          <w:szCs w:val="21"/>
        </w:rPr>
        <w:t>5</w:t>
      </w:r>
      <w:r>
        <w:rPr>
          <w:rFonts w:hint="eastAsia" w:ascii="宋体" w:hAnsi="宋体"/>
          <w:color w:val="000000"/>
          <w:sz w:val="21"/>
          <w:szCs w:val="21"/>
        </w:rPr>
        <w:t>、合同标的应符合招标文件、乙方投标文件的规定或约定，具体如下：</w:t>
      </w:r>
    </w:p>
    <w:p>
      <w:pPr>
        <w:pStyle w:val="23"/>
        <w:spacing w:before="75" w:after="75" w:line="360" w:lineRule="auto"/>
        <w:ind w:firstLine="482"/>
        <w:rPr>
          <w:rFonts w:ascii="宋体"/>
          <w:color w:val="000000"/>
          <w:sz w:val="21"/>
          <w:szCs w:val="21"/>
        </w:rPr>
      </w:pPr>
      <w:r>
        <w:rPr>
          <w:rFonts w:hint="eastAsia" w:ascii="宋体" w:hAnsi="宋体"/>
          <w:color w:val="000000"/>
          <w:sz w:val="21"/>
          <w:szCs w:val="21"/>
          <w:u w:val="single"/>
        </w:rPr>
        <w:t>（按照实际情况编制填写，可以是表格或文字描述）</w:t>
      </w:r>
      <w:r>
        <w:rPr>
          <w:rFonts w:hint="eastAsia" w:ascii="宋体" w:hAnsi="宋体"/>
          <w:color w:val="000000"/>
          <w:sz w:val="21"/>
          <w:szCs w:val="21"/>
        </w:rPr>
        <w:t>。</w:t>
      </w:r>
    </w:p>
    <w:p>
      <w:pPr>
        <w:pStyle w:val="23"/>
        <w:spacing w:before="75" w:after="75" w:line="360" w:lineRule="auto"/>
        <w:ind w:firstLine="482"/>
        <w:rPr>
          <w:rFonts w:ascii="宋体"/>
          <w:color w:val="000000"/>
          <w:sz w:val="21"/>
          <w:szCs w:val="21"/>
        </w:rPr>
      </w:pPr>
      <w:r>
        <w:rPr>
          <w:rFonts w:ascii="宋体" w:hAnsi="宋体"/>
          <w:color w:val="000000"/>
          <w:sz w:val="21"/>
          <w:szCs w:val="21"/>
        </w:rPr>
        <w:t>6</w:t>
      </w:r>
      <w:r>
        <w:rPr>
          <w:rFonts w:hint="eastAsia" w:ascii="宋体" w:hAnsi="宋体"/>
          <w:color w:val="000000"/>
          <w:sz w:val="21"/>
          <w:szCs w:val="21"/>
        </w:rPr>
        <w:t>、验收</w:t>
      </w:r>
    </w:p>
    <w:p>
      <w:pPr>
        <w:pStyle w:val="23"/>
        <w:spacing w:before="75" w:after="75" w:line="360" w:lineRule="auto"/>
        <w:ind w:firstLine="482"/>
        <w:rPr>
          <w:rFonts w:ascii="宋体"/>
          <w:color w:val="000000"/>
          <w:sz w:val="21"/>
          <w:szCs w:val="21"/>
        </w:rPr>
      </w:pPr>
      <w:r>
        <w:rPr>
          <w:rFonts w:ascii="宋体" w:hAnsi="宋体"/>
          <w:color w:val="000000"/>
          <w:sz w:val="21"/>
          <w:szCs w:val="21"/>
        </w:rPr>
        <w:t>6.1</w:t>
      </w:r>
      <w:r>
        <w:rPr>
          <w:rFonts w:hint="eastAsia" w:ascii="宋体" w:hAnsi="宋体"/>
          <w:color w:val="000000"/>
          <w:sz w:val="21"/>
          <w:szCs w:val="21"/>
        </w:rPr>
        <w:t>验收应按照招标文件、乙方投标文件的规定或约定进行，具体如下：</w:t>
      </w:r>
    </w:p>
    <w:p>
      <w:pPr>
        <w:pStyle w:val="23"/>
        <w:spacing w:before="75" w:after="75" w:line="360" w:lineRule="auto"/>
        <w:ind w:firstLine="482"/>
        <w:rPr>
          <w:rFonts w:ascii="宋体"/>
          <w:color w:val="000000"/>
          <w:sz w:val="21"/>
          <w:szCs w:val="21"/>
        </w:rPr>
      </w:pPr>
      <w:r>
        <w:rPr>
          <w:rFonts w:hint="eastAsia" w:ascii="宋体" w:hAnsi="宋体"/>
          <w:color w:val="000000"/>
          <w:sz w:val="21"/>
          <w:szCs w:val="21"/>
          <w:u w:val="single"/>
        </w:rPr>
        <w:t>（按照实际情况编制填写，可以是表格或文字描述）</w:t>
      </w:r>
      <w:r>
        <w:rPr>
          <w:rFonts w:hint="eastAsia" w:ascii="宋体" w:hAnsi="宋体"/>
          <w:color w:val="000000"/>
          <w:sz w:val="21"/>
          <w:szCs w:val="21"/>
        </w:rPr>
        <w:t>。</w:t>
      </w:r>
    </w:p>
    <w:p>
      <w:pPr>
        <w:pStyle w:val="23"/>
        <w:spacing w:before="75" w:after="75" w:line="360" w:lineRule="auto"/>
        <w:ind w:firstLine="482"/>
        <w:rPr>
          <w:rFonts w:ascii="宋体"/>
          <w:color w:val="000000"/>
          <w:sz w:val="21"/>
          <w:szCs w:val="21"/>
        </w:rPr>
      </w:pPr>
      <w:r>
        <w:rPr>
          <w:rFonts w:ascii="宋体" w:hAnsi="宋体"/>
          <w:color w:val="000000"/>
          <w:sz w:val="21"/>
          <w:szCs w:val="21"/>
        </w:rPr>
        <w:t>6.2</w:t>
      </w:r>
      <w:r>
        <w:rPr>
          <w:rFonts w:hint="eastAsia" w:ascii="宋体" w:hAnsi="宋体"/>
          <w:color w:val="000000"/>
          <w:sz w:val="21"/>
          <w:szCs w:val="21"/>
        </w:rPr>
        <w:t>本项目是否邀请其他投标人参与验收：</w:t>
      </w:r>
    </w:p>
    <w:p>
      <w:pPr>
        <w:pStyle w:val="23"/>
        <w:spacing w:before="75" w:after="75" w:line="360" w:lineRule="auto"/>
        <w:ind w:firstLine="482"/>
        <w:rPr>
          <w:rFonts w:ascii="宋体"/>
          <w:color w:val="000000"/>
          <w:sz w:val="21"/>
          <w:szCs w:val="21"/>
        </w:rPr>
      </w:pPr>
      <w:r>
        <w:rPr>
          <w:rFonts w:hint="eastAsia" w:ascii="宋体" w:hAnsi="宋体"/>
          <w:color w:val="000000"/>
          <w:sz w:val="21"/>
          <w:szCs w:val="21"/>
        </w:rPr>
        <w:t>□不邀请。□邀请，具体如下：</w:t>
      </w:r>
      <w:r>
        <w:rPr>
          <w:rFonts w:hint="eastAsia" w:ascii="宋体" w:hAnsi="宋体"/>
          <w:color w:val="000000"/>
          <w:sz w:val="21"/>
          <w:szCs w:val="21"/>
          <w:u w:val="single"/>
        </w:rPr>
        <w:t>（按照招标文件规定填写）</w:t>
      </w:r>
      <w:r>
        <w:rPr>
          <w:rFonts w:hint="eastAsia" w:ascii="宋体" w:hAnsi="宋体"/>
          <w:color w:val="000000"/>
          <w:sz w:val="21"/>
          <w:szCs w:val="21"/>
        </w:rPr>
        <w:t>。</w:t>
      </w:r>
    </w:p>
    <w:p>
      <w:pPr>
        <w:pStyle w:val="23"/>
        <w:spacing w:before="75" w:after="75" w:line="360" w:lineRule="auto"/>
        <w:ind w:firstLine="482"/>
        <w:rPr>
          <w:rFonts w:ascii="宋体"/>
          <w:color w:val="000000"/>
          <w:sz w:val="21"/>
          <w:szCs w:val="21"/>
        </w:rPr>
      </w:pPr>
      <w:r>
        <w:rPr>
          <w:rFonts w:ascii="宋体" w:hAnsi="宋体"/>
          <w:color w:val="000000"/>
          <w:sz w:val="21"/>
          <w:szCs w:val="21"/>
        </w:rPr>
        <w:t>7</w:t>
      </w:r>
      <w:r>
        <w:rPr>
          <w:rFonts w:hint="eastAsia" w:ascii="宋体" w:hAnsi="宋体"/>
          <w:color w:val="000000"/>
          <w:sz w:val="21"/>
          <w:szCs w:val="21"/>
        </w:rPr>
        <w:t>、合同款项的支付应按照招标文件的规定进行，具体如下：</w:t>
      </w:r>
    </w:p>
    <w:p>
      <w:pPr>
        <w:pStyle w:val="23"/>
        <w:spacing w:before="75" w:after="75" w:line="360" w:lineRule="auto"/>
        <w:ind w:firstLine="482"/>
        <w:rPr>
          <w:rFonts w:ascii="宋体"/>
          <w:color w:val="000000"/>
          <w:sz w:val="21"/>
          <w:szCs w:val="21"/>
        </w:rPr>
      </w:pPr>
      <w:r>
        <w:rPr>
          <w:rFonts w:hint="eastAsia" w:ascii="宋体" w:hAnsi="宋体"/>
          <w:color w:val="000000"/>
          <w:sz w:val="21"/>
          <w:szCs w:val="21"/>
          <w:u w:val="single"/>
        </w:rPr>
        <w:t>（按照实际情况编制填写，可以是表格或文字描述，包括一次性支付或分期支付等）</w:t>
      </w:r>
      <w:r>
        <w:rPr>
          <w:rFonts w:hint="eastAsia" w:ascii="宋体" w:hAnsi="宋体"/>
          <w:color w:val="000000"/>
          <w:sz w:val="21"/>
          <w:szCs w:val="21"/>
        </w:rPr>
        <w:t>。</w:t>
      </w:r>
    </w:p>
    <w:p>
      <w:pPr>
        <w:pStyle w:val="23"/>
        <w:spacing w:before="75" w:after="75" w:line="360" w:lineRule="auto"/>
        <w:ind w:firstLine="482"/>
        <w:rPr>
          <w:rFonts w:ascii="宋体"/>
          <w:color w:val="000000"/>
          <w:sz w:val="21"/>
          <w:szCs w:val="21"/>
        </w:rPr>
      </w:pPr>
      <w:r>
        <w:rPr>
          <w:rFonts w:ascii="宋体" w:hAnsi="宋体"/>
          <w:color w:val="000000"/>
          <w:sz w:val="21"/>
          <w:szCs w:val="21"/>
        </w:rPr>
        <w:t>8</w:t>
      </w:r>
      <w:r>
        <w:rPr>
          <w:rFonts w:hint="eastAsia" w:ascii="宋体" w:hAnsi="宋体"/>
          <w:color w:val="000000"/>
          <w:sz w:val="21"/>
          <w:szCs w:val="21"/>
        </w:rPr>
        <w:t>、履约保证金</w:t>
      </w:r>
    </w:p>
    <w:p>
      <w:pPr>
        <w:pStyle w:val="23"/>
        <w:spacing w:before="75" w:after="75" w:line="360" w:lineRule="auto"/>
        <w:ind w:firstLine="482"/>
        <w:rPr>
          <w:rFonts w:ascii="宋体"/>
          <w:color w:val="000000"/>
          <w:sz w:val="21"/>
          <w:szCs w:val="21"/>
        </w:rPr>
      </w:pPr>
      <w:r>
        <w:rPr>
          <w:rFonts w:hint="eastAsia" w:ascii="宋体" w:hAnsi="宋体"/>
          <w:color w:val="000000"/>
          <w:sz w:val="21"/>
          <w:szCs w:val="21"/>
        </w:rPr>
        <w:t>□无。□有，具体如下：</w:t>
      </w:r>
      <w:r>
        <w:rPr>
          <w:rFonts w:hint="eastAsia" w:ascii="宋体" w:hAnsi="宋体"/>
          <w:color w:val="000000"/>
          <w:sz w:val="21"/>
          <w:szCs w:val="21"/>
          <w:u w:val="single"/>
        </w:rPr>
        <w:t>（按照招标文件规定填写）</w:t>
      </w:r>
      <w:r>
        <w:rPr>
          <w:rFonts w:hint="eastAsia" w:ascii="宋体" w:hAnsi="宋体"/>
          <w:color w:val="000000"/>
          <w:sz w:val="21"/>
          <w:szCs w:val="21"/>
        </w:rPr>
        <w:t>。</w:t>
      </w:r>
    </w:p>
    <w:p>
      <w:pPr>
        <w:pStyle w:val="23"/>
        <w:spacing w:before="75" w:after="75" w:line="360" w:lineRule="auto"/>
        <w:ind w:firstLine="482"/>
        <w:rPr>
          <w:rFonts w:ascii="宋体"/>
          <w:color w:val="000000"/>
          <w:sz w:val="21"/>
          <w:szCs w:val="21"/>
        </w:rPr>
      </w:pPr>
      <w:r>
        <w:rPr>
          <w:rFonts w:ascii="宋体" w:hAnsi="宋体"/>
          <w:color w:val="000000"/>
          <w:sz w:val="21"/>
          <w:szCs w:val="21"/>
        </w:rPr>
        <w:t>9</w:t>
      </w:r>
      <w:r>
        <w:rPr>
          <w:rFonts w:hint="eastAsia" w:ascii="宋体" w:hAnsi="宋体"/>
          <w:color w:val="000000"/>
          <w:sz w:val="21"/>
          <w:szCs w:val="21"/>
        </w:rPr>
        <w:t>、合同有效期</w:t>
      </w:r>
    </w:p>
    <w:p>
      <w:pPr>
        <w:pStyle w:val="23"/>
        <w:spacing w:before="75" w:after="75" w:line="360" w:lineRule="auto"/>
        <w:ind w:firstLine="482"/>
        <w:rPr>
          <w:rFonts w:ascii="宋体"/>
          <w:color w:val="000000"/>
          <w:sz w:val="21"/>
          <w:szCs w:val="21"/>
        </w:rPr>
      </w:pPr>
      <w:r>
        <w:rPr>
          <w:rFonts w:hint="eastAsia" w:ascii="宋体" w:hAnsi="宋体"/>
          <w:color w:val="000000"/>
          <w:sz w:val="21"/>
          <w:szCs w:val="21"/>
          <w:u w:val="single"/>
        </w:rPr>
        <w:t>（按照实际情况编制填写，可以是表格或文字描述）</w:t>
      </w:r>
      <w:r>
        <w:rPr>
          <w:rFonts w:hint="eastAsia" w:ascii="宋体" w:hAnsi="宋体"/>
          <w:color w:val="000000"/>
          <w:sz w:val="21"/>
          <w:szCs w:val="21"/>
        </w:rPr>
        <w:t>。</w:t>
      </w:r>
    </w:p>
    <w:p>
      <w:pPr>
        <w:pStyle w:val="23"/>
        <w:spacing w:before="75" w:after="75" w:line="360" w:lineRule="auto"/>
        <w:ind w:firstLine="482"/>
        <w:rPr>
          <w:rFonts w:ascii="宋体"/>
          <w:color w:val="000000"/>
          <w:sz w:val="21"/>
          <w:szCs w:val="21"/>
        </w:rPr>
      </w:pPr>
      <w:r>
        <w:rPr>
          <w:rFonts w:ascii="宋体" w:hAnsi="宋体"/>
          <w:color w:val="000000"/>
          <w:sz w:val="21"/>
          <w:szCs w:val="21"/>
        </w:rPr>
        <w:t>10</w:t>
      </w:r>
      <w:r>
        <w:rPr>
          <w:rFonts w:hint="eastAsia" w:ascii="宋体" w:hAnsi="宋体"/>
          <w:color w:val="000000"/>
          <w:sz w:val="21"/>
          <w:szCs w:val="21"/>
        </w:rPr>
        <w:t>、违约责任</w:t>
      </w:r>
    </w:p>
    <w:p>
      <w:pPr>
        <w:pStyle w:val="23"/>
        <w:spacing w:before="75" w:after="75" w:line="360" w:lineRule="auto"/>
        <w:ind w:firstLine="482"/>
        <w:rPr>
          <w:rFonts w:ascii="宋体"/>
          <w:color w:val="000000"/>
          <w:sz w:val="21"/>
          <w:szCs w:val="21"/>
        </w:rPr>
      </w:pPr>
      <w:r>
        <w:rPr>
          <w:rFonts w:hint="eastAsia" w:ascii="宋体" w:hAnsi="宋体"/>
          <w:color w:val="000000"/>
          <w:sz w:val="21"/>
          <w:szCs w:val="21"/>
          <w:u w:val="single"/>
        </w:rPr>
        <w:t>（按照实际情况编制填写，可以是表格或文字描述）</w:t>
      </w:r>
      <w:r>
        <w:rPr>
          <w:rFonts w:hint="eastAsia" w:ascii="宋体" w:hAnsi="宋体"/>
          <w:color w:val="000000"/>
          <w:sz w:val="21"/>
          <w:szCs w:val="21"/>
        </w:rPr>
        <w:t>。</w:t>
      </w:r>
    </w:p>
    <w:p>
      <w:pPr>
        <w:pStyle w:val="23"/>
        <w:spacing w:before="75" w:after="75" w:line="360" w:lineRule="auto"/>
        <w:ind w:firstLine="482"/>
        <w:rPr>
          <w:rFonts w:ascii="宋体"/>
          <w:color w:val="000000"/>
          <w:sz w:val="21"/>
          <w:szCs w:val="21"/>
        </w:rPr>
      </w:pPr>
      <w:r>
        <w:rPr>
          <w:rFonts w:ascii="宋体" w:hAnsi="宋体"/>
          <w:color w:val="000000"/>
          <w:sz w:val="21"/>
          <w:szCs w:val="21"/>
        </w:rPr>
        <w:t>11</w:t>
      </w:r>
      <w:r>
        <w:rPr>
          <w:rFonts w:hint="eastAsia" w:ascii="宋体" w:hAnsi="宋体"/>
          <w:color w:val="000000"/>
          <w:sz w:val="21"/>
          <w:szCs w:val="21"/>
        </w:rPr>
        <w:t>、知识产权</w:t>
      </w:r>
    </w:p>
    <w:p>
      <w:pPr>
        <w:pStyle w:val="23"/>
        <w:spacing w:before="75" w:after="75" w:line="360" w:lineRule="auto"/>
        <w:ind w:firstLine="482"/>
        <w:rPr>
          <w:rFonts w:ascii="宋体"/>
          <w:color w:val="000000"/>
          <w:sz w:val="21"/>
          <w:szCs w:val="21"/>
        </w:rPr>
      </w:pPr>
      <w:r>
        <w:rPr>
          <w:rFonts w:ascii="宋体" w:hAnsi="宋体"/>
          <w:color w:val="000000"/>
          <w:sz w:val="21"/>
          <w:szCs w:val="21"/>
        </w:rPr>
        <w:t>11.1</w:t>
      </w:r>
      <w:r>
        <w:rPr>
          <w:rFonts w:hint="eastAsia" w:ascii="宋体" w:hAnsi="宋体"/>
          <w:color w:val="000000"/>
          <w:sz w:val="21"/>
          <w:szCs w:val="21"/>
        </w:rPr>
        <w:t>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3"/>
        <w:spacing w:before="75" w:after="75" w:line="360" w:lineRule="auto"/>
        <w:ind w:firstLine="482"/>
        <w:rPr>
          <w:rFonts w:ascii="宋体"/>
          <w:color w:val="000000"/>
          <w:sz w:val="21"/>
          <w:szCs w:val="21"/>
        </w:rPr>
      </w:pPr>
      <w:r>
        <w:rPr>
          <w:rFonts w:ascii="宋体" w:hAnsi="宋体"/>
          <w:color w:val="000000"/>
          <w:sz w:val="21"/>
          <w:szCs w:val="21"/>
        </w:rPr>
        <w:t>11.2</w:t>
      </w:r>
      <w:r>
        <w:rPr>
          <w:rFonts w:hint="eastAsia" w:ascii="宋体" w:hAnsi="宋体"/>
          <w:color w:val="000000"/>
          <w:sz w:val="21"/>
          <w:szCs w:val="21"/>
        </w:rPr>
        <w:t>若乙方提供的采购标的不符合国家知识产权法律、法规的规定或被有关主管机关认定为假冒伪劣品，则乙方中标资格将被取消；甲方还将按照有关法律、法规和规章的规定进行处理，具体如下：</w:t>
      </w:r>
      <w:r>
        <w:rPr>
          <w:rFonts w:hint="eastAsia" w:ascii="宋体" w:hAnsi="宋体"/>
          <w:color w:val="000000"/>
          <w:sz w:val="21"/>
          <w:szCs w:val="21"/>
          <w:u w:val="single"/>
        </w:rPr>
        <w:t>（按照实际情况编制填写）</w:t>
      </w:r>
      <w:r>
        <w:rPr>
          <w:rFonts w:hint="eastAsia" w:ascii="宋体" w:hAnsi="宋体"/>
          <w:color w:val="000000"/>
          <w:sz w:val="21"/>
          <w:szCs w:val="21"/>
        </w:rPr>
        <w:t>。</w:t>
      </w:r>
    </w:p>
    <w:p>
      <w:pPr>
        <w:pStyle w:val="23"/>
        <w:spacing w:before="75" w:after="75" w:line="360" w:lineRule="auto"/>
        <w:ind w:firstLine="482"/>
        <w:rPr>
          <w:rFonts w:ascii="宋体"/>
          <w:color w:val="000000"/>
          <w:sz w:val="21"/>
          <w:szCs w:val="21"/>
        </w:rPr>
      </w:pPr>
      <w:r>
        <w:rPr>
          <w:rFonts w:ascii="宋体" w:hAnsi="宋体"/>
          <w:color w:val="000000"/>
          <w:sz w:val="21"/>
          <w:szCs w:val="21"/>
        </w:rPr>
        <w:t>12</w:t>
      </w:r>
      <w:r>
        <w:rPr>
          <w:rFonts w:hint="eastAsia" w:ascii="宋体" w:hAnsi="宋体"/>
          <w:color w:val="000000"/>
          <w:sz w:val="21"/>
          <w:szCs w:val="21"/>
        </w:rPr>
        <w:t>、解决争议的方法</w:t>
      </w:r>
    </w:p>
    <w:p>
      <w:pPr>
        <w:pStyle w:val="23"/>
        <w:spacing w:before="75" w:after="75" w:line="360" w:lineRule="auto"/>
        <w:ind w:firstLine="482"/>
        <w:rPr>
          <w:rFonts w:ascii="宋体"/>
          <w:color w:val="000000"/>
          <w:sz w:val="21"/>
          <w:szCs w:val="21"/>
        </w:rPr>
      </w:pPr>
      <w:r>
        <w:rPr>
          <w:rFonts w:ascii="宋体" w:hAnsi="宋体"/>
          <w:color w:val="000000"/>
          <w:sz w:val="21"/>
          <w:szCs w:val="21"/>
        </w:rPr>
        <w:t>12.1</w:t>
      </w:r>
      <w:r>
        <w:rPr>
          <w:rFonts w:hint="eastAsia" w:ascii="宋体" w:hAnsi="宋体"/>
          <w:color w:val="000000"/>
          <w:sz w:val="21"/>
          <w:szCs w:val="21"/>
        </w:rPr>
        <w:t>甲、乙双方协商解决。</w:t>
      </w:r>
    </w:p>
    <w:p>
      <w:pPr>
        <w:pStyle w:val="23"/>
        <w:spacing w:before="75" w:after="75" w:line="360" w:lineRule="auto"/>
        <w:ind w:firstLine="482"/>
        <w:rPr>
          <w:rFonts w:ascii="宋体"/>
          <w:color w:val="000000"/>
          <w:sz w:val="21"/>
          <w:szCs w:val="21"/>
        </w:rPr>
      </w:pPr>
      <w:r>
        <w:rPr>
          <w:rFonts w:ascii="宋体" w:hAnsi="宋体"/>
          <w:color w:val="000000"/>
          <w:sz w:val="21"/>
          <w:szCs w:val="21"/>
        </w:rPr>
        <w:t>12.2</w:t>
      </w:r>
      <w:r>
        <w:rPr>
          <w:rFonts w:hint="eastAsia" w:ascii="宋体" w:hAnsi="宋体"/>
          <w:color w:val="000000"/>
          <w:sz w:val="21"/>
          <w:szCs w:val="21"/>
        </w:rPr>
        <w:t>若协商解决不成，则通过下列途径之一解决：</w:t>
      </w:r>
    </w:p>
    <w:p>
      <w:pPr>
        <w:pStyle w:val="23"/>
        <w:spacing w:before="75" w:after="75" w:line="360" w:lineRule="auto"/>
        <w:ind w:firstLine="482"/>
        <w:rPr>
          <w:rFonts w:ascii="宋体"/>
          <w:color w:val="000000"/>
          <w:sz w:val="21"/>
          <w:szCs w:val="21"/>
        </w:rPr>
      </w:pPr>
      <w:r>
        <w:rPr>
          <w:rFonts w:hint="eastAsia" w:ascii="宋体" w:hAnsi="宋体"/>
          <w:color w:val="000000"/>
          <w:sz w:val="21"/>
          <w:szCs w:val="21"/>
        </w:rPr>
        <w:t>□提交仲裁委员会仲裁，具体如下：</w:t>
      </w:r>
      <w:r>
        <w:rPr>
          <w:rFonts w:hint="eastAsia" w:ascii="宋体" w:hAnsi="宋体"/>
          <w:color w:val="000000"/>
          <w:sz w:val="21"/>
          <w:szCs w:val="21"/>
          <w:u w:val="single"/>
        </w:rPr>
        <w:t>（按照实际情况编制填写）</w:t>
      </w:r>
      <w:r>
        <w:rPr>
          <w:rFonts w:hint="eastAsia" w:ascii="宋体" w:hAnsi="宋体"/>
          <w:color w:val="000000"/>
          <w:sz w:val="21"/>
          <w:szCs w:val="21"/>
        </w:rPr>
        <w:t>。</w:t>
      </w:r>
    </w:p>
    <w:p>
      <w:pPr>
        <w:pStyle w:val="23"/>
        <w:spacing w:before="75" w:after="75" w:line="360" w:lineRule="auto"/>
        <w:ind w:firstLine="482"/>
        <w:rPr>
          <w:rFonts w:ascii="宋体"/>
          <w:color w:val="000000"/>
          <w:sz w:val="21"/>
          <w:szCs w:val="21"/>
        </w:rPr>
      </w:pPr>
      <w:r>
        <w:rPr>
          <w:rFonts w:hint="eastAsia" w:ascii="宋体" w:hAnsi="宋体"/>
          <w:color w:val="000000"/>
          <w:sz w:val="21"/>
          <w:szCs w:val="21"/>
        </w:rPr>
        <w:t>□向人民法院提起诉讼，具体如下：</w:t>
      </w:r>
      <w:r>
        <w:rPr>
          <w:rFonts w:hint="eastAsia" w:ascii="宋体" w:hAnsi="宋体"/>
          <w:color w:val="000000"/>
          <w:sz w:val="21"/>
          <w:szCs w:val="21"/>
          <w:u w:val="single"/>
        </w:rPr>
        <w:t>（按照实际情况编制填写）</w:t>
      </w:r>
      <w:r>
        <w:rPr>
          <w:rFonts w:hint="eastAsia" w:ascii="宋体" w:hAnsi="宋体"/>
          <w:color w:val="000000"/>
          <w:sz w:val="21"/>
          <w:szCs w:val="21"/>
        </w:rPr>
        <w:t>。</w:t>
      </w:r>
    </w:p>
    <w:p>
      <w:pPr>
        <w:pStyle w:val="23"/>
        <w:spacing w:before="75" w:after="75" w:line="360" w:lineRule="auto"/>
        <w:ind w:firstLine="482"/>
        <w:rPr>
          <w:rFonts w:ascii="宋体"/>
          <w:color w:val="000000"/>
          <w:sz w:val="21"/>
          <w:szCs w:val="21"/>
        </w:rPr>
      </w:pPr>
      <w:r>
        <w:rPr>
          <w:rFonts w:ascii="宋体" w:hAnsi="宋体"/>
          <w:color w:val="000000"/>
          <w:sz w:val="21"/>
          <w:szCs w:val="21"/>
        </w:rPr>
        <w:t>13</w:t>
      </w:r>
      <w:r>
        <w:rPr>
          <w:rFonts w:hint="eastAsia" w:ascii="宋体" w:hAnsi="宋体"/>
          <w:color w:val="000000"/>
          <w:sz w:val="21"/>
          <w:szCs w:val="21"/>
        </w:rPr>
        <w:t>、不可抗力</w:t>
      </w:r>
    </w:p>
    <w:p>
      <w:pPr>
        <w:pStyle w:val="23"/>
        <w:spacing w:before="75" w:after="75" w:line="360" w:lineRule="auto"/>
        <w:ind w:firstLine="482"/>
        <w:rPr>
          <w:rFonts w:ascii="宋体"/>
          <w:color w:val="000000"/>
          <w:sz w:val="21"/>
          <w:szCs w:val="21"/>
        </w:rPr>
      </w:pPr>
      <w:r>
        <w:rPr>
          <w:rFonts w:ascii="宋体" w:hAnsi="宋体"/>
          <w:color w:val="000000"/>
          <w:sz w:val="21"/>
          <w:szCs w:val="21"/>
        </w:rPr>
        <w:t>13.1</w:t>
      </w:r>
      <w:r>
        <w:rPr>
          <w:rFonts w:hint="eastAsia" w:ascii="宋体" w:hAnsi="宋体"/>
          <w:color w:val="000000"/>
          <w:sz w:val="21"/>
          <w:szCs w:val="21"/>
        </w:rPr>
        <w:t>因不可抗力造成违约的，遭受不可抗力一方应及时向对方通报不能履行或不能完全履行的理由，并在随后取得有关主管机关证明后的</w:t>
      </w:r>
      <w:r>
        <w:rPr>
          <w:rFonts w:ascii="宋体" w:hAnsi="宋体"/>
          <w:color w:val="000000"/>
          <w:sz w:val="21"/>
          <w:szCs w:val="21"/>
        </w:rPr>
        <w:t>15</w:t>
      </w:r>
      <w:r>
        <w:rPr>
          <w:rFonts w:hint="eastAsia" w:ascii="宋体" w:hAnsi="宋体"/>
          <w:color w:val="000000"/>
          <w:sz w:val="21"/>
          <w:szCs w:val="21"/>
        </w:rPr>
        <w:t>日内向另一方提供不可抗力发生及持续期间的充分证据。基于以上行为，允许遭受不可抗力一方延期履行、部分履行或不履行合同，并根据情况可部分或全部免于承担违约责任。</w:t>
      </w:r>
    </w:p>
    <w:p>
      <w:pPr>
        <w:pStyle w:val="23"/>
        <w:spacing w:before="75" w:after="75" w:line="360" w:lineRule="auto"/>
        <w:ind w:firstLine="482"/>
        <w:rPr>
          <w:rFonts w:ascii="宋体"/>
          <w:color w:val="000000"/>
          <w:sz w:val="21"/>
          <w:szCs w:val="21"/>
        </w:rPr>
      </w:pPr>
      <w:r>
        <w:rPr>
          <w:rFonts w:ascii="宋体" w:hAnsi="宋体"/>
          <w:color w:val="000000"/>
          <w:sz w:val="21"/>
          <w:szCs w:val="21"/>
        </w:rPr>
        <w:t>13.2</w:t>
      </w:r>
      <w:r>
        <w:rPr>
          <w:rFonts w:hint="eastAsia" w:ascii="宋体" w:hAnsi="宋体"/>
          <w:color w:val="000000"/>
          <w:sz w:val="21"/>
          <w:szCs w:val="21"/>
        </w:rPr>
        <w:t>本合同中的不可抗力指不能预见、不能避免、不能克服的客观情况，包括但不限于：自然灾害如地震、台风、洪水、火灾及政府行为、法律规定或其适用的变化或其他任何无法预见、避免或控制的事件。</w:t>
      </w:r>
    </w:p>
    <w:p>
      <w:pPr>
        <w:pStyle w:val="23"/>
        <w:spacing w:before="75" w:after="75" w:line="360" w:lineRule="auto"/>
        <w:ind w:firstLine="482"/>
        <w:rPr>
          <w:rFonts w:ascii="宋体"/>
          <w:color w:val="000000"/>
          <w:sz w:val="21"/>
          <w:szCs w:val="21"/>
        </w:rPr>
      </w:pPr>
      <w:r>
        <w:rPr>
          <w:rFonts w:ascii="宋体" w:hAnsi="宋体"/>
          <w:color w:val="000000"/>
          <w:sz w:val="21"/>
          <w:szCs w:val="21"/>
        </w:rPr>
        <w:t>14</w:t>
      </w:r>
      <w:r>
        <w:rPr>
          <w:rFonts w:hint="eastAsia" w:ascii="宋体" w:hAnsi="宋体"/>
          <w:color w:val="000000"/>
          <w:sz w:val="21"/>
          <w:szCs w:val="21"/>
        </w:rPr>
        <w:t>、合同条款</w:t>
      </w:r>
    </w:p>
    <w:p>
      <w:pPr>
        <w:pStyle w:val="23"/>
        <w:spacing w:before="75" w:after="75" w:line="360" w:lineRule="auto"/>
        <w:ind w:firstLine="482"/>
        <w:rPr>
          <w:rFonts w:ascii="宋体"/>
          <w:color w:val="000000"/>
          <w:sz w:val="21"/>
          <w:szCs w:val="21"/>
        </w:rPr>
      </w:pPr>
      <w:r>
        <w:rPr>
          <w:rFonts w:hint="eastAsia" w:ascii="宋体" w:hAnsi="宋体"/>
          <w:color w:val="000000"/>
          <w:sz w:val="21"/>
          <w:szCs w:val="21"/>
          <w:u w:val="single"/>
        </w:rPr>
        <w:t>（按照实际情况编制填写。招标文件已有规定的，双方均不得变更或调整；招标文件未作规定的，双方可通过友好协商进行约定）</w:t>
      </w:r>
      <w:r>
        <w:rPr>
          <w:rFonts w:hint="eastAsia" w:ascii="宋体" w:hAnsi="宋体"/>
          <w:color w:val="000000"/>
          <w:sz w:val="21"/>
          <w:szCs w:val="21"/>
        </w:rPr>
        <w:t>。</w:t>
      </w:r>
    </w:p>
    <w:p>
      <w:pPr>
        <w:pStyle w:val="23"/>
        <w:spacing w:before="75" w:after="75" w:line="360" w:lineRule="auto"/>
        <w:ind w:firstLine="482"/>
        <w:rPr>
          <w:rFonts w:ascii="宋体"/>
          <w:color w:val="000000"/>
          <w:sz w:val="21"/>
          <w:szCs w:val="21"/>
        </w:rPr>
      </w:pPr>
      <w:r>
        <w:rPr>
          <w:rFonts w:ascii="宋体" w:hAnsi="宋体"/>
          <w:color w:val="000000"/>
          <w:sz w:val="21"/>
          <w:szCs w:val="21"/>
        </w:rPr>
        <w:t>15</w:t>
      </w:r>
      <w:r>
        <w:rPr>
          <w:rFonts w:hint="eastAsia" w:ascii="宋体" w:hAnsi="宋体"/>
          <w:color w:val="000000"/>
          <w:sz w:val="21"/>
          <w:szCs w:val="21"/>
        </w:rPr>
        <w:t>、其他约定</w:t>
      </w:r>
    </w:p>
    <w:p>
      <w:pPr>
        <w:pStyle w:val="23"/>
        <w:spacing w:before="75" w:after="75" w:line="360" w:lineRule="auto"/>
        <w:ind w:firstLine="482"/>
        <w:rPr>
          <w:rFonts w:ascii="宋体"/>
          <w:color w:val="000000"/>
          <w:sz w:val="21"/>
          <w:szCs w:val="21"/>
        </w:rPr>
      </w:pPr>
      <w:r>
        <w:rPr>
          <w:rFonts w:ascii="宋体" w:hAnsi="宋体"/>
          <w:color w:val="000000"/>
          <w:sz w:val="21"/>
          <w:szCs w:val="21"/>
        </w:rPr>
        <w:t>15.1</w:t>
      </w:r>
      <w:r>
        <w:rPr>
          <w:rFonts w:hint="eastAsia" w:ascii="宋体" w:hAnsi="宋体"/>
          <w:color w:val="000000"/>
          <w:sz w:val="21"/>
          <w:szCs w:val="21"/>
        </w:rPr>
        <w:t>合同文件与本合同具有同等法律效力。</w:t>
      </w:r>
    </w:p>
    <w:p>
      <w:pPr>
        <w:pStyle w:val="23"/>
        <w:spacing w:before="75" w:after="75" w:line="360" w:lineRule="auto"/>
        <w:ind w:firstLine="482"/>
        <w:rPr>
          <w:rFonts w:ascii="宋体"/>
          <w:color w:val="000000"/>
          <w:sz w:val="21"/>
          <w:szCs w:val="21"/>
        </w:rPr>
      </w:pPr>
      <w:r>
        <w:rPr>
          <w:rFonts w:ascii="宋体" w:hAnsi="宋体"/>
          <w:color w:val="000000"/>
          <w:sz w:val="21"/>
          <w:szCs w:val="21"/>
        </w:rPr>
        <w:t>15.2</w:t>
      </w:r>
      <w:r>
        <w:rPr>
          <w:rFonts w:hint="eastAsia" w:ascii="宋体" w:hAnsi="宋体"/>
          <w:color w:val="000000"/>
          <w:sz w:val="21"/>
          <w:szCs w:val="21"/>
        </w:rPr>
        <w:t>本合同未尽事宜，双方可另行补充。</w:t>
      </w:r>
    </w:p>
    <w:p>
      <w:pPr>
        <w:pStyle w:val="23"/>
        <w:spacing w:before="75" w:after="75" w:line="360" w:lineRule="auto"/>
        <w:ind w:firstLine="482"/>
        <w:rPr>
          <w:rFonts w:ascii="宋体"/>
          <w:color w:val="000000"/>
          <w:sz w:val="21"/>
          <w:szCs w:val="21"/>
        </w:rPr>
      </w:pPr>
      <w:r>
        <w:rPr>
          <w:rFonts w:ascii="宋体" w:hAnsi="宋体"/>
          <w:color w:val="000000"/>
          <w:sz w:val="21"/>
          <w:szCs w:val="21"/>
        </w:rPr>
        <w:t>15.3</w:t>
      </w:r>
      <w:r>
        <w:rPr>
          <w:rFonts w:hint="eastAsia" w:ascii="宋体" w:hAnsi="宋体"/>
          <w:color w:val="000000"/>
          <w:sz w:val="21"/>
          <w:szCs w:val="21"/>
        </w:rPr>
        <w:t>合同生效：自签订之日起生效。</w:t>
      </w:r>
    </w:p>
    <w:p>
      <w:pPr>
        <w:pStyle w:val="23"/>
        <w:spacing w:before="75" w:after="75" w:line="360" w:lineRule="auto"/>
        <w:ind w:firstLine="482"/>
        <w:rPr>
          <w:rFonts w:ascii="宋体"/>
          <w:color w:val="000000"/>
          <w:sz w:val="21"/>
          <w:szCs w:val="21"/>
        </w:rPr>
      </w:pPr>
      <w:r>
        <w:rPr>
          <w:rFonts w:ascii="宋体" w:hAnsi="宋体"/>
          <w:color w:val="000000"/>
          <w:sz w:val="21"/>
          <w:szCs w:val="21"/>
        </w:rPr>
        <w:t>15.4</w:t>
      </w:r>
      <w:r>
        <w:rPr>
          <w:rFonts w:hint="eastAsia" w:ascii="宋体" w:hAnsi="宋体"/>
          <w:color w:val="000000"/>
          <w:sz w:val="21"/>
          <w:szCs w:val="21"/>
        </w:rPr>
        <w:t>本合同一式</w:t>
      </w:r>
      <w:r>
        <w:rPr>
          <w:rFonts w:hint="eastAsia" w:ascii="宋体" w:hAnsi="宋体"/>
          <w:color w:val="000000"/>
          <w:sz w:val="21"/>
          <w:szCs w:val="21"/>
          <w:u w:val="single"/>
        </w:rPr>
        <w:t>（填写具体份数）</w:t>
      </w:r>
      <w:r>
        <w:rPr>
          <w:rFonts w:hint="eastAsia" w:ascii="宋体" w:hAnsi="宋体"/>
          <w:color w:val="000000"/>
          <w:sz w:val="21"/>
          <w:szCs w:val="21"/>
        </w:rPr>
        <w:t>份，经双方授权代表签字并盖章后生效。甲方、乙方各执</w:t>
      </w:r>
      <w:r>
        <w:rPr>
          <w:rFonts w:hint="eastAsia" w:ascii="宋体" w:hAnsi="宋体"/>
          <w:color w:val="000000"/>
          <w:sz w:val="21"/>
          <w:szCs w:val="21"/>
          <w:u w:val="single"/>
        </w:rPr>
        <w:t>（填写具体份数）</w:t>
      </w:r>
      <w:r>
        <w:rPr>
          <w:rFonts w:hint="eastAsia" w:ascii="宋体" w:hAnsi="宋体"/>
          <w:color w:val="000000"/>
          <w:sz w:val="21"/>
          <w:szCs w:val="21"/>
        </w:rPr>
        <w:t>份，送</w:t>
      </w:r>
      <w:r>
        <w:rPr>
          <w:rFonts w:hint="eastAsia" w:ascii="宋体" w:hAnsi="宋体"/>
          <w:color w:val="000000"/>
          <w:sz w:val="21"/>
          <w:szCs w:val="21"/>
          <w:u w:val="single"/>
        </w:rPr>
        <w:t>（填写需要备案的监管部门的全称）</w:t>
      </w:r>
      <w:r>
        <w:rPr>
          <w:rFonts w:hint="eastAsia" w:ascii="宋体" w:hAnsi="宋体"/>
          <w:color w:val="000000"/>
          <w:sz w:val="21"/>
          <w:szCs w:val="21"/>
        </w:rPr>
        <w:t>备案</w:t>
      </w:r>
      <w:r>
        <w:rPr>
          <w:rFonts w:hint="eastAsia" w:ascii="宋体" w:hAnsi="宋体"/>
          <w:color w:val="000000"/>
          <w:sz w:val="21"/>
          <w:szCs w:val="21"/>
          <w:u w:val="single"/>
        </w:rPr>
        <w:t>（填写具体份数）</w:t>
      </w:r>
      <w:r>
        <w:rPr>
          <w:rFonts w:hint="eastAsia" w:ascii="宋体" w:hAnsi="宋体"/>
          <w:color w:val="000000"/>
          <w:sz w:val="21"/>
          <w:szCs w:val="21"/>
        </w:rPr>
        <w:t>份，具有同等效力。</w:t>
      </w:r>
    </w:p>
    <w:p>
      <w:pPr>
        <w:pStyle w:val="23"/>
        <w:spacing w:before="75" w:after="75" w:line="360" w:lineRule="auto"/>
        <w:ind w:firstLine="482"/>
        <w:rPr>
          <w:rFonts w:ascii="宋体"/>
          <w:color w:val="000000"/>
          <w:sz w:val="21"/>
          <w:szCs w:val="21"/>
        </w:rPr>
      </w:pPr>
      <w:r>
        <w:rPr>
          <w:rFonts w:ascii="宋体" w:hAnsi="宋体"/>
          <w:color w:val="000000"/>
          <w:sz w:val="21"/>
          <w:szCs w:val="21"/>
        </w:rPr>
        <w:t>15.5</w:t>
      </w:r>
      <w:r>
        <w:rPr>
          <w:rFonts w:hint="eastAsia" w:ascii="宋体" w:hAnsi="宋体"/>
          <w:color w:val="000000"/>
          <w:sz w:val="21"/>
          <w:szCs w:val="21"/>
        </w:rPr>
        <w:t>其他：□无。□</w:t>
      </w:r>
      <w:r>
        <w:rPr>
          <w:rFonts w:hint="eastAsia" w:ascii="宋体" w:hAnsi="宋体"/>
          <w:color w:val="000000"/>
          <w:sz w:val="21"/>
          <w:szCs w:val="21"/>
          <w:u w:val="single"/>
        </w:rPr>
        <w:t>（按照实际情况编制填写需要增加的内容）</w:t>
      </w:r>
      <w:r>
        <w:rPr>
          <w:rFonts w:hint="eastAsia" w:ascii="宋体" w:hAnsi="宋体"/>
          <w:color w:val="000000"/>
          <w:sz w:val="21"/>
          <w:szCs w:val="21"/>
        </w:rPr>
        <w:t>。</w:t>
      </w:r>
    </w:p>
    <w:p>
      <w:pPr>
        <w:pStyle w:val="23"/>
        <w:spacing w:before="75" w:after="75"/>
        <w:rPr>
          <w:rFonts w:ascii="宋体"/>
          <w:color w:val="000000"/>
          <w:sz w:val="21"/>
          <w:szCs w:val="21"/>
        </w:rPr>
      </w:pPr>
      <w:r>
        <w:rPr>
          <w:rFonts w:ascii="宋体"/>
          <w:color w:val="000000"/>
          <w:sz w:val="21"/>
          <w:szCs w:val="21"/>
        </w:rPr>
        <w:t> </w:t>
      </w:r>
    </w:p>
    <w:p>
      <w:pPr>
        <w:pStyle w:val="23"/>
        <w:spacing w:before="75" w:after="75"/>
        <w:rPr>
          <w:rFonts w:ascii="宋体"/>
          <w:color w:val="000000"/>
          <w:sz w:val="21"/>
          <w:szCs w:val="21"/>
        </w:rPr>
      </w:pPr>
      <w:r>
        <w:rPr>
          <w:rFonts w:ascii="宋体"/>
          <w:color w:val="000000"/>
          <w:sz w:val="21"/>
          <w:szCs w:val="21"/>
        </w:rPr>
        <w:t> </w:t>
      </w:r>
    </w:p>
    <w:p>
      <w:pPr>
        <w:pStyle w:val="23"/>
        <w:spacing w:before="75" w:after="75" w:line="360" w:lineRule="auto"/>
        <w:rPr>
          <w:rFonts w:ascii="宋体"/>
          <w:color w:val="000000"/>
          <w:sz w:val="21"/>
          <w:szCs w:val="21"/>
        </w:rPr>
      </w:pPr>
      <w:r>
        <w:rPr>
          <w:rFonts w:hint="eastAsia" w:ascii="宋体" w:hAnsi="宋体"/>
          <w:color w:val="000000"/>
          <w:sz w:val="21"/>
          <w:szCs w:val="21"/>
        </w:rPr>
        <w:t>甲方：</w:t>
      </w:r>
      <w:r>
        <w:rPr>
          <w:rFonts w:ascii="宋体"/>
          <w:color w:val="000000"/>
          <w:sz w:val="21"/>
          <w:szCs w:val="21"/>
        </w:rPr>
        <w:t>                        </w:t>
      </w:r>
      <w:r>
        <w:rPr>
          <w:rFonts w:hint="eastAsia" w:ascii="宋体" w:hAnsi="宋体"/>
          <w:color w:val="000000"/>
          <w:sz w:val="21"/>
          <w:szCs w:val="21"/>
        </w:rPr>
        <w:t>乙方：</w:t>
      </w:r>
    </w:p>
    <w:p>
      <w:pPr>
        <w:pStyle w:val="23"/>
        <w:spacing w:before="75" w:after="75" w:line="360" w:lineRule="auto"/>
        <w:rPr>
          <w:rFonts w:ascii="宋体"/>
          <w:color w:val="000000"/>
          <w:sz w:val="21"/>
          <w:szCs w:val="21"/>
        </w:rPr>
      </w:pPr>
      <w:r>
        <w:rPr>
          <w:rFonts w:hint="eastAsia" w:ascii="宋体" w:hAnsi="宋体"/>
          <w:color w:val="000000"/>
          <w:sz w:val="21"/>
          <w:szCs w:val="21"/>
        </w:rPr>
        <w:t>住所：</w:t>
      </w:r>
      <w:r>
        <w:rPr>
          <w:rFonts w:ascii="宋体"/>
          <w:color w:val="000000"/>
          <w:sz w:val="21"/>
          <w:szCs w:val="21"/>
        </w:rPr>
        <w:t>                        </w:t>
      </w:r>
      <w:r>
        <w:rPr>
          <w:rFonts w:hint="eastAsia" w:ascii="宋体" w:hAnsi="宋体"/>
          <w:color w:val="000000"/>
          <w:sz w:val="21"/>
          <w:szCs w:val="21"/>
        </w:rPr>
        <w:t>住所：</w:t>
      </w:r>
    </w:p>
    <w:p>
      <w:pPr>
        <w:pStyle w:val="23"/>
        <w:spacing w:before="75" w:after="75" w:line="360" w:lineRule="auto"/>
        <w:rPr>
          <w:rFonts w:ascii="宋体"/>
          <w:color w:val="000000"/>
          <w:sz w:val="21"/>
          <w:szCs w:val="21"/>
        </w:rPr>
      </w:pPr>
      <w:r>
        <w:rPr>
          <w:rFonts w:hint="eastAsia" w:ascii="宋体" w:hAnsi="宋体"/>
          <w:color w:val="000000"/>
          <w:sz w:val="21"/>
          <w:szCs w:val="21"/>
        </w:rPr>
        <w:t>法定代表人（单位负责人）：</w:t>
      </w:r>
      <w:r>
        <w:rPr>
          <w:rFonts w:ascii="宋体"/>
          <w:color w:val="000000"/>
          <w:sz w:val="21"/>
          <w:szCs w:val="21"/>
        </w:rPr>
        <w:t>            </w:t>
      </w:r>
      <w:r>
        <w:rPr>
          <w:rFonts w:ascii="宋体" w:hAnsi="宋体"/>
          <w:color w:val="000000"/>
          <w:sz w:val="21"/>
          <w:szCs w:val="21"/>
        </w:rPr>
        <w:t xml:space="preserve">     </w:t>
      </w:r>
      <w:r>
        <w:rPr>
          <w:rFonts w:hint="eastAsia" w:ascii="宋体" w:hAnsi="宋体"/>
          <w:color w:val="000000"/>
          <w:sz w:val="21"/>
          <w:szCs w:val="21"/>
        </w:rPr>
        <w:t>法定代表人（单位负责人）：</w:t>
      </w:r>
    </w:p>
    <w:p>
      <w:pPr>
        <w:pStyle w:val="23"/>
        <w:spacing w:before="75" w:after="75" w:line="360" w:lineRule="auto"/>
        <w:rPr>
          <w:rFonts w:ascii="宋体"/>
          <w:color w:val="000000"/>
          <w:sz w:val="21"/>
          <w:szCs w:val="21"/>
        </w:rPr>
      </w:pPr>
      <w:r>
        <w:rPr>
          <w:rFonts w:hint="eastAsia" w:ascii="宋体" w:hAnsi="宋体"/>
          <w:color w:val="000000"/>
          <w:sz w:val="21"/>
          <w:szCs w:val="21"/>
        </w:rPr>
        <w:t>联系方法：</w:t>
      </w:r>
      <w:r>
        <w:rPr>
          <w:rFonts w:ascii="宋体"/>
          <w:color w:val="000000"/>
          <w:sz w:val="21"/>
          <w:szCs w:val="21"/>
        </w:rPr>
        <w:t>                      </w:t>
      </w:r>
      <w:r>
        <w:rPr>
          <w:rFonts w:hint="eastAsia" w:ascii="宋体" w:hAnsi="宋体"/>
          <w:color w:val="000000"/>
          <w:sz w:val="21"/>
          <w:szCs w:val="21"/>
        </w:rPr>
        <w:t>联系方法：</w:t>
      </w:r>
    </w:p>
    <w:p>
      <w:pPr>
        <w:pStyle w:val="23"/>
        <w:spacing w:before="75" w:after="75" w:line="360" w:lineRule="auto"/>
        <w:rPr>
          <w:rFonts w:ascii="宋体"/>
          <w:color w:val="000000"/>
          <w:sz w:val="21"/>
          <w:szCs w:val="21"/>
        </w:rPr>
      </w:pPr>
      <w:r>
        <w:rPr>
          <w:rFonts w:hint="eastAsia" w:ascii="宋体" w:hAnsi="宋体"/>
          <w:color w:val="000000"/>
          <w:sz w:val="21"/>
          <w:szCs w:val="21"/>
        </w:rPr>
        <w:t>开户银行：</w:t>
      </w:r>
      <w:r>
        <w:rPr>
          <w:rFonts w:ascii="宋体"/>
          <w:color w:val="000000"/>
          <w:sz w:val="21"/>
          <w:szCs w:val="21"/>
        </w:rPr>
        <w:t>                      </w:t>
      </w:r>
      <w:r>
        <w:rPr>
          <w:rFonts w:hint="eastAsia" w:ascii="宋体" w:hAnsi="宋体"/>
          <w:color w:val="000000"/>
          <w:sz w:val="21"/>
          <w:szCs w:val="21"/>
        </w:rPr>
        <w:t>开户银行：</w:t>
      </w:r>
    </w:p>
    <w:p>
      <w:pPr>
        <w:pStyle w:val="23"/>
        <w:spacing w:before="75" w:after="75" w:line="360" w:lineRule="auto"/>
        <w:rPr>
          <w:rFonts w:ascii="宋体"/>
          <w:color w:val="000000"/>
          <w:sz w:val="21"/>
          <w:szCs w:val="21"/>
        </w:rPr>
      </w:pPr>
      <w:r>
        <w:rPr>
          <w:rFonts w:hint="eastAsia" w:ascii="宋体" w:hAnsi="宋体"/>
          <w:color w:val="000000"/>
          <w:sz w:val="21"/>
          <w:szCs w:val="21"/>
        </w:rPr>
        <w:t>账号：</w:t>
      </w:r>
      <w:r>
        <w:rPr>
          <w:rFonts w:ascii="宋体"/>
          <w:color w:val="000000"/>
          <w:sz w:val="21"/>
          <w:szCs w:val="21"/>
        </w:rPr>
        <w:t>                        </w:t>
      </w:r>
      <w:r>
        <w:rPr>
          <w:rFonts w:hint="eastAsia" w:ascii="宋体" w:hAnsi="宋体"/>
          <w:color w:val="000000"/>
          <w:sz w:val="21"/>
          <w:szCs w:val="21"/>
        </w:rPr>
        <w:t>账号：</w:t>
      </w:r>
    </w:p>
    <w:p>
      <w:pPr>
        <w:pStyle w:val="23"/>
        <w:spacing w:before="75" w:after="75" w:line="360" w:lineRule="auto"/>
        <w:rPr>
          <w:rFonts w:ascii="宋体"/>
          <w:color w:val="000000"/>
          <w:sz w:val="21"/>
          <w:szCs w:val="21"/>
        </w:rPr>
      </w:pPr>
      <w:r>
        <w:rPr>
          <w:rFonts w:ascii="宋体"/>
          <w:color w:val="000000"/>
          <w:sz w:val="21"/>
          <w:szCs w:val="21"/>
        </w:rPr>
        <w:t> </w:t>
      </w:r>
    </w:p>
    <w:p>
      <w:pPr>
        <w:pStyle w:val="23"/>
        <w:spacing w:before="75" w:after="75"/>
        <w:rPr>
          <w:rFonts w:ascii="宋体"/>
          <w:color w:val="000000"/>
          <w:sz w:val="21"/>
          <w:szCs w:val="21"/>
        </w:rPr>
      </w:pPr>
      <w:r>
        <w:rPr>
          <w:rFonts w:ascii="宋体"/>
          <w:color w:val="000000"/>
          <w:sz w:val="21"/>
          <w:szCs w:val="21"/>
        </w:rPr>
        <w:t> </w:t>
      </w:r>
    </w:p>
    <w:p>
      <w:pPr>
        <w:pStyle w:val="23"/>
        <w:spacing w:before="75" w:after="75" w:line="360" w:lineRule="auto"/>
        <w:rPr>
          <w:rFonts w:ascii="宋体"/>
          <w:color w:val="000000"/>
          <w:sz w:val="21"/>
          <w:szCs w:val="21"/>
        </w:rPr>
      </w:pPr>
      <w:r>
        <w:rPr>
          <w:rFonts w:hint="eastAsia" w:ascii="宋体" w:hAnsi="宋体"/>
          <w:color w:val="000000"/>
          <w:sz w:val="21"/>
          <w:szCs w:val="21"/>
        </w:rPr>
        <w:t>签订地点：</w:t>
      </w:r>
      <w:r>
        <w:rPr>
          <w:rFonts w:ascii="宋体"/>
          <w:color w:val="000000"/>
          <w:sz w:val="21"/>
          <w:szCs w:val="21"/>
          <w:u w:val="single"/>
        </w:rPr>
        <w:t>                </w:t>
      </w:r>
    </w:p>
    <w:p>
      <w:pPr>
        <w:pStyle w:val="23"/>
        <w:spacing w:before="75" w:after="75" w:line="360" w:lineRule="auto"/>
        <w:rPr>
          <w:rFonts w:ascii="宋体"/>
          <w:color w:val="000000"/>
          <w:sz w:val="21"/>
          <w:szCs w:val="21"/>
        </w:rPr>
      </w:pPr>
      <w:r>
        <w:rPr>
          <w:rFonts w:hint="eastAsia" w:ascii="宋体" w:hAnsi="宋体"/>
          <w:color w:val="000000"/>
          <w:sz w:val="21"/>
          <w:szCs w:val="21"/>
        </w:rPr>
        <w:t>签订日期：</w:t>
      </w:r>
      <w:r>
        <w:rPr>
          <w:rFonts w:ascii="宋体"/>
          <w:color w:val="000000"/>
          <w:sz w:val="21"/>
          <w:szCs w:val="21"/>
          <w:u w:val="single"/>
        </w:rPr>
        <w:t>    </w:t>
      </w:r>
      <w:r>
        <w:rPr>
          <w:rFonts w:hint="eastAsia" w:ascii="宋体" w:hAnsi="宋体"/>
          <w:color w:val="000000"/>
          <w:sz w:val="21"/>
          <w:szCs w:val="21"/>
        </w:rPr>
        <w:t>年</w:t>
      </w:r>
      <w:r>
        <w:rPr>
          <w:rFonts w:ascii="宋体"/>
          <w:color w:val="000000"/>
          <w:sz w:val="21"/>
          <w:szCs w:val="21"/>
          <w:u w:val="single"/>
        </w:rPr>
        <w:t>   </w:t>
      </w:r>
      <w:r>
        <w:rPr>
          <w:rFonts w:hint="eastAsia" w:ascii="宋体" w:hAnsi="宋体"/>
          <w:color w:val="000000"/>
          <w:sz w:val="21"/>
          <w:szCs w:val="21"/>
        </w:rPr>
        <w:t>月</w:t>
      </w:r>
      <w:r>
        <w:rPr>
          <w:rFonts w:ascii="宋体"/>
          <w:color w:val="000000"/>
          <w:sz w:val="21"/>
          <w:szCs w:val="21"/>
          <w:u w:val="single"/>
        </w:rPr>
        <w:t>   </w:t>
      </w:r>
      <w:r>
        <w:rPr>
          <w:rFonts w:hint="eastAsia" w:ascii="宋体" w:hAnsi="宋体"/>
          <w:color w:val="000000"/>
          <w:sz w:val="21"/>
          <w:szCs w:val="21"/>
        </w:rPr>
        <w:t>日</w:t>
      </w:r>
    </w:p>
    <w:p>
      <w:pPr>
        <w:pStyle w:val="16"/>
        <w:spacing w:line="360" w:lineRule="auto"/>
        <w:contextualSpacing/>
        <w:jc w:val="center"/>
        <w:rPr>
          <w:rFonts w:ascii="宋体" w:cs="宋体"/>
          <w:b/>
          <w:kern w:val="0"/>
          <w:sz w:val="36"/>
          <w:szCs w:val="36"/>
        </w:rPr>
      </w:pPr>
    </w:p>
    <w:p>
      <w:pPr>
        <w:pStyle w:val="16"/>
        <w:spacing w:line="360" w:lineRule="auto"/>
        <w:contextualSpacing/>
        <w:jc w:val="center"/>
        <w:rPr>
          <w:rFonts w:ascii="宋体" w:cs="宋体"/>
          <w:b/>
          <w:kern w:val="0"/>
          <w:sz w:val="36"/>
          <w:szCs w:val="36"/>
        </w:rPr>
      </w:pPr>
    </w:p>
    <w:p>
      <w:pPr>
        <w:pStyle w:val="16"/>
        <w:spacing w:line="360" w:lineRule="auto"/>
        <w:contextualSpacing/>
        <w:jc w:val="center"/>
        <w:rPr>
          <w:rFonts w:ascii="宋体" w:cs="宋体"/>
          <w:b/>
          <w:kern w:val="0"/>
          <w:sz w:val="36"/>
          <w:szCs w:val="36"/>
        </w:rPr>
      </w:pPr>
    </w:p>
    <w:p>
      <w:pPr>
        <w:pStyle w:val="16"/>
        <w:spacing w:line="360" w:lineRule="auto"/>
        <w:contextualSpacing/>
        <w:jc w:val="center"/>
        <w:rPr>
          <w:rFonts w:ascii="宋体" w:cs="宋体"/>
          <w:b/>
          <w:kern w:val="0"/>
          <w:sz w:val="36"/>
          <w:szCs w:val="36"/>
        </w:rPr>
      </w:pPr>
    </w:p>
    <w:p>
      <w:pPr>
        <w:pStyle w:val="16"/>
        <w:spacing w:line="360" w:lineRule="auto"/>
        <w:contextualSpacing/>
        <w:jc w:val="center"/>
        <w:rPr>
          <w:rFonts w:ascii="宋体" w:cs="宋体"/>
          <w:b/>
          <w:kern w:val="0"/>
          <w:sz w:val="36"/>
          <w:szCs w:val="36"/>
        </w:rPr>
      </w:pPr>
    </w:p>
    <w:p>
      <w:pPr>
        <w:pStyle w:val="16"/>
        <w:spacing w:line="360" w:lineRule="auto"/>
        <w:contextualSpacing/>
        <w:jc w:val="center"/>
        <w:rPr>
          <w:rFonts w:ascii="宋体" w:cs="宋体"/>
          <w:b/>
          <w:kern w:val="0"/>
          <w:sz w:val="36"/>
          <w:szCs w:val="36"/>
        </w:rPr>
      </w:pPr>
    </w:p>
    <w:p>
      <w:pPr>
        <w:pStyle w:val="16"/>
        <w:spacing w:line="360" w:lineRule="auto"/>
        <w:contextualSpacing/>
        <w:jc w:val="center"/>
        <w:rPr>
          <w:rFonts w:ascii="宋体" w:cs="宋体"/>
          <w:b/>
          <w:kern w:val="0"/>
          <w:sz w:val="36"/>
          <w:szCs w:val="36"/>
        </w:rPr>
      </w:pPr>
    </w:p>
    <w:p>
      <w:pPr>
        <w:pStyle w:val="16"/>
        <w:spacing w:line="360" w:lineRule="auto"/>
        <w:contextualSpacing/>
        <w:jc w:val="center"/>
        <w:rPr>
          <w:rFonts w:ascii="宋体" w:cs="宋体"/>
          <w:b/>
          <w:kern w:val="0"/>
          <w:sz w:val="36"/>
          <w:szCs w:val="36"/>
        </w:rPr>
      </w:pPr>
    </w:p>
    <w:p>
      <w:pPr>
        <w:pStyle w:val="16"/>
        <w:spacing w:line="360" w:lineRule="auto"/>
        <w:contextualSpacing/>
        <w:jc w:val="center"/>
        <w:rPr>
          <w:rFonts w:ascii="宋体" w:cs="宋体"/>
          <w:b/>
          <w:kern w:val="0"/>
          <w:sz w:val="36"/>
          <w:szCs w:val="36"/>
        </w:rPr>
      </w:pPr>
    </w:p>
    <w:p>
      <w:pPr>
        <w:pStyle w:val="16"/>
        <w:spacing w:line="360" w:lineRule="auto"/>
        <w:contextualSpacing/>
        <w:jc w:val="center"/>
        <w:rPr>
          <w:rFonts w:ascii="宋体" w:cs="宋体"/>
          <w:b/>
          <w:kern w:val="0"/>
          <w:sz w:val="36"/>
          <w:szCs w:val="36"/>
        </w:rPr>
      </w:pPr>
    </w:p>
    <w:p>
      <w:pPr>
        <w:pStyle w:val="16"/>
        <w:spacing w:line="360" w:lineRule="auto"/>
        <w:contextualSpacing/>
        <w:jc w:val="center"/>
        <w:rPr>
          <w:rFonts w:ascii="宋体" w:cs="宋体"/>
          <w:b/>
          <w:kern w:val="0"/>
          <w:sz w:val="36"/>
          <w:szCs w:val="36"/>
        </w:rPr>
      </w:pPr>
    </w:p>
    <w:p>
      <w:pPr>
        <w:pStyle w:val="16"/>
        <w:spacing w:line="360" w:lineRule="auto"/>
        <w:contextualSpacing/>
        <w:jc w:val="center"/>
        <w:rPr>
          <w:rFonts w:ascii="宋体" w:cs="宋体"/>
          <w:b/>
          <w:kern w:val="0"/>
          <w:sz w:val="36"/>
          <w:szCs w:val="36"/>
        </w:rPr>
      </w:pPr>
    </w:p>
    <w:p>
      <w:pPr>
        <w:pStyle w:val="16"/>
        <w:spacing w:line="360" w:lineRule="auto"/>
        <w:contextualSpacing/>
        <w:jc w:val="both"/>
        <w:rPr>
          <w:rFonts w:ascii="宋体" w:cs="宋体"/>
          <w:b/>
          <w:kern w:val="0"/>
          <w:sz w:val="36"/>
          <w:szCs w:val="36"/>
        </w:rPr>
      </w:pPr>
    </w:p>
    <w:p>
      <w:pPr>
        <w:tabs>
          <w:tab w:val="left" w:pos="1260"/>
        </w:tabs>
        <w:autoSpaceDE w:val="0"/>
        <w:autoSpaceDN w:val="0"/>
        <w:adjustRightInd w:val="0"/>
        <w:spacing w:line="360" w:lineRule="auto"/>
        <w:contextualSpacing/>
        <w:jc w:val="center"/>
        <w:rPr>
          <w:rFonts w:ascii="宋体" w:cs="黑体"/>
          <w:b/>
          <w:bCs/>
          <w:sz w:val="44"/>
          <w:szCs w:val="44"/>
          <w:lang w:val="zh-CN"/>
        </w:rPr>
      </w:pPr>
      <w:r>
        <w:rPr>
          <w:rFonts w:hint="eastAsia" w:ascii="宋体" w:hAnsi="宋体" w:cs="宋体"/>
          <w:b/>
          <w:kern w:val="0"/>
          <w:sz w:val="32"/>
          <w:szCs w:val="32"/>
        </w:rPr>
        <w:t>第八章</w:t>
      </w:r>
      <w:r>
        <w:rPr>
          <w:rFonts w:ascii="宋体" w:hAnsi="宋体" w:cs="宋体"/>
          <w:b/>
          <w:kern w:val="0"/>
          <w:sz w:val="32"/>
          <w:szCs w:val="32"/>
        </w:rPr>
        <w:t xml:space="preserve"> </w:t>
      </w:r>
      <w:r>
        <w:rPr>
          <w:rFonts w:hint="eastAsia" w:ascii="宋体" w:hAnsi="宋体" w:cs="宋体"/>
          <w:b/>
          <w:kern w:val="0"/>
          <w:sz w:val="32"/>
          <w:szCs w:val="32"/>
        </w:rPr>
        <w:t>投标文件有关格式</w:t>
      </w:r>
    </w:p>
    <w:p>
      <w:pPr>
        <w:pStyle w:val="56"/>
        <w:numPr>
          <w:ilvl w:val="0"/>
          <w:numId w:val="0"/>
        </w:numPr>
        <w:tabs>
          <w:tab w:val="left" w:pos="660"/>
        </w:tabs>
        <w:snapToGrid w:val="0"/>
        <w:spacing w:before="0" w:line="400" w:lineRule="exact"/>
        <w:rPr>
          <w:rFonts w:cs="黑体"/>
          <w:color w:val="auto"/>
          <w:kern w:val="2"/>
          <w:sz w:val="28"/>
          <w:szCs w:val="28"/>
          <w:lang w:val="zh-CN"/>
        </w:rPr>
      </w:pPr>
      <w:bookmarkStart w:id="14" w:name="_Toc184023138"/>
      <w:bookmarkStart w:id="15" w:name="_Toc186274126"/>
      <w:bookmarkStart w:id="16" w:name="_Toc174185203"/>
      <w:r>
        <w:rPr>
          <w:rFonts w:hint="eastAsia" w:cs="黑体"/>
          <w:color w:val="auto"/>
          <w:kern w:val="2"/>
          <w:sz w:val="28"/>
          <w:szCs w:val="28"/>
          <w:lang w:val="zh-CN"/>
        </w:rPr>
        <w:t>一、投标人应答索引表</w:t>
      </w:r>
      <w:bookmarkEnd w:id="14"/>
      <w:bookmarkEnd w:id="15"/>
      <w:bookmarkEnd w:id="16"/>
    </w:p>
    <w:tbl>
      <w:tblPr>
        <w:tblStyle w:val="24"/>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709"/>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pPr>
              <w:snapToGrid w:val="0"/>
              <w:spacing w:line="400" w:lineRule="exact"/>
              <w:jc w:val="center"/>
              <w:rPr>
                <w:rFonts w:ascii="宋体" w:cs="微软雅黑"/>
                <w:b/>
                <w:szCs w:val="21"/>
              </w:rPr>
            </w:pPr>
            <w:r>
              <w:rPr>
                <w:rFonts w:hint="eastAsia" w:ascii="宋体" w:hAnsi="宋体" w:cs="微软雅黑"/>
                <w:b/>
                <w:szCs w:val="21"/>
              </w:rPr>
              <w:t>序号</w:t>
            </w:r>
          </w:p>
        </w:tc>
        <w:tc>
          <w:tcPr>
            <w:tcW w:w="3751" w:type="dxa"/>
            <w:gridSpan w:val="3"/>
            <w:vAlign w:val="center"/>
          </w:tcPr>
          <w:p>
            <w:pPr>
              <w:snapToGrid w:val="0"/>
              <w:spacing w:line="400" w:lineRule="exact"/>
              <w:jc w:val="center"/>
              <w:rPr>
                <w:rFonts w:ascii="宋体" w:cs="微软雅黑"/>
                <w:b/>
                <w:szCs w:val="21"/>
              </w:rPr>
            </w:pPr>
            <w:r>
              <w:rPr>
                <w:rFonts w:hint="eastAsia" w:ascii="宋体" w:hAnsi="宋体" w:cs="微软雅黑"/>
                <w:b/>
                <w:szCs w:val="21"/>
              </w:rPr>
              <w:t>项目</w:t>
            </w:r>
          </w:p>
        </w:tc>
        <w:tc>
          <w:tcPr>
            <w:tcW w:w="1559" w:type="dxa"/>
            <w:vAlign w:val="center"/>
          </w:tcPr>
          <w:p>
            <w:pPr>
              <w:snapToGrid w:val="0"/>
              <w:spacing w:line="400" w:lineRule="exact"/>
              <w:jc w:val="center"/>
              <w:rPr>
                <w:rFonts w:ascii="宋体" w:cs="微软雅黑"/>
                <w:b/>
                <w:szCs w:val="21"/>
              </w:rPr>
            </w:pPr>
            <w:r>
              <w:rPr>
                <w:rFonts w:hint="eastAsia" w:ascii="宋体" w:hAnsi="宋体" w:cs="微软雅黑"/>
                <w:b/>
                <w:szCs w:val="21"/>
              </w:rPr>
              <w:t>投标人应答</w:t>
            </w:r>
          </w:p>
          <w:p>
            <w:pPr>
              <w:snapToGrid w:val="0"/>
              <w:spacing w:line="400" w:lineRule="exact"/>
              <w:jc w:val="center"/>
              <w:rPr>
                <w:rFonts w:ascii="宋体" w:cs="微软雅黑"/>
                <w:b/>
                <w:szCs w:val="21"/>
              </w:rPr>
            </w:pPr>
            <w:r>
              <w:rPr>
                <w:rFonts w:hint="eastAsia" w:ascii="宋体" w:hAnsi="宋体" w:cs="微软雅黑"/>
                <w:b/>
                <w:szCs w:val="21"/>
              </w:rPr>
              <w:t>（有</w:t>
            </w:r>
            <w:r>
              <w:rPr>
                <w:rFonts w:ascii="宋体" w:hAnsi="宋体" w:cs="微软雅黑"/>
                <w:b/>
                <w:szCs w:val="21"/>
              </w:rPr>
              <w:t>/</w:t>
            </w:r>
            <w:r>
              <w:rPr>
                <w:rFonts w:hint="eastAsia" w:ascii="宋体" w:hAnsi="宋体" w:cs="微软雅黑"/>
                <w:b/>
                <w:szCs w:val="21"/>
              </w:rPr>
              <w:t>没有）</w:t>
            </w:r>
          </w:p>
        </w:tc>
        <w:tc>
          <w:tcPr>
            <w:tcW w:w="1560" w:type="dxa"/>
            <w:vAlign w:val="center"/>
          </w:tcPr>
          <w:p>
            <w:pPr>
              <w:snapToGrid w:val="0"/>
              <w:spacing w:line="400" w:lineRule="exact"/>
              <w:jc w:val="center"/>
              <w:rPr>
                <w:rFonts w:asci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ascii="宋体" w:hAnsi="宋体" w:cs="微软雅黑"/>
                <w:szCs w:val="21"/>
              </w:rPr>
              <w:t>1</w:t>
            </w:r>
          </w:p>
        </w:tc>
        <w:tc>
          <w:tcPr>
            <w:tcW w:w="3751" w:type="dxa"/>
            <w:gridSpan w:val="3"/>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投标人应答索引表</w:t>
            </w:r>
          </w:p>
        </w:tc>
        <w:tc>
          <w:tcPr>
            <w:tcW w:w="1559" w:type="dxa"/>
            <w:vAlign w:val="center"/>
          </w:tcPr>
          <w:p>
            <w:pPr>
              <w:snapToGrid w:val="0"/>
              <w:spacing w:line="400" w:lineRule="exact"/>
              <w:jc w:val="center"/>
              <w:rPr>
                <w:rFonts w:ascii="宋体" w:cs="微软雅黑"/>
                <w:szCs w:val="21"/>
              </w:rPr>
            </w:pPr>
          </w:p>
        </w:tc>
        <w:tc>
          <w:tcPr>
            <w:tcW w:w="1560" w:type="dxa"/>
            <w:vAlign w:val="center"/>
          </w:tcPr>
          <w:p>
            <w:pPr>
              <w:snapToGrid w:val="0"/>
              <w:spacing w:line="400" w:lineRule="exact"/>
              <w:rPr>
                <w:rFonts w:ascii="宋体" w:cs="微软雅黑"/>
                <w:szCs w:val="21"/>
              </w:rPr>
            </w:pPr>
          </w:p>
        </w:tc>
        <w:tc>
          <w:tcPr>
            <w:tcW w:w="2018" w:type="dxa"/>
            <w:vAlign w:val="center"/>
          </w:tcPr>
          <w:p>
            <w:pPr>
              <w:snapToGrid w:val="0"/>
              <w:spacing w:line="400" w:lineRule="exact"/>
              <w:rPr>
                <w:rFonts w:asci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ascii="宋体" w:hAnsi="宋体" w:cs="微软雅黑"/>
                <w:szCs w:val="21"/>
              </w:rPr>
              <w:t>2</w:t>
            </w:r>
          </w:p>
        </w:tc>
        <w:tc>
          <w:tcPr>
            <w:tcW w:w="3751" w:type="dxa"/>
            <w:gridSpan w:val="3"/>
            <w:vAlign w:val="center"/>
          </w:tcPr>
          <w:p>
            <w:pPr>
              <w:pStyle w:val="16"/>
              <w:kinsoku w:val="0"/>
              <w:overflowPunct w:val="0"/>
              <w:autoSpaceDE w:val="0"/>
              <w:autoSpaceDN w:val="0"/>
              <w:spacing w:line="320" w:lineRule="exact"/>
              <w:rPr>
                <w:rFonts w:hAnsi="宋体"/>
                <w:kern w:val="0"/>
                <w:sz w:val="21"/>
                <w:szCs w:val="21"/>
              </w:rPr>
            </w:pPr>
            <w:r>
              <w:rPr>
                <w:rFonts w:hint="eastAsia" w:hAnsi="宋体"/>
                <w:kern w:val="0"/>
                <w:sz w:val="21"/>
                <w:szCs w:val="21"/>
              </w:rPr>
              <w:t>开标一览表</w:t>
            </w:r>
          </w:p>
        </w:tc>
        <w:tc>
          <w:tcPr>
            <w:tcW w:w="1559" w:type="dxa"/>
            <w:vAlign w:val="center"/>
          </w:tcPr>
          <w:p>
            <w:pPr>
              <w:snapToGrid w:val="0"/>
              <w:spacing w:line="400" w:lineRule="exact"/>
              <w:jc w:val="center"/>
              <w:rPr>
                <w:rFonts w:ascii="宋体" w:cs="微软雅黑"/>
                <w:szCs w:val="21"/>
              </w:rPr>
            </w:pPr>
          </w:p>
        </w:tc>
        <w:tc>
          <w:tcPr>
            <w:tcW w:w="1560" w:type="dxa"/>
            <w:vAlign w:val="center"/>
          </w:tcPr>
          <w:p>
            <w:pPr>
              <w:snapToGrid w:val="0"/>
              <w:spacing w:line="400" w:lineRule="exact"/>
              <w:rPr>
                <w:rFonts w:ascii="宋体" w:cs="微软雅黑"/>
                <w:szCs w:val="21"/>
              </w:rPr>
            </w:pPr>
          </w:p>
        </w:tc>
        <w:tc>
          <w:tcPr>
            <w:tcW w:w="2018" w:type="dxa"/>
            <w:vAlign w:val="center"/>
          </w:tcPr>
          <w:p>
            <w:pPr>
              <w:snapToGrid w:val="0"/>
              <w:spacing w:line="400" w:lineRule="exact"/>
              <w:rPr>
                <w:rFonts w:asci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ascii="宋体" w:hAnsi="宋体" w:cs="微软雅黑"/>
                <w:szCs w:val="21"/>
              </w:rPr>
              <w:t>3</w:t>
            </w:r>
          </w:p>
        </w:tc>
        <w:tc>
          <w:tcPr>
            <w:tcW w:w="3751" w:type="dxa"/>
            <w:gridSpan w:val="3"/>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cs="微软雅黑"/>
                <w:szCs w:val="21"/>
              </w:rPr>
            </w:pPr>
          </w:p>
        </w:tc>
        <w:tc>
          <w:tcPr>
            <w:tcW w:w="1560" w:type="dxa"/>
            <w:vAlign w:val="center"/>
          </w:tcPr>
          <w:p>
            <w:pPr>
              <w:snapToGrid w:val="0"/>
              <w:spacing w:line="400" w:lineRule="exact"/>
              <w:rPr>
                <w:rFonts w:ascii="宋体" w:cs="微软雅黑"/>
                <w:szCs w:val="21"/>
              </w:rPr>
            </w:pPr>
          </w:p>
        </w:tc>
        <w:tc>
          <w:tcPr>
            <w:tcW w:w="2018" w:type="dxa"/>
            <w:vAlign w:val="center"/>
          </w:tcPr>
          <w:p>
            <w:pPr>
              <w:snapToGrid w:val="0"/>
              <w:spacing w:line="400" w:lineRule="exact"/>
              <w:rPr>
                <w:rFonts w:asci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ascii="宋体" w:hAnsi="宋体" w:cs="微软雅黑"/>
                <w:szCs w:val="21"/>
              </w:rPr>
              <w:t>4</w:t>
            </w:r>
          </w:p>
        </w:tc>
        <w:tc>
          <w:tcPr>
            <w:tcW w:w="3751" w:type="dxa"/>
            <w:gridSpan w:val="3"/>
            <w:vAlign w:val="center"/>
          </w:tcPr>
          <w:p>
            <w:pPr>
              <w:pStyle w:val="16"/>
              <w:kinsoku w:val="0"/>
              <w:overflowPunct w:val="0"/>
              <w:autoSpaceDE w:val="0"/>
              <w:autoSpaceDN w:val="0"/>
              <w:spacing w:line="320" w:lineRule="exact"/>
              <w:rPr>
                <w:rFonts w:hAnsi="宋体"/>
                <w:kern w:val="0"/>
                <w:sz w:val="21"/>
                <w:szCs w:val="21"/>
              </w:rPr>
            </w:pPr>
            <w:r>
              <w:rPr>
                <w:rFonts w:hint="eastAsia" w:ascii="宋体" w:hAnsi="宋体" w:cs="宋体"/>
                <w:bCs/>
                <w:sz w:val="21"/>
                <w:szCs w:val="21"/>
                <w:lang w:val="zh-CN"/>
              </w:rPr>
              <w:t>法定代表人（单位负责人）资格证明书</w:t>
            </w:r>
          </w:p>
        </w:tc>
        <w:tc>
          <w:tcPr>
            <w:tcW w:w="1559" w:type="dxa"/>
            <w:vAlign w:val="center"/>
          </w:tcPr>
          <w:p>
            <w:pPr>
              <w:snapToGrid w:val="0"/>
              <w:spacing w:line="400" w:lineRule="exact"/>
              <w:jc w:val="center"/>
              <w:rPr>
                <w:rFonts w:ascii="宋体" w:cs="微软雅黑"/>
                <w:szCs w:val="21"/>
              </w:rPr>
            </w:pPr>
          </w:p>
        </w:tc>
        <w:tc>
          <w:tcPr>
            <w:tcW w:w="1560" w:type="dxa"/>
            <w:vAlign w:val="center"/>
          </w:tcPr>
          <w:p>
            <w:pPr>
              <w:snapToGrid w:val="0"/>
              <w:spacing w:line="400" w:lineRule="exact"/>
              <w:rPr>
                <w:rFonts w:ascii="宋体" w:cs="微软雅黑"/>
                <w:szCs w:val="21"/>
              </w:rPr>
            </w:pPr>
          </w:p>
        </w:tc>
        <w:tc>
          <w:tcPr>
            <w:tcW w:w="2018" w:type="dxa"/>
            <w:vAlign w:val="center"/>
          </w:tcPr>
          <w:p>
            <w:pPr>
              <w:snapToGrid w:val="0"/>
              <w:spacing w:line="400" w:lineRule="exact"/>
              <w:rPr>
                <w:rFonts w:asci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ascii="宋体" w:hAnsi="宋体" w:cs="微软雅黑"/>
                <w:szCs w:val="21"/>
              </w:rPr>
              <w:t>5</w:t>
            </w:r>
          </w:p>
        </w:tc>
        <w:tc>
          <w:tcPr>
            <w:tcW w:w="3751" w:type="dxa"/>
            <w:gridSpan w:val="3"/>
            <w:vAlign w:val="center"/>
          </w:tcPr>
          <w:p>
            <w:pPr>
              <w:pStyle w:val="16"/>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cs="微软雅黑"/>
                <w:szCs w:val="21"/>
              </w:rPr>
            </w:pPr>
          </w:p>
        </w:tc>
        <w:tc>
          <w:tcPr>
            <w:tcW w:w="1560" w:type="dxa"/>
            <w:vAlign w:val="center"/>
          </w:tcPr>
          <w:p>
            <w:pPr>
              <w:snapToGrid w:val="0"/>
              <w:spacing w:line="400" w:lineRule="exact"/>
              <w:rPr>
                <w:rFonts w:ascii="宋体" w:cs="微软雅黑"/>
                <w:szCs w:val="21"/>
              </w:rPr>
            </w:pPr>
          </w:p>
        </w:tc>
        <w:tc>
          <w:tcPr>
            <w:tcW w:w="2018" w:type="dxa"/>
            <w:vAlign w:val="center"/>
          </w:tcPr>
          <w:p>
            <w:pPr>
              <w:snapToGrid w:val="0"/>
              <w:spacing w:line="400" w:lineRule="exact"/>
              <w:rPr>
                <w:rFonts w:asci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ascii="宋体" w:hAnsi="宋体" w:cs="微软雅黑"/>
                <w:szCs w:val="21"/>
              </w:rPr>
              <w:t>6</w:t>
            </w:r>
          </w:p>
        </w:tc>
        <w:tc>
          <w:tcPr>
            <w:tcW w:w="3751" w:type="dxa"/>
            <w:gridSpan w:val="3"/>
            <w:vAlign w:val="center"/>
          </w:tcPr>
          <w:p>
            <w:pPr>
              <w:pStyle w:val="16"/>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cs="微软雅黑"/>
                <w:szCs w:val="21"/>
              </w:rPr>
            </w:pPr>
          </w:p>
        </w:tc>
        <w:tc>
          <w:tcPr>
            <w:tcW w:w="1560" w:type="dxa"/>
            <w:vAlign w:val="center"/>
          </w:tcPr>
          <w:p>
            <w:pPr>
              <w:snapToGrid w:val="0"/>
              <w:spacing w:line="400" w:lineRule="exact"/>
              <w:rPr>
                <w:rFonts w:ascii="宋体" w:cs="微软雅黑"/>
                <w:szCs w:val="21"/>
              </w:rPr>
            </w:pPr>
          </w:p>
        </w:tc>
        <w:tc>
          <w:tcPr>
            <w:tcW w:w="2018" w:type="dxa"/>
            <w:vAlign w:val="center"/>
          </w:tcPr>
          <w:p>
            <w:pPr>
              <w:snapToGrid w:val="0"/>
              <w:spacing w:line="400" w:lineRule="exact"/>
              <w:rPr>
                <w:rFonts w:asci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ascii="宋体" w:hAnsi="宋体" w:cs="微软雅黑"/>
                <w:szCs w:val="21"/>
              </w:rPr>
              <w:t>7</w:t>
            </w:r>
          </w:p>
        </w:tc>
        <w:tc>
          <w:tcPr>
            <w:tcW w:w="3751" w:type="dxa"/>
            <w:gridSpan w:val="3"/>
            <w:vAlign w:val="center"/>
          </w:tcPr>
          <w:p>
            <w:pPr>
              <w:pStyle w:val="16"/>
              <w:kinsoku w:val="0"/>
              <w:overflowPunct w:val="0"/>
              <w:autoSpaceDE w:val="0"/>
              <w:autoSpaceDN w:val="0"/>
              <w:spacing w:line="320" w:lineRule="exact"/>
              <w:rPr>
                <w:rFonts w:hAnsi="宋体"/>
                <w:kern w:val="0"/>
                <w:sz w:val="21"/>
                <w:szCs w:val="21"/>
              </w:rPr>
            </w:pPr>
            <w:r>
              <w:rPr>
                <w:rFonts w:hint="eastAsia" w:ascii="宋体" w:hAnsi="宋体"/>
                <w:bCs/>
                <w:sz w:val="21"/>
                <w:szCs w:val="21"/>
              </w:rPr>
              <w:t>依法纳税凭据</w:t>
            </w:r>
          </w:p>
        </w:tc>
        <w:tc>
          <w:tcPr>
            <w:tcW w:w="1559" w:type="dxa"/>
            <w:vAlign w:val="center"/>
          </w:tcPr>
          <w:p>
            <w:pPr>
              <w:snapToGrid w:val="0"/>
              <w:spacing w:line="400" w:lineRule="exact"/>
              <w:jc w:val="center"/>
              <w:rPr>
                <w:rFonts w:ascii="宋体" w:cs="微软雅黑"/>
                <w:szCs w:val="21"/>
              </w:rPr>
            </w:pPr>
          </w:p>
        </w:tc>
        <w:tc>
          <w:tcPr>
            <w:tcW w:w="1560" w:type="dxa"/>
            <w:vAlign w:val="center"/>
          </w:tcPr>
          <w:p>
            <w:pPr>
              <w:snapToGrid w:val="0"/>
              <w:spacing w:line="400" w:lineRule="exact"/>
              <w:rPr>
                <w:rFonts w:ascii="宋体" w:cs="微软雅黑"/>
                <w:szCs w:val="21"/>
              </w:rPr>
            </w:pPr>
          </w:p>
        </w:tc>
        <w:tc>
          <w:tcPr>
            <w:tcW w:w="2018" w:type="dxa"/>
            <w:vAlign w:val="center"/>
          </w:tcPr>
          <w:p>
            <w:pPr>
              <w:snapToGrid w:val="0"/>
              <w:spacing w:line="400" w:lineRule="exact"/>
              <w:rPr>
                <w:rFonts w:asci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cs="微软雅黑"/>
                <w:szCs w:val="21"/>
              </w:rPr>
            </w:pPr>
            <w:r>
              <w:rPr>
                <w:rFonts w:hint="eastAsia" w:ascii="宋体" w:hAnsi="宋体" w:cs="微软雅黑"/>
                <w:szCs w:val="21"/>
              </w:rPr>
              <w:t>财务状况报告</w:t>
            </w:r>
          </w:p>
        </w:tc>
        <w:tc>
          <w:tcPr>
            <w:tcW w:w="709" w:type="dxa"/>
            <w:vMerge w:val="restart"/>
            <w:tcBorders>
              <w:left w:val="single" w:color="auto" w:sz="4" w:space="0"/>
              <w:right w:val="single" w:color="auto" w:sz="6" w:space="0"/>
            </w:tcBorders>
            <w:vAlign w:val="center"/>
          </w:tcPr>
          <w:p>
            <w:pPr>
              <w:snapToGrid w:val="0"/>
              <w:spacing w:line="400" w:lineRule="exact"/>
              <w:rPr>
                <w:rFonts w:asci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cs="微软雅黑"/>
                <w:szCs w:val="21"/>
              </w:rPr>
            </w:pPr>
          </w:p>
        </w:tc>
        <w:tc>
          <w:tcPr>
            <w:tcW w:w="1560" w:type="dxa"/>
            <w:vAlign w:val="center"/>
          </w:tcPr>
          <w:p>
            <w:pPr>
              <w:snapToGrid w:val="0"/>
              <w:spacing w:line="400" w:lineRule="exact"/>
              <w:rPr>
                <w:rFonts w:ascii="宋体" w:cs="微软雅黑"/>
                <w:szCs w:val="21"/>
              </w:rPr>
            </w:pPr>
          </w:p>
        </w:tc>
        <w:tc>
          <w:tcPr>
            <w:tcW w:w="2018" w:type="dxa"/>
            <w:vAlign w:val="center"/>
          </w:tcPr>
          <w:p>
            <w:pPr>
              <w:snapToGrid w:val="0"/>
              <w:spacing w:line="400" w:lineRule="exact"/>
              <w:rPr>
                <w:rFonts w:asci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23"/>
              </w:numPr>
              <w:adjustRightInd w:val="0"/>
              <w:snapToGrid w:val="0"/>
              <w:spacing w:line="400" w:lineRule="exact"/>
              <w:jc w:val="center"/>
              <w:textAlignment w:val="baseline"/>
              <w:rPr>
                <w:rFonts w:asci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cs="微软雅黑"/>
                <w:szCs w:val="21"/>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cs="微软雅黑"/>
                <w:szCs w:val="21"/>
              </w:rPr>
            </w:pPr>
          </w:p>
        </w:tc>
        <w:tc>
          <w:tcPr>
            <w:tcW w:w="2268" w:type="dxa"/>
            <w:tcBorders>
              <w:left w:val="single" w:color="auto" w:sz="6" w:space="0"/>
            </w:tcBorders>
            <w:vAlign w:val="center"/>
          </w:tcPr>
          <w:p>
            <w:pPr>
              <w:snapToGrid w:val="0"/>
              <w:spacing w:line="400" w:lineRule="exact"/>
              <w:rPr>
                <w:rFonts w:asci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cs="微软雅黑"/>
                <w:szCs w:val="21"/>
              </w:rPr>
            </w:pPr>
          </w:p>
        </w:tc>
        <w:tc>
          <w:tcPr>
            <w:tcW w:w="1560" w:type="dxa"/>
            <w:vAlign w:val="center"/>
          </w:tcPr>
          <w:p>
            <w:pPr>
              <w:snapToGrid w:val="0"/>
              <w:spacing w:line="400" w:lineRule="exact"/>
              <w:rPr>
                <w:rFonts w:ascii="宋体" w:cs="微软雅黑"/>
                <w:szCs w:val="21"/>
              </w:rPr>
            </w:pPr>
          </w:p>
        </w:tc>
        <w:tc>
          <w:tcPr>
            <w:tcW w:w="2018" w:type="dxa"/>
            <w:vAlign w:val="center"/>
          </w:tcPr>
          <w:p>
            <w:pPr>
              <w:snapToGrid w:val="0"/>
              <w:spacing w:line="400" w:lineRule="exact"/>
              <w:rPr>
                <w:rFonts w:asci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23"/>
              </w:numPr>
              <w:adjustRightInd w:val="0"/>
              <w:snapToGrid w:val="0"/>
              <w:spacing w:line="400" w:lineRule="exact"/>
              <w:jc w:val="center"/>
              <w:textAlignment w:val="baseline"/>
              <w:rPr>
                <w:rFonts w:asci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cs="微软雅黑"/>
                <w:szCs w:val="21"/>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cs="微软雅黑"/>
                <w:szCs w:val="21"/>
              </w:rPr>
            </w:pPr>
          </w:p>
        </w:tc>
        <w:tc>
          <w:tcPr>
            <w:tcW w:w="2268" w:type="dxa"/>
            <w:tcBorders>
              <w:left w:val="single" w:color="auto" w:sz="6" w:space="0"/>
            </w:tcBorders>
            <w:vAlign w:val="center"/>
          </w:tcPr>
          <w:p>
            <w:pPr>
              <w:snapToGrid w:val="0"/>
              <w:spacing w:line="400" w:lineRule="exact"/>
              <w:rPr>
                <w:rFonts w:asci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cs="微软雅黑"/>
                <w:szCs w:val="21"/>
              </w:rPr>
            </w:pPr>
          </w:p>
        </w:tc>
        <w:tc>
          <w:tcPr>
            <w:tcW w:w="1560" w:type="dxa"/>
            <w:vAlign w:val="center"/>
          </w:tcPr>
          <w:p>
            <w:pPr>
              <w:snapToGrid w:val="0"/>
              <w:spacing w:line="400" w:lineRule="exact"/>
              <w:rPr>
                <w:rFonts w:ascii="宋体" w:cs="微软雅黑"/>
                <w:szCs w:val="21"/>
              </w:rPr>
            </w:pPr>
          </w:p>
        </w:tc>
        <w:tc>
          <w:tcPr>
            <w:tcW w:w="2018" w:type="dxa"/>
            <w:vAlign w:val="center"/>
          </w:tcPr>
          <w:p>
            <w:pPr>
              <w:snapToGrid w:val="0"/>
              <w:spacing w:line="400" w:lineRule="exact"/>
              <w:rPr>
                <w:rFonts w:asci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23"/>
              </w:numPr>
              <w:adjustRightInd w:val="0"/>
              <w:snapToGrid w:val="0"/>
              <w:spacing w:line="400" w:lineRule="exact"/>
              <w:jc w:val="center"/>
              <w:textAlignment w:val="baseline"/>
              <w:rPr>
                <w:rFonts w:asci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cs="微软雅黑"/>
                <w:szCs w:val="21"/>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cs="微软雅黑"/>
                <w:szCs w:val="21"/>
              </w:rPr>
            </w:pPr>
          </w:p>
        </w:tc>
        <w:tc>
          <w:tcPr>
            <w:tcW w:w="2268" w:type="dxa"/>
            <w:tcBorders>
              <w:left w:val="single" w:color="auto" w:sz="6" w:space="0"/>
            </w:tcBorders>
            <w:vAlign w:val="center"/>
          </w:tcPr>
          <w:p>
            <w:pPr>
              <w:snapToGrid w:val="0"/>
              <w:spacing w:line="400" w:lineRule="exact"/>
              <w:rPr>
                <w:rFonts w:asci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cs="微软雅黑"/>
                <w:szCs w:val="21"/>
              </w:rPr>
            </w:pPr>
          </w:p>
        </w:tc>
        <w:tc>
          <w:tcPr>
            <w:tcW w:w="1560" w:type="dxa"/>
            <w:vAlign w:val="center"/>
          </w:tcPr>
          <w:p>
            <w:pPr>
              <w:snapToGrid w:val="0"/>
              <w:spacing w:line="400" w:lineRule="exact"/>
              <w:rPr>
                <w:rFonts w:ascii="宋体" w:cs="微软雅黑"/>
                <w:szCs w:val="21"/>
              </w:rPr>
            </w:pPr>
          </w:p>
        </w:tc>
        <w:tc>
          <w:tcPr>
            <w:tcW w:w="2018" w:type="dxa"/>
            <w:vAlign w:val="center"/>
          </w:tcPr>
          <w:p>
            <w:pPr>
              <w:snapToGrid w:val="0"/>
              <w:spacing w:line="400" w:lineRule="exact"/>
              <w:rPr>
                <w:rFonts w:asci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23"/>
              </w:numPr>
              <w:adjustRightInd w:val="0"/>
              <w:snapToGrid w:val="0"/>
              <w:spacing w:line="400" w:lineRule="exact"/>
              <w:jc w:val="center"/>
              <w:textAlignment w:val="baseline"/>
              <w:rPr>
                <w:rFonts w:asci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cs="微软雅黑"/>
                <w:szCs w:val="21"/>
              </w:rPr>
            </w:pPr>
          </w:p>
        </w:tc>
        <w:tc>
          <w:tcPr>
            <w:tcW w:w="709" w:type="dxa"/>
            <w:vMerge w:val="continue"/>
            <w:tcBorders>
              <w:left w:val="single" w:color="auto" w:sz="4" w:space="0"/>
              <w:right w:val="single" w:color="auto" w:sz="6" w:space="0"/>
            </w:tcBorders>
            <w:vAlign w:val="center"/>
          </w:tcPr>
          <w:p>
            <w:pPr>
              <w:snapToGrid w:val="0"/>
              <w:spacing w:line="400" w:lineRule="exact"/>
              <w:rPr>
                <w:rFonts w:ascii="宋体" w:cs="微软雅黑"/>
                <w:szCs w:val="21"/>
              </w:rPr>
            </w:pPr>
          </w:p>
        </w:tc>
        <w:tc>
          <w:tcPr>
            <w:tcW w:w="2268" w:type="dxa"/>
            <w:tcBorders>
              <w:left w:val="single" w:color="auto" w:sz="6" w:space="0"/>
            </w:tcBorders>
            <w:vAlign w:val="center"/>
          </w:tcPr>
          <w:p>
            <w:pPr>
              <w:snapToGrid w:val="0"/>
              <w:spacing w:line="400" w:lineRule="exact"/>
              <w:rPr>
                <w:rFonts w:asci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cs="微软雅黑"/>
                <w:szCs w:val="21"/>
              </w:rPr>
            </w:pPr>
          </w:p>
        </w:tc>
        <w:tc>
          <w:tcPr>
            <w:tcW w:w="1560" w:type="dxa"/>
            <w:vAlign w:val="center"/>
          </w:tcPr>
          <w:p>
            <w:pPr>
              <w:snapToGrid w:val="0"/>
              <w:spacing w:line="400" w:lineRule="exact"/>
              <w:rPr>
                <w:rFonts w:ascii="宋体" w:cs="微软雅黑"/>
                <w:szCs w:val="21"/>
              </w:rPr>
            </w:pPr>
          </w:p>
        </w:tc>
        <w:tc>
          <w:tcPr>
            <w:tcW w:w="2018" w:type="dxa"/>
            <w:vAlign w:val="center"/>
          </w:tcPr>
          <w:p>
            <w:pPr>
              <w:snapToGrid w:val="0"/>
              <w:spacing w:line="400" w:lineRule="exact"/>
              <w:rPr>
                <w:rFonts w:asci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23"/>
              </w:numPr>
              <w:adjustRightInd w:val="0"/>
              <w:snapToGrid w:val="0"/>
              <w:spacing w:line="400" w:lineRule="exact"/>
              <w:jc w:val="center"/>
              <w:textAlignment w:val="baseline"/>
              <w:rPr>
                <w:rFonts w:asci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cs="微软雅黑"/>
                <w:szCs w:val="21"/>
              </w:rPr>
            </w:pPr>
          </w:p>
        </w:tc>
        <w:tc>
          <w:tcPr>
            <w:tcW w:w="2977" w:type="dxa"/>
            <w:gridSpan w:val="2"/>
            <w:tcBorders>
              <w:left w:val="single" w:color="auto" w:sz="4" w:space="0"/>
            </w:tcBorders>
            <w:vAlign w:val="center"/>
          </w:tcPr>
          <w:p>
            <w:pPr>
              <w:snapToGrid w:val="0"/>
              <w:spacing w:line="400" w:lineRule="exact"/>
              <w:rPr>
                <w:rFonts w:asci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cs="微软雅黑"/>
                <w:szCs w:val="21"/>
              </w:rPr>
            </w:pPr>
          </w:p>
        </w:tc>
        <w:tc>
          <w:tcPr>
            <w:tcW w:w="1560" w:type="dxa"/>
            <w:vAlign w:val="center"/>
          </w:tcPr>
          <w:p>
            <w:pPr>
              <w:snapToGrid w:val="0"/>
              <w:spacing w:line="400" w:lineRule="exact"/>
              <w:rPr>
                <w:rFonts w:ascii="宋体" w:cs="微软雅黑"/>
                <w:szCs w:val="21"/>
              </w:rPr>
            </w:pPr>
          </w:p>
        </w:tc>
        <w:tc>
          <w:tcPr>
            <w:tcW w:w="2018" w:type="dxa"/>
            <w:vAlign w:val="center"/>
          </w:tcPr>
          <w:p>
            <w:pPr>
              <w:snapToGrid w:val="0"/>
              <w:spacing w:line="400" w:lineRule="exact"/>
              <w:rPr>
                <w:rFonts w:asci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23"/>
              </w:numPr>
              <w:adjustRightInd w:val="0"/>
              <w:snapToGrid w:val="0"/>
              <w:spacing w:line="400" w:lineRule="exact"/>
              <w:jc w:val="center"/>
              <w:textAlignment w:val="baseline"/>
              <w:rPr>
                <w:rFonts w:asci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cs="微软雅黑"/>
                <w:szCs w:val="21"/>
              </w:rPr>
            </w:pPr>
          </w:p>
        </w:tc>
        <w:tc>
          <w:tcPr>
            <w:tcW w:w="2977" w:type="dxa"/>
            <w:gridSpan w:val="2"/>
            <w:tcBorders>
              <w:left w:val="single" w:color="auto" w:sz="4" w:space="0"/>
            </w:tcBorders>
            <w:vAlign w:val="center"/>
          </w:tcPr>
          <w:p>
            <w:pPr>
              <w:snapToGrid w:val="0"/>
              <w:spacing w:line="400" w:lineRule="exact"/>
              <w:rPr>
                <w:rFonts w:asci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cs="微软雅黑"/>
                <w:szCs w:val="21"/>
              </w:rPr>
            </w:pPr>
          </w:p>
        </w:tc>
        <w:tc>
          <w:tcPr>
            <w:tcW w:w="1560" w:type="dxa"/>
            <w:vAlign w:val="center"/>
          </w:tcPr>
          <w:p>
            <w:pPr>
              <w:snapToGrid w:val="0"/>
              <w:spacing w:line="400" w:lineRule="exact"/>
              <w:rPr>
                <w:rFonts w:ascii="宋体" w:cs="微软雅黑"/>
                <w:szCs w:val="21"/>
              </w:rPr>
            </w:pPr>
          </w:p>
        </w:tc>
        <w:tc>
          <w:tcPr>
            <w:tcW w:w="2018" w:type="dxa"/>
            <w:vAlign w:val="center"/>
          </w:tcPr>
          <w:p>
            <w:pPr>
              <w:snapToGrid w:val="0"/>
              <w:spacing w:line="400" w:lineRule="exact"/>
              <w:rPr>
                <w:rFonts w:asci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23"/>
              </w:numPr>
              <w:adjustRightInd w:val="0"/>
              <w:snapToGrid w:val="0"/>
              <w:spacing w:line="400" w:lineRule="exact"/>
              <w:jc w:val="center"/>
              <w:textAlignment w:val="baseline"/>
              <w:rPr>
                <w:rFonts w:asci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cs="微软雅黑"/>
                <w:szCs w:val="21"/>
              </w:rPr>
            </w:pPr>
          </w:p>
        </w:tc>
        <w:tc>
          <w:tcPr>
            <w:tcW w:w="2977" w:type="dxa"/>
            <w:gridSpan w:val="2"/>
            <w:tcBorders>
              <w:left w:val="single" w:color="auto" w:sz="4" w:space="0"/>
            </w:tcBorders>
            <w:vAlign w:val="center"/>
          </w:tcPr>
          <w:p>
            <w:pPr>
              <w:snapToGrid w:val="0"/>
              <w:spacing w:line="400" w:lineRule="exact"/>
              <w:rPr>
                <w:rFonts w:asci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cs="微软雅黑"/>
                <w:szCs w:val="21"/>
              </w:rPr>
            </w:pPr>
          </w:p>
        </w:tc>
        <w:tc>
          <w:tcPr>
            <w:tcW w:w="1560" w:type="dxa"/>
            <w:vAlign w:val="center"/>
          </w:tcPr>
          <w:p>
            <w:pPr>
              <w:snapToGrid w:val="0"/>
              <w:spacing w:line="400" w:lineRule="exact"/>
              <w:rPr>
                <w:rFonts w:ascii="宋体" w:cs="微软雅黑"/>
                <w:szCs w:val="21"/>
              </w:rPr>
            </w:pPr>
          </w:p>
        </w:tc>
        <w:tc>
          <w:tcPr>
            <w:tcW w:w="2018" w:type="dxa"/>
            <w:vAlign w:val="center"/>
          </w:tcPr>
          <w:p>
            <w:pPr>
              <w:snapToGrid w:val="0"/>
              <w:spacing w:line="400" w:lineRule="exact"/>
              <w:rPr>
                <w:rFonts w:asci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ascii="宋体" w:hAnsi="宋体" w:cs="微软雅黑"/>
                <w:szCs w:val="21"/>
              </w:rPr>
              <w:t>9</w:t>
            </w:r>
          </w:p>
        </w:tc>
        <w:tc>
          <w:tcPr>
            <w:tcW w:w="3751" w:type="dxa"/>
            <w:gridSpan w:val="3"/>
            <w:vAlign w:val="center"/>
          </w:tcPr>
          <w:p>
            <w:pPr>
              <w:snapToGrid w:val="0"/>
              <w:spacing w:line="400" w:lineRule="exact"/>
              <w:rPr>
                <w:rFonts w:ascii="宋体" w:cs="微软雅黑"/>
                <w:szCs w:val="21"/>
              </w:rPr>
            </w:pPr>
            <w:r>
              <w:rPr>
                <w:rFonts w:hint="eastAsia" w:ascii="宋体" w:hAnsi="宋体"/>
                <w:bCs/>
                <w:szCs w:val="21"/>
              </w:rPr>
              <w:t>依法缴纳社会保险凭据</w:t>
            </w:r>
          </w:p>
        </w:tc>
        <w:tc>
          <w:tcPr>
            <w:tcW w:w="1559" w:type="dxa"/>
            <w:vAlign w:val="center"/>
          </w:tcPr>
          <w:p>
            <w:pPr>
              <w:snapToGrid w:val="0"/>
              <w:spacing w:line="400" w:lineRule="exact"/>
              <w:jc w:val="center"/>
              <w:rPr>
                <w:rFonts w:ascii="宋体" w:cs="微软雅黑"/>
                <w:szCs w:val="21"/>
              </w:rPr>
            </w:pPr>
          </w:p>
        </w:tc>
        <w:tc>
          <w:tcPr>
            <w:tcW w:w="1560" w:type="dxa"/>
            <w:vAlign w:val="center"/>
          </w:tcPr>
          <w:p>
            <w:pPr>
              <w:snapToGrid w:val="0"/>
              <w:spacing w:line="400" w:lineRule="exact"/>
              <w:rPr>
                <w:rFonts w:ascii="宋体" w:cs="微软雅黑"/>
                <w:szCs w:val="21"/>
              </w:rPr>
            </w:pPr>
          </w:p>
        </w:tc>
        <w:tc>
          <w:tcPr>
            <w:tcW w:w="2018" w:type="dxa"/>
            <w:vAlign w:val="center"/>
          </w:tcPr>
          <w:p>
            <w:pPr>
              <w:snapToGrid w:val="0"/>
              <w:spacing w:line="400" w:lineRule="exact"/>
              <w:rPr>
                <w:rFonts w:asci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cs="微软雅黑"/>
                <w:szCs w:val="21"/>
              </w:rPr>
            </w:pPr>
            <w:r>
              <w:rPr>
                <w:rFonts w:hint="eastAsia" w:ascii="宋体" w:hAnsi="宋体" w:cs="微软雅黑"/>
                <w:szCs w:val="21"/>
              </w:rPr>
              <w:t>履行合同能力</w:t>
            </w:r>
          </w:p>
        </w:tc>
        <w:tc>
          <w:tcPr>
            <w:tcW w:w="709" w:type="dxa"/>
            <w:vMerge w:val="restart"/>
            <w:tcBorders>
              <w:left w:val="single" w:color="auto" w:sz="6" w:space="0"/>
              <w:right w:val="single" w:color="auto" w:sz="6" w:space="0"/>
            </w:tcBorders>
            <w:vAlign w:val="center"/>
          </w:tcPr>
          <w:p>
            <w:pPr>
              <w:snapToGrid w:val="0"/>
              <w:spacing w:line="400" w:lineRule="exact"/>
              <w:jc w:val="left"/>
              <w:rPr>
                <w:rFonts w:asci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cs="微软雅黑"/>
                <w:szCs w:val="21"/>
              </w:rPr>
            </w:pPr>
          </w:p>
        </w:tc>
        <w:tc>
          <w:tcPr>
            <w:tcW w:w="2018" w:type="dxa"/>
            <w:vAlign w:val="center"/>
          </w:tcPr>
          <w:p>
            <w:pPr>
              <w:snapToGrid w:val="0"/>
              <w:spacing w:line="400" w:lineRule="exact"/>
              <w:rPr>
                <w:rFonts w:asci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23"/>
              </w:numPr>
              <w:adjustRightInd w:val="0"/>
              <w:snapToGrid w:val="0"/>
              <w:spacing w:line="400" w:lineRule="exact"/>
              <w:jc w:val="center"/>
              <w:textAlignment w:val="baseline"/>
              <w:rPr>
                <w:rFonts w:ascii="宋体" w:cs="微软雅黑"/>
                <w:szCs w:val="21"/>
              </w:rPr>
            </w:pPr>
          </w:p>
        </w:tc>
        <w:tc>
          <w:tcPr>
            <w:tcW w:w="774" w:type="dxa"/>
            <w:vMerge w:val="continue"/>
            <w:tcBorders>
              <w:right w:val="single" w:color="auto" w:sz="6" w:space="0"/>
            </w:tcBorders>
            <w:vAlign w:val="center"/>
          </w:tcPr>
          <w:p>
            <w:pPr>
              <w:pStyle w:val="16"/>
              <w:kinsoku w:val="0"/>
              <w:overflowPunct w:val="0"/>
              <w:autoSpaceDE w:val="0"/>
              <w:autoSpaceDN w:val="0"/>
              <w:spacing w:line="320" w:lineRule="exact"/>
              <w:rPr>
                <w:rFonts w:hAnsi="宋体" w:cs="微软雅黑"/>
                <w:bCs/>
                <w:kern w:val="0"/>
                <w:sz w:val="21"/>
                <w:szCs w:val="21"/>
              </w:rPr>
            </w:pPr>
          </w:p>
        </w:tc>
        <w:tc>
          <w:tcPr>
            <w:tcW w:w="709" w:type="dxa"/>
            <w:vMerge w:val="continue"/>
            <w:tcBorders>
              <w:left w:val="single" w:color="auto" w:sz="6" w:space="0"/>
              <w:right w:val="single" w:color="auto" w:sz="6" w:space="0"/>
            </w:tcBorders>
            <w:vAlign w:val="center"/>
          </w:tcPr>
          <w:p>
            <w:pPr>
              <w:pStyle w:val="16"/>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6"/>
              <w:rPr>
                <w:sz w:val="21"/>
                <w:szCs w:val="21"/>
              </w:rPr>
            </w:pPr>
          </w:p>
        </w:tc>
        <w:tc>
          <w:tcPr>
            <w:tcW w:w="1560" w:type="dxa"/>
            <w:vAlign w:val="center"/>
          </w:tcPr>
          <w:p>
            <w:pPr>
              <w:snapToGrid w:val="0"/>
              <w:spacing w:line="400" w:lineRule="exact"/>
              <w:rPr>
                <w:rFonts w:ascii="宋体" w:cs="微软雅黑"/>
                <w:szCs w:val="21"/>
              </w:rPr>
            </w:pPr>
          </w:p>
        </w:tc>
        <w:tc>
          <w:tcPr>
            <w:tcW w:w="2018" w:type="dxa"/>
            <w:vAlign w:val="center"/>
          </w:tcPr>
          <w:p>
            <w:pPr>
              <w:pStyle w:val="16"/>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23"/>
              </w:numPr>
              <w:adjustRightInd w:val="0"/>
              <w:snapToGrid w:val="0"/>
              <w:spacing w:line="400" w:lineRule="exact"/>
              <w:jc w:val="center"/>
              <w:textAlignment w:val="baseline"/>
              <w:rPr>
                <w:rFonts w:ascii="宋体" w:cs="微软雅黑"/>
                <w:szCs w:val="21"/>
              </w:rPr>
            </w:pPr>
          </w:p>
        </w:tc>
        <w:tc>
          <w:tcPr>
            <w:tcW w:w="774" w:type="dxa"/>
            <w:vMerge w:val="continue"/>
            <w:tcBorders>
              <w:right w:val="single" w:color="auto" w:sz="6" w:space="0"/>
            </w:tcBorders>
            <w:vAlign w:val="center"/>
          </w:tcPr>
          <w:p>
            <w:pPr>
              <w:pStyle w:val="16"/>
              <w:kinsoku w:val="0"/>
              <w:overflowPunct w:val="0"/>
              <w:autoSpaceDE w:val="0"/>
              <w:autoSpaceDN w:val="0"/>
              <w:spacing w:line="320" w:lineRule="exact"/>
              <w:rPr>
                <w:rFonts w:hAnsi="宋体" w:cs="微软雅黑"/>
                <w:bCs/>
                <w:kern w:val="0"/>
                <w:sz w:val="21"/>
                <w:szCs w:val="21"/>
              </w:rPr>
            </w:pPr>
          </w:p>
        </w:tc>
        <w:tc>
          <w:tcPr>
            <w:tcW w:w="709" w:type="dxa"/>
            <w:vMerge w:val="continue"/>
            <w:tcBorders>
              <w:left w:val="single" w:color="auto" w:sz="6" w:space="0"/>
              <w:right w:val="single" w:color="auto" w:sz="6" w:space="0"/>
            </w:tcBorders>
            <w:vAlign w:val="center"/>
          </w:tcPr>
          <w:p>
            <w:pPr>
              <w:pStyle w:val="16"/>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6"/>
              <w:rPr>
                <w:sz w:val="21"/>
                <w:szCs w:val="21"/>
              </w:rPr>
            </w:pPr>
          </w:p>
        </w:tc>
        <w:tc>
          <w:tcPr>
            <w:tcW w:w="1560" w:type="dxa"/>
            <w:vAlign w:val="center"/>
          </w:tcPr>
          <w:p>
            <w:pPr>
              <w:snapToGrid w:val="0"/>
              <w:spacing w:line="400" w:lineRule="exact"/>
              <w:rPr>
                <w:rFonts w:ascii="宋体" w:cs="微软雅黑"/>
                <w:szCs w:val="21"/>
              </w:rPr>
            </w:pPr>
          </w:p>
        </w:tc>
        <w:tc>
          <w:tcPr>
            <w:tcW w:w="2018" w:type="dxa"/>
            <w:vAlign w:val="center"/>
          </w:tcPr>
          <w:p>
            <w:pPr>
              <w:pStyle w:val="16"/>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23"/>
              </w:numPr>
              <w:adjustRightInd w:val="0"/>
              <w:snapToGrid w:val="0"/>
              <w:spacing w:line="400" w:lineRule="exact"/>
              <w:jc w:val="center"/>
              <w:textAlignment w:val="baseline"/>
              <w:rPr>
                <w:rFonts w:ascii="宋体" w:cs="微软雅黑"/>
                <w:szCs w:val="21"/>
              </w:rPr>
            </w:pPr>
          </w:p>
        </w:tc>
        <w:tc>
          <w:tcPr>
            <w:tcW w:w="774" w:type="dxa"/>
            <w:vMerge w:val="continue"/>
            <w:tcBorders>
              <w:right w:val="single" w:color="auto" w:sz="6" w:space="0"/>
            </w:tcBorders>
            <w:vAlign w:val="center"/>
          </w:tcPr>
          <w:p>
            <w:pPr>
              <w:pStyle w:val="16"/>
              <w:kinsoku w:val="0"/>
              <w:overflowPunct w:val="0"/>
              <w:autoSpaceDE w:val="0"/>
              <w:autoSpaceDN w:val="0"/>
              <w:spacing w:line="320" w:lineRule="exact"/>
              <w:rPr>
                <w:rFonts w:hAnsi="宋体" w:cs="微软雅黑"/>
                <w:bCs/>
                <w:kern w:val="0"/>
                <w:sz w:val="21"/>
                <w:szCs w:val="21"/>
              </w:rPr>
            </w:pPr>
          </w:p>
        </w:tc>
        <w:tc>
          <w:tcPr>
            <w:tcW w:w="2977" w:type="dxa"/>
            <w:gridSpan w:val="2"/>
            <w:tcBorders>
              <w:left w:val="single" w:color="auto" w:sz="6" w:space="0"/>
            </w:tcBorders>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ascii="宋体" w:hAnsi="宋体"/>
                <w:bCs/>
                <w:sz w:val="21"/>
                <w:szCs w:val="21"/>
              </w:rPr>
              <w:t>投标人相关承诺函或声明</w:t>
            </w:r>
          </w:p>
        </w:tc>
        <w:tc>
          <w:tcPr>
            <w:tcW w:w="1559" w:type="dxa"/>
            <w:vAlign w:val="center"/>
          </w:tcPr>
          <w:p>
            <w:pPr>
              <w:pStyle w:val="16"/>
              <w:rPr>
                <w:sz w:val="21"/>
                <w:szCs w:val="21"/>
              </w:rPr>
            </w:pPr>
          </w:p>
        </w:tc>
        <w:tc>
          <w:tcPr>
            <w:tcW w:w="1560" w:type="dxa"/>
            <w:vAlign w:val="center"/>
          </w:tcPr>
          <w:p>
            <w:pPr>
              <w:snapToGrid w:val="0"/>
              <w:spacing w:line="400" w:lineRule="exact"/>
              <w:rPr>
                <w:rFonts w:ascii="宋体" w:cs="微软雅黑"/>
                <w:szCs w:val="21"/>
              </w:rPr>
            </w:pPr>
          </w:p>
        </w:tc>
        <w:tc>
          <w:tcPr>
            <w:tcW w:w="2018" w:type="dxa"/>
            <w:vAlign w:val="center"/>
          </w:tcPr>
          <w:p>
            <w:pPr>
              <w:snapToGrid w:val="0"/>
              <w:spacing w:line="400" w:lineRule="exact"/>
              <w:rPr>
                <w:rFonts w:asci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ascii="宋体" w:hAnsi="宋体" w:cs="微软雅黑"/>
                <w:szCs w:val="21"/>
              </w:rPr>
              <w:t>11</w:t>
            </w:r>
          </w:p>
        </w:tc>
        <w:tc>
          <w:tcPr>
            <w:tcW w:w="3751" w:type="dxa"/>
            <w:gridSpan w:val="3"/>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cs="微软雅黑"/>
                <w:szCs w:val="21"/>
              </w:rPr>
            </w:pPr>
          </w:p>
        </w:tc>
        <w:tc>
          <w:tcPr>
            <w:tcW w:w="2018" w:type="dxa"/>
            <w:vAlign w:val="center"/>
          </w:tcPr>
          <w:p>
            <w:pPr>
              <w:snapToGrid w:val="0"/>
              <w:spacing w:line="400" w:lineRule="exact"/>
              <w:rPr>
                <w:rFonts w:asci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ascii="宋体" w:hAnsi="宋体" w:cs="微软雅黑"/>
                <w:szCs w:val="21"/>
              </w:rPr>
              <w:t>12</w:t>
            </w:r>
          </w:p>
        </w:tc>
        <w:tc>
          <w:tcPr>
            <w:tcW w:w="3751" w:type="dxa"/>
            <w:gridSpan w:val="3"/>
            <w:vAlign w:val="center"/>
          </w:tcPr>
          <w:p>
            <w:pPr>
              <w:pStyle w:val="16"/>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投标人须具备的特殊资质证书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cs="微软雅黑"/>
                <w:szCs w:val="21"/>
              </w:rPr>
            </w:pPr>
          </w:p>
        </w:tc>
        <w:tc>
          <w:tcPr>
            <w:tcW w:w="2018" w:type="dxa"/>
            <w:vAlign w:val="center"/>
          </w:tcPr>
          <w:p>
            <w:pPr>
              <w:snapToGrid w:val="0"/>
              <w:spacing w:line="400" w:lineRule="exact"/>
              <w:rPr>
                <w:rFonts w:asci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ascii="宋体" w:hAnsi="宋体" w:cs="微软雅黑"/>
                <w:szCs w:val="21"/>
              </w:rPr>
              <w:t>13</w:t>
            </w:r>
          </w:p>
        </w:tc>
        <w:tc>
          <w:tcPr>
            <w:tcW w:w="3751" w:type="dxa"/>
            <w:gridSpan w:val="3"/>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ascii="宋体" w:hAnsi="宋体" w:cs="宋体"/>
                <w:bCs/>
                <w:sz w:val="21"/>
                <w:szCs w:val="21"/>
                <w:lang w:val="zh-CN"/>
              </w:rPr>
              <w:t>投标承诺函</w:t>
            </w:r>
          </w:p>
        </w:tc>
        <w:tc>
          <w:tcPr>
            <w:tcW w:w="1559" w:type="dxa"/>
            <w:vAlign w:val="center"/>
          </w:tcPr>
          <w:p>
            <w:pPr>
              <w:jc w:val="center"/>
              <w:rPr>
                <w:szCs w:val="21"/>
              </w:rPr>
            </w:pPr>
          </w:p>
        </w:tc>
        <w:tc>
          <w:tcPr>
            <w:tcW w:w="1560" w:type="dxa"/>
            <w:vAlign w:val="center"/>
          </w:tcPr>
          <w:p>
            <w:pPr>
              <w:snapToGrid w:val="0"/>
              <w:spacing w:line="400" w:lineRule="exact"/>
              <w:rPr>
                <w:rFonts w:ascii="宋体" w:cs="微软雅黑"/>
                <w:szCs w:val="21"/>
              </w:rPr>
            </w:pPr>
          </w:p>
        </w:tc>
        <w:tc>
          <w:tcPr>
            <w:tcW w:w="2018" w:type="dxa"/>
            <w:vAlign w:val="center"/>
          </w:tcPr>
          <w:p>
            <w:pPr>
              <w:snapToGrid w:val="0"/>
              <w:spacing w:line="400" w:lineRule="exact"/>
              <w:rPr>
                <w:rFonts w:asci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bCs/>
                <w:szCs w:val="21"/>
                <w:lang w:val="zh-CN"/>
              </w:rPr>
            </w:pPr>
            <w:r>
              <w:rPr>
                <w:rFonts w:ascii="宋体" w:hAnsi="宋体" w:cs="宋体"/>
                <w:bCs/>
                <w:szCs w:val="21"/>
                <w:lang w:val="zh-CN"/>
              </w:rPr>
              <w:t>14</w:t>
            </w:r>
          </w:p>
        </w:tc>
        <w:tc>
          <w:tcPr>
            <w:tcW w:w="3751" w:type="dxa"/>
            <w:gridSpan w:val="3"/>
            <w:vAlign w:val="center"/>
          </w:tcPr>
          <w:p>
            <w:pPr>
              <w:pStyle w:val="16"/>
              <w:kinsoku w:val="0"/>
              <w:overflowPunct w:val="0"/>
              <w:autoSpaceDE w:val="0"/>
              <w:autoSpaceDN w:val="0"/>
              <w:spacing w:line="320" w:lineRule="exact"/>
              <w:rPr>
                <w:rFonts w:ascii="宋体" w:cs="宋体"/>
                <w:bCs/>
                <w:sz w:val="21"/>
                <w:szCs w:val="21"/>
                <w:lang w:val="zh-CN"/>
              </w:rPr>
            </w:pPr>
            <w:r>
              <w:rPr>
                <w:rFonts w:hint="eastAsia" w:ascii="宋体" w:hAnsi="宋体" w:cs="宋体"/>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cs="微软雅黑"/>
                <w:szCs w:val="21"/>
              </w:rPr>
            </w:pPr>
          </w:p>
        </w:tc>
        <w:tc>
          <w:tcPr>
            <w:tcW w:w="2018" w:type="dxa"/>
            <w:vAlign w:val="center"/>
          </w:tcPr>
          <w:p>
            <w:pPr>
              <w:snapToGrid w:val="0"/>
              <w:spacing w:line="400" w:lineRule="exact"/>
              <w:rPr>
                <w:rFonts w:asci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bCs/>
                <w:szCs w:val="21"/>
                <w:lang w:val="zh-CN"/>
              </w:rPr>
            </w:pPr>
            <w:r>
              <w:rPr>
                <w:rFonts w:ascii="宋体" w:hAnsi="宋体" w:cs="宋体"/>
                <w:bCs/>
                <w:szCs w:val="21"/>
                <w:lang w:val="zh-CN"/>
              </w:rPr>
              <w:t>15</w:t>
            </w:r>
          </w:p>
        </w:tc>
        <w:tc>
          <w:tcPr>
            <w:tcW w:w="3751" w:type="dxa"/>
            <w:gridSpan w:val="3"/>
            <w:vAlign w:val="center"/>
          </w:tcPr>
          <w:p>
            <w:pPr>
              <w:spacing w:line="360" w:lineRule="auto"/>
              <w:contextualSpacing/>
              <w:rPr>
                <w:rFonts w:ascii="宋体" w:hAnsi="宋体"/>
                <w:szCs w:val="21"/>
              </w:rPr>
            </w:pPr>
            <w:r>
              <w:rPr>
                <w:rFonts w:hint="eastAsia" w:ascii="宋体" w:hAnsi="宋体" w:cs="宋体"/>
                <w:bCs/>
                <w:szCs w:val="21"/>
                <w:lang w:val="zh-CN"/>
              </w:rPr>
              <w:t>三年内未被省级或省级以上环境保护主管部门停业整顿的承诺</w:t>
            </w:r>
          </w:p>
        </w:tc>
        <w:tc>
          <w:tcPr>
            <w:tcW w:w="1559" w:type="dxa"/>
            <w:vAlign w:val="center"/>
          </w:tcPr>
          <w:p>
            <w:pPr>
              <w:jc w:val="center"/>
              <w:rPr>
                <w:szCs w:val="21"/>
              </w:rPr>
            </w:pPr>
          </w:p>
        </w:tc>
        <w:tc>
          <w:tcPr>
            <w:tcW w:w="1560" w:type="dxa"/>
            <w:vAlign w:val="center"/>
          </w:tcPr>
          <w:p>
            <w:pPr>
              <w:snapToGrid w:val="0"/>
              <w:spacing w:line="400" w:lineRule="exact"/>
              <w:rPr>
                <w:rFonts w:ascii="宋体" w:cs="微软雅黑"/>
                <w:szCs w:val="21"/>
              </w:rPr>
            </w:pPr>
          </w:p>
        </w:tc>
        <w:tc>
          <w:tcPr>
            <w:tcW w:w="2018" w:type="dxa"/>
            <w:vAlign w:val="center"/>
          </w:tcPr>
          <w:p>
            <w:pPr>
              <w:snapToGrid w:val="0"/>
              <w:spacing w:line="400" w:lineRule="exact"/>
              <w:rPr>
                <w:rFonts w:asci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bCs/>
                <w:szCs w:val="21"/>
                <w:lang w:val="zh-CN"/>
              </w:rPr>
            </w:pPr>
            <w:r>
              <w:rPr>
                <w:rFonts w:ascii="宋体" w:hAnsi="宋体" w:cs="宋体"/>
                <w:bCs/>
                <w:szCs w:val="21"/>
                <w:lang w:val="zh-CN"/>
              </w:rPr>
              <w:t>16</w:t>
            </w:r>
          </w:p>
        </w:tc>
        <w:tc>
          <w:tcPr>
            <w:tcW w:w="3751" w:type="dxa"/>
            <w:gridSpan w:val="3"/>
            <w:vAlign w:val="center"/>
          </w:tcPr>
          <w:p>
            <w:pPr>
              <w:pStyle w:val="16"/>
              <w:kinsoku w:val="0"/>
              <w:overflowPunct w:val="0"/>
              <w:autoSpaceDE w:val="0"/>
              <w:autoSpaceDN w:val="0"/>
              <w:spacing w:line="320" w:lineRule="exact"/>
              <w:rPr>
                <w:rFonts w:ascii="宋体" w:cs="宋体"/>
                <w:bCs/>
                <w:sz w:val="21"/>
                <w:szCs w:val="21"/>
                <w:lang w:val="zh-CN"/>
              </w:rPr>
            </w:pPr>
            <w:r>
              <w:rPr>
                <w:rFonts w:hint="eastAsia" w:ascii="宋体" w:hAnsi="宋体" w:cs="宋体"/>
                <w:bCs/>
                <w:sz w:val="21"/>
                <w:szCs w:val="21"/>
                <w:lang w:val="zh-CN"/>
              </w:rPr>
              <w:t>投标人与参加本项目投标的其他供应商之间，单位负责人不为同一人并且不存在直接控股、管理关系承诺函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cs="微软雅黑"/>
                <w:szCs w:val="21"/>
              </w:rPr>
            </w:pPr>
          </w:p>
        </w:tc>
        <w:tc>
          <w:tcPr>
            <w:tcW w:w="2018" w:type="dxa"/>
            <w:vAlign w:val="center"/>
          </w:tcPr>
          <w:p>
            <w:pPr>
              <w:snapToGrid w:val="0"/>
              <w:spacing w:line="400" w:lineRule="exact"/>
              <w:rPr>
                <w:rFonts w:asci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宋体"/>
                <w:bCs/>
                <w:szCs w:val="21"/>
                <w:lang w:val="zh-CN"/>
              </w:rPr>
            </w:pPr>
            <w:r>
              <w:rPr>
                <w:rFonts w:ascii="宋体" w:hAnsi="宋体" w:cs="宋体"/>
                <w:bCs/>
                <w:szCs w:val="21"/>
                <w:lang w:val="zh-CN"/>
              </w:rPr>
              <w:t>17</w:t>
            </w:r>
          </w:p>
        </w:tc>
        <w:tc>
          <w:tcPr>
            <w:tcW w:w="3751" w:type="dxa"/>
            <w:gridSpan w:val="3"/>
            <w:vAlign w:val="center"/>
          </w:tcPr>
          <w:p>
            <w:pPr>
              <w:pStyle w:val="16"/>
              <w:kinsoku w:val="0"/>
              <w:overflowPunct w:val="0"/>
              <w:autoSpaceDE w:val="0"/>
              <w:autoSpaceDN w:val="0"/>
              <w:spacing w:line="320" w:lineRule="exact"/>
              <w:rPr>
                <w:rFonts w:ascii="宋体" w:cs="宋体"/>
                <w:bCs/>
                <w:sz w:val="21"/>
                <w:szCs w:val="21"/>
                <w:lang w:val="zh-CN"/>
              </w:rPr>
            </w:pPr>
            <w:r>
              <w:rPr>
                <w:rFonts w:hint="eastAsia" w:ascii="宋体" w:hAnsi="宋体" w:cs="仿宋_GB2312"/>
                <w:sz w:val="21"/>
                <w:szCs w:val="21"/>
                <w:lang w:val="zh-CN"/>
              </w:rPr>
              <w:t>投标人未为本项目提供整体设计、规范编制或者项目管理、监理、检测等服务承诺函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cs="微软雅黑"/>
                <w:szCs w:val="21"/>
              </w:rPr>
            </w:pPr>
          </w:p>
        </w:tc>
        <w:tc>
          <w:tcPr>
            <w:tcW w:w="2018" w:type="dxa"/>
            <w:vAlign w:val="center"/>
          </w:tcPr>
          <w:p>
            <w:pPr>
              <w:snapToGrid w:val="0"/>
              <w:spacing w:line="400" w:lineRule="exact"/>
              <w:rPr>
                <w:rFonts w:asci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ascii="宋体" w:hAnsi="宋体" w:cs="微软雅黑"/>
                <w:szCs w:val="21"/>
              </w:rPr>
              <w:t>18</w:t>
            </w:r>
          </w:p>
        </w:tc>
        <w:tc>
          <w:tcPr>
            <w:tcW w:w="3751" w:type="dxa"/>
            <w:gridSpan w:val="3"/>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cs="微软雅黑"/>
                <w:szCs w:val="21"/>
              </w:rPr>
            </w:pPr>
          </w:p>
        </w:tc>
        <w:tc>
          <w:tcPr>
            <w:tcW w:w="2018" w:type="dxa"/>
            <w:tcBorders>
              <w:top w:val="single" w:color="auto" w:sz="4" w:space="0"/>
            </w:tcBorders>
            <w:vAlign w:val="center"/>
          </w:tcPr>
          <w:p>
            <w:pPr>
              <w:snapToGrid w:val="0"/>
              <w:spacing w:line="400" w:lineRule="exact"/>
              <w:rPr>
                <w:rFonts w:asci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ascii="宋体" w:hAnsi="宋体" w:cs="微软雅黑"/>
                <w:szCs w:val="21"/>
              </w:rPr>
              <w:t>19</w:t>
            </w:r>
          </w:p>
        </w:tc>
        <w:tc>
          <w:tcPr>
            <w:tcW w:w="3751" w:type="dxa"/>
            <w:gridSpan w:val="3"/>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cs="微软雅黑"/>
                <w:szCs w:val="21"/>
              </w:rPr>
            </w:pPr>
          </w:p>
        </w:tc>
        <w:tc>
          <w:tcPr>
            <w:tcW w:w="2018" w:type="dxa"/>
            <w:vAlign w:val="center"/>
          </w:tcPr>
          <w:p>
            <w:pPr>
              <w:snapToGrid w:val="0"/>
              <w:spacing w:line="400" w:lineRule="exact"/>
              <w:rPr>
                <w:rFonts w:asci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ascii="宋体" w:hAnsi="宋体" w:cs="微软雅黑"/>
                <w:szCs w:val="21"/>
              </w:rPr>
              <w:t>20</w:t>
            </w:r>
          </w:p>
        </w:tc>
        <w:tc>
          <w:tcPr>
            <w:tcW w:w="3751" w:type="dxa"/>
            <w:gridSpan w:val="3"/>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cs="微软雅黑"/>
                <w:szCs w:val="21"/>
              </w:rPr>
            </w:pPr>
          </w:p>
        </w:tc>
        <w:tc>
          <w:tcPr>
            <w:tcW w:w="2018" w:type="dxa"/>
            <w:vAlign w:val="center"/>
          </w:tcPr>
          <w:p>
            <w:pPr>
              <w:snapToGrid w:val="0"/>
              <w:spacing w:line="400" w:lineRule="exact"/>
              <w:rPr>
                <w:rFonts w:asci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ascii="宋体" w:hAnsi="宋体" w:cs="微软雅黑"/>
                <w:szCs w:val="21"/>
              </w:rPr>
              <w:t>21</w:t>
            </w:r>
          </w:p>
        </w:tc>
        <w:tc>
          <w:tcPr>
            <w:tcW w:w="3751" w:type="dxa"/>
            <w:gridSpan w:val="3"/>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政府强制采购节能产品品目清单情况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cs="微软雅黑"/>
                <w:szCs w:val="21"/>
              </w:rPr>
            </w:pPr>
          </w:p>
        </w:tc>
        <w:tc>
          <w:tcPr>
            <w:tcW w:w="2018" w:type="dxa"/>
            <w:vAlign w:val="center"/>
          </w:tcPr>
          <w:p>
            <w:pPr>
              <w:snapToGrid w:val="0"/>
              <w:spacing w:line="400" w:lineRule="exact"/>
              <w:rPr>
                <w:rFonts w:asci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ascii="宋体" w:hAnsi="宋体" w:cs="微软雅黑"/>
                <w:szCs w:val="21"/>
              </w:rPr>
              <w:t>22</w:t>
            </w:r>
          </w:p>
        </w:tc>
        <w:tc>
          <w:tcPr>
            <w:tcW w:w="3751" w:type="dxa"/>
            <w:gridSpan w:val="3"/>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优先采购节能产品政府采购品目清单情况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cs="微软雅黑"/>
                <w:szCs w:val="21"/>
              </w:rPr>
            </w:pPr>
          </w:p>
        </w:tc>
        <w:tc>
          <w:tcPr>
            <w:tcW w:w="2018" w:type="dxa"/>
            <w:vAlign w:val="center"/>
          </w:tcPr>
          <w:p>
            <w:pPr>
              <w:snapToGrid w:val="0"/>
              <w:spacing w:line="400" w:lineRule="exact"/>
              <w:rPr>
                <w:rFonts w:asci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ascii="宋体" w:hAnsi="宋体" w:cs="微软雅黑"/>
                <w:szCs w:val="21"/>
              </w:rPr>
              <w:t>23</w:t>
            </w:r>
          </w:p>
        </w:tc>
        <w:tc>
          <w:tcPr>
            <w:tcW w:w="3751" w:type="dxa"/>
            <w:gridSpan w:val="3"/>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lang w:val="en-GB"/>
              </w:rPr>
              <w:t>优先采购环境标志产品政府采购品目清单情况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cs="微软雅黑"/>
                <w:szCs w:val="21"/>
              </w:rPr>
            </w:pPr>
          </w:p>
        </w:tc>
        <w:tc>
          <w:tcPr>
            <w:tcW w:w="2018" w:type="dxa"/>
            <w:vAlign w:val="center"/>
          </w:tcPr>
          <w:p>
            <w:pPr>
              <w:snapToGrid w:val="0"/>
              <w:spacing w:line="400" w:lineRule="exact"/>
              <w:rPr>
                <w:rFonts w:asci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ascii="宋体" w:hAnsi="宋体" w:cs="微软雅黑"/>
                <w:szCs w:val="21"/>
              </w:rPr>
              <w:t>24</w:t>
            </w:r>
          </w:p>
        </w:tc>
        <w:tc>
          <w:tcPr>
            <w:tcW w:w="3751" w:type="dxa"/>
            <w:gridSpan w:val="3"/>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cs="微软雅黑"/>
                <w:szCs w:val="21"/>
              </w:rPr>
            </w:pPr>
          </w:p>
        </w:tc>
        <w:tc>
          <w:tcPr>
            <w:tcW w:w="2018" w:type="dxa"/>
            <w:vAlign w:val="center"/>
          </w:tcPr>
          <w:p>
            <w:pPr>
              <w:snapToGrid w:val="0"/>
              <w:spacing w:line="400" w:lineRule="exact"/>
              <w:rPr>
                <w:rFonts w:asci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ascii="宋体" w:hAnsi="宋体" w:cs="微软雅黑"/>
                <w:szCs w:val="21"/>
              </w:rPr>
              <w:t>25</w:t>
            </w:r>
          </w:p>
        </w:tc>
        <w:tc>
          <w:tcPr>
            <w:tcW w:w="3751" w:type="dxa"/>
            <w:gridSpan w:val="3"/>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ascii="宋体" w:hAnsi="宋体" w:cs="仿宋_GB2312"/>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cs="微软雅黑"/>
                <w:szCs w:val="21"/>
              </w:rPr>
            </w:pPr>
          </w:p>
        </w:tc>
        <w:tc>
          <w:tcPr>
            <w:tcW w:w="2018" w:type="dxa"/>
            <w:vAlign w:val="center"/>
          </w:tcPr>
          <w:p>
            <w:pPr>
              <w:snapToGrid w:val="0"/>
              <w:spacing w:line="400" w:lineRule="exact"/>
              <w:rPr>
                <w:rFonts w:asci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ascii="宋体" w:hAnsi="宋体" w:cs="微软雅黑"/>
                <w:szCs w:val="21"/>
              </w:rPr>
              <w:t>26</w:t>
            </w:r>
          </w:p>
        </w:tc>
        <w:tc>
          <w:tcPr>
            <w:tcW w:w="3751" w:type="dxa"/>
            <w:gridSpan w:val="3"/>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cs="微软雅黑"/>
                <w:szCs w:val="21"/>
              </w:rPr>
            </w:pPr>
          </w:p>
        </w:tc>
        <w:tc>
          <w:tcPr>
            <w:tcW w:w="2018" w:type="dxa"/>
            <w:vAlign w:val="center"/>
          </w:tcPr>
          <w:p>
            <w:pPr>
              <w:snapToGrid w:val="0"/>
              <w:spacing w:line="400" w:lineRule="exact"/>
              <w:rPr>
                <w:rFonts w:asci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ascii="宋体" w:hAnsi="宋体" w:cs="微软雅黑"/>
                <w:szCs w:val="21"/>
              </w:rPr>
              <w:t>27</w:t>
            </w:r>
          </w:p>
        </w:tc>
        <w:tc>
          <w:tcPr>
            <w:tcW w:w="3751" w:type="dxa"/>
            <w:gridSpan w:val="3"/>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cs="微软雅黑"/>
                <w:szCs w:val="21"/>
              </w:rPr>
            </w:pPr>
          </w:p>
        </w:tc>
        <w:tc>
          <w:tcPr>
            <w:tcW w:w="2018" w:type="dxa"/>
            <w:vAlign w:val="center"/>
          </w:tcPr>
          <w:p>
            <w:pPr>
              <w:snapToGrid w:val="0"/>
              <w:spacing w:line="400" w:lineRule="exact"/>
              <w:rPr>
                <w:rFonts w:asci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注：①本表序号</w:t>
      </w:r>
      <w:r>
        <w:rPr>
          <w:rFonts w:ascii="楷体" w:hAnsi="楷体" w:eastAsia="楷体"/>
          <w:color w:val="000000"/>
          <w:sz w:val="24"/>
          <w:szCs w:val="24"/>
        </w:rPr>
        <w:t>8</w:t>
      </w:r>
      <w:r>
        <w:rPr>
          <w:rFonts w:hint="eastAsia" w:ascii="楷体" w:hAnsi="楷体" w:eastAsia="楷体"/>
          <w:color w:val="000000"/>
          <w:sz w:val="24"/>
          <w:szCs w:val="24"/>
        </w:rPr>
        <w:t>请按照本招标文件</w:t>
      </w:r>
      <w:r>
        <w:rPr>
          <w:rFonts w:ascii="楷体" w:hAnsi="楷体" w:eastAsia="楷体"/>
          <w:color w:val="000000"/>
          <w:sz w:val="24"/>
          <w:szCs w:val="24"/>
        </w:rPr>
        <w:t xml:space="preserve"> </w:t>
      </w:r>
      <w:r>
        <w:rPr>
          <w:rFonts w:hint="eastAsia" w:ascii="楷体" w:hAnsi="楷体" w:eastAsia="楷体"/>
          <w:color w:val="000000"/>
          <w:sz w:val="24"/>
          <w:szCs w:val="24"/>
        </w:rPr>
        <w:t>“第六章资格审查与评标”资格审查表中序号</w:t>
      </w:r>
      <w:r>
        <w:rPr>
          <w:rFonts w:ascii="楷体" w:hAnsi="楷体" w:eastAsia="楷体"/>
          <w:color w:val="000000"/>
          <w:sz w:val="24"/>
          <w:szCs w:val="24"/>
        </w:rPr>
        <w:t>3</w:t>
      </w:r>
      <w:r>
        <w:rPr>
          <w:rFonts w:hint="eastAsia" w:ascii="楷体" w:hAnsi="楷体" w:eastAsia="楷体"/>
          <w:color w:val="000000"/>
          <w:sz w:val="24"/>
          <w:szCs w:val="24"/>
        </w:rPr>
        <w:t>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②本表序号</w:t>
      </w:r>
      <w:r>
        <w:rPr>
          <w:rFonts w:ascii="楷体" w:hAnsi="楷体" w:eastAsia="楷体"/>
          <w:color w:val="000000"/>
          <w:sz w:val="24"/>
          <w:szCs w:val="24"/>
        </w:rPr>
        <w:t>10</w:t>
      </w:r>
      <w:r>
        <w:rPr>
          <w:rFonts w:hint="eastAsia" w:ascii="楷体" w:hAnsi="楷体" w:eastAsia="楷体"/>
          <w:color w:val="000000"/>
          <w:sz w:val="24"/>
          <w:szCs w:val="24"/>
        </w:rPr>
        <w:t>请按照本招标文件</w:t>
      </w:r>
      <w:r>
        <w:rPr>
          <w:rFonts w:ascii="楷体" w:hAnsi="楷体" w:eastAsia="楷体"/>
          <w:color w:val="000000"/>
          <w:sz w:val="24"/>
          <w:szCs w:val="24"/>
        </w:rPr>
        <w:t xml:space="preserve"> </w:t>
      </w:r>
      <w:r>
        <w:rPr>
          <w:rFonts w:hint="eastAsia" w:ascii="楷体" w:hAnsi="楷体" w:eastAsia="楷体"/>
          <w:color w:val="000000"/>
          <w:sz w:val="24"/>
          <w:szCs w:val="24"/>
        </w:rPr>
        <w:t>“第六章资格审查与评标”资格审查表中序号</w:t>
      </w:r>
      <w:r>
        <w:rPr>
          <w:rFonts w:ascii="楷体" w:hAnsi="楷体" w:eastAsia="楷体"/>
          <w:color w:val="000000"/>
          <w:sz w:val="24"/>
          <w:szCs w:val="24"/>
        </w:rPr>
        <w:t>6</w:t>
      </w:r>
      <w:r>
        <w:rPr>
          <w:rFonts w:hint="eastAsia" w:ascii="楷体" w:hAnsi="楷体" w:eastAsia="楷体"/>
          <w:color w:val="000000"/>
          <w:sz w:val="24"/>
          <w:szCs w:val="24"/>
        </w:rPr>
        <w:t>要求提供，根据所提供证明材料或承诺函（声明）情况填写其中一项即可。</w:t>
      </w:r>
    </w:p>
    <w:p>
      <w:pPr>
        <w:pStyle w:val="16"/>
        <w:spacing w:line="360" w:lineRule="auto"/>
        <w:jc w:val="both"/>
        <w:rPr>
          <w:rFonts w:ascii="宋体"/>
          <w:b/>
          <w:snapToGrid w:val="0"/>
          <w:kern w:val="0"/>
          <w:sz w:val="28"/>
          <w:szCs w:val="28"/>
        </w:rPr>
      </w:pPr>
    </w:p>
    <w:p>
      <w:pPr>
        <w:pStyle w:val="16"/>
        <w:spacing w:line="360" w:lineRule="auto"/>
        <w:jc w:val="center"/>
        <w:rPr>
          <w:rFonts w:ascii="宋体"/>
          <w:b/>
          <w:snapToGrid w:val="0"/>
          <w:kern w:val="0"/>
          <w:sz w:val="28"/>
          <w:szCs w:val="28"/>
        </w:rPr>
      </w:pPr>
      <w:r>
        <w:rPr>
          <w:rFonts w:hint="eastAsia" w:ascii="宋体" w:hAnsi="宋体"/>
          <w:b/>
          <w:snapToGrid w:val="0"/>
          <w:kern w:val="0"/>
          <w:sz w:val="28"/>
          <w:szCs w:val="28"/>
        </w:rPr>
        <w:t>二、开标一览表</w:t>
      </w:r>
    </w:p>
    <w:p>
      <w:pPr>
        <w:pStyle w:val="16"/>
        <w:spacing w:line="360" w:lineRule="auto"/>
        <w:jc w:val="center"/>
        <w:rPr>
          <w:rFonts w:ascii="宋体"/>
          <w:b/>
          <w:snapToGrid w:val="0"/>
          <w:kern w:val="0"/>
          <w:sz w:val="28"/>
          <w:szCs w:val="28"/>
        </w:rPr>
      </w:pPr>
    </w:p>
    <w:p>
      <w:pPr>
        <w:spacing w:before="50" w:afterLines="50" w:line="360" w:lineRule="auto"/>
        <w:contextualSpacing/>
        <w:jc w:val="left"/>
        <w:rPr>
          <w:rFonts w:ascii="宋体"/>
          <w:color w:val="000000"/>
          <w:szCs w:val="21"/>
        </w:rPr>
      </w:pPr>
      <w:r>
        <w:rPr>
          <w:rFonts w:hint="eastAsia" w:ascii="宋体" w:hAnsi="宋体"/>
          <w:color w:val="000000"/>
          <w:szCs w:val="21"/>
        </w:rPr>
        <w:t>项目编号：</w:t>
      </w:r>
    </w:p>
    <w:p>
      <w:pPr>
        <w:spacing w:line="360" w:lineRule="auto"/>
        <w:contextualSpacing/>
        <w:rPr>
          <w:rFonts w:ascii="宋体"/>
          <w:color w:val="000000"/>
          <w:szCs w:val="21"/>
        </w:rPr>
      </w:pPr>
      <w:r>
        <w:rPr>
          <w:rFonts w:hint="eastAsia" w:ascii="宋体" w:hAnsi="宋体"/>
          <w:color w:val="000000"/>
          <w:szCs w:val="21"/>
        </w:rPr>
        <w:t>项目名称：</w:t>
      </w:r>
      <w:r>
        <w:rPr>
          <w:rFonts w:ascii="宋体" w:hAnsi="宋体"/>
          <w:color w:val="000000"/>
          <w:szCs w:val="21"/>
        </w:rPr>
        <w:t xml:space="preserve">                                             </w:t>
      </w:r>
      <w:r>
        <w:rPr>
          <w:rFonts w:hint="eastAsia" w:ascii="宋体" w:hAnsi="宋体" w:cs="Arial"/>
          <w:szCs w:val="21"/>
        </w:rPr>
        <w:t>单位：元（人民币）</w:t>
      </w:r>
    </w:p>
    <w:tbl>
      <w:tblPr>
        <w:tblStyle w:val="24"/>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宋体" w:cs="宋体"/>
                <w:b/>
                <w:szCs w:val="21"/>
                <w:lang w:val="zh-CN"/>
              </w:rPr>
            </w:pPr>
            <w:r>
              <w:rPr>
                <w:rFonts w:hint="eastAsia" w:ascii="宋体" w:hAnsi="宋体" w:cs="宋体"/>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宋体" w:cs="宋体"/>
                <w:b/>
                <w:szCs w:val="21"/>
                <w:lang w:val="zh-CN"/>
              </w:rPr>
            </w:pPr>
            <w:r>
              <w:rPr>
                <w:rFonts w:hint="eastAsia" w:ascii="宋体" w:hAnsi="宋体" w:cs="宋体"/>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宋体" w:cs="宋体"/>
                <w:b/>
                <w:szCs w:val="21"/>
                <w:lang w:val="zh-CN"/>
              </w:rPr>
            </w:pPr>
            <w:r>
              <w:rPr>
                <w:rFonts w:hint="eastAsia" w:ascii="宋体" w:hAnsi="宋体" w:cs="宋体"/>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宋体" w:cs="宋体"/>
                <w:b/>
                <w:szCs w:val="21"/>
                <w:lang w:val="zh-CN"/>
              </w:rPr>
            </w:pPr>
            <w:r>
              <w:rPr>
                <w:rFonts w:hint="eastAsia" w:ascii="宋体" w:hAnsi="宋体" w:cs="宋体"/>
                <w:b/>
                <w:szCs w:val="21"/>
                <w:lang w:val="zh-CN"/>
              </w:rPr>
              <w:t>交付（服务、完工）时间</w:t>
            </w:r>
          </w:p>
        </w:tc>
        <w:tc>
          <w:tcPr>
            <w:tcW w:w="850" w:type="dxa"/>
            <w:tcBorders>
              <w:top w:val="single" w:color="auto" w:sz="6" w:space="0"/>
              <w:left w:val="single" w:color="auto" w:sz="6" w:space="0"/>
              <w:bottom w:val="single" w:color="auto" w:sz="6" w:space="0"/>
              <w:right w:val="single" w:color="auto" w:sz="6" w:space="0"/>
            </w:tcBorders>
            <w:shd w:val="clear" w:color="auto" w:fill="F2F2F2"/>
            <w:vAlign w:val="center"/>
          </w:tcPr>
          <w:p>
            <w:pPr>
              <w:autoSpaceDE w:val="0"/>
              <w:autoSpaceDN w:val="0"/>
              <w:adjustRightInd w:val="0"/>
              <w:spacing w:line="480" w:lineRule="exact"/>
              <w:jc w:val="center"/>
              <w:rPr>
                <w:rFonts w:ascii="宋体" w:cs="宋体"/>
                <w:b/>
                <w:szCs w:val="21"/>
                <w:lang w:val="zh-CN"/>
              </w:rPr>
            </w:pPr>
            <w:r>
              <w:rPr>
                <w:rFonts w:hint="eastAsia" w:ascii="宋体" w:hAnsi="宋体" w:cs="宋体"/>
                <w:b/>
                <w:szCs w:val="21"/>
                <w:lang w:val="zh-CN"/>
              </w:rPr>
              <w:t>备注</w:t>
            </w: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cs="宋体"/>
                <w:szCs w:val="21"/>
                <w:lang w:val="zh-CN"/>
              </w:rPr>
            </w:pPr>
            <w:r>
              <w:rPr>
                <w:rFonts w:hint="eastAsia" w:ascii="宋体" w:hAnsi="宋体" w:cs="宋体"/>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cs="宋体"/>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cs="宋体"/>
                <w:szCs w:val="21"/>
                <w:lang w:val="zh-CN"/>
              </w:rPr>
            </w:pP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szCs w:val="21"/>
              </w:rPr>
            </w:pPr>
            <w:r>
              <w:rPr>
                <w:rFonts w:hint="eastAsia" w:ascii="宋体" w:hAnsi="宋体" w:cs="Arial"/>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cs="宋体"/>
                <w:szCs w:val="21"/>
                <w:lang w:val="zh-CN"/>
              </w:rPr>
            </w:pPr>
            <w:r>
              <w:rPr>
                <w:rFonts w:hint="eastAsia" w:ascii="宋体" w:hAnsi="宋体" w:cs="宋体"/>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cs="宋体"/>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cs="宋体"/>
                <w:szCs w:val="21"/>
                <w:lang w:val="zh-CN"/>
              </w:rPr>
            </w:pPr>
          </w:p>
        </w:tc>
      </w:tr>
    </w:tbl>
    <w:p>
      <w:pPr>
        <w:autoSpaceDE w:val="0"/>
        <w:autoSpaceDN w:val="0"/>
        <w:adjustRightInd w:val="0"/>
        <w:spacing w:line="480" w:lineRule="auto"/>
        <w:rPr>
          <w:rFonts w:ascii="宋体" w:cs="宋体"/>
          <w:szCs w:val="21"/>
          <w:lang w:val="zh-CN"/>
        </w:rPr>
      </w:pPr>
      <w:r>
        <w:rPr>
          <w:rFonts w:hint="eastAsia" w:ascii="宋体" w:hAnsi="宋体" w:cs="宋体"/>
          <w:szCs w:val="21"/>
          <w:lang w:val="zh-CN"/>
        </w:rPr>
        <w:t>投标人名称：</w:t>
      </w:r>
      <w:r>
        <w:rPr>
          <w:rFonts w:ascii="宋体" w:hAnsi="宋体" w:cs="宋体"/>
          <w:szCs w:val="21"/>
          <w:u w:val="single"/>
          <w:lang w:val="zh-CN"/>
        </w:rPr>
        <w:t xml:space="preserve">     </w:t>
      </w:r>
      <w:r>
        <w:rPr>
          <w:rFonts w:hint="eastAsia" w:ascii="宋体" w:hAnsi="宋体" w:cs="宋体"/>
          <w:szCs w:val="21"/>
          <w:u w:val="single"/>
          <w:lang w:val="zh-CN"/>
        </w:rPr>
        <w:t>（全称）</w:t>
      </w:r>
      <w:r>
        <w:rPr>
          <w:rFonts w:ascii="宋体" w:hAnsi="宋体" w:cs="宋体"/>
          <w:szCs w:val="21"/>
          <w:u w:val="single"/>
          <w:lang w:val="zh-CN"/>
        </w:rPr>
        <w:t xml:space="preserve">   </w:t>
      </w:r>
      <w:r>
        <w:rPr>
          <w:rFonts w:hint="eastAsia" w:ascii="宋体" w:hAnsi="宋体" w:cs="宋体"/>
          <w:szCs w:val="21"/>
          <w:lang w:val="zh-CN"/>
        </w:rPr>
        <w:t>（公章）：</w:t>
      </w:r>
    </w:p>
    <w:p>
      <w:pPr>
        <w:autoSpaceDE w:val="0"/>
        <w:autoSpaceDN w:val="0"/>
        <w:adjustRightInd w:val="0"/>
        <w:spacing w:line="480" w:lineRule="auto"/>
        <w:rPr>
          <w:rFonts w:ascii="宋体" w:cs="宋体"/>
          <w:szCs w:val="21"/>
          <w:lang w:val="zh-CN"/>
        </w:rPr>
      </w:pPr>
      <w:r>
        <w:rPr>
          <w:rFonts w:hint="eastAsia" w:ascii="宋体" w:hAnsi="宋体" w:cs="宋体"/>
          <w:szCs w:val="21"/>
          <w:lang w:val="zh-CN"/>
        </w:rPr>
        <w:t>投标人法定代表人（单位负责人）或授权代表签字：</w:t>
      </w:r>
    </w:p>
    <w:p>
      <w:pPr>
        <w:autoSpaceDE w:val="0"/>
        <w:autoSpaceDN w:val="0"/>
        <w:adjustRightInd w:val="0"/>
        <w:spacing w:line="480" w:lineRule="auto"/>
        <w:rPr>
          <w:rFonts w:ascii="宋体" w:cs="宋体"/>
          <w:szCs w:val="21"/>
          <w:lang w:val="zh-CN"/>
        </w:rPr>
      </w:pPr>
      <w:r>
        <w:rPr>
          <w:rFonts w:hint="eastAsia" w:ascii="宋体" w:hAnsi="宋体" w:cs="宋体"/>
          <w:szCs w:val="21"/>
          <w:lang w:val="zh-CN"/>
        </w:rPr>
        <w:t>日期：年月日</w:t>
      </w:r>
    </w:p>
    <w:p>
      <w:pPr>
        <w:autoSpaceDE w:val="0"/>
        <w:autoSpaceDN w:val="0"/>
        <w:adjustRightInd w:val="0"/>
        <w:spacing w:line="480" w:lineRule="auto"/>
        <w:rPr>
          <w:rFonts w:ascii="宋体" w:cs="宋体"/>
          <w:szCs w:val="21"/>
          <w:lang w:val="zh-CN"/>
        </w:rPr>
      </w:pPr>
      <w:r>
        <w:rPr>
          <w:rFonts w:hint="eastAsia" w:ascii="宋体" w:hAnsi="宋体" w:cs="宋体"/>
          <w:szCs w:val="21"/>
          <w:lang w:val="zh-CN"/>
        </w:rPr>
        <w:t>注：</w:t>
      </w:r>
      <w:r>
        <w:rPr>
          <w:rFonts w:ascii="宋体" w:hAnsi="宋体" w:cs="宋体"/>
          <w:szCs w:val="21"/>
          <w:lang w:val="zh-CN"/>
        </w:rPr>
        <w:t>1</w:t>
      </w:r>
      <w:r>
        <w:rPr>
          <w:rFonts w:hint="eastAsia" w:ascii="宋体" w:hAnsi="宋体" w:cs="宋体"/>
          <w:szCs w:val="21"/>
          <w:lang w:val="zh-CN"/>
        </w:rPr>
        <w:t>、交付日期指完成该项目的最终时间（日历天）。</w:t>
      </w:r>
    </w:p>
    <w:p>
      <w:pPr>
        <w:autoSpaceDE w:val="0"/>
        <w:autoSpaceDN w:val="0"/>
        <w:adjustRightInd w:val="0"/>
        <w:spacing w:line="480" w:lineRule="auto"/>
        <w:ind w:firstLine="420" w:firstLineChars="200"/>
        <w:rPr>
          <w:rFonts w:ascii="宋体" w:cs="宋体"/>
          <w:szCs w:val="21"/>
          <w:lang w:val="zh-CN"/>
        </w:rPr>
      </w:pPr>
      <w:r>
        <w:rPr>
          <w:rFonts w:ascii="宋体" w:hAnsi="宋体" w:cs="宋体"/>
          <w:szCs w:val="21"/>
          <w:lang w:val="zh-CN"/>
        </w:rPr>
        <w:t>2</w:t>
      </w:r>
      <w:r>
        <w:rPr>
          <w:rFonts w:hint="eastAsia" w:ascii="宋体" w:hAnsi="宋体" w:cs="宋体"/>
          <w:szCs w:val="21"/>
          <w:lang w:val="zh-CN"/>
        </w:rPr>
        <w:t>、如招标公告明确项目交付日期以年为单位，本表应填写完成该项目的年限。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both"/>
        <w:rPr>
          <w:rFonts w:ascii="宋体" w:cs="黑体"/>
          <w:b/>
          <w:bCs/>
          <w:sz w:val="44"/>
          <w:szCs w:val="44"/>
          <w:lang w:val="zh-CN"/>
        </w:rPr>
      </w:pPr>
    </w:p>
    <w:p>
      <w:pPr>
        <w:autoSpaceDE w:val="0"/>
        <w:autoSpaceDN w:val="0"/>
        <w:adjustRightInd w:val="0"/>
        <w:spacing w:line="360" w:lineRule="auto"/>
        <w:jc w:val="center"/>
        <w:rPr>
          <w:rFonts w:ascii="宋体"/>
          <w:b/>
          <w:snapToGrid w:val="0"/>
          <w:kern w:val="0"/>
          <w:szCs w:val="24"/>
        </w:rPr>
      </w:pPr>
      <w:r>
        <w:rPr>
          <w:rFonts w:hint="eastAsia" w:ascii="宋体" w:hAnsi="宋体" w:cs="黑体"/>
          <w:b/>
          <w:bCs/>
          <w:sz w:val="28"/>
          <w:szCs w:val="28"/>
          <w:lang w:val="zh-CN"/>
        </w:rPr>
        <w:t>三、资格审查证明材料</w:t>
      </w:r>
    </w:p>
    <w:p>
      <w:pPr>
        <w:pStyle w:val="16"/>
        <w:spacing w:line="360" w:lineRule="auto"/>
        <w:jc w:val="center"/>
        <w:rPr>
          <w:rFonts w:ascii="宋体"/>
          <w:b/>
          <w:snapToGrid w:val="0"/>
          <w:kern w:val="0"/>
          <w:szCs w:val="24"/>
        </w:rPr>
      </w:pPr>
      <w:r>
        <w:rPr>
          <w:rFonts w:ascii="宋体" w:hAnsi="宋体"/>
          <w:b/>
          <w:snapToGrid w:val="0"/>
          <w:kern w:val="0"/>
          <w:szCs w:val="24"/>
        </w:rPr>
        <w:t xml:space="preserve">3.1 </w:t>
      </w:r>
      <w:r>
        <w:rPr>
          <w:rFonts w:hint="eastAsia" w:ascii="宋体" w:hAnsi="宋体"/>
          <w:b/>
          <w:snapToGrid w:val="0"/>
          <w:kern w:val="0"/>
          <w:szCs w:val="24"/>
        </w:rPr>
        <w:t>投</w:t>
      </w:r>
      <w:r>
        <w:rPr>
          <w:rFonts w:ascii="宋体" w:hAnsi="宋体"/>
          <w:b/>
          <w:snapToGrid w:val="0"/>
          <w:kern w:val="0"/>
          <w:szCs w:val="24"/>
        </w:rPr>
        <w:t xml:space="preserve"> </w:t>
      </w:r>
      <w:r>
        <w:rPr>
          <w:rFonts w:hint="eastAsia" w:ascii="宋体" w:hAnsi="宋体"/>
          <w:b/>
          <w:snapToGrid w:val="0"/>
          <w:kern w:val="0"/>
          <w:szCs w:val="24"/>
        </w:rPr>
        <w:t>标</w:t>
      </w:r>
      <w:r>
        <w:rPr>
          <w:rFonts w:ascii="宋体" w:hAnsi="宋体"/>
          <w:b/>
          <w:snapToGrid w:val="0"/>
          <w:kern w:val="0"/>
          <w:szCs w:val="24"/>
        </w:rPr>
        <w:t xml:space="preserve"> </w:t>
      </w:r>
      <w:r>
        <w:rPr>
          <w:rFonts w:hint="eastAsia" w:ascii="宋体" w:hAnsi="宋体"/>
          <w:b/>
          <w:snapToGrid w:val="0"/>
          <w:kern w:val="0"/>
          <w:szCs w:val="24"/>
        </w:rPr>
        <w:t>函</w:t>
      </w:r>
    </w:p>
    <w:p>
      <w:pPr>
        <w:pStyle w:val="16"/>
        <w:spacing w:line="360" w:lineRule="auto"/>
        <w:jc w:val="center"/>
        <w:rPr>
          <w:rFonts w:ascii="宋体"/>
          <w:b/>
          <w:snapToGrid w:val="0"/>
          <w:kern w:val="0"/>
          <w:sz w:val="28"/>
          <w:szCs w:val="28"/>
        </w:rPr>
      </w:pPr>
    </w:p>
    <w:p>
      <w:pPr>
        <w:adjustRightInd w:val="0"/>
        <w:spacing w:line="360" w:lineRule="auto"/>
        <w:contextualSpacing/>
        <w:rPr>
          <w:rFonts w:ascii="宋体"/>
          <w:b/>
          <w:snapToGrid w:val="0"/>
          <w:kern w:val="0"/>
          <w:szCs w:val="21"/>
        </w:rPr>
      </w:pPr>
      <w:r>
        <w:rPr>
          <w:rFonts w:hint="eastAsia" w:ascii="宋体" w:hAnsi="宋体"/>
          <w:snapToGrid w:val="0"/>
          <w:kern w:val="0"/>
          <w:szCs w:val="21"/>
        </w:rPr>
        <w:t>致：（采购人）</w:t>
      </w:r>
    </w:p>
    <w:p>
      <w:pPr>
        <w:adjustRightInd w:val="0"/>
        <w:spacing w:line="360" w:lineRule="auto"/>
        <w:ind w:firstLine="420" w:firstLineChars="200"/>
        <w:contextualSpacing/>
        <w:outlineLvl w:val="0"/>
        <w:rPr>
          <w:rFonts w:ascii="宋体"/>
          <w:snapToGrid w:val="0"/>
          <w:kern w:val="0"/>
          <w:szCs w:val="21"/>
        </w:rPr>
      </w:pPr>
      <w:r>
        <w:rPr>
          <w:rFonts w:hint="eastAsia" w:ascii="宋体" w:hAnsi="宋体"/>
          <w:snapToGrid w:val="0"/>
          <w:kern w:val="0"/>
          <w:szCs w:val="21"/>
        </w:rPr>
        <w:t>根据贵方</w:t>
      </w:r>
      <w:r>
        <w:rPr>
          <w:rFonts w:ascii="宋体" w:hAnsi="宋体"/>
          <w:snapToGrid w:val="0"/>
          <w:kern w:val="0"/>
          <w:szCs w:val="21"/>
        </w:rPr>
        <w:t>_</w:t>
      </w:r>
      <w:r>
        <w:rPr>
          <w:rFonts w:ascii="宋体" w:hAnsi="宋体"/>
          <w:snapToGrid w:val="0"/>
          <w:kern w:val="0"/>
          <w:szCs w:val="21"/>
          <w:u w:val="single"/>
        </w:rPr>
        <w:t xml:space="preserve">_    </w:t>
      </w:r>
      <w:r>
        <w:rPr>
          <w:rFonts w:ascii="宋体" w:hAnsi="宋体"/>
          <w:snapToGrid w:val="0"/>
          <w:kern w:val="0"/>
          <w:szCs w:val="21"/>
        </w:rPr>
        <w:t>_</w:t>
      </w:r>
      <w:r>
        <w:rPr>
          <w:rFonts w:hint="eastAsia" w:ascii="宋体" w:hAnsi="宋体"/>
          <w:snapToGrid w:val="0"/>
          <w:kern w:val="0"/>
          <w:szCs w:val="21"/>
        </w:rPr>
        <w:t>（项目名称、招标编号）采购的招标公告及投标邀请，</w:t>
      </w:r>
      <w:r>
        <w:rPr>
          <w:rFonts w:ascii="宋体" w:hAnsi="宋体"/>
          <w:snapToGrid w:val="0"/>
          <w:kern w:val="0"/>
          <w:szCs w:val="21"/>
        </w:rPr>
        <w:t>_______</w:t>
      </w:r>
      <w:r>
        <w:rPr>
          <w:rFonts w:hint="eastAsia" w:ascii="宋体" w:hAnsi="宋体"/>
          <w:snapToGrid w:val="0"/>
          <w:kern w:val="0"/>
          <w:szCs w:val="21"/>
        </w:rPr>
        <w:t>（姓名和职务）被正式授权并代表投标人（投标人名称、地址）提交。</w:t>
      </w:r>
    </w:p>
    <w:p>
      <w:pPr>
        <w:pStyle w:val="16"/>
        <w:adjustRightInd w:val="0"/>
        <w:spacing w:line="360" w:lineRule="auto"/>
        <w:ind w:firstLine="420" w:firstLineChars="200"/>
        <w:contextualSpacing/>
        <w:rPr>
          <w:rFonts w:ascii="宋体"/>
          <w:snapToGrid w:val="0"/>
          <w:kern w:val="0"/>
          <w:sz w:val="21"/>
          <w:szCs w:val="21"/>
        </w:rPr>
      </w:pPr>
      <w:r>
        <w:rPr>
          <w:rFonts w:hint="eastAsia" w:ascii="宋体" w:hAnsi="宋体"/>
          <w:snapToGrid w:val="0"/>
          <w:kern w:val="0"/>
          <w:sz w:val="21"/>
          <w:szCs w:val="21"/>
        </w:rPr>
        <w:t>我方确认收到贵方提供的（项目名称、招标编号）招标文件的全部内容。</w:t>
      </w:r>
    </w:p>
    <w:p>
      <w:pPr>
        <w:pStyle w:val="16"/>
        <w:adjustRightInd w:val="0"/>
        <w:spacing w:line="360" w:lineRule="auto"/>
        <w:ind w:firstLine="420" w:firstLineChars="200"/>
        <w:contextualSpacing/>
        <w:rPr>
          <w:rFonts w:ascii="宋体"/>
          <w:snapToGrid w:val="0"/>
          <w:kern w:val="0"/>
          <w:sz w:val="21"/>
          <w:szCs w:val="21"/>
        </w:rPr>
      </w:pPr>
      <w:r>
        <w:rPr>
          <w:rFonts w:hint="eastAsia" w:ascii="宋体" w:hAnsi="宋体"/>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宋体" w:hAnsi="宋体"/>
          <w:sz w:val="21"/>
          <w:szCs w:val="21"/>
        </w:rPr>
        <w:t>已完全理解并接受招标文件的各项规定和要求及资金支付规定，对招标文件的合理性、合法性不再有异议，并承诺在发生争议时不会以对《招标文件》存在误解、不明白的条款为由，对贵中心行使任何法律上的抗辩权。</w:t>
      </w:r>
    </w:p>
    <w:p>
      <w:pPr>
        <w:adjustRightInd w:val="0"/>
        <w:spacing w:line="360" w:lineRule="auto"/>
        <w:ind w:firstLine="420" w:firstLineChars="200"/>
        <w:contextualSpacing/>
        <w:rPr>
          <w:rFonts w:ascii="宋体"/>
          <w:snapToGrid w:val="0"/>
          <w:kern w:val="0"/>
          <w:szCs w:val="21"/>
        </w:rPr>
      </w:pPr>
      <w:r>
        <w:rPr>
          <w:rFonts w:ascii="宋体" w:hAnsi="宋体"/>
          <w:i/>
          <w:snapToGrid w:val="0"/>
          <w:kern w:val="0"/>
          <w:szCs w:val="21"/>
          <w:u w:val="single"/>
        </w:rPr>
        <w:t>(</w:t>
      </w:r>
      <w:r>
        <w:rPr>
          <w:rFonts w:hint="eastAsia" w:ascii="宋体" w:hAnsi="宋体"/>
          <w:i/>
          <w:snapToGrid w:val="0"/>
          <w:kern w:val="0"/>
          <w:szCs w:val="21"/>
          <w:u w:val="single"/>
        </w:rPr>
        <w:t>投标人名称</w:t>
      </w:r>
      <w:r>
        <w:rPr>
          <w:rFonts w:ascii="宋体" w:hAnsi="宋体"/>
          <w:i/>
          <w:snapToGrid w:val="0"/>
          <w:kern w:val="0"/>
          <w:szCs w:val="21"/>
          <w:u w:val="single"/>
        </w:rPr>
        <w:t xml:space="preserve">)     </w:t>
      </w:r>
      <w:r>
        <w:rPr>
          <w:rFonts w:hint="eastAsia" w:ascii="宋体" w:hAnsi="宋体"/>
          <w:snapToGrid w:val="0"/>
          <w:kern w:val="0"/>
          <w:szCs w:val="21"/>
        </w:rPr>
        <w:t>作为投标人正式授权</w:t>
      </w:r>
      <w:r>
        <w:rPr>
          <w:rFonts w:ascii="宋体" w:hAnsi="宋体"/>
          <w:i/>
          <w:snapToGrid w:val="0"/>
          <w:kern w:val="0"/>
          <w:szCs w:val="21"/>
          <w:u w:val="single"/>
        </w:rPr>
        <w:t>(</w:t>
      </w:r>
      <w:r>
        <w:rPr>
          <w:rFonts w:hint="eastAsia" w:ascii="宋体" w:hAnsi="宋体"/>
          <w:i/>
          <w:snapToGrid w:val="0"/>
          <w:kern w:val="0"/>
          <w:szCs w:val="21"/>
          <w:u w:val="single"/>
        </w:rPr>
        <w:t>授权代表全名</w:t>
      </w:r>
      <w:r>
        <w:rPr>
          <w:rFonts w:ascii="宋体" w:hAnsi="宋体"/>
          <w:i/>
          <w:snapToGrid w:val="0"/>
          <w:kern w:val="0"/>
          <w:szCs w:val="21"/>
          <w:u w:val="single"/>
        </w:rPr>
        <w:t xml:space="preserve">, </w:t>
      </w:r>
      <w:r>
        <w:rPr>
          <w:rFonts w:hint="eastAsia" w:ascii="宋体" w:hAnsi="宋体"/>
          <w:i/>
          <w:snapToGrid w:val="0"/>
          <w:kern w:val="0"/>
          <w:szCs w:val="21"/>
          <w:u w:val="single"/>
        </w:rPr>
        <w:t>职务</w:t>
      </w:r>
      <w:r>
        <w:rPr>
          <w:rFonts w:ascii="宋体" w:hAnsi="宋体"/>
          <w:i/>
          <w:snapToGrid w:val="0"/>
          <w:kern w:val="0"/>
          <w:szCs w:val="21"/>
          <w:u w:val="single"/>
        </w:rPr>
        <w:t xml:space="preserve">)       </w:t>
      </w:r>
      <w:r>
        <w:rPr>
          <w:rFonts w:hint="eastAsia" w:ascii="宋体" w:hAnsi="宋体"/>
          <w:snapToGrid w:val="0"/>
          <w:kern w:val="0"/>
          <w:szCs w:val="21"/>
        </w:rPr>
        <w:t>代表我方全权处理有关本投标的一切事宜。</w:t>
      </w:r>
    </w:p>
    <w:p>
      <w:pPr>
        <w:adjustRightInd w:val="0"/>
        <w:spacing w:line="360" w:lineRule="auto"/>
        <w:ind w:firstLine="420" w:firstLineChars="200"/>
        <w:contextualSpacing/>
        <w:rPr>
          <w:rFonts w:ascii="宋体"/>
          <w:snapToGrid w:val="0"/>
          <w:kern w:val="0"/>
          <w:szCs w:val="21"/>
        </w:rPr>
      </w:pPr>
      <w:r>
        <w:rPr>
          <w:rFonts w:hint="eastAsia" w:ascii="宋体" w:hAnsi="宋体"/>
          <w:snapToGrid w:val="0"/>
          <w:kern w:val="0"/>
          <w:szCs w:val="21"/>
        </w:rPr>
        <w:t>在此提交的投标文件，正本一份，副本</w:t>
      </w:r>
      <w:r>
        <w:rPr>
          <w:rFonts w:hint="eastAsia" w:ascii="宋体" w:hAnsi="宋体"/>
          <w:snapToGrid w:val="0"/>
          <w:kern w:val="0"/>
          <w:szCs w:val="21"/>
          <w:u w:val="single"/>
        </w:rPr>
        <w:t>一</w:t>
      </w:r>
      <w:r>
        <w:rPr>
          <w:rFonts w:hint="eastAsia" w:ascii="宋体" w:hAnsi="宋体"/>
          <w:snapToGrid w:val="0"/>
          <w:kern w:val="0"/>
          <w:szCs w:val="21"/>
        </w:rPr>
        <w:t>份。</w:t>
      </w:r>
    </w:p>
    <w:p>
      <w:pPr>
        <w:adjustRightInd w:val="0"/>
        <w:spacing w:line="360" w:lineRule="auto"/>
        <w:ind w:firstLine="420" w:firstLineChars="200"/>
        <w:contextualSpacing/>
        <w:rPr>
          <w:rFonts w:ascii="宋体" w:cs="Courier New"/>
          <w:szCs w:val="21"/>
        </w:rPr>
      </w:pPr>
      <w:r>
        <w:rPr>
          <w:rFonts w:hint="eastAsia" w:ascii="宋体" w:hAnsi="宋体" w:cs="Courier New"/>
          <w:szCs w:val="21"/>
        </w:rPr>
        <w:t>我方已完全明白招标文件的所有条款要求，并申明如下：</w:t>
      </w:r>
    </w:p>
    <w:p>
      <w:pPr>
        <w:adjustRightInd w:val="0"/>
        <w:spacing w:line="360" w:lineRule="auto"/>
        <w:ind w:firstLine="420" w:firstLineChars="200"/>
        <w:contextualSpacing/>
        <w:rPr>
          <w:rFonts w:ascii="宋体" w:cs="Courier New"/>
          <w:szCs w:val="21"/>
        </w:rPr>
      </w:pPr>
      <w:r>
        <w:rPr>
          <w:rFonts w:hint="eastAsia" w:ascii="宋体" w:hAnsi="宋体" w:cs="Courier New"/>
          <w:szCs w:val="21"/>
        </w:rPr>
        <w:t>一、按招标文件提供的全部货物与相关服务的投标总价详见《开标一览表》。</w:t>
      </w:r>
    </w:p>
    <w:p>
      <w:pPr>
        <w:adjustRightInd w:val="0"/>
        <w:spacing w:line="360" w:lineRule="auto"/>
        <w:ind w:firstLine="420" w:firstLineChars="200"/>
        <w:contextualSpacing/>
        <w:rPr>
          <w:rFonts w:ascii="宋体" w:cs="Courier New"/>
          <w:szCs w:val="21"/>
        </w:rPr>
      </w:pPr>
      <w:r>
        <w:rPr>
          <w:rFonts w:hint="eastAsia" w:ascii="宋体" w:hAnsi="宋体" w:cs="Courier New"/>
          <w:szCs w:val="21"/>
        </w:rPr>
        <w:t>二、</w:t>
      </w:r>
      <w:r>
        <w:rPr>
          <w:rFonts w:hint="eastAsia" w:ascii="宋体" w:hAnsi="宋体"/>
          <w:szCs w:val="21"/>
        </w:rPr>
        <w:t>我方同意在本项目招标文件中规定的开标日起</w:t>
      </w:r>
      <w:r>
        <w:rPr>
          <w:rFonts w:ascii="宋体" w:hAnsi="宋体"/>
          <w:szCs w:val="21"/>
        </w:rPr>
        <w:t>90</w:t>
      </w:r>
      <w:r>
        <w:rPr>
          <w:rFonts w:hint="eastAsia" w:ascii="宋体" w:hAnsi="宋体"/>
          <w:szCs w:val="21"/>
        </w:rPr>
        <w:t>天内遵守本投标文件中的承诺且在此期限期满之前均具有约束力。我方同意并遵守本招标文件“投标人须知”中第十四条第三款关于延长投标有效期的规定。</w:t>
      </w:r>
      <w:r>
        <w:rPr>
          <w:rFonts w:hint="eastAsia" w:ascii="宋体" w:hAnsi="宋体" w:cs="Courier New"/>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3"/>
        <w:adjustRightInd w:val="0"/>
        <w:spacing w:line="360" w:lineRule="auto"/>
        <w:ind w:firstLine="420" w:firstLineChars="200"/>
        <w:contextualSpacing/>
        <w:rPr>
          <w:rFonts w:ascii="宋体" w:cs="Courier New"/>
          <w:sz w:val="21"/>
          <w:szCs w:val="21"/>
        </w:rPr>
      </w:pPr>
      <w:r>
        <w:rPr>
          <w:rFonts w:hint="eastAsia" w:ascii="宋体" w:hAnsi="宋体" w:cs="Courier New"/>
          <w:sz w:val="21"/>
          <w:szCs w:val="21"/>
        </w:rPr>
        <w:t>三、我方明白并同意，在规定的开标日之后，投标有效期之内撤销投标的，则我方承担违背投标承诺的责任追究。</w:t>
      </w:r>
    </w:p>
    <w:p>
      <w:pPr>
        <w:pStyle w:val="23"/>
        <w:adjustRightInd w:val="0"/>
        <w:spacing w:line="360" w:lineRule="auto"/>
        <w:ind w:firstLine="420" w:firstLineChars="200"/>
        <w:contextualSpacing/>
        <w:rPr>
          <w:rFonts w:ascii="宋体" w:cs="Courier New"/>
          <w:sz w:val="21"/>
          <w:szCs w:val="21"/>
        </w:rPr>
      </w:pPr>
      <w:r>
        <w:rPr>
          <w:rFonts w:hint="eastAsia" w:ascii="宋体" w:hAnsi="宋体" w:cs="Courier New"/>
          <w:sz w:val="21"/>
          <w:szCs w:val="21"/>
        </w:rPr>
        <w:t>四、我方同意按照贵方可能提出的要求而提供与投标有关的任何其它数据、信息或资料。</w:t>
      </w:r>
    </w:p>
    <w:p>
      <w:pPr>
        <w:pStyle w:val="23"/>
        <w:adjustRightInd w:val="0"/>
        <w:spacing w:line="360" w:lineRule="auto"/>
        <w:ind w:firstLine="420" w:firstLineChars="200"/>
        <w:contextualSpacing/>
        <w:rPr>
          <w:rFonts w:ascii="宋体" w:cs="Courier New"/>
          <w:sz w:val="21"/>
          <w:szCs w:val="21"/>
        </w:rPr>
      </w:pPr>
      <w:r>
        <w:rPr>
          <w:rFonts w:hint="eastAsia" w:ascii="宋体" w:hAnsi="宋体" w:cs="Courier New"/>
          <w:sz w:val="21"/>
          <w:szCs w:val="21"/>
        </w:rPr>
        <w:t>五、我方理解贵方不一定接受最低投标价或任何贵方可能收到的投标。</w:t>
      </w:r>
    </w:p>
    <w:p>
      <w:pPr>
        <w:pStyle w:val="23"/>
        <w:adjustRightInd w:val="0"/>
        <w:spacing w:line="360" w:lineRule="auto"/>
        <w:ind w:firstLine="420" w:firstLineChars="200"/>
        <w:contextualSpacing/>
        <w:rPr>
          <w:rFonts w:ascii="宋体" w:cs="Courier New"/>
          <w:sz w:val="21"/>
          <w:szCs w:val="21"/>
        </w:rPr>
      </w:pPr>
      <w:r>
        <w:rPr>
          <w:rFonts w:hint="eastAsia" w:ascii="宋体" w:hAnsi="宋体" w:cs="Courier New"/>
          <w:sz w:val="21"/>
          <w:szCs w:val="21"/>
        </w:rPr>
        <w:t>六、我方如果中标，将保证履行招标文件及其澄清、修改文件（如果有）中的全部责任和义务，按质、按量、按期完成《项目需求》及《合同书》中的全部任务。</w:t>
      </w:r>
    </w:p>
    <w:p>
      <w:pPr>
        <w:pStyle w:val="23"/>
        <w:adjustRightInd w:val="0"/>
        <w:spacing w:line="360" w:lineRule="auto"/>
        <w:ind w:firstLine="420" w:firstLineChars="200"/>
        <w:contextualSpacing/>
        <w:rPr>
          <w:rFonts w:ascii="宋体" w:cs="宋体"/>
          <w:sz w:val="21"/>
          <w:szCs w:val="21"/>
        </w:rPr>
      </w:pPr>
      <w:r>
        <w:rPr>
          <w:rFonts w:hint="eastAsia" w:ascii="宋体" w:hAnsi="宋体" w:cs="Courier New"/>
          <w:sz w:val="21"/>
          <w:szCs w:val="21"/>
        </w:rPr>
        <w:t>七、我方在此保证所提交的所有文件和全部说明是真实的和正确的。</w:t>
      </w:r>
    </w:p>
    <w:p>
      <w:pPr>
        <w:pStyle w:val="16"/>
        <w:adjustRightInd w:val="0"/>
        <w:spacing w:line="360" w:lineRule="auto"/>
        <w:ind w:firstLine="420" w:firstLineChars="200"/>
        <w:contextualSpacing/>
        <w:rPr>
          <w:rFonts w:ascii="宋体" w:hAnsi="宋体"/>
          <w:sz w:val="21"/>
          <w:szCs w:val="21"/>
        </w:rPr>
      </w:pPr>
      <w:r>
        <w:rPr>
          <w:rFonts w:hint="eastAsia" w:ascii="宋体" w:hAnsi="宋体"/>
          <w:sz w:val="21"/>
          <w:szCs w:val="21"/>
        </w:rPr>
        <w:t>八、我方投标报价已包含应向知识产权所有权人支付的所有相关税费，并保证采购人在中国使用我方提供的货物时，如有第三方提出侵犯其知识产权主张的，责任由我方承担。</w:t>
      </w:r>
      <w:r>
        <w:rPr>
          <w:rFonts w:ascii="宋体" w:hAnsi="宋体"/>
          <w:sz w:val="21"/>
          <w:szCs w:val="21"/>
        </w:rPr>
        <w:t xml:space="preserve"> </w:t>
      </w:r>
    </w:p>
    <w:p>
      <w:pPr>
        <w:pStyle w:val="16"/>
        <w:adjustRightInd w:val="0"/>
        <w:spacing w:line="360" w:lineRule="auto"/>
        <w:ind w:firstLine="420" w:firstLineChars="200"/>
        <w:contextualSpacing/>
        <w:rPr>
          <w:rFonts w:ascii="宋体" w:cs="Arial"/>
          <w:sz w:val="21"/>
          <w:szCs w:val="21"/>
        </w:rPr>
      </w:pPr>
      <w:r>
        <w:rPr>
          <w:rFonts w:hint="eastAsia" w:ascii="宋体" w:hAnsi="宋体" w:cs="Arial"/>
          <w:sz w:val="21"/>
          <w:szCs w:val="21"/>
        </w:rPr>
        <w:t>九、我方具备《政府采购法》第二十二条规定的条件；承诺如下：</w:t>
      </w:r>
    </w:p>
    <w:p>
      <w:pPr>
        <w:pStyle w:val="16"/>
        <w:adjustRightInd w:val="0"/>
        <w:spacing w:line="360" w:lineRule="auto"/>
        <w:ind w:firstLine="420" w:firstLineChars="200"/>
        <w:contextualSpacing/>
        <w:rPr>
          <w:rFonts w:ascii="宋体" w:cs="Arial"/>
          <w:sz w:val="21"/>
          <w:szCs w:val="21"/>
        </w:rPr>
      </w:pPr>
      <w:r>
        <w:rPr>
          <w:rFonts w:ascii="宋体" w:hAnsi="宋体" w:cs="Arial"/>
          <w:sz w:val="21"/>
          <w:szCs w:val="21"/>
        </w:rPr>
        <w:t xml:space="preserve">1. </w:t>
      </w:r>
      <w:r>
        <w:rPr>
          <w:rFonts w:hint="eastAsia" w:ascii="宋体" w:hAnsi="宋体" w:cs="Arial"/>
          <w:sz w:val="21"/>
          <w:szCs w:val="21"/>
        </w:rPr>
        <w:t>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ascii="宋体" w:cs="Arial"/>
          <w:szCs w:val="21"/>
        </w:rPr>
      </w:pPr>
      <w:r>
        <w:rPr>
          <w:rFonts w:ascii="宋体" w:hAnsi="宋体" w:cs="Arial"/>
          <w:szCs w:val="21"/>
        </w:rPr>
        <w:t xml:space="preserve">2. </w:t>
      </w:r>
      <w:r>
        <w:rPr>
          <w:rFonts w:hint="eastAsia" w:ascii="宋体" w:hAnsi="宋体" w:cs="Arial"/>
          <w:szCs w:val="21"/>
        </w:rPr>
        <w:t>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ascii="宋体" w:cs="Arial"/>
          <w:szCs w:val="21"/>
        </w:rPr>
      </w:pPr>
      <w:r>
        <w:rPr>
          <w:rFonts w:ascii="宋体" w:hAnsi="宋体" w:cs="Arial"/>
          <w:szCs w:val="21"/>
        </w:rPr>
        <w:t xml:space="preserve">3. </w:t>
      </w:r>
      <w:r>
        <w:rPr>
          <w:rFonts w:hint="eastAsia" w:ascii="宋体" w:hAnsi="宋体" w:cs="Arial"/>
          <w:szCs w:val="21"/>
        </w:rPr>
        <w:t>我方已依法建立健全的财务会计制度，如有需要，可随时向采购人提供相关证明材料，以便核查。</w:t>
      </w:r>
    </w:p>
    <w:p>
      <w:pPr>
        <w:adjustRightInd w:val="0"/>
        <w:spacing w:line="360" w:lineRule="auto"/>
        <w:ind w:firstLine="441" w:firstLineChars="210"/>
        <w:contextualSpacing/>
        <w:rPr>
          <w:rFonts w:ascii="宋体" w:cs="Arial"/>
          <w:szCs w:val="21"/>
        </w:rPr>
      </w:pPr>
      <w:r>
        <w:rPr>
          <w:rFonts w:ascii="宋体" w:hAnsi="宋体" w:cs="Arial"/>
          <w:szCs w:val="21"/>
        </w:rPr>
        <w:t xml:space="preserve">4. </w:t>
      </w:r>
      <w:r>
        <w:rPr>
          <w:rFonts w:hint="eastAsia" w:ascii="宋体" w:hAnsi="宋体" w:cs="Arial"/>
          <w:szCs w:val="21"/>
        </w:rPr>
        <w:t>参加政府采购活动前三年内，在经营活动中没有重大违法记录。</w:t>
      </w:r>
    </w:p>
    <w:p>
      <w:pPr>
        <w:adjustRightInd w:val="0"/>
        <w:spacing w:line="360" w:lineRule="auto"/>
        <w:ind w:firstLine="441" w:firstLineChars="210"/>
        <w:contextualSpacing/>
        <w:rPr>
          <w:rFonts w:ascii="宋体" w:cs="Arial"/>
          <w:szCs w:val="21"/>
        </w:rPr>
      </w:pPr>
      <w:r>
        <w:rPr>
          <w:rFonts w:ascii="宋体" w:hAnsi="宋体" w:cs="Arial"/>
          <w:szCs w:val="21"/>
        </w:rPr>
        <w:t xml:space="preserve">5. </w:t>
      </w:r>
      <w:r>
        <w:rPr>
          <w:rFonts w:hint="eastAsia" w:ascii="宋体" w:hAnsi="宋体" w:cs="Arial"/>
          <w:szCs w:val="21"/>
        </w:rPr>
        <w:t>符合法律、行政法规规定的其他条件。</w:t>
      </w:r>
    </w:p>
    <w:p>
      <w:pPr>
        <w:adjustRightInd w:val="0"/>
        <w:spacing w:line="360" w:lineRule="auto"/>
        <w:ind w:firstLine="441" w:firstLineChars="210"/>
        <w:contextualSpacing/>
        <w:rPr>
          <w:rFonts w:ascii="宋体" w:cs="Arial"/>
          <w:szCs w:val="21"/>
        </w:rPr>
      </w:pPr>
      <w:r>
        <w:rPr>
          <w:rFonts w:hint="eastAsia" w:ascii="宋体" w:hAnsi="宋体" w:cs="宋体"/>
          <w:szCs w:val="21"/>
        </w:rPr>
        <w:t>以上内容如有虚假或与事实不符的，评审委员会可将</w:t>
      </w:r>
      <w:r>
        <w:rPr>
          <w:rFonts w:hint="eastAsia" w:ascii="宋体" w:hAnsi="宋体" w:cs="Arial"/>
          <w:szCs w:val="21"/>
        </w:rPr>
        <w:t>我方做无效投标处理，我方愿意承担相应的法律责任。</w:t>
      </w:r>
    </w:p>
    <w:p>
      <w:pPr>
        <w:pStyle w:val="16"/>
        <w:adjustRightInd w:val="0"/>
        <w:spacing w:line="360" w:lineRule="auto"/>
        <w:ind w:firstLine="420" w:firstLineChars="200"/>
        <w:contextualSpacing/>
        <w:rPr>
          <w:rFonts w:ascii="宋体"/>
          <w:sz w:val="21"/>
          <w:szCs w:val="21"/>
        </w:rPr>
      </w:pPr>
      <w:r>
        <w:rPr>
          <w:rFonts w:hint="eastAsia" w:ascii="宋体" w:hAnsi="宋体"/>
          <w:sz w:val="21"/>
          <w:szCs w:val="21"/>
        </w:rPr>
        <w:t>十、我方具备履行合同所必需的设备和专业技术能力。</w:t>
      </w:r>
    </w:p>
    <w:p>
      <w:pPr>
        <w:pStyle w:val="16"/>
        <w:adjustRightInd w:val="0"/>
        <w:spacing w:line="360" w:lineRule="auto"/>
        <w:ind w:firstLine="420" w:firstLineChars="200"/>
        <w:contextualSpacing/>
        <w:rPr>
          <w:rFonts w:ascii="宋体"/>
          <w:sz w:val="21"/>
          <w:szCs w:val="21"/>
        </w:rPr>
      </w:pPr>
      <w:r>
        <w:rPr>
          <w:rFonts w:hint="eastAsia" w:ascii="宋体" w:hAnsi="宋体"/>
          <w:snapToGrid w:val="0"/>
          <w:kern w:val="0"/>
          <w:sz w:val="21"/>
          <w:szCs w:val="21"/>
        </w:rPr>
        <w:t>十一、</w:t>
      </w:r>
      <w:r>
        <w:rPr>
          <w:rFonts w:hint="eastAsia" w:ascii="宋体" w:hAnsi="宋体"/>
          <w:sz w:val="21"/>
          <w:szCs w:val="21"/>
        </w:rPr>
        <w:t>我方对在本函及投标文件中所作的所有承诺承担法律责任。</w:t>
      </w:r>
    </w:p>
    <w:p>
      <w:pPr>
        <w:pStyle w:val="16"/>
        <w:adjustRightInd w:val="0"/>
        <w:snapToGrid w:val="0"/>
        <w:spacing w:line="360" w:lineRule="auto"/>
        <w:rPr>
          <w:rFonts w:ascii="宋体"/>
          <w:sz w:val="21"/>
          <w:szCs w:val="21"/>
        </w:rPr>
      </w:pPr>
    </w:p>
    <w:p>
      <w:pPr>
        <w:pStyle w:val="16"/>
        <w:adjustRightInd w:val="0"/>
        <w:snapToGrid w:val="0"/>
        <w:spacing w:line="360" w:lineRule="auto"/>
        <w:rPr>
          <w:rFonts w:ascii="宋体"/>
          <w:sz w:val="21"/>
          <w:szCs w:val="21"/>
        </w:rPr>
      </w:pPr>
      <w:r>
        <w:rPr>
          <w:rFonts w:hint="eastAsia" w:ascii="宋体" w:hAnsi="宋体"/>
          <w:sz w:val="21"/>
          <w:szCs w:val="21"/>
        </w:rPr>
        <w:t>所有与本招标有关的一切正式往来请寄：</w:t>
      </w:r>
    </w:p>
    <w:p>
      <w:pPr>
        <w:adjustRightInd w:val="0"/>
        <w:snapToGrid w:val="0"/>
        <w:spacing w:line="360" w:lineRule="auto"/>
        <w:rPr>
          <w:rFonts w:ascii="宋体" w:cs="宋体"/>
          <w:szCs w:val="21"/>
        </w:rPr>
      </w:pPr>
      <w:r>
        <w:rPr>
          <w:rFonts w:hint="eastAsia" w:ascii="宋体" w:hAnsi="宋体" w:cs="宋体"/>
          <w:szCs w:val="21"/>
        </w:rPr>
        <w:t>地</w:t>
      </w:r>
      <w:r>
        <w:rPr>
          <w:rFonts w:ascii="宋体" w:hAnsi="宋体" w:cs="宋体"/>
          <w:szCs w:val="21"/>
        </w:rPr>
        <w:t xml:space="preserve">    </w:t>
      </w:r>
      <w:r>
        <w:rPr>
          <w:rFonts w:hint="eastAsia" w:ascii="宋体" w:hAnsi="宋体" w:cs="宋体"/>
          <w:szCs w:val="21"/>
        </w:rPr>
        <w:t>址：</w:t>
      </w:r>
      <w:r>
        <w:rPr>
          <w:rFonts w:ascii="宋体" w:hAnsi="宋体" w:cs="宋体"/>
          <w:szCs w:val="21"/>
        </w:rPr>
        <w:t xml:space="preserve">.  </w:t>
      </w:r>
      <w:r>
        <w:rPr>
          <w:rFonts w:hint="eastAsia" w:ascii="宋体" w:hAnsi="宋体" w:cs="宋体"/>
          <w:szCs w:val="21"/>
        </w:rPr>
        <w:t>邮政编码：</w:t>
      </w:r>
      <w:r>
        <w:rPr>
          <w:rFonts w:ascii="宋体" w:cs="宋体"/>
          <w:szCs w:val="21"/>
        </w:rPr>
        <w:t>.</w:t>
      </w:r>
    </w:p>
    <w:p>
      <w:pPr>
        <w:adjustRightInd w:val="0"/>
        <w:snapToGrid w:val="0"/>
        <w:spacing w:line="360" w:lineRule="auto"/>
        <w:rPr>
          <w:rFonts w:ascii="宋体" w:cs="宋体"/>
          <w:szCs w:val="21"/>
        </w:rPr>
      </w:pPr>
      <w:r>
        <w:rPr>
          <w:rFonts w:hint="eastAsia" w:ascii="宋体" w:hAnsi="宋体" w:cs="宋体"/>
          <w:szCs w:val="21"/>
        </w:rPr>
        <w:t>电</w:t>
      </w:r>
      <w:r>
        <w:rPr>
          <w:rFonts w:ascii="宋体" w:hAnsi="宋体" w:cs="宋体"/>
          <w:szCs w:val="21"/>
        </w:rPr>
        <w:t xml:space="preserve">    </w:t>
      </w:r>
      <w:r>
        <w:rPr>
          <w:rFonts w:hint="eastAsia" w:ascii="宋体" w:hAnsi="宋体" w:cs="宋体"/>
          <w:szCs w:val="21"/>
        </w:rPr>
        <w:t>话：</w:t>
      </w:r>
      <w:r>
        <w:rPr>
          <w:rFonts w:ascii="宋体" w:hAnsi="宋体" w:cs="宋体"/>
          <w:szCs w:val="21"/>
        </w:rPr>
        <w:t xml:space="preserve">.  </w:t>
      </w:r>
      <w:r>
        <w:rPr>
          <w:rFonts w:hint="eastAsia" w:ascii="宋体" w:hAnsi="宋体" w:cs="宋体"/>
          <w:szCs w:val="21"/>
        </w:rPr>
        <w:t>传</w:t>
      </w:r>
      <w:r>
        <w:rPr>
          <w:rFonts w:ascii="宋体" w:hAnsi="宋体" w:cs="宋体"/>
          <w:szCs w:val="21"/>
        </w:rPr>
        <w:t xml:space="preserve">    </w:t>
      </w:r>
      <w:r>
        <w:rPr>
          <w:rFonts w:hint="eastAsia" w:ascii="宋体" w:hAnsi="宋体" w:cs="宋体"/>
          <w:szCs w:val="21"/>
        </w:rPr>
        <w:t>真：</w:t>
      </w:r>
      <w:r>
        <w:rPr>
          <w:rFonts w:ascii="宋体" w:cs="宋体"/>
          <w:szCs w:val="21"/>
        </w:rPr>
        <w:t>.</w:t>
      </w:r>
    </w:p>
    <w:p>
      <w:pPr>
        <w:adjustRightInd w:val="0"/>
        <w:snapToGrid w:val="0"/>
        <w:spacing w:line="360" w:lineRule="auto"/>
        <w:rPr>
          <w:rFonts w:ascii="宋体" w:cs="宋体"/>
          <w:szCs w:val="21"/>
          <w:u w:val="single"/>
        </w:rPr>
      </w:pPr>
      <w:r>
        <w:rPr>
          <w:rFonts w:hint="eastAsia" w:ascii="宋体" w:hAnsi="宋体" w:cs="宋体"/>
          <w:szCs w:val="21"/>
        </w:rPr>
        <w:t>投标人代表姓名：</w:t>
      </w:r>
      <w:r>
        <w:rPr>
          <w:rFonts w:ascii="宋体" w:hAnsi="宋体" w:cs="宋体"/>
          <w:szCs w:val="21"/>
        </w:rPr>
        <w:t xml:space="preserve">.  </w:t>
      </w:r>
      <w:r>
        <w:rPr>
          <w:rFonts w:hint="eastAsia" w:ascii="宋体" w:hAnsi="宋体" w:cs="宋体"/>
          <w:szCs w:val="21"/>
        </w:rPr>
        <w:t>职</w:t>
      </w:r>
      <w:r>
        <w:rPr>
          <w:rFonts w:ascii="宋体" w:hAnsi="宋体" w:cs="宋体"/>
          <w:szCs w:val="21"/>
        </w:rPr>
        <w:t xml:space="preserve">    </w:t>
      </w:r>
      <w:r>
        <w:rPr>
          <w:rFonts w:hint="eastAsia" w:ascii="宋体" w:hAnsi="宋体" w:cs="宋体"/>
          <w:szCs w:val="21"/>
        </w:rPr>
        <w:t>务：</w:t>
      </w:r>
      <w:r>
        <w:rPr>
          <w:rFonts w:ascii="宋体" w:cs="宋体"/>
          <w:szCs w:val="21"/>
        </w:rPr>
        <w:t>.</w:t>
      </w:r>
    </w:p>
    <w:p>
      <w:pPr>
        <w:adjustRightInd w:val="0"/>
        <w:snapToGrid w:val="0"/>
        <w:spacing w:line="360" w:lineRule="auto"/>
        <w:rPr>
          <w:rFonts w:ascii="宋体" w:cs="宋体"/>
          <w:szCs w:val="21"/>
          <w:u w:val="single"/>
        </w:rPr>
      </w:pPr>
    </w:p>
    <w:p>
      <w:pPr>
        <w:adjustRightInd w:val="0"/>
        <w:snapToGrid w:val="0"/>
        <w:spacing w:line="360" w:lineRule="auto"/>
        <w:rPr>
          <w:rFonts w:ascii="宋体" w:cs="宋体"/>
          <w:szCs w:val="21"/>
        </w:rPr>
      </w:pPr>
      <w:r>
        <w:rPr>
          <w:rFonts w:hint="eastAsia" w:ascii="宋体" w:hAnsi="宋体" w:cs="宋体"/>
          <w:szCs w:val="21"/>
        </w:rPr>
        <w:t>投标人法定代表人（单位负责人）或法定代表人（单位负责人）授权代表签字或盖章：</w:t>
      </w:r>
    </w:p>
    <w:p>
      <w:pPr>
        <w:adjustRightInd w:val="0"/>
        <w:snapToGrid w:val="0"/>
        <w:spacing w:line="360" w:lineRule="auto"/>
        <w:rPr>
          <w:rFonts w:ascii="宋体" w:cs="宋体"/>
          <w:szCs w:val="21"/>
        </w:rPr>
      </w:pPr>
      <w:r>
        <w:rPr>
          <w:rFonts w:hint="eastAsia" w:ascii="宋体" w:hAnsi="宋体" w:cs="宋体"/>
          <w:szCs w:val="21"/>
        </w:rPr>
        <w:t>投标人名称（盖章）：</w:t>
      </w:r>
    </w:p>
    <w:p>
      <w:pPr>
        <w:adjustRightInd w:val="0"/>
        <w:snapToGrid w:val="0"/>
        <w:spacing w:line="360" w:lineRule="auto"/>
        <w:ind w:firstLine="4305" w:firstLineChars="2050"/>
        <w:rPr>
          <w:rFonts w:ascii="宋体" w:cs="宋体"/>
          <w:szCs w:val="21"/>
        </w:rPr>
      </w:pPr>
    </w:p>
    <w:p>
      <w:pPr>
        <w:adjustRightInd w:val="0"/>
        <w:snapToGrid w:val="0"/>
        <w:spacing w:line="360" w:lineRule="auto"/>
        <w:ind w:firstLine="4305" w:firstLineChars="2050"/>
        <w:rPr>
          <w:rFonts w:ascii="宋体" w:cs="宋体"/>
          <w:szCs w:val="21"/>
        </w:rPr>
      </w:pPr>
    </w:p>
    <w:p>
      <w:pPr>
        <w:adjustRightInd w:val="0"/>
        <w:snapToGrid w:val="0"/>
        <w:spacing w:line="360" w:lineRule="auto"/>
        <w:ind w:firstLine="4305" w:firstLineChars="2050"/>
        <w:rPr>
          <w:rFonts w:ascii="宋体" w:cs="宋体"/>
          <w:szCs w:val="21"/>
        </w:rPr>
      </w:pPr>
      <w:r>
        <w:rPr>
          <w:rFonts w:hint="eastAsia" w:ascii="宋体" w:hAnsi="宋体" w:cs="宋体"/>
          <w:szCs w:val="21"/>
        </w:rPr>
        <w:t>日期：</w:t>
      </w:r>
      <w:r>
        <w:rPr>
          <w:rFonts w:ascii="宋体" w:hAnsi="宋体" w:cs="宋体"/>
          <w:szCs w:val="21"/>
        </w:rPr>
        <w:t xml:space="preserve">   </w:t>
      </w:r>
      <w:r>
        <w:rPr>
          <w:rFonts w:hint="eastAsia" w:ascii="宋体" w:hAnsi="宋体" w:cs="宋体"/>
          <w:szCs w:val="21"/>
        </w:rPr>
        <w:t>年</w:t>
      </w:r>
      <w:r>
        <w:rPr>
          <w:rFonts w:ascii="宋体" w:hAnsi="宋体" w:cs="宋体"/>
          <w:szCs w:val="21"/>
        </w:rPr>
        <w:t xml:space="preserve">   </w:t>
      </w:r>
      <w:r>
        <w:rPr>
          <w:rFonts w:hint="eastAsia" w:ascii="宋体" w:hAnsi="宋体" w:cs="宋体"/>
          <w:szCs w:val="21"/>
        </w:rPr>
        <w:t>月</w:t>
      </w:r>
      <w:r>
        <w:rPr>
          <w:rFonts w:ascii="宋体" w:hAnsi="宋体" w:cs="宋体"/>
          <w:szCs w:val="21"/>
        </w:rPr>
        <w:t xml:space="preserve">   </w:t>
      </w:r>
      <w:r>
        <w:rPr>
          <w:rFonts w:hint="eastAsia" w:ascii="宋体" w:hAnsi="宋体" w:cs="宋体"/>
          <w:szCs w:val="21"/>
        </w:rPr>
        <w:t>日</w:t>
      </w:r>
    </w:p>
    <w:p>
      <w:pPr>
        <w:spacing w:line="480" w:lineRule="exact"/>
        <w:jc w:val="center"/>
        <w:rPr>
          <w:rFonts w:ascii="宋体"/>
          <w:b/>
          <w:bCs/>
          <w:color w:val="000000"/>
          <w:sz w:val="24"/>
          <w:szCs w:val="24"/>
        </w:rPr>
      </w:pPr>
      <w:r>
        <w:rPr>
          <w:rFonts w:ascii="宋体" w:hAnsi="宋体"/>
          <w:b/>
          <w:bCs/>
          <w:color w:val="000000"/>
          <w:sz w:val="24"/>
          <w:szCs w:val="24"/>
        </w:rPr>
        <w:t xml:space="preserve">3.2 </w:t>
      </w:r>
      <w:r>
        <w:rPr>
          <w:rFonts w:hint="eastAsia" w:ascii="宋体" w:hAnsi="宋体"/>
          <w:b/>
          <w:bCs/>
          <w:color w:val="000000"/>
          <w:sz w:val="24"/>
          <w:szCs w:val="24"/>
        </w:rPr>
        <w:t>法定代表人（单位负责人）资格证明书</w:t>
      </w:r>
    </w:p>
    <w:p>
      <w:pPr>
        <w:autoSpaceDE w:val="0"/>
        <w:autoSpaceDN w:val="0"/>
        <w:adjustRightInd w:val="0"/>
        <w:spacing w:line="480" w:lineRule="auto"/>
        <w:ind w:firstLine="616" w:firstLineChars="257"/>
        <w:rPr>
          <w:rFonts w:ascii="宋体"/>
          <w:color w:val="000000"/>
          <w:sz w:val="24"/>
          <w:szCs w:val="24"/>
        </w:rPr>
      </w:pPr>
    </w:p>
    <w:p>
      <w:pPr>
        <w:pStyle w:val="48"/>
        <w:spacing w:line="480" w:lineRule="auto"/>
        <w:ind w:firstLine="472" w:firstLineChars="225"/>
        <w:jc w:val="left"/>
        <w:rPr>
          <w:color w:val="000000"/>
          <w:sz w:val="21"/>
          <w:szCs w:val="21"/>
        </w:rPr>
      </w:pPr>
      <w:r>
        <w:rPr>
          <w:rFonts w:hint="eastAsia" w:hAnsi="宋体"/>
          <w:color w:val="000000"/>
          <w:sz w:val="21"/>
          <w:szCs w:val="21"/>
        </w:rPr>
        <w:t>单位名称：</w:t>
      </w:r>
    </w:p>
    <w:p>
      <w:pPr>
        <w:pStyle w:val="48"/>
        <w:spacing w:line="480" w:lineRule="auto"/>
        <w:ind w:firstLine="472" w:firstLineChars="225"/>
        <w:jc w:val="left"/>
        <w:rPr>
          <w:color w:val="000000"/>
          <w:sz w:val="21"/>
          <w:szCs w:val="21"/>
        </w:rPr>
      </w:pPr>
      <w:r>
        <w:rPr>
          <w:rFonts w:hint="eastAsia" w:hAnsi="宋体"/>
          <w:color w:val="000000"/>
          <w:sz w:val="21"/>
          <w:szCs w:val="21"/>
        </w:rPr>
        <w:t>地址：</w:t>
      </w:r>
    </w:p>
    <w:p>
      <w:pPr>
        <w:pStyle w:val="48"/>
        <w:spacing w:line="480" w:lineRule="auto"/>
        <w:ind w:firstLine="472" w:firstLineChars="225"/>
        <w:jc w:val="left"/>
        <w:rPr>
          <w:color w:val="000000"/>
          <w:sz w:val="21"/>
          <w:szCs w:val="21"/>
        </w:rPr>
      </w:pPr>
      <w:r>
        <w:rPr>
          <w:rFonts w:hint="eastAsia" w:hAnsi="宋体"/>
          <w:color w:val="000000"/>
          <w:sz w:val="21"/>
          <w:szCs w:val="21"/>
        </w:rPr>
        <w:t>姓名：</w:t>
      </w:r>
      <w:r>
        <w:rPr>
          <w:rFonts w:hAnsi="宋体"/>
          <w:color w:val="000000"/>
          <w:sz w:val="21"/>
          <w:szCs w:val="21"/>
        </w:rPr>
        <w:t xml:space="preserve">       </w:t>
      </w:r>
      <w:r>
        <w:rPr>
          <w:rFonts w:hint="eastAsia" w:hAnsi="宋体"/>
          <w:color w:val="000000"/>
          <w:sz w:val="21"/>
          <w:szCs w:val="21"/>
        </w:rPr>
        <w:t>性别：</w:t>
      </w:r>
      <w:r>
        <w:rPr>
          <w:rFonts w:hAnsi="宋体"/>
          <w:color w:val="000000"/>
          <w:sz w:val="21"/>
          <w:szCs w:val="21"/>
        </w:rPr>
        <w:t xml:space="preserve">     </w:t>
      </w:r>
      <w:r>
        <w:rPr>
          <w:rFonts w:hint="eastAsia" w:hAnsi="宋体"/>
          <w:color w:val="000000"/>
          <w:sz w:val="21"/>
          <w:szCs w:val="21"/>
        </w:rPr>
        <w:t>年龄：</w:t>
      </w:r>
      <w:r>
        <w:rPr>
          <w:rFonts w:hAnsi="宋体"/>
          <w:color w:val="000000"/>
          <w:sz w:val="21"/>
          <w:szCs w:val="21"/>
        </w:rPr>
        <w:t xml:space="preserve">     </w:t>
      </w:r>
      <w:r>
        <w:rPr>
          <w:rFonts w:hint="eastAsia" w:hAnsi="宋体"/>
          <w:color w:val="000000"/>
          <w:sz w:val="21"/>
          <w:szCs w:val="21"/>
        </w:rPr>
        <w:t>职务：</w:t>
      </w:r>
      <w:r>
        <w:rPr>
          <w:rFonts w:hAnsi="宋体"/>
          <w:color w:val="000000"/>
          <w:sz w:val="21"/>
          <w:szCs w:val="21"/>
        </w:rPr>
        <w:t xml:space="preserve">   </w:t>
      </w:r>
      <w:r>
        <w:rPr>
          <w:rFonts w:hint="eastAsia" w:hAnsi="宋体"/>
          <w:color w:val="000000"/>
          <w:sz w:val="21"/>
          <w:szCs w:val="21"/>
          <w:lang w:val="en-US" w:eastAsia="zh-CN"/>
        </w:rPr>
        <w:t xml:space="preserve">   联系电话：</w:t>
      </w:r>
      <w:r>
        <w:rPr>
          <w:rFonts w:hAnsi="宋体"/>
          <w:color w:val="000000"/>
          <w:sz w:val="21"/>
          <w:szCs w:val="21"/>
        </w:rPr>
        <w:t xml:space="preserve">     </w:t>
      </w:r>
    </w:p>
    <w:p>
      <w:pPr>
        <w:pStyle w:val="48"/>
        <w:spacing w:line="480" w:lineRule="auto"/>
        <w:ind w:firstLine="472" w:firstLineChars="225"/>
        <w:jc w:val="left"/>
        <w:rPr>
          <w:color w:val="000000"/>
          <w:sz w:val="21"/>
          <w:szCs w:val="21"/>
        </w:rPr>
      </w:pPr>
      <w:r>
        <w:rPr>
          <w:rFonts w:hint="eastAsia" w:hAnsi="宋体"/>
          <w:color w:val="000000"/>
          <w:sz w:val="21"/>
          <w:szCs w:val="21"/>
        </w:rPr>
        <w:t>本人系</w:t>
      </w:r>
      <w:r>
        <w:rPr>
          <w:rFonts w:hint="eastAsia" w:hAnsi="宋体"/>
          <w:i/>
          <w:snapToGrid w:val="0"/>
          <w:sz w:val="21"/>
          <w:szCs w:val="21"/>
          <w:u w:val="single"/>
        </w:rPr>
        <w:t>投标人名称</w:t>
      </w:r>
      <w:r>
        <w:rPr>
          <w:rFonts w:hint="eastAsia" w:hAnsi="宋体"/>
          <w:color w:val="000000"/>
          <w:sz w:val="21"/>
          <w:szCs w:val="21"/>
        </w:rPr>
        <w:t>的法定代表人（单位负责人）。就参加贵方招标编号为</w:t>
      </w:r>
      <w:r>
        <w:rPr>
          <w:rFonts w:hint="eastAsia" w:hAnsi="宋体"/>
          <w:i/>
          <w:color w:val="000000"/>
          <w:sz w:val="21"/>
          <w:szCs w:val="21"/>
          <w:u w:val="single"/>
        </w:rPr>
        <w:t>项目编号</w:t>
      </w:r>
      <w:r>
        <w:rPr>
          <w:rFonts w:hint="eastAsia" w:hAnsi="宋体"/>
          <w:color w:val="000000"/>
          <w:sz w:val="21"/>
          <w:szCs w:val="21"/>
        </w:rPr>
        <w:t>的</w:t>
      </w:r>
      <w:r>
        <w:rPr>
          <w:rFonts w:hint="eastAsia" w:hAnsi="宋体"/>
          <w:i/>
          <w:color w:val="000000"/>
          <w:sz w:val="21"/>
          <w:szCs w:val="21"/>
          <w:u w:val="single"/>
        </w:rPr>
        <w:t>项目名称</w:t>
      </w:r>
      <w:r>
        <w:rPr>
          <w:rFonts w:hint="eastAsia" w:hAnsi="宋体"/>
          <w:color w:val="000000"/>
          <w:sz w:val="21"/>
          <w:szCs w:val="21"/>
        </w:rPr>
        <w:t>公开招标项目的投标报价，签署上述项目的投标文件及合同的执行、完成、服务和保修，签署合同和处理与之有关的一切事务。</w:t>
      </w:r>
    </w:p>
    <w:p>
      <w:pPr>
        <w:pStyle w:val="48"/>
        <w:spacing w:line="480" w:lineRule="auto"/>
        <w:ind w:firstLine="472" w:firstLineChars="225"/>
        <w:jc w:val="left"/>
        <w:rPr>
          <w:color w:val="000000"/>
          <w:sz w:val="21"/>
          <w:szCs w:val="21"/>
        </w:rPr>
      </w:pPr>
      <w:r>
        <w:rPr>
          <w:rFonts w:hint="eastAsia" w:hAnsi="宋体"/>
          <w:color w:val="000000"/>
          <w:sz w:val="21"/>
          <w:szCs w:val="21"/>
        </w:rPr>
        <w:t>特此证明。</w:t>
      </w:r>
    </w:p>
    <w:p>
      <w:pPr>
        <w:pStyle w:val="48"/>
        <w:spacing w:line="480" w:lineRule="auto"/>
        <w:ind w:firstLine="472" w:firstLineChars="225"/>
        <w:jc w:val="left"/>
        <w:rPr>
          <w:color w:val="000000"/>
          <w:sz w:val="21"/>
          <w:szCs w:val="21"/>
        </w:rPr>
      </w:pPr>
    </w:p>
    <w:p>
      <w:pPr>
        <w:pStyle w:val="48"/>
        <w:spacing w:line="480" w:lineRule="auto"/>
        <w:ind w:firstLine="472" w:firstLineChars="225"/>
        <w:jc w:val="left"/>
        <w:rPr>
          <w:color w:val="000000"/>
          <w:sz w:val="21"/>
          <w:szCs w:val="21"/>
        </w:rPr>
      </w:pPr>
    </w:p>
    <w:p>
      <w:pPr>
        <w:pStyle w:val="48"/>
        <w:spacing w:line="480" w:lineRule="auto"/>
        <w:ind w:left="-538" w:leftChars="-256" w:firstLine="539" w:firstLineChars="257"/>
        <w:jc w:val="center"/>
        <w:rPr>
          <w:bCs/>
          <w:color w:val="000000"/>
          <w:sz w:val="21"/>
          <w:szCs w:val="21"/>
        </w:rPr>
      </w:pPr>
      <w:r>
        <w:rPr>
          <w:rFonts w:hint="eastAsia" w:hAnsi="宋体"/>
          <w:bCs/>
          <w:color w:val="000000"/>
          <w:sz w:val="21"/>
          <w:szCs w:val="21"/>
        </w:rPr>
        <w:t>【此处请粘贴法定代表人（单位负责人）身份证复印件，需清晰反映身份证有效期限】</w:t>
      </w:r>
    </w:p>
    <w:p>
      <w:pPr>
        <w:pStyle w:val="48"/>
        <w:spacing w:line="480" w:lineRule="auto"/>
        <w:ind w:left="-538" w:leftChars="-256" w:firstLine="539" w:firstLineChars="257"/>
        <w:jc w:val="center"/>
        <w:rPr>
          <w:bCs/>
          <w:color w:val="000000"/>
          <w:sz w:val="21"/>
          <w:szCs w:val="21"/>
        </w:rPr>
      </w:pPr>
    </w:p>
    <w:p>
      <w:pPr>
        <w:autoSpaceDE w:val="0"/>
        <w:autoSpaceDN w:val="0"/>
        <w:adjustRightInd w:val="0"/>
        <w:spacing w:line="360" w:lineRule="auto"/>
        <w:ind w:right="-11"/>
        <w:rPr>
          <w:rFonts w:ascii="宋体" w:cs="宋体"/>
          <w:szCs w:val="21"/>
          <w:lang w:val="zh-CN"/>
        </w:rPr>
      </w:pPr>
    </w:p>
    <w:p>
      <w:pPr>
        <w:autoSpaceDE w:val="0"/>
        <w:autoSpaceDN w:val="0"/>
        <w:adjustRightInd w:val="0"/>
        <w:spacing w:line="360" w:lineRule="auto"/>
        <w:ind w:right="-11"/>
        <w:rPr>
          <w:rFonts w:ascii="宋体" w:cs="宋体"/>
          <w:szCs w:val="21"/>
          <w:lang w:val="zh-CN"/>
        </w:rPr>
      </w:pPr>
    </w:p>
    <w:p>
      <w:pPr>
        <w:autoSpaceDE w:val="0"/>
        <w:autoSpaceDN w:val="0"/>
        <w:adjustRightInd w:val="0"/>
        <w:spacing w:line="360" w:lineRule="auto"/>
        <w:ind w:right="-11"/>
        <w:rPr>
          <w:rFonts w:ascii="宋体" w:cs="宋体"/>
          <w:szCs w:val="21"/>
          <w:lang w:val="zh-CN"/>
        </w:rPr>
      </w:pPr>
    </w:p>
    <w:p>
      <w:pPr>
        <w:spacing w:line="480" w:lineRule="auto"/>
        <w:ind w:firstLine="3937" w:firstLineChars="1875"/>
        <w:rPr>
          <w:rFonts w:ascii="宋体" w:cs="Arial"/>
          <w:color w:val="000000"/>
          <w:szCs w:val="21"/>
          <w:u w:val="single"/>
        </w:rPr>
      </w:pPr>
      <w:r>
        <w:rPr>
          <w:rFonts w:hint="eastAsia" w:ascii="宋体" w:hAnsi="宋体" w:cs="Arial"/>
          <w:color w:val="000000"/>
          <w:szCs w:val="21"/>
        </w:rPr>
        <w:t>投标人名称（并加盖公章）：</w:t>
      </w:r>
    </w:p>
    <w:p>
      <w:pPr>
        <w:pStyle w:val="51"/>
        <w:spacing w:before="60" w:line="480" w:lineRule="auto"/>
        <w:ind w:firstLine="3937" w:firstLineChars="1875"/>
        <w:rPr>
          <w:rFonts w:ascii="宋体" w:cs="Arial"/>
          <w:color w:val="000000"/>
          <w:sz w:val="21"/>
          <w:szCs w:val="21"/>
        </w:rPr>
      </w:pPr>
      <w:r>
        <w:rPr>
          <w:rFonts w:hint="eastAsia" w:ascii="宋体" w:hAnsi="宋体" w:cs="Arial"/>
          <w:color w:val="000000"/>
          <w:sz w:val="21"/>
          <w:szCs w:val="21"/>
        </w:rPr>
        <w:t>签署日期：</w:t>
      </w:r>
      <w:r>
        <w:rPr>
          <w:rFonts w:ascii="宋体" w:hAnsi="宋体" w:cs="Arial"/>
          <w:color w:val="000000"/>
          <w:sz w:val="21"/>
          <w:szCs w:val="21"/>
        </w:rPr>
        <w:t xml:space="preserve">   </w:t>
      </w:r>
      <w:r>
        <w:rPr>
          <w:rFonts w:hint="eastAsia" w:ascii="宋体" w:hAnsi="宋体" w:cs="Arial"/>
          <w:color w:val="000000"/>
          <w:sz w:val="21"/>
          <w:szCs w:val="21"/>
        </w:rPr>
        <w:t>年</w:t>
      </w:r>
      <w:r>
        <w:rPr>
          <w:rFonts w:ascii="宋体" w:hAnsi="宋体" w:cs="Arial"/>
          <w:color w:val="000000"/>
          <w:sz w:val="21"/>
          <w:szCs w:val="21"/>
        </w:rPr>
        <w:t xml:space="preserve">   </w:t>
      </w:r>
      <w:r>
        <w:rPr>
          <w:rFonts w:hint="eastAsia" w:ascii="宋体" w:hAnsi="宋体" w:cs="Arial"/>
          <w:color w:val="000000"/>
          <w:sz w:val="21"/>
          <w:szCs w:val="21"/>
        </w:rPr>
        <w:t>月</w:t>
      </w:r>
      <w:r>
        <w:rPr>
          <w:rFonts w:ascii="宋体" w:hAnsi="宋体" w:cs="Arial"/>
          <w:color w:val="000000"/>
          <w:sz w:val="21"/>
          <w:szCs w:val="21"/>
        </w:rPr>
        <w:t xml:space="preserve">  </w:t>
      </w:r>
      <w:r>
        <w:rPr>
          <w:rFonts w:hint="eastAsia" w:ascii="宋体" w:hAnsi="宋体" w:cs="Arial"/>
          <w:color w:val="000000"/>
          <w:sz w:val="21"/>
          <w:szCs w:val="21"/>
        </w:rPr>
        <w:t>日</w:t>
      </w:r>
    </w:p>
    <w:p>
      <w:pPr>
        <w:pStyle w:val="50"/>
        <w:spacing w:line="480" w:lineRule="auto"/>
        <w:rPr>
          <w:rFonts w:ascii="宋体" w:cs="Arial"/>
          <w:color w:val="000000"/>
          <w:sz w:val="21"/>
          <w:szCs w:val="21"/>
        </w:rPr>
      </w:pPr>
    </w:p>
    <w:p>
      <w:pPr>
        <w:rPr>
          <w:szCs w:val="21"/>
        </w:rPr>
      </w:pPr>
    </w:p>
    <w:p>
      <w:pPr>
        <w:spacing w:line="320" w:lineRule="exact"/>
        <w:ind w:firstLine="420" w:firstLineChars="200"/>
        <w:rPr>
          <w:rFonts w:ascii="宋体"/>
          <w:bCs/>
          <w:color w:val="000000"/>
          <w:kern w:val="12"/>
          <w:szCs w:val="21"/>
        </w:rPr>
      </w:pPr>
      <w:r>
        <w:rPr>
          <w:rFonts w:hint="eastAsia" w:ascii="宋体" w:hAnsi="宋体"/>
          <w:bCs/>
          <w:color w:val="000000"/>
          <w:kern w:val="12"/>
          <w:szCs w:val="21"/>
        </w:rPr>
        <w:t>说明：法定代表人（单位负责人）参加本招标项目投标的，仅须出具此证明书。</w:t>
      </w:r>
    </w:p>
    <w:p>
      <w:pPr>
        <w:spacing w:line="480" w:lineRule="exact"/>
        <w:jc w:val="center"/>
        <w:rPr>
          <w:rFonts w:ascii="宋体"/>
          <w:b/>
          <w:bCs/>
          <w:color w:val="000000"/>
          <w:sz w:val="36"/>
          <w:szCs w:val="36"/>
        </w:rPr>
      </w:pPr>
    </w:p>
    <w:p>
      <w:pPr>
        <w:spacing w:line="480" w:lineRule="exact"/>
        <w:jc w:val="center"/>
        <w:rPr>
          <w:rFonts w:ascii="宋体"/>
          <w:b/>
          <w:bCs/>
          <w:color w:val="000000"/>
          <w:sz w:val="24"/>
          <w:szCs w:val="24"/>
        </w:rPr>
      </w:pPr>
      <w:r>
        <w:rPr>
          <w:rFonts w:ascii="宋体" w:hAnsi="宋体"/>
          <w:b/>
          <w:bCs/>
          <w:color w:val="000000"/>
          <w:sz w:val="24"/>
          <w:szCs w:val="24"/>
        </w:rPr>
        <w:t xml:space="preserve">3.3 </w:t>
      </w:r>
      <w:r>
        <w:rPr>
          <w:rFonts w:hint="eastAsia" w:ascii="宋体" w:hAnsi="宋体"/>
          <w:b/>
          <w:bCs/>
          <w:color w:val="000000"/>
          <w:sz w:val="24"/>
          <w:szCs w:val="24"/>
        </w:rPr>
        <w:t>法定代表人（单位负责人）授权书</w:t>
      </w:r>
    </w:p>
    <w:p>
      <w:pPr>
        <w:spacing w:line="480" w:lineRule="exact"/>
        <w:jc w:val="center"/>
        <w:rPr>
          <w:rFonts w:ascii="宋体"/>
          <w:b/>
          <w:bCs/>
          <w:color w:val="000000"/>
          <w:sz w:val="36"/>
          <w:szCs w:val="36"/>
        </w:rPr>
      </w:pPr>
    </w:p>
    <w:p>
      <w:pPr>
        <w:adjustRightInd w:val="0"/>
        <w:spacing w:line="360" w:lineRule="auto"/>
        <w:ind w:firstLine="441" w:firstLineChars="210"/>
        <w:contextualSpacing/>
        <w:rPr>
          <w:rFonts w:ascii="宋体" w:cs="Arial"/>
          <w:szCs w:val="21"/>
        </w:rPr>
      </w:pPr>
      <w:r>
        <w:rPr>
          <w:rFonts w:hint="eastAsia" w:ascii="宋体" w:hAnsi="宋体" w:cs="Arial"/>
          <w:szCs w:val="21"/>
        </w:rPr>
        <w:t>本人</w:t>
      </w:r>
      <w:r>
        <w:rPr>
          <w:rFonts w:hint="eastAsia" w:ascii="宋体" w:hAnsi="宋体" w:cs="Arial"/>
          <w:szCs w:val="21"/>
          <w:u w:val="single"/>
        </w:rPr>
        <w:t>　</w:t>
      </w:r>
      <w:r>
        <w:rPr>
          <w:rFonts w:ascii="宋体" w:hAnsi="宋体" w:cs="Arial"/>
          <w:szCs w:val="21"/>
          <w:u w:val="single"/>
        </w:rPr>
        <w:t xml:space="preserve"> </w:t>
      </w:r>
      <w:r>
        <w:rPr>
          <w:rFonts w:hint="eastAsia" w:ascii="宋体" w:hAnsi="宋体"/>
          <w:i/>
          <w:snapToGrid w:val="0"/>
          <w:szCs w:val="21"/>
          <w:u w:val="single"/>
        </w:rPr>
        <w:t>法人姓名</w:t>
      </w:r>
      <w:r>
        <w:rPr>
          <w:rFonts w:hint="eastAsia" w:ascii="宋体" w:hAnsi="宋体" w:cs="Arial"/>
          <w:szCs w:val="21"/>
        </w:rPr>
        <w:t>系</w:t>
      </w:r>
      <w:r>
        <w:rPr>
          <w:rFonts w:hint="eastAsia" w:ascii="宋体" w:hAnsi="宋体" w:cs="Arial"/>
          <w:szCs w:val="21"/>
          <w:u w:val="single"/>
        </w:rPr>
        <w:t>　</w:t>
      </w:r>
      <w:r>
        <w:rPr>
          <w:rFonts w:hint="eastAsia" w:ascii="宋体" w:hAnsi="宋体"/>
          <w:i/>
          <w:snapToGrid w:val="0"/>
          <w:szCs w:val="21"/>
          <w:u w:val="single"/>
        </w:rPr>
        <w:t>投标人名称</w:t>
      </w:r>
      <w:r>
        <w:rPr>
          <w:rFonts w:ascii="宋体" w:hAnsi="宋体"/>
          <w:i/>
          <w:snapToGrid w:val="0"/>
          <w:szCs w:val="21"/>
          <w:u w:val="single"/>
        </w:rPr>
        <w:t xml:space="preserve">  </w:t>
      </w:r>
      <w:r>
        <w:rPr>
          <w:rFonts w:hint="eastAsia" w:ascii="宋体" w:hAnsi="宋体" w:cs="Arial"/>
          <w:szCs w:val="21"/>
        </w:rPr>
        <w:t>的法定代表人（单位负责人），现委托</w:t>
      </w:r>
      <w:r>
        <w:rPr>
          <w:rFonts w:hint="eastAsia" w:ascii="宋体" w:hAnsi="宋体" w:cs="Arial"/>
          <w:szCs w:val="21"/>
          <w:u w:val="single"/>
        </w:rPr>
        <w:t>　</w:t>
      </w:r>
      <w:r>
        <w:rPr>
          <w:rFonts w:ascii="宋体" w:hAnsi="宋体" w:cs="Arial"/>
          <w:szCs w:val="21"/>
          <w:u w:val="single"/>
        </w:rPr>
        <w:t xml:space="preserve"> </w:t>
      </w:r>
      <w:r>
        <w:rPr>
          <w:rFonts w:hint="eastAsia" w:ascii="宋体" w:hAnsi="宋体"/>
          <w:i/>
          <w:snapToGrid w:val="0"/>
          <w:szCs w:val="21"/>
          <w:u w:val="single"/>
        </w:rPr>
        <w:t>姓名，职务</w:t>
      </w:r>
      <w:r>
        <w:rPr>
          <w:rFonts w:hint="eastAsia" w:ascii="宋体" w:hAnsi="宋体"/>
          <w:i/>
          <w:snapToGrid w:val="0"/>
          <w:szCs w:val="21"/>
          <w:u w:val="single"/>
          <w:lang w:eastAsia="zh-CN"/>
        </w:rPr>
        <w:t>级联系电话</w:t>
      </w:r>
      <w:r>
        <w:rPr>
          <w:rFonts w:hint="eastAsia" w:ascii="宋体" w:hAnsi="宋体"/>
          <w:i/>
          <w:snapToGrid w:val="0"/>
          <w:szCs w:val="21"/>
          <w:u w:val="single"/>
          <w:lang w:val="en-US" w:eastAsia="zh-CN"/>
        </w:rPr>
        <w:t xml:space="preserve">   </w:t>
      </w:r>
      <w:r>
        <w:rPr>
          <w:rFonts w:hint="eastAsia" w:ascii="宋体" w:hAnsi="宋体" w:cs="Arial"/>
          <w:szCs w:val="21"/>
        </w:rPr>
        <w:t>以我方的名义参加贵方</w:t>
      </w:r>
      <w:r>
        <w:rPr>
          <w:rFonts w:ascii="宋体" w:hAnsi="宋体" w:cs="Arial"/>
          <w:szCs w:val="21"/>
        </w:rPr>
        <w:t>______________________</w:t>
      </w:r>
      <w:r>
        <w:rPr>
          <w:rFonts w:hint="eastAsia" w:ascii="宋体" w:hAnsi="宋体" w:cs="Arial"/>
          <w:szCs w:val="21"/>
        </w:rPr>
        <w:t>项目的投标活动，并代表我方全权办理针对上述项目的投标、开标、投标文件澄清、签约等一切具体事务和签署相关文件。</w:t>
      </w:r>
    </w:p>
    <w:p>
      <w:pPr>
        <w:adjustRightInd w:val="0"/>
        <w:spacing w:line="360" w:lineRule="auto"/>
        <w:ind w:firstLine="441" w:firstLineChars="210"/>
        <w:contextualSpacing/>
        <w:rPr>
          <w:rFonts w:ascii="宋体" w:cs="Arial"/>
          <w:szCs w:val="21"/>
        </w:rPr>
      </w:pPr>
      <w:r>
        <w:rPr>
          <w:rFonts w:hint="eastAsia" w:ascii="宋体" w:hAnsi="宋体" w:cs="Arial"/>
          <w:szCs w:val="21"/>
        </w:rPr>
        <w:t>我方对被授权人的签名事项负全部责任。</w:t>
      </w:r>
    </w:p>
    <w:p>
      <w:pPr>
        <w:adjustRightInd w:val="0"/>
        <w:spacing w:line="360" w:lineRule="auto"/>
        <w:ind w:firstLine="441" w:firstLineChars="210"/>
        <w:contextualSpacing/>
        <w:rPr>
          <w:rFonts w:ascii="宋体" w:cs="Arial"/>
          <w:szCs w:val="21"/>
        </w:rPr>
      </w:pPr>
      <w:r>
        <w:rPr>
          <w:rFonts w:hint="eastAsia" w:ascii="宋体" w:hAnsi="宋体" w:cs="Arial"/>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441" w:firstLineChars="210"/>
        <w:contextualSpacing/>
        <w:rPr>
          <w:rFonts w:ascii="宋体" w:cs="Arial"/>
          <w:szCs w:val="21"/>
        </w:rPr>
      </w:pPr>
      <w:r>
        <w:rPr>
          <w:rFonts w:hint="eastAsia" w:ascii="宋体" w:hAnsi="宋体" w:cs="Arial"/>
          <w:szCs w:val="21"/>
        </w:rPr>
        <w:t>被授权人无转委托权，特此委托。</w:t>
      </w:r>
    </w:p>
    <w:p>
      <w:pPr>
        <w:spacing w:line="480" w:lineRule="auto"/>
        <w:ind w:firstLine="420" w:firstLineChars="200"/>
        <w:rPr>
          <w:rFonts w:ascii="宋体"/>
          <w:szCs w:val="21"/>
        </w:rPr>
      </w:pPr>
      <w:r>
        <w:rPr>
          <w:rFonts w:hint="eastAsia" w:ascii="宋体" w:hAnsi="宋体"/>
          <w:szCs w:val="21"/>
        </w:rPr>
        <w:t>投标人名称：</w:t>
      </w:r>
      <w:r>
        <w:rPr>
          <w:rFonts w:ascii="宋体" w:hAnsi="宋体"/>
          <w:szCs w:val="21"/>
        </w:rPr>
        <w:t xml:space="preserve"> </w:t>
      </w:r>
      <w:r>
        <w:rPr>
          <w:rFonts w:ascii="宋体" w:hAnsi="宋体"/>
          <w:szCs w:val="21"/>
          <w:u w:val="single"/>
        </w:rPr>
        <w:t xml:space="preserve">       </w:t>
      </w:r>
      <w:r>
        <w:rPr>
          <w:rFonts w:hint="eastAsia" w:ascii="宋体" w:hAnsi="宋体"/>
          <w:szCs w:val="21"/>
          <w:u w:val="single"/>
        </w:rPr>
        <w:t>（全称）</w:t>
      </w:r>
      <w:r>
        <w:rPr>
          <w:rFonts w:ascii="宋体" w:hAnsi="宋体"/>
          <w:szCs w:val="21"/>
          <w:u w:val="single"/>
        </w:rPr>
        <w:t xml:space="preserve">       </w:t>
      </w:r>
      <w:r>
        <w:rPr>
          <w:rFonts w:ascii="宋体" w:hAnsi="宋体"/>
          <w:szCs w:val="21"/>
        </w:rPr>
        <w:t xml:space="preserve"> </w:t>
      </w:r>
      <w:r>
        <w:rPr>
          <w:rFonts w:hint="eastAsia" w:ascii="宋体" w:hAnsi="宋体"/>
          <w:szCs w:val="21"/>
        </w:rPr>
        <w:t>（盖单位公章）</w:t>
      </w:r>
    </w:p>
    <w:p>
      <w:pPr>
        <w:spacing w:line="480" w:lineRule="auto"/>
        <w:ind w:firstLine="420" w:firstLineChars="200"/>
        <w:rPr>
          <w:rFonts w:ascii="宋体" w:cs="Arial"/>
          <w:szCs w:val="21"/>
        </w:rPr>
      </w:pPr>
      <w:r>
        <w:rPr>
          <w:rFonts w:hint="eastAsia" w:ascii="宋体" w:hAnsi="宋体" w:cs="Arial"/>
          <w:szCs w:val="21"/>
        </w:rPr>
        <w:t>法定代表人（单位负责人）：</w:t>
      </w:r>
      <w:r>
        <w:rPr>
          <w:rFonts w:ascii="宋体" w:hAnsi="宋体" w:cs="Arial"/>
          <w:szCs w:val="21"/>
        </w:rPr>
        <w:t xml:space="preserve">              </w:t>
      </w:r>
      <w:r>
        <w:rPr>
          <w:rFonts w:hint="eastAsia" w:ascii="宋体" w:hAnsi="宋体" w:cs="Arial"/>
          <w:szCs w:val="21"/>
        </w:rPr>
        <w:t>（签字或加盖名章）</w:t>
      </w:r>
    </w:p>
    <w:p>
      <w:pPr>
        <w:spacing w:line="480" w:lineRule="auto"/>
        <w:ind w:firstLine="420" w:firstLineChars="200"/>
        <w:rPr>
          <w:rFonts w:hint="eastAsia" w:ascii="宋体" w:hAnsi="宋体"/>
          <w:szCs w:val="21"/>
        </w:rPr>
      </w:pPr>
      <w:r>
        <w:rPr>
          <w:rFonts w:hint="eastAsia" w:ascii="宋体" w:hAnsi="宋体" w:cs="Arial"/>
          <w:szCs w:val="21"/>
        </w:rPr>
        <w:t>法定代表人（单位负责人）</w:t>
      </w:r>
      <w:r>
        <w:rPr>
          <w:rFonts w:hint="eastAsia" w:ascii="宋体" w:hAnsi="宋体"/>
          <w:szCs w:val="21"/>
        </w:rPr>
        <w:t>授权代表：</w:t>
      </w:r>
      <w:r>
        <w:rPr>
          <w:rFonts w:ascii="宋体" w:hAnsi="宋体"/>
          <w:szCs w:val="21"/>
        </w:rPr>
        <w:t xml:space="preserve">  </w:t>
      </w:r>
      <w:r>
        <w:rPr>
          <w:rFonts w:hint="eastAsia" w:ascii="宋体" w:hAnsi="宋体"/>
          <w:szCs w:val="21"/>
        </w:rPr>
        <w:t>（签字或加盖名章）</w:t>
      </w:r>
    </w:p>
    <w:p>
      <w:pPr>
        <w:pStyle w:val="2"/>
        <w:ind w:firstLine="420" w:firstLineChars="200"/>
        <w:rPr>
          <w:rFonts w:hint="eastAsia" w:ascii="宋体" w:hAnsi="宋体" w:eastAsia="宋体" w:cs="Arial"/>
          <w:kern w:val="2"/>
          <w:sz w:val="21"/>
          <w:szCs w:val="21"/>
          <w:lang w:val="en-US" w:eastAsia="zh-CN" w:bidi="ar-SA"/>
        </w:rPr>
      </w:pPr>
      <w:r>
        <w:rPr>
          <w:rFonts w:hint="eastAsia" w:ascii="宋体" w:hAnsi="宋体" w:eastAsia="宋体" w:cs="Arial"/>
          <w:kern w:val="2"/>
          <w:sz w:val="21"/>
          <w:szCs w:val="21"/>
          <w:lang w:val="en-US" w:eastAsia="zh-CN" w:bidi="ar-SA"/>
        </w:rPr>
        <w:t>联系电话：</w:t>
      </w:r>
    </w:p>
    <w:tbl>
      <w:tblPr>
        <w:tblStyle w:val="24"/>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4" w:type="dxa"/>
          <w:trHeight w:val="2636" w:hRule="atLeast"/>
        </w:trPr>
        <w:tc>
          <w:tcPr>
            <w:tcW w:w="4484" w:type="dxa"/>
            <w:vAlign w:val="center"/>
          </w:tcPr>
          <w:p>
            <w:pPr>
              <w:jc w:val="center"/>
              <w:rPr>
                <w:rFonts w:ascii="宋体"/>
                <w:szCs w:val="21"/>
              </w:rPr>
            </w:pPr>
            <w:r>
              <w:rPr>
                <w:rFonts w:hint="eastAsia" w:ascii="宋体" w:hAnsi="宋体"/>
                <w:szCs w:val="21"/>
              </w:rPr>
              <w:t>法定代表人（单位负责人）身份证（正面）</w:t>
            </w:r>
          </w:p>
        </w:tc>
        <w:tc>
          <w:tcPr>
            <w:tcW w:w="4485" w:type="dxa"/>
            <w:gridSpan w:val="2"/>
            <w:vAlign w:val="center"/>
          </w:tcPr>
          <w:p>
            <w:pPr>
              <w:jc w:val="center"/>
              <w:rPr>
                <w:rFonts w:ascii="宋体"/>
                <w:szCs w:val="21"/>
              </w:rPr>
            </w:pPr>
            <w:r>
              <w:rPr>
                <w:rFonts w:hint="eastAsia" w:ascii="宋体" w:hAnsi="宋体"/>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pPr>
              <w:jc w:val="center"/>
              <w:rPr>
                <w:rFonts w:ascii="宋体"/>
                <w:szCs w:val="21"/>
              </w:rPr>
            </w:pPr>
            <w:bookmarkStart w:id="17" w:name="_资格证明文件"/>
            <w:bookmarkEnd w:id="17"/>
            <w:bookmarkStart w:id="18" w:name="_Toc364329026"/>
            <w:r>
              <w:rPr>
                <w:rFonts w:hint="eastAsia" w:ascii="宋体" w:hAnsi="宋体"/>
                <w:szCs w:val="21"/>
              </w:rPr>
              <w:t>法定代表人（单位负责人）授权代表身份证</w:t>
            </w:r>
          </w:p>
          <w:p>
            <w:pPr>
              <w:jc w:val="center"/>
              <w:rPr>
                <w:rFonts w:ascii="宋体"/>
                <w:szCs w:val="21"/>
              </w:rPr>
            </w:pPr>
            <w:r>
              <w:rPr>
                <w:rFonts w:hint="eastAsia" w:ascii="宋体" w:hAnsi="宋体"/>
                <w:szCs w:val="21"/>
              </w:rPr>
              <w:t>（正面）</w:t>
            </w:r>
            <w:bookmarkEnd w:id="18"/>
          </w:p>
        </w:tc>
        <w:tc>
          <w:tcPr>
            <w:tcW w:w="4492" w:type="dxa"/>
            <w:gridSpan w:val="2"/>
            <w:vAlign w:val="center"/>
          </w:tcPr>
          <w:p>
            <w:pPr>
              <w:jc w:val="center"/>
              <w:rPr>
                <w:rFonts w:ascii="宋体"/>
                <w:szCs w:val="21"/>
              </w:rPr>
            </w:pPr>
            <w:bookmarkStart w:id="19" w:name="_Toc364329027"/>
            <w:r>
              <w:rPr>
                <w:rFonts w:hint="eastAsia" w:ascii="宋体" w:hAnsi="宋体"/>
                <w:szCs w:val="21"/>
              </w:rPr>
              <w:t>法定代表人（单位负责人）授权代表身份证</w:t>
            </w:r>
          </w:p>
          <w:p>
            <w:pPr>
              <w:jc w:val="center"/>
              <w:rPr>
                <w:rFonts w:ascii="宋体"/>
                <w:szCs w:val="21"/>
              </w:rPr>
            </w:pPr>
            <w:r>
              <w:rPr>
                <w:rFonts w:hint="eastAsia" w:ascii="宋体" w:hAnsi="宋体"/>
                <w:szCs w:val="21"/>
              </w:rPr>
              <w:t>（反面）</w:t>
            </w:r>
            <w:bookmarkEnd w:id="19"/>
          </w:p>
        </w:tc>
      </w:tr>
    </w:tbl>
    <w:p>
      <w:pPr>
        <w:spacing w:line="320" w:lineRule="exact"/>
        <w:ind w:left="2" w:firstLine="357" w:firstLineChars="149"/>
        <w:rPr>
          <w:rFonts w:ascii="宋体" w:cs="Courier New"/>
          <w:sz w:val="24"/>
          <w:szCs w:val="24"/>
        </w:rPr>
      </w:pPr>
    </w:p>
    <w:p>
      <w:pPr>
        <w:widowControl/>
        <w:spacing w:before="100" w:beforeAutospacing="1" w:after="100" w:afterAutospacing="1" w:line="360" w:lineRule="auto"/>
        <w:jc w:val="center"/>
        <w:rPr>
          <w:rFonts w:ascii="宋体"/>
          <w:b/>
          <w:bCs/>
          <w:color w:val="000000"/>
          <w:sz w:val="24"/>
          <w:szCs w:val="24"/>
        </w:rPr>
      </w:pPr>
      <w:r>
        <w:rPr>
          <w:rFonts w:ascii="宋体" w:hAnsi="宋体"/>
          <w:b/>
          <w:bCs/>
          <w:color w:val="000000"/>
          <w:sz w:val="24"/>
          <w:szCs w:val="24"/>
        </w:rPr>
        <w:t xml:space="preserve">3.4 </w:t>
      </w:r>
      <w:r>
        <w:rPr>
          <w:rFonts w:hint="eastAsia" w:ascii="宋体" w:hAnsi="宋体"/>
          <w:b/>
          <w:bCs/>
          <w:color w:val="000000"/>
          <w:sz w:val="24"/>
          <w:szCs w:val="24"/>
        </w:rPr>
        <w:t>没有重大违法记录的声明</w:t>
      </w:r>
    </w:p>
    <w:p>
      <w:pPr>
        <w:spacing w:beforeLines="50" w:afterLines="50"/>
        <w:jc w:val="center"/>
        <w:rPr>
          <w:rFonts w:ascii="宋体" w:cs="Arial"/>
          <w:color w:val="000000"/>
          <w:kern w:val="0"/>
          <w:sz w:val="28"/>
          <w:szCs w:val="28"/>
        </w:rPr>
      </w:pPr>
      <w:r>
        <w:rPr>
          <w:rFonts w:hint="eastAsia" w:ascii="宋体" w:hAnsi="宋体" w:cs="Arial"/>
          <w:color w:val="000000"/>
          <w:kern w:val="0"/>
          <w:sz w:val="28"/>
          <w:szCs w:val="28"/>
        </w:rPr>
        <w:t>声　</w:t>
      </w:r>
      <w:r>
        <w:rPr>
          <w:rFonts w:ascii="宋体" w:hAnsi="宋体" w:cs="Arial"/>
          <w:color w:val="000000"/>
          <w:kern w:val="0"/>
          <w:sz w:val="28"/>
          <w:szCs w:val="28"/>
        </w:rPr>
        <w:t xml:space="preserve">   </w:t>
      </w:r>
      <w:r>
        <w:rPr>
          <w:rFonts w:hint="eastAsia" w:ascii="宋体" w:hAnsi="宋体" w:cs="Arial"/>
          <w:color w:val="000000"/>
          <w:kern w:val="0"/>
          <w:sz w:val="28"/>
          <w:szCs w:val="28"/>
        </w:rPr>
        <w:t>明</w:t>
      </w:r>
    </w:p>
    <w:p>
      <w:pPr>
        <w:spacing w:beforeLines="50" w:afterLines="50" w:line="360" w:lineRule="auto"/>
        <w:ind w:firstLine="420" w:firstLineChars="200"/>
        <w:rPr>
          <w:rFonts w:ascii="宋体" w:cs="宋体"/>
          <w:szCs w:val="21"/>
          <w:lang w:val="zh-CN"/>
        </w:rPr>
      </w:pPr>
      <w:r>
        <w:rPr>
          <w:rFonts w:hint="eastAsia" w:ascii="宋体" w:hAnsi="宋体" w:cs="宋体"/>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ascii="宋体" w:cs="宋体"/>
          <w:szCs w:val="21"/>
          <w:lang w:val="zh-CN"/>
        </w:rPr>
      </w:pPr>
      <w:r>
        <w:rPr>
          <w:rFonts w:hint="eastAsia" w:ascii="宋体" w:hAnsi="宋体" w:cs="宋体"/>
          <w:szCs w:val="21"/>
          <w:lang w:val="zh-CN"/>
        </w:rPr>
        <w:t>特此声明。</w:t>
      </w:r>
    </w:p>
    <w:p>
      <w:pPr>
        <w:spacing w:beforeLines="50" w:afterLines="50" w:line="360" w:lineRule="auto"/>
        <w:ind w:firstLine="420" w:firstLineChars="200"/>
        <w:rPr>
          <w:rFonts w:ascii="宋体" w:cs="宋体"/>
          <w:szCs w:val="21"/>
          <w:lang w:val="zh-CN"/>
        </w:rPr>
      </w:pPr>
      <w:r>
        <w:rPr>
          <w:rFonts w:hint="eastAsia" w:ascii="宋体" w:hAnsi="宋体" w:cs="宋体"/>
          <w:szCs w:val="21"/>
          <w:lang w:val="zh-CN"/>
        </w:rPr>
        <w:t>本公司对上述声明的真实性负责。如有虚假，将依法承担相应责任。</w:t>
      </w:r>
    </w:p>
    <w:p>
      <w:pPr>
        <w:spacing w:beforeLines="50" w:afterLines="50" w:line="360" w:lineRule="auto"/>
        <w:ind w:firstLine="495" w:firstLineChars="236"/>
        <w:rPr>
          <w:rFonts w:ascii="宋体" w:cs="宋体"/>
          <w:szCs w:val="21"/>
          <w:lang w:val="zh-CN"/>
        </w:rPr>
      </w:pPr>
    </w:p>
    <w:p>
      <w:pPr>
        <w:spacing w:beforeLines="50" w:afterLines="50" w:line="360" w:lineRule="auto"/>
        <w:ind w:right="420" w:firstLine="4800" w:firstLineChars="2286"/>
        <w:rPr>
          <w:rFonts w:ascii="宋体" w:cs="宋体"/>
          <w:szCs w:val="21"/>
          <w:lang w:val="zh-CN"/>
        </w:rPr>
      </w:pPr>
      <w:r>
        <w:rPr>
          <w:rFonts w:hint="eastAsia" w:ascii="宋体" w:hAnsi="宋体" w:cs="宋体"/>
          <w:szCs w:val="21"/>
          <w:lang w:val="zh-CN"/>
        </w:rPr>
        <w:t>投标人名称（盖章）：</w:t>
      </w:r>
    </w:p>
    <w:p>
      <w:pPr>
        <w:spacing w:beforeLines="50" w:afterLines="50" w:line="360" w:lineRule="auto"/>
        <w:ind w:right="420" w:firstLine="4800" w:firstLineChars="2286"/>
        <w:rPr>
          <w:rFonts w:ascii="宋体" w:cs="宋体"/>
          <w:szCs w:val="21"/>
          <w:lang w:val="zh-CN"/>
        </w:rPr>
      </w:pPr>
      <w:r>
        <w:rPr>
          <w:rFonts w:hint="eastAsia" w:ascii="宋体" w:hAnsi="宋体" w:cs="宋体"/>
          <w:szCs w:val="21"/>
          <w:lang w:val="zh-CN"/>
        </w:rPr>
        <w:t>日</w:t>
      </w:r>
      <w:r>
        <w:rPr>
          <w:rFonts w:ascii="宋体" w:hAnsi="宋体" w:cs="宋体"/>
          <w:szCs w:val="21"/>
          <w:lang w:val="zh-CN"/>
        </w:rPr>
        <w:t xml:space="preserve">    </w:t>
      </w:r>
      <w:r>
        <w:rPr>
          <w:rFonts w:hint="eastAsia" w:ascii="宋体" w:hAnsi="宋体" w:cs="宋体"/>
          <w:szCs w:val="21"/>
          <w:lang w:val="zh-CN"/>
        </w:rPr>
        <w:t>期：</w:t>
      </w:r>
      <w:r>
        <w:rPr>
          <w:rFonts w:hint="eastAsia" w:ascii="宋体" w:hAnsi="宋体" w:cs="宋体"/>
          <w:szCs w:val="21"/>
        </w:rPr>
        <w:t>年</w:t>
      </w:r>
      <w:r>
        <w:rPr>
          <w:rFonts w:ascii="宋体" w:hAnsi="宋体" w:cs="宋体"/>
          <w:szCs w:val="21"/>
        </w:rPr>
        <w:t xml:space="preserve">   </w:t>
      </w:r>
      <w:r>
        <w:rPr>
          <w:rFonts w:hint="eastAsia" w:ascii="宋体" w:hAnsi="宋体" w:cs="宋体"/>
          <w:szCs w:val="21"/>
        </w:rPr>
        <w:t>月</w:t>
      </w:r>
      <w:r>
        <w:rPr>
          <w:rFonts w:ascii="宋体" w:hAnsi="宋体" w:cs="宋体"/>
          <w:szCs w:val="21"/>
        </w:rPr>
        <w:t xml:space="preserve">   </w:t>
      </w:r>
      <w:r>
        <w:rPr>
          <w:rFonts w:hint="eastAsia" w:ascii="宋体" w:hAnsi="宋体" w:cs="宋体"/>
          <w:szCs w:val="21"/>
        </w:rPr>
        <w:t>日</w:t>
      </w:r>
    </w:p>
    <w:p>
      <w:pPr>
        <w:spacing w:beforeLines="50" w:afterLines="50" w:line="360" w:lineRule="auto"/>
        <w:ind w:right="420" w:firstLine="5486" w:firstLineChars="2286"/>
        <w:rPr>
          <w:rFonts w:ascii="宋体" w:cs="宋体"/>
          <w:sz w:val="24"/>
          <w:szCs w:val="24"/>
          <w:lang w:val="zh-CN"/>
        </w:rPr>
      </w:pPr>
    </w:p>
    <w:p>
      <w:pPr>
        <w:spacing w:beforeLines="50" w:afterLines="50" w:line="360" w:lineRule="auto"/>
        <w:ind w:right="420" w:firstLine="5486" w:firstLineChars="2286"/>
        <w:rPr>
          <w:rFonts w:ascii="宋体" w:cs="宋体"/>
          <w:sz w:val="24"/>
          <w:szCs w:val="24"/>
          <w:lang w:val="zh-CN"/>
        </w:rPr>
      </w:pPr>
    </w:p>
    <w:p>
      <w:pPr>
        <w:spacing w:beforeLines="50" w:afterLines="50" w:line="360" w:lineRule="auto"/>
        <w:ind w:right="420" w:firstLine="5486" w:firstLineChars="2286"/>
        <w:rPr>
          <w:rFonts w:ascii="宋体" w:cs="宋体"/>
          <w:sz w:val="24"/>
          <w:szCs w:val="24"/>
          <w:lang w:val="zh-CN"/>
        </w:rPr>
      </w:pPr>
    </w:p>
    <w:p>
      <w:pPr>
        <w:spacing w:beforeLines="50" w:afterLines="50" w:line="360" w:lineRule="auto"/>
        <w:ind w:right="420" w:firstLine="5486" w:firstLineChars="2286"/>
        <w:rPr>
          <w:rFonts w:ascii="宋体" w:cs="宋体"/>
          <w:sz w:val="24"/>
          <w:szCs w:val="24"/>
          <w:lang w:val="zh-CN"/>
        </w:rPr>
      </w:pPr>
    </w:p>
    <w:p>
      <w:pPr>
        <w:spacing w:beforeLines="50" w:afterLines="50" w:line="360" w:lineRule="auto"/>
        <w:ind w:right="420" w:firstLine="5486" w:firstLineChars="2286"/>
        <w:rPr>
          <w:rFonts w:ascii="宋体" w:cs="宋体"/>
          <w:sz w:val="24"/>
          <w:szCs w:val="24"/>
          <w:lang w:val="zh-CN"/>
        </w:rPr>
      </w:pPr>
    </w:p>
    <w:p>
      <w:pPr>
        <w:spacing w:beforeLines="50" w:afterLines="50" w:line="360" w:lineRule="auto"/>
        <w:ind w:right="420" w:firstLine="5486" w:firstLineChars="2286"/>
        <w:rPr>
          <w:rFonts w:ascii="宋体" w:cs="宋体"/>
          <w:sz w:val="24"/>
          <w:szCs w:val="24"/>
          <w:lang w:val="zh-CN"/>
        </w:rPr>
      </w:pPr>
    </w:p>
    <w:p>
      <w:pPr>
        <w:spacing w:beforeLines="50" w:afterLines="50" w:line="360" w:lineRule="auto"/>
        <w:ind w:right="420" w:firstLine="5486" w:firstLineChars="2286"/>
        <w:rPr>
          <w:rFonts w:ascii="宋体" w:cs="宋体"/>
          <w:sz w:val="24"/>
          <w:szCs w:val="24"/>
          <w:lang w:val="zh-CN"/>
        </w:rPr>
      </w:pPr>
    </w:p>
    <w:p>
      <w:pPr>
        <w:spacing w:beforeLines="50" w:afterLines="50" w:line="360" w:lineRule="auto"/>
        <w:ind w:right="420" w:firstLine="5486" w:firstLineChars="2286"/>
        <w:rPr>
          <w:rFonts w:ascii="宋体" w:cs="宋体"/>
          <w:sz w:val="24"/>
          <w:szCs w:val="24"/>
          <w:lang w:val="zh-CN"/>
        </w:rPr>
      </w:pPr>
    </w:p>
    <w:p>
      <w:pPr>
        <w:spacing w:beforeLines="50" w:afterLines="50" w:line="360" w:lineRule="auto"/>
        <w:ind w:right="420" w:firstLine="5486" w:firstLineChars="2286"/>
        <w:rPr>
          <w:rFonts w:ascii="宋体" w:cs="宋体"/>
          <w:sz w:val="24"/>
          <w:szCs w:val="24"/>
          <w:lang w:val="zh-CN"/>
        </w:rPr>
      </w:pPr>
    </w:p>
    <w:p>
      <w:pPr>
        <w:spacing w:beforeLines="50" w:afterLines="50" w:line="360" w:lineRule="auto"/>
        <w:ind w:right="420" w:firstLine="5486" w:firstLineChars="2286"/>
        <w:rPr>
          <w:rFonts w:ascii="宋体" w:cs="宋体"/>
          <w:sz w:val="24"/>
          <w:szCs w:val="24"/>
          <w:lang w:val="zh-CN"/>
        </w:rPr>
      </w:pPr>
    </w:p>
    <w:p>
      <w:pPr>
        <w:autoSpaceDE w:val="0"/>
        <w:autoSpaceDN w:val="0"/>
        <w:adjustRightInd w:val="0"/>
        <w:spacing w:line="360" w:lineRule="auto"/>
        <w:jc w:val="center"/>
        <w:outlineLvl w:val="0"/>
        <w:rPr>
          <w:rFonts w:ascii="宋体"/>
          <w:b/>
          <w:bCs/>
          <w:color w:val="000000"/>
          <w:sz w:val="24"/>
          <w:szCs w:val="24"/>
        </w:rPr>
      </w:pPr>
      <w:r>
        <w:rPr>
          <w:rFonts w:ascii="宋体" w:hAnsi="宋体"/>
          <w:b/>
          <w:bCs/>
          <w:color w:val="000000"/>
          <w:sz w:val="24"/>
          <w:szCs w:val="24"/>
        </w:rPr>
        <w:t xml:space="preserve">3.5 </w:t>
      </w:r>
      <w:r>
        <w:rPr>
          <w:rFonts w:hint="eastAsia" w:ascii="宋体" w:hAnsi="宋体"/>
          <w:b/>
          <w:bCs/>
          <w:color w:val="000000"/>
          <w:sz w:val="24"/>
          <w:szCs w:val="24"/>
        </w:rPr>
        <w:t>投标承诺函</w:t>
      </w:r>
    </w:p>
    <w:p>
      <w:pPr>
        <w:autoSpaceDE w:val="0"/>
        <w:autoSpaceDN w:val="0"/>
        <w:snapToGrid w:val="0"/>
        <w:spacing w:line="360" w:lineRule="auto"/>
        <w:jc w:val="center"/>
        <w:rPr>
          <w:rFonts w:ascii="宋体"/>
          <w:b/>
          <w:bCs/>
          <w:color w:val="000000"/>
          <w:sz w:val="24"/>
          <w:szCs w:val="24"/>
        </w:rPr>
      </w:pPr>
    </w:p>
    <w:p>
      <w:pPr>
        <w:spacing w:beforeLines="50" w:afterLines="50" w:line="360" w:lineRule="auto"/>
        <w:contextualSpacing/>
        <w:rPr>
          <w:rFonts w:ascii="宋体" w:cs="宋体"/>
          <w:szCs w:val="21"/>
          <w:lang w:val="zh-CN"/>
        </w:rPr>
      </w:pPr>
      <w:r>
        <w:rPr>
          <w:rFonts w:hint="eastAsia" w:ascii="宋体" w:hAnsi="宋体" w:cs="宋体"/>
          <w:szCs w:val="21"/>
          <w:lang w:val="zh-CN"/>
        </w:rPr>
        <w:t>（采购人）：</w:t>
      </w:r>
    </w:p>
    <w:p>
      <w:pPr>
        <w:spacing w:beforeLines="50" w:afterLines="50" w:line="360" w:lineRule="auto"/>
        <w:ind w:firstLine="420" w:firstLineChars="200"/>
        <w:contextualSpacing/>
        <w:rPr>
          <w:rFonts w:ascii="宋体" w:cs="宋体"/>
          <w:szCs w:val="21"/>
          <w:lang w:val="zh-CN"/>
        </w:rPr>
      </w:pPr>
      <w:r>
        <w:rPr>
          <w:rFonts w:hint="eastAsia" w:ascii="宋体" w:hAnsi="宋体" w:cs="宋体"/>
          <w:szCs w:val="21"/>
          <w:lang w:val="zh-CN"/>
        </w:rPr>
        <w:t>经研究，我方自愿参与贵方年</w:t>
      </w:r>
      <w:r>
        <w:rPr>
          <w:rFonts w:ascii="宋体" w:hAnsi="宋体" w:cs="宋体"/>
          <w:szCs w:val="21"/>
          <w:lang w:val="zh-CN"/>
        </w:rPr>
        <w:t>____</w:t>
      </w:r>
      <w:r>
        <w:rPr>
          <w:rFonts w:hint="eastAsia" w:ascii="宋体" w:hAnsi="宋体" w:cs="宋体"/>
          <w:szCs w:val="21"/>
          <w:lang w:val="zh-CN"/>
        </w:rPr>
        <w:t>月日</w:t>
      </w:r>
      <w:r>
        <w:rPr>
          <w:rFonts w:ascii="宋体" w:hAnsi="宋体" w:cs="宋体"/>
          <w:szCs w:val="21"/>
          <w:u w:val="single"/>
          <w:lang w:val="zh-CN"/>
        </w:rPr>
        <w:t>_</w:t>
      </w:r>
      <w:r>
        <w:rPr>
          <w:rFonts w:hint="eastAsia" w:ascii="宋体" w:hAnsi="宋体" w:cs="宋体"/>
          <w:szCs w:val="21"/>
          <w:lang w:val="zh-CN"/>
        </w:rPr>
        <w:t>（招标编号、项目名称）的投标，将严格遵守《中华人民共和国政府采购法》等相关法律法规规定，并无条件地遵守本次采购活动各项规定。我们郑重承诺：我方如果在本次投标活动中有下列情形之一的，愿接受政府采购监督管理部门给予相关处罚并承诺依法承担相关的经济赔偿责任和法律责任。</w:t>
      </w:r>
    </w:p>
    <w:p>
      <w:pPr>
        <w:spacing w:beforeLines="50" w:afterLines="50" w:line="360" w:lineRule="auto"/>
        <w:ind w:firstLine="420" w:firstLineChars="200"/>
        <w:contextualSpacing/>
        <w:rPr>
          <w:rFonts w:ascii="宋体" w:cs="宋体"/>
          <w:szCs w:val="21"/>
          <w:lang w:val="zh-CN"/>
        </w:rPr>
      </w:pPr>
      <w:r>
        <w:rPr>
          <w:rFonts w:hint="eastAsia" w:ascii="宋体" w:hAnsi="宋体" w:cs="宋体"/>
          <w:szCs w:val="21"/>
          <w:lang w:val="zh-CN"/>
        </w:rPr>
        <w:t>一、在投标有效期内撤销投标文件；</w:t>
      </w:r>
    </w:p>
    <w:p>
      <w:pPr>
        <w:spacing w:beforeLines="50" w:afterLines="50" w:line="360" w:lineRule="auto"/>
        <w:ind w:firstLine="420" w:firstLineChars="200"/>
        <w:contextualSpacing/>
        <w:rPr>
          <w:rFonts w:ascii="宋体" w:cs="宋体"/>
          <w:szCs w:val="21"/>
          <w:lang w:val="zh-CN"/>
        </w:rPr>
      </w:pPr>
      <w:r>
        <w:rPr>
          <w:rFonts w:hint="eastAsia" w:ascii="宋体" w:hAnsi="宋体" w:cs="宋体"/>
          <w:szCs w:val="21"/>
          <w:lang w:val="zh-CN"/>
        </w:rPr>
        <w:t>二、在投标文件中提供虚假材料；</w:t>
      </w:r>
    </w:p>
    <w:p>
      <w:pPr>
        <w:spacing w:beforeLines="50" w:afterLines="50" w:line="360" w:lineRule="auto"/>
        <w:ind w:firstLine="420" w:firstLineChars="200"/>
        <w:contextualSpacing/>
        <w:rPr>
          <w:rFonts w:ascii="宋体" w:cs="宋体"/>
          <w:szCs w:val="21"/>
          <w:lang w:val="zh-CN"/>
        </w:rPr>
      </w:pPr>
      <w:r>
        <w:rPr>
          <w:rFonts w:hint="eastAsia" w:ascii="宋体" w:hAnsi="宋体" w:cs="宋体"/>
          <w:szCs w:val="21"/>
          <w:lang w:val="zh-CN"/>
        </w:rPr>
        <w:t>三、除因不可抗力或招标文件认可的情形以外，中标后不与采购人签订合同；</w:t>
      </w:r>
    </w:p>
    <w:p>
      <w:pPr>
        <w:spacing w:beforeLines="50" w:afterLines="50" w:line="360" w:lineRule="auto"/>
        <w:ind w:firstLine="420" w:firstLineChars="200"/>
        <w:contextualSpacing/>
        <w:rPr>
          <w:rFonts w:ascii="宋体" w:cs="宋体"/>
          <w:szCs w:val="21"/>
          <w:lang w:val="zh-CN"/>
        </w:rPr>
      </w:pPr>
      <w:r>
        <w:rPr>
          <w:rFonts w:hint="eastAsia" w:ascii="宋体" w:hAnsi="宋体" w:cs="宋体"/>
          <w:szCs w:val="21"/>
          <w:lang w:val="zh-CN"/>
        </w:rPr>
        <w:t>四、与采购人、其他投标人或者采购代理机构恶意串通；</w:t>
      </w:r>
    </w:p>
    <w:p>
      <w:pPr>
        <w:spacing w:beforeLines="50" w:afterLines="50" w:line="360" w:lineRule="auto"/>
        <w:ind w:firstLine="420" w:firstLineChars="200"/>
        <w:contextualSpacing/>
        <w:rPr>
          <w:rFonts w:ascii="宋体" w:cs="宋体"/>
          <w:szCs w:val="21"/>
          <w:lang w:val="zh-CN"/>
        </w:rPr>
      </w:pPr>
      <w:r>
        <w:rPr>
          <w:rFonts w:hint="eastAsia" w:ascii="宋体" w:hAnsi="宋体" w:cs="宋体"/>
          <w:szCs w:val="21"/>
          <w:lang w:val="zh-CN"/>
        </w:rPr>
        <w:t>五、法律法规及本招标文件规定的其他严重违法行为。</w:t>
      </w:r>
    </w:p>
    <w:p>
      <w:pPr>
        <w:rPr>
          <w:color w:val="000000"/>
          <w:sz w:val="28"/>
          <w:szCs w:val="28"/>
          <w:u w:val="single"/>
        </w:rPr>
      </w:pPr>
    </w:p>
    <w:p>
      <w:pPr>
        <w:rPr>
          <w:color w:val="000000"/>
          <w:sz w:val="28"/>
          <w:szCs w:val="28"/>
          <w:u w:val="single"/>
        </w:rPr>
      </w:pPr>
    </w:p>
    <w:p>
      <w:pPr>
        <w:spacing w:line="480" w:lineRule="auto"/>
        <w:ind w:firstLine="4357" w:firstLineChars="2075"/>
        <w:rPr>
          <w:rFonts w:ascii="宋体" w:cs="Arial"/>
          <w:color w:val="000000"/>
          <w:szCs w:val="21"/>
        </w:rPr>
      </w:pPr>
      <w:r>
        <w:rPr>
          <w:rFonts w:hint="eastAsia" w:ascii="宋体" w:hAnsi="宋体" w:cs="Arial"/>
          <w:color w:val="000000"/>
          <w:szCs w:val="21"/>
        </w:rPr>
        <w:t>投标人名称（盖章）：　　　　　　　　　</w:t>
      </w:r>
    </w:p>
    <w:p>
      <w:pPr>
        <w:spacing w:line="480" w:lineRule="auto"/>
        <w:ind w:firstLine="4357" w:firstLineChars="2075"/>
        <w:rPr>
          <w:rFonts w:ascii="宋体" w:cs="Arial"/>
          <w:color w:val="000000"/>
          <w:szCs w:val="21"/>
        </w:rPr>
      </w:pPr>
      <w:r>
        <w:rPr>
          <w:rFonts w:hint="eastAsia" w:ascii="宋体" w:hAnsi="宋体" w:cs="Arial"/>
          <w:color w:val="000000"/>
          <w:szCs w:val="21"/>
        </w:rPr>
        <w:t>日　</w:t>
      </w:r>
      <w:r>
        <w:rPr>
          <w:rFonts w:ascii="宋体" w:hAnsi="宋体" w:cs="Arial"/>
          <w:color w:val="000000"/>
          <w:szCs w:val="21"/>
        </w:rPr>
        <w:t xml:space="preserve">  </w:t>
      </w:r>
      <w:r>
        <w:rPr>
          <w:rFonts w:hint="eastAsia" w:ascii="宋体" w:hAnsi="宋体" w:cs="Arial"/>
          <w:color w:val="000000"/>
          <w:szCs w:val="21"/>
        </w:rPr>
        <w:t>期：</w:t>
      </w:r>
      <w:r>
        <w:rPr>
          <w:rFonts w:ascii="宋体" w:hAnsi="宋体" w:cs="Arial"/>
          <w:color w:val="000000"/>
          <w:szCs w:val="21"/>
        </w:rPr>
        <w:t xml:space="preserve">      </w:t>
      </w:r>
      <w:r>
        <w:rPr>
          <w:rFonts w:hint="eastAsia" w:ascii="宋体" w:hAnsi="宋体" w:cs="Arial"/>
          <w:color w:val="000000"/>
          <w:szCs w:val="21"/>
        </w:rPr>
        <w:t>年</w:t>
      </w:r>
      <w:r>
        <w:rPr>
          <w:rFonts w:ascii="宋体" w:hAnsi="宋体" w:cs="Arial"/>
          <w:color w:val="000000"/>
          <w:szCs w:val="21"/>
        </w:rPr>
        <w:t xml:space="preserve">    </w:t>
      </w:r>
      <w:r>
        <w:rPr>
          <w:rFonts w:hint="eastAsia" w:ascii="宋体" w:hAnsi="宋体" w:cs="Arial"/>
          <w:color w:val="000000"/>
          <w:szCs w:val="21"/>
        </w:rPr>
        <w:t>月</w:t>
      </w:r>
      <w:r>
        <w:rPr>
          <w:rFonts w:ascii="宋体" w:hAnsi="宋体" w:cs="Arial"/>
          <w:color w:val="000000"/>
          <w:szCs w:val="21"/>
        </w:rPr>
        <w:t xml:space="preserve">    </w:t>
      </w:r>
      <w:r>
        <w:rPr>
          <w:rFonts w:hint="eastAsia" w:ascii="宋体" w:hAnsi="宋体" w:cs="Arial"/>
          <w:color w:val="000000"/>
          <w:szCs w:val="21"/>
        </w:rPr>
        <w:t>日</w:t>
      </w:r>
    </w:p>
    <w:p>
      <w:pPr>
        <w:autoSpaceDE w:val="0"/>
        <w:autoSpaceDN w:val="0"/>
        <w:adjustRightInd w:val="0"/>
        <w:spacing w:line="360" w:lineRule="auto"/>
        <w:jc w:val="center"/>
        <w:outlineLvl w:val="0"/>
        <w:rPr>
          <w:rFonts w:hAnsi="宋体"/>
          <w:b/>
          <w:snapToGrid w:val="0"/>
          <w:kern w:val="0"/>
          <w:sz w:val="36"/>
          <w:szCs w:val="36"/>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ind w:right="-11"/>
        <w:rPr>
          <w:rFonts w:ascii="宋体" w:cs="宋体"/>
          <w:szCs w:val="21"/>
          <w:lang w:val="zh-CN"/>
        </w:rPr>
      </w:pPr>
    </w:p>
    <w:p>
      <w:pPr>
        <w:autoSpaceDE w:val="0"/>
        <w:autoSpaceDN w:val="0"/>
        <w:adjustRightInd w:val="0"/>
        <w:spacing w:line="360" w:lineRule="auto"/>
        <w:jc w:val="center"/>
        <w:rPr>
          <w:rFonts w:ascii="宋体" w:cs="宋体"/>
          <w:sz w:val="24"/>
          <w:szCs w:val="24"/>
          <w:lang w:val="zh-CN"/>
        </w:rPr>
      </w:pPr>
    </w:p>
    <w:p>
      <w:pPr>
        <w:autoSpaceDE w:val="0"/>
        <w:autoSpaceDN w:val="0"/>
        <w:adjustRightInd w:val="0"/>
        <w:spacing w:line="360" w:lineRule="auto"/>
        <w:jc w:val="center"/>
        <w:rPr>
          <w:rFonts w:ascii="宋体" w:cs="宋体"/>
          <w:sz w:val="24"/>
          <w:szCs w:val="24"/>
          <w:lang w:val="zh-CN"/>
        </w:rPr>
      </w:pPr>
    </w:p>
    <w:p>
      <w:pPr>
        <w:autoSpaceDE w:val="0"/>
        <w:autoSpaceDN w:val="0"/>
        <w:adjustRightInd w:val="0"/>
        <w:spacing w:line="360" w:lineRule="auto"/>
        <w:outlineLvl w:val="0"/>
        <w:rPr>
          <w:rFonts w:ascii="宋体" w:cs="宋体"/>
          <w:sz w:val="24"/>
          <w:lang w:val="zh-CN"/>
        </w:rPr>
      </w:pPr>
    </w:p>
    <w:p>
      <w:pPr>
        <w:autoSpaceDE w:val="0"/>
        <w:autoSpaceDN w:val="0"/>
        <w:adjustRightInd w:val="0"/>
        <w:spacing w:line="360" w:lineRule="auto"/>
        <w:jc w:val="center"/>
        <w:outlineLvl w:val="0"/>
        <w:rPr>
          <w:rFonts w:ascii="宋体"/>
          <w:b/>
          <w:bCs/>
          <w:color w:val="000000"/>
          <w:sz w:val="24"/>
          <w:szCs w:val="24"/>
        </w:rPr>
      </w:pPr>
      <w:r>
        <w:rPr>
          <w:rFonts w:ascii="宋体" w:hAnsi="宋体"/>
          <w:b/>
          <w:bCs/>
          <w:color w:val="000000"/>
          <w:sz w:val="24"/>
          <w:szCs w:val="24"/>
        </w:rPr>
        <w:t xml:space="preserve">3.6 </w:t>
      </w:r>
      <w:r>
        <w:rPr>
          <w:rFonts w:hint="eastAsia" w:ascii="宋体" w:hAnsi="宋体"/>
          <w:b/>
          <w:bCs/>
          <w:color w:val="000000"/>
          <w:sz w:val="24"/>
          <w:szCs w:val="24"/>
        </w:rPr>
        <w:t>其他资格证书或材料</w:t>
      </w:r>
      <w:r>
        <w:rPr>
          <w:rFonts w:ascii="宋体" w:hAnsi="宋体"/>
          <w:b/>
          <w:bCs/>
          <w:color w:val="000000"/>
          <w:sz w:val="24"/>
          <w:szCs w:val="24"/>
        </w:rPr>
        <w:t xml:space="preserve"> </w:t>
      </w:r>
    </w:p>
    <w:p>
      <w:pPr>
        <w:autoSpaceDE w:val="0"/>
        <w:autoSpaceDN w:val="0"/>
        <w:adjustRightInd w:val="0"/>
        <w:spacing w:line="360" w:lineRule="auto"/>
        <w:jc w:val="center"/>
        <w:outlineLvl w:val="0"/>
        <w:rPr>
          <w:rFonts w:ascii="宋体"/>
          <w:b/>
          <w:bCs/>
          <w:color w:val="000000"/>
          <w:sz w:val="24"/>
          <w:szCs w:val="24"/>
        </w:rPr>
      </w:pPr>
    </w:p>
    <w:p>
      <w:pPr>
        <w:autoSpaceDE w:val="0"/>
        <w:autoSpaceDN w:val="0"/>
        <w:adjustRightInd w:val="0"/>
        <w:spacing w:line="360" w:lineRule="auto"/>
        <w:jc w:val="center"/>
        <w:outlineLvl w:val="0"/>
        <w:rPr>
          <w:rFonts w:hAnsi="宋体"/>
          <w:b/>
          <w:snapToGrid w:val="0"/>
          <w:kern w:val="0"/>
          <w:sz w:val="28"/>
          <w:szCs w:val="28"/>
        </w:rPr>
      </w:pPr>
      <w:r>
        <w:rPr>
          <w:rFonts w:hint="eastAsia" w:hAnsi="宋体"/>
          <w:b/>
          <w:snapToGrid w:val="0"/>
          <w:kern w:val="0"/>
          <w:sz w:val="28"/>
          <w:szCs w:val="28"/>
        </w:rPr>
        <w:t>（供应商依据采购文件，提供所需证书或材料。）</w:t>
      </w:r>
    </w:p>
    <w:p>
      <w:pPr>
        <w:autoSpaceDE w:val="0"/>
        <w:autoSpaceDN w:val="0"/>
        <w:adjustRightInd w:val="0"/>
        <w:spacing w:line="360" w:lineRule="auto"/>
        <w:jc w:val="center"/>
        <w:outlineLvl w:val="0"/>
        <w:rPr>
          <w:rFonts w:hAnsi="宋体"/>
          <w:b/>
          <w:snapToGrid w:val="0"/>
          <w:kern w:val="0"/>
          <w:sz w:val="36"/>
          <w:szCs w:val="36"/>
        </w:rPr>
      </w:pPr>
    </w:p>
    <w:p>
      <w:pPr>
        <w:autoSpaceDE w:val="0"/>
        <w:autoSpaceDN w:val="0"/>
        <w:adjustRightInd w:val="0"/>
        <w:spacing w:line="360" w:lineRule="auto"/>
        <w:jc w:val="center"/>
        <w:outlineLvl w:val="0"/>
        <w:rPr>
          <w:rFonts w:hAnsi="宋体"/>
          <w:b/>
          <w:snapToGrid w:val="0"/>
          <w:kern w:val="0"/>
          <w:sz w:val="36"/>
          <w:szCs w:val="36"/>
        </w:rPr>
      </w:pPr>
    </w:p>
    <w:p>
      <w:pPr>
        <w:autoSpaceDE w:val="0"/>
        <w:autoSpaceDN w:val="0"/>
        <w:adjustRightInd w:val="0"/>
        <w:spacing w:line="360" w:lineRule="auto"/>
        <w:jc w:val="center"/>
        <w:rPr>
          <w:rFonts w:ascii="宋体" w:cs="黑体"/>
          <w:b/>
          <w:bCs/>
          <w:sz w:val="44"/>
          <w:szCs w:val="44"/>
          <w:lang w:val="zh-CN"/>
        </w:rPr>
      </w:pPr>
    </w:p>
    <w:p>
      <w:pPr>
        <w:autoSpaceDE w:val="0"/>
        <w:autoSpaceDN w:val="0"/>
        <w:adjustRightInd w:val="0"/>
        <w:spacing w:line="360" w:lineRule="auto"/>
        <w:jc w:val="center"/>
        <w:rPr>
          <w:rFonts w:ascii="宋体" w:cs="黑体"/>
          <w:b/>
          <w:bCs/>
          <w:sz w:val="44"/>
          <w:szCs w:val="44"/>
          <w:lang w:val="zh-CN"/>
        </w:rPr>
      </w:pPr>
    </w:p>
    <w:p>
      <w:pPr>
        <w:autoSpaceDE w:val="0"/>
        <w:autoSpaceDN w:val="0"/>
        <w:adjustRightInd w:val="0"/>
        <w:spacing w:line="360" w:lineRule="auto"/>
        <w:jc w:val="center"/>
        <w:rPr>
          <w:rFonts w:ascii="宋体" w:cs="黑体"/>
          <w:b/>
          <w:bCs/>
          <w:sz w:val="44"/>
          <w:szCs w:val="44"/>
          <w:lang w:val="zh-CN"/>
        </w:rPr>
      </w:pPr>
    </w:p>
    <w:p>
      <w:pPr>
        <w:autoSpaceDE w:val="0"/>
        <w:autoSpaceDN w:val="0"/>
        <w:adjustRightInd w:val="0"/>
        <w:spacing w:line="360" w:lineRule="auto"/>
        <w:jc w:val="center"/>
        <w:rPr>
          <w:rFonts w:ascii="宋体" w:cs="黑体"/>
          <w:b/>
          <w:bCs/>
          <w:sz w:val="44"/>
          <w:szCs w:val="44"/>
          <w:lang w:val="zh-CN"/>
        </w:rPr>
      </w:pPr>
    </w:p>
    <w:p>
      <w:pPr>
        <w:autoSpaceDE w:val="0"/>
        <w:autoSpaceDN w:val="0"/>
        <w:adjustRightInd w:val="0"/>
        <w:spacing w:line="360" w:lineRule="auto"/>
        <w:jc w:val="center"/>
        <w:rPr>
          <w:rFonts w:ascii="宋体" w:cs="黑体"/>
          <w:b/>
          <w:bCs/>
          <w:sz w:val="44"/>
          <w:szCs w:val="44"/>
          <w:lang w:val="zh-CN"/>
        </w:rPr>
      </w:pPr>
    </w:p>
    <w:p>
      <w:pPr>
        <w:autoSpaceDE w:val="0"/>
        <w:autoSpaceDN w:val="0"/>
        <w:adjustRightInd w:val="0"/>
        <w:spacing w:line="360" w:lineRule="auto"/>
        <w:jc w:val="center"/>
        <w:rPr>
          <w:rFonts w:ascii="宋体" w:cs="黑体"/>
          <w:b/>
          <w:bCs/>
          <w:sz w:val="44"/>
          <w:szCs w:val="44"/>
          <w:lang w:val="zh-CN"/>
        </w:rPr>
      </w:pPr>
    </w:p>
    <w:p>
      <w:pPr>
        <w:autoSpaceDE w:val="0"/>
        <w:autoSpaceDN w:val="0"/>
        <w:adjustRightInd w:val="0"/>
        <w:spacing w:line="360" w:lineRule="auto"/>
        <w:jc w:val="center"/>
        <w:rPr>
          <w:rFonts w:ascii="宋体" w:cs="黑体"/>
          <w:b/>
          <w:bCs/>
          <w:sz w:val="44"/>
          <w:szCs w:val="44"/>
          <w:lang w:val="zh-CN"/>
        </w:rPr>
      </w:pPr>
    </w:p>
    <w:p>
      <w:pPr>
        <w:autoSpaceDE w:val="0"/>
        <w:autoSpaceDN w:val="0"/>
        <w:adjustRightInd w:val="0"/>
        <w:spacing w:line="360" w:lineRule="auto"/>
        <w:jc w:val="center"/>
        <w:rPr>
          <w:rFonts w:ascii="宋体" w:cs="黑体"/>
          <w:b/>
          <w:bCs/>
          <w:sz w:val="44"/>
          <w:szCs w:val="44"/>
          <w:lang w:val="zh-CN"/>
        </w:rPr>
      </w:pPr>
    </w:p>
    <w:p>
      <w:pPr>
        <w:autoSpaceDE w:val="0"/>
        <w:autoSpaceDN w:val="0"/>
        <w:adjustRightInd w:val="0"/>
        <w:spacing w:line="360" w:lineRule="auto"/>
        <w:jc w:val="center"/>
        <w:rPr>
          <w:rFonts w:ascii="宋体" w:cs="黑体"/>
          <w:b/>
          <w:bCs/>
          <w:sz w:val="44"/>
          <w:szCs w:val="44"/>
          <w:lang w:val="zh-CN"/>
        </w:rPr>
      </w:pPr>
    </w:p>
    <w:p>
      <w:pPr>
        <w:autoSpaceDE w:val="0"/>
        <w:autoSpaceDN w:val="0"/>
        <w:adjustRightInd w:val="0"/>
        <w:spacing w:line="360" w:lineRule="auto"/>
        <w:jc w:val="center"/>
        <w:rPr>
          <w:rFonts w:ascii="宋体" w:cs="黑体"/>
          <w:b/>
          <w:bCs/>
          <w:sz w:val="44"/>
          <w:szCs w:val="44"/>
          <w:lang w:val="zh-CN"/>
        </w:rPr>
      </w:pPr>
    </w:p>
    <w:p>
      <w:pPr>
        <w:autoSpaceDE w:val="0"/>
        <w:autoSpaceDN w:val="0"/>
        <w:adjustRightInd w:val="0"/>
        <w:spacing w:line="360" w:lineRule="auto"/>
        <w:jc w:val="center"/>
        <w:rPr>
          <w:rFonts w:ascii="宋体" w:cs="黑体"/>
          <w:b/>
          <w:bCs/>
          <w:sz w:val="44"/>
          <w:szCs w:val="44"/>
          <w:lang w:val="zh-CN"/>
        </w:rPr>
      </w:pPr>
    </w:p>
    <w:p>
      <w:pPr>
        <w:autoSpaceDE w:val="0"/>
        <w:autoSpaceDN w:val="0"/>
        <w:adjustRightInd w:val="0"/>
        <w:spacing w:line="360" w:lineRule="auto"/>
        <w:jc w:val="center"/>
        <w:rPr>
          <w:rFonts w:ascii="宋体" w:cs="黑体"/>
          <w:b/>
          <w:bCs/>
          <w:sz w:val="44"/>
          <w:szCs w:val="44"/>
          <w:lang w:val="zh-CN"/>
        </w:rPr>
      </w:pPr>
    </w:p>
    <w:p>
      <w:pPr>
        <w:autoSpaceDE w:val="0"/>
        <w:autoSpaceDN w:val="0"/>
        <w:adjustRightInd w:val="0"/>
        <w:spacing w:line="360" w:lineRule="auto"/>
        <w:jc w:val="center"/>
        <w:rPr>
          <w:rFonts w:ascii="宋体" w:cs="黑体"/>
          <w:b/>
          <w:bCs/>
          <w:sz w:val="44"/>
          <w:szCs w:val="44"/>
          <w:lang w:val="zh-CN"/>
        </w:rPr>
      </w:pPr>
    </w:p>
    <w:p>
      <w:pPr>
        <w:autoSpaceDE w:val="0"/>
        <w:autoSpaceDN w:val="0"/>
        <w:adjustRightInd w:val="0"/>
        <w:spacing w:line="360" w:lineRule="auto"/>
        <w:jc w:val="center"/>
        <w:rPr>
          <w:rFonts w:ascii="宋体" w:cs="黑体"/>
          <w:b/>
          <w:bCs/>
          <w:sz w:val="44"/>
          <w:szCs w:val="44"/>
          <w:lang w:val="zh-CN"/>
        </w:rPr>
      </w:pPr>
    </w:p>
    <w:p>
      <w:pPr>
        <w:autoSpaceDE w:val="0"/>
        <w:autoSpaceDN w:val="0"/>
        <w:adjustRightInd w:val="0"/>
        <w:spacing w:line="360" w:lineRule="auto"/>
        <w:jc w:val="both"/>
        <w:rPr>
          <w:rFonts w:ascii="宋体" w:cs="黑体"/>
          <w:b/>
          <w:bCs/>
          <w:sz w:val="44"/>
          <w:szCs w:val="44"/>
          <w:lang w:val="zh-CN"/>
        </w:rPr>
      </w:pPr>
    </w:p>
    <w:p>
      <w:pPr>
        <w:autoSpaceDE w:val="0"/>
        <w:autoSpaceDN w:val="0"/>
        <w:adjustRightInd w:val="0"/>
        <w:spacing w:line="360" w:lineRule="auto"/>
        <w:jc w:val="center"/>
        <w:rPr>
          <w:rFonts w:ascii="宋体" w:cs="黑体"/>
          <w:b/>
          <w:bCs/>
          <w:sz w:val="28"/>
          <w:szCs w:val="28"/>
          <w:lang w:val="zh-CN"/>
        </w:rPr>
      </w:pPr>
      <w:r>
        <w:rPr>
          <w:rFonts w:hint="eastAsia" w:ascii="宋体" w:hAnsi="宋体" w:cs="黑体"/>
          <w:b/>
          <w:bCs/>
          <w:sz w:val="28"/>
          <w:szCs w:val="28"/>
          <w:lang w:val="zh-CN"/>
        </w:rPr>
        <w:t>四、符合性审查证明材料</w:t>
      </w:r>
    </w:p>
    <w:p>
      <w:pPr>
        <w:autoSpaceDE w:val="0"/>
        <w:autoSpaceDN w:val="0"/>
        <w:adjustRightInd w:val="0"/>
        <w:spacing w:line="360" w:lineRule="auto"/>
        <w:jc w:val="both"/>
        <w:outlineLvl w:val="0"/>
        <w:rPr>
          <w:rFonts w:hAnsi="宋体"/>
          <w:b/>
          <w:snapToGrid w:val="0"/>
          <w:kern w:val="0"/>
          <w:sz w:val="36"/>
          <w:szCs w:val="36"/>
        </w:rPr>
      </w:pPr>
    </w:p>
    <w:p>
      <w:pPr>
        <w:autoSpaceDE w:val="0"/>
        <w:autoSpaceDN w:val="0"/>
        <w:adjustRightInd w:val="0"/>
        <w:spacing w:line="360" w:lineRule="auto"/>
        <w:jc w:val="center"/>
        <w:rPr>
          <w:rFonts w:hint="eastAsia" w:ascii="宋体" w:hAnsi="宋体" w:cs="黑体"/>
          <w:b/>
          <w:bCs/>
          <w:sz w:val="28"/>
          <w:szCs w:val="28"/>
          <w:lang w:val="zh-CN"/>
        </w:rPr>
      </w:pPr>
      <w:r>
        <w:rPr>
          <w:rFonts w:hint="eastAsia" w:ascii="宋体" w:hAnsi="宋体" w:cs="黑体"/>
          <w:b/>
          <w:bCs/>
          <w:sz w:val="28"/>
          <w:szCs w:val="28"/>
          <w:lang w:val="zh-CN"/>
        </w:rPr>
        <w:t>4.1 投标分项报价表</w:t>
      </w:r>
    </w:p>
    <w:p>
      <w:pPr>
        <w:autoSpaceDE w:val="0"/>
        <w:autoSpaceDN w:val="0"/>
        <w:adjustRightInd w:val="0"/>
        <w:spacing w:line="360" w:lineRule="auto"/>
        <w:jc w:val="center"/>
        <w:rPr>
          <w:rFonts w:hint="eastAsia" w:ascii="宋体" w:hAnsi="宋体" w:cs="黑体"/>
          <w:b/>
          <w:bCs/>
          <w:sz w:val="28"/>
          <w:szCs w:val="28"/>
          <w:lang w:val="zh-CN"/>
        </w:rPr>
      </w:pPr>
      <w:r>
        <w:rPr>
          <w:rFonts w:hint="eastAsia" w:ascii="宋体" w:hAnsi="宋体" w:cs="黑体"/>
          <w:b/>
          <w:bCs/>
          <w:sz w:val="28"/>
          <w:szCs w:val="28"/>
          <w:lang w:val="zh-CN"/>
        </w:rPr>
        <w:t>（根据采购清单自拟格式）</w:t>
      </w:r>
    </w:p>
    <w:p>
      <w:pPr>
        <w:autoSpaceDE w:val="0"/>
        <w:autoSpaceDN w:val="0"/>
        <w:adjustRightInd w:val="0"/>
        <w:spacing w:line="360" w:lineRule="auto"/>
        <w:jc w:val="center"/>
        <w:rPr>
          <w:rFonts w:hint="eastAsia" w:ascii="宋体" w:hAnsi="宋体" w:cs="黑体"/>
          <w:b/>
          <w:bCs/>
          <w:sz w:val="28"/>
          <w:szCs w:val="28"/>
          <w:lang w:val="zh-CN"/>
        </w:rPr>
      </w:pPr>
    </w:p>
    <w:p>
      <w:pPr>
        <w:autoSpaceDE w:val="0"/>
        <w:autoSpaceDN w:val="0"/>
        <w:adjustRightInd w:val="0"/>
        <w:spacing w:line="360" w:lineRule="auto"/>
        <w:jc w:val="center"/>
        <w:rPr>
          <w:rFonts w:hint="eastAsia" w:ascii="宋体" w:hAnsi="宋体" w:cs="黑体"/>
          <w:b/>
          <w:bCs/>
          <w:sz w:val="28"/>
          <w:szCs w:val="28"/>
          <w:lang w:val="zh-CN"/>
        </w:rPr>
      </w:pPr>
    </w:p>
    <w:p>
      <w:pPr>
        <w:autoSpaceDE w:val="0"/>
        <w:autoSpaceDN w:val="0"/>
        <w:adjustRightInd w:val="0"/>
        <w:spacing w:line="360" w:lineRule="auto"/>
        <w:jc w:val="center"/>
        <w:rPr>
          <w:rFonts w:hint="eastAsia" w:ascii="宋体" w:hAnsi="宋体" w:cs="黑体"/>
          <w:b/>
          <w:bCs/>
          <w:sz w:val="28"/>
          <w:szCs w:val="28"/>
          <w:lang w:val="zh-CN"/>
        </w:rPr>
      </w:pPr>
      <w:r>
        <w:rPr>
          <w:rFonts w:hint="eastAsia" w:ascii="宋体" w:hAnsi="宋体" w:cs="黑体"/>
          <w:b/>
          <w:bCs/>
          <w:sz w:val="28"/>
          <w:szCs w:val="28"/>
          <w:lang w:val="zh-CN"/>
        </w:rPr>
        <w:t>4.2 技术规格偏离表</w:t>
      </w:r>
    </w:p>
    <w:p>
      <w:pPr>
        <w:spacing w:before="50" w:after="156" w:afterLines="50" w:line="360" w:lineRule="auto"/>
        <w:contextualSpacing/>
        <w:jc w:val="left"/>
        <w:rPr>
          <w:rFonts w:ascii="宋体" w:hAnsi="宋体"/>
          <w:sz w:val="24"/>
          <w:szCs w:val="24"/>
        </w:rPr>
      </w:pPr>
      <w:r>
        <w:rPr>
          <w:rFonts w:hint="eastAsia" w:ascii="宋体" w:hAnsi="宋体"/>
          <w:sz w:val="24"/>
          <w:szCs w:val="24"/>
        </w:rPr>
        <w:t>项目编号：</w:t>
      </w:r>
    </w:p>
    <w:p>
      <w:pPr>
        <w:autoSpaceDE w:val="0"/>
        <w:autoSpaceDN w:val="0"/>
        <w:adjustRightInd w:val="0"/>
        <w:spacing w:line="360" w:lineRule="auto"/>
        <w:outlineLvl w:val="0"/>
        <w:rPr>
          <w:rFonts w:hAnsi="宋体"/>
          <w:b/>
          <w:snapToGrid w:val="0"/>
          <w:kern w:val="0"/>
          <w:sz w:val="36"/>
          <w:szCs w:val="36"/>
        </w:rPr>
      </w:pPr>
      <w:r>
        <w:rPr>
          <w:rFonts w:hint="eastAsia" w:ascii="宋体" w:hAnsi="宋体"/>
          <w:sz w:val="24"/>
          <w:szCs w:val="24"/>
        </w:rPr>
        <w:t xml:space="preserve">项目名称：   </w:t>
      </w:r>
    </w:p>
    <w:tbl>
      <w:tblPr>
        <w:tblStyle w:val="24"/>
        <w:tblW w:w="9322" w:type="dxa"/>
        <w:jc w:val="center"/>
        <w:tblLayout w:type="fixed"/>
        <w:tblCellMar>
          <w:top w:w="0" w:type="dxa"/>
          <w:left w:w="108" w:type="dxa"/>
          <w:bottom w:w="0" w:type="dxa"/>
          <w:right w:w="108" w:type="dxa"/>
        </w:tblCellMar>
      </w:tblPr>
      <w:tblGrid>
        <w:gridCol w:w="828"/>
        <w:gridCol w:w="1980"/>
        <w:gridCol w:w="2335"/>
        <w:gridCol w:w="2336"/>
        <w:gridCol w:w="993"/>
        <w:gridCol w:w="850"/>
      </w:tblGrid>
      <w:tr>
        <w:tblPrEx>
          <w:tblCellMar>
            <w:top w:w="0" w:type="dxa"/>
            <w:left w:w="108" w:type="dxa"/>
            <w:bottom w:w="0" w:type="dxa"/>
            <w:right w:w="108" w:type="dxa"/>
          </w:tblCellMar>
        </w:tblPrEx>
        <w:trPr>
          <w:trHeight w:val="851" w:hRule="atLeast"/>
          <w:jc w:val="center"/>
        </w:trPr>
        <w:tc>
          <w:tcPr>
            <w:tcW w:w="828"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980"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货物或服务名称</w:t>
            </w:r>
          </w:p>
        </w:tc>
        <w:tc>
          <w:tcPr>
            <w:tcW w:w="2335"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招标文件</w:t>
            </w:r>
          </w:p>
          <w:p>
            <w:pPr>
              <w:pStyle w:val="9"/>
              <w:jc w:val="center"/>
              <w:rPr>
                <w:rFonts w:ascii="宋体" w:hAnsi="宋体" w:eastAsia="宋体" w:cs="宋体"/>
                <w:b/>
                <w:bCs/>
                <w:sz w:val="24"/>
                <w:szCs w:val="24"/>
              </w:rPr>
            </w:pPr>
            <w:r>
              <w:rPr>
                <w:rFonts w:hint="eastAsia" w:ascii="宋体" w:hAnsi="宋体" w:eastAsia="宋体" w:cs="宋体"/>
                <w:b/>
                <w:bCs/>
                <w:sz w:val="24"/>
                <w:szCs w:val="24"/>
              </w:rPr>
              <w:t>技术参数</w:t>
            </w:r>
          </w:p>
        </w:tc>
        <w:tc>
          <w:tcPr>
            <w:tcW w:w="2336"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投标技术</w:t>
            </w:r>
          </w:p>
          <w:p>
            <w:pPr>
              <w:pStyle w:val="9"/>
              <w:jc w:val="center"/>
              <w:rPr>
                <w:rFonts w:ascii="宋体" w:hAnsi="宋体" w:eastAsia="宋体" w:cs="宋体"/>
                <w:b/>
                <w:bCs/>
                <w:sz w:val="24"/>
                <w:szCs w:val="24"/>
              </w:rPr>
            </w:pPr>
            <w:r>
              <w:rPr>
                <w:rFonts w:hint="eastAsia" w:ascii="宋体" w:hAnsi="宋体" w:eastAsia="宋体" w:cs="宋体"/>
                <w:b/>
                <w:bCs/>
                <w:sz w:val="24"/>
                <w:szCs w:val="24"/>
              </w:rPr>
              <w:t>参数</w:t>
            </w:r>
          </w:p>
        </w:tc>
        <w:tc>
          <w:tcPr>
            <w:tcW w:w="993"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偏离</w:t>
            </w:r>
          </w:p>
        </w:tc>
        <w:tc>
          <w:tcPr>
            <w:tcW w:w="850" w:type="dxa"/>
            <w:tcBorders>
              <w:top w:val="single" w:color="auto" w:sz="6" w:space="0"/>
              <w:left w:val="single" w:color="auto" w:sz="6" w:space="0"/>
              <w:bottom w:val="single" w:color="auto" w:sz="6" w:space="0"/>
              <w:right w:val="single" w:color="auto" w:sz="6" w:space="0"/>
            </w:tcBorders>
            <w:shd w:val="clear" w:color="auto" w:fill="F2F2F2"/>
            <w:vAlign w:val="center"/>
          </w:tcPr>
          <w:p>
            <w:pPr>
              <w:pStyle w:val="9"/>
              <w:jc w:val="center"/>
              <w:rPr>
                <w:rFonts w:ascii="宋体" w:hAnsi="宋体" w:eastAsia="宋体" w:cs="宋体"/>
                <w:b/>
                <w:bCs/>
                <w:sz w:val="24"/>
                <w:szCs w:val="24"/>
              </w:rPr>
            </w:pPr>
            <w:r>
              <w:rPr>
                <w:rFonts w:hint="eastAsia" w:ascii="宋体" w:hAnsi="宋体" w:eastAsia="宋体" w:cs="宋体"/>
                <w:b/>
                <w:bCs/>
                <w:sz w:val="24"/>
                <w:szCs w:val="24"/>
              </w:rPr>
              <w:t>说明</w:t>
            </w:r>
          </w:p>
        </w:tc>
      </w:tr>
      <w:tr>
        <w:tblPrEx>
          <w:tblCellMar>
            <w:top w:w="0" w:type="dxa"/>
            <w:left w:w="108" w:type="dxa"/>
            <w:bottom w:w="0" w:type="dxa"/>
            <w:right w:w="108" w:type="dxa"/>
          </w:tblCellMar>
        </w:tblPrEx>
        <w:trPr>
          <w:trHeight w:val="851" w:hRule="atLeast"/>
          <w:jc w:val="center"/>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bCs/>
                <w:sz w:val="24"/>
                <w:szCs w:val="24"/>
              </w:rPr>
            </w:pPr>
            <w:r>
              <w:rPr>
                <w:rFonts w:hint="eastAsia" w:ascii="宋体" w:hAnsi="宋体"/>
                <w:bCs/>
                <w:sz w:val="24"/>
                <w:szCs w:val="24"/>
              </w:rPr>
              <w:t>1</w:t>
            </w:r>
          </w:p>
        </w:tc>
        <w:tc>
          <w:tcPr>
            <w:tcW w:w="19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b/>
                <w:bCs/>
                <w:sz w:val="24"/>
                <w:szCs w:val="24"/>
              </w:rPr>
            </w:pPr>
          </w:p>
        </w:tc>
        <w:tc>
          <w:tcPr>
            <w:tcW w:w="233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b/>
                <w:bCs/>
                <w:sz w:val="24"/>
                <w:szCs w:val="24"/>
              </w:rPr>
            </w:pPr>
          </w:p>
        </w:tc>
        <w:tc>
          <w:tcPr>
            <w:tcW w:w="233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b/>
                <w:bCs/>
                <w:sz w:val="24"/>
                <w:szCs w:val="24"/>
              </w:rPr>
            </w:pPr>
          </w:p>
        </w:tc>
        <w:tc>
          <w:tcPr>
            <w:tcW w:w="99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b/>
                <w:bCs/>
                <w:sz w:val="24"/>
                <w:szCs w:val="24"/>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b/>
                <w:bCs/>
                <w:sz w:val="24"/>
                <w:szCs w:val="24"/>
              </w:rPr>
            </w:pPr>
          </w:p>
        </w:tc>
      </w:tr>
      <w:tr>
        <w:trPr>
          <w:trHeight w:val="851" w:hRule="atLeast"/>
          <w:jc w:val="center"/>
        </w:trPr>
        <w:tc>
          <w:tcPr>
            <w:tcW w:w="8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bCs/>
                <w:sz w:val="24"/>
                <w:szCs w:val="24"/>
              </w:rPr>
            </w:pPr>
            <w:r>
              <w:rPr>
                <w:rFonts w:hint="eastAsia" w:ascii="宋体" w:hAnsi="宋体"/>
                <w:sz w:val="24"/>
                <w:szCs w:val="24"/>
              </w:rPr>
              <w:t>…</w:t>
            </w:r>
          </w:p>
        </w:tc>
        <w:tc>
          <w:tcPr>
            <w:tcW w:w="19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b/>
                <w:bCs/>
                <w:sz w:val="24"/>
                <w:szCs w:val="24"/>
              </w:rPr>
            </w:pPr>
          </w:p>
        </w:tc>
        <w:tc>
          <w:tcPr>
            <w:tcW w:w="233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b/>
                <w:bCs/>
                <w:sz w:val="24"/>
                <w:szCs w:val="24"/>
              </w:rPr>
            </w:pPr>
          </w:p>
        </w:tc>
        <w:tc>
          <w:tcPr>
            <w:tcW w:w="233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b/>
                <w:bCs/>
                <w:sz w:val="24"/>
                <w:szCs w:val="24"/>
              </w:rPr>
            </w:pPr>
          </w:p>
        </w:tc>
        <w:tc>
          <w:tcPr>
            <w:tcW w:w="99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b/>
                <w:bCs/>
                <w:sz w:val="24"/>
                <w:szCs w:val="24"/>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b/>
                <w:bCs/>
                <w:sz w:val="24"/>
                <w:szCs w:val="24"/>
              </w:rPr>
            </w:pPr>
          </w:p>
        </w:tc>
      </w:tr>
    </w:tbl>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投标人（公章）：</w:t>
      </w:r>
    </w:p>
    <w:p>
      <w:pPr>
        <w:autoSpaceDE w:val="0"/>
        <w:autoSpaceDN w:val="0"/>
        <w:adjustRightInd w:val="0"/>
        <w:spacing w:line="480" w:lineRule="auto"/>
        <w:rPr>
          <w:rFonts w:ascii="宋体" w:hAnsi="宋体" w:cs="宋体"/>
          <w:sz w:val="24"/>
          <w:szCs w:val="24"/>
          <w:lang w:val="zh-CN"/>
        </w:rPr>
      </w:pPr>
      <w:r>
        <w:rPr>
          <w:rFonts w:hint="eastAsia" w:ascii="宋体" w:hAnsi="宋体" w:cs="宋体"/>
          <w:sz w:val="24"/>
          <w:szCs w:val="24"/>
          <w:lang w:val="zh-CN"/>
        </w:rPr>
        <w:t>投标人法定代表人（或授权代表）签字：</w:t>
      </w:r>
    </w:p>
    <w:p>
      <w:pPr>
        <w:spacing w:before="50" w:after="156" w:afterLines="50" w:line="360" w:lineRule="auto"/>
        <w:ind w:firstLine="2692" w:firstLineChars="745"/>
        <w:contextualSpacing/>
        <w:jc w:val="left"/>
        <w:rPr>
          <w:rFonts w:asciiTheme="minorEastAsia" w:hAnsiTheme="minorEastAsia"/>
          <w:b/>
          <w:snapToGrid w:val="0"/>
          <w:kern w:val="0"/>
          <w:sz w:val="36"/>
          <w:szCs w:val="36"/>
        </w:rPr>
      </w:pPr>
    </w:p>
    <w:p>
      <w:pPr>
        <w:spacing w:before="50" w:after="156" w:afterLines="50" w:line="360" w:lineRule="auto"/>
        <w:ind w:firstLine="2692" w:firstLineChars="745"/>
        <w:contextualSpacing/>
        <w:jc w:val="left"/>
        <w:rPr>
          <w:rFonts w:asciiTheme="minorEastAsia" w:hAnsiTheme="minorEastAsia"/>
          <w:b/>
          <w:snapToGrid w:val="0"/>
          <w:kern w:val="0"/>
          <w:sz w:val="36"/>
          <w:szCs w:val="36"/>
        </w:rPr>
      </w:pPr>
    </w:p>
    <w:p>
      <w:pPr>
        <w:spacing w:before="50" w:after="156" w:afterLines="50" w:line="360" w:lineRule="auto"/>
        <w:ind w:firstLine="2692" w:firstLineChars="745"/>
        <w:contextualSpacing/>
        <w:jc w:val="left"/>
        <w:rPr>
          <w:rFonts w:asciiTheme="minorEastAsia" w:hAnsiTheme="minorEastAsia"/>
          <w:b/>
          <w:snapToGrid w:val="0"/>
          <w:kern w:val="0"/>
          <w:sz w:val="36"/>
          <w:szCs w:val="36"/>
        </w:rPr>
      </w:pPr>
    </w:p>
    <w:p>
      <w:pPr>
        <w:spacing w:before="50" w:after="156" w:afterLines="50" w:line="360" w:lineRule="auto"/>
        <w:ind w:firstLine="2692" w:firstLineChars="745"/>
        <w:contextualSpacing/>
        <w:jc w:val="left"/>
        <w:rPr>
          <w:rFonts w:asciiTheme="minorEastAsia" w:hAnsiTheme="minorEastAsia"/>
          <w:b/>
          <w:snapToGrid w:val="0"/>
          <w:kern w:val="0"/>
          <w:sz w:val="36"/>
          <w:szCs w:val="36"/>
        </w:rPr>
      </w:pPr>
    </w:p>
    <w:p>
      <w:pPr>
        <w:autoSpaceDE w:val="0"/>
        <w:autoSpaceDN w:val="0"/>
        <w:adjustRightInd w:val="0"/>
        <w:spacing w:line="360" w:lineRule="auto"/>
        <w:jc w:val="center"/>
        <w:rPr>
          <w:rFonts w:hint="eastAsia" w:ascii="宋体" w:hAnsi="宋体" w:cs="黑体"/>
          <w:b/>
          <w:bCs/>
          <w:sz w:val="28"/>
          <w:szCs w:val="28"/>
          <w:lang w:val="zh-CN"/>
        </w:rPr>
      </w:pPr>
    </w:p>
    <w:p>
      <w:pPr>
        <w:autoSpaceDE w:val="0"/>
        <w:autoSpaceDN w:val="0"/>
        <w:adjustRightInd w:val="0"/>
        <w:spacing w:line="360" w:lineRule="auto"/>
        <w:jc w:val="center"/>
        <w:rPr>
          <w:rFonts w:hint="eastAsia" w:ascii="宋体" w:hAnsi="宋体" w:cs="黑体"/>
          <w:b/>
          <w:bCs/>
          <w:sz w:val="28"/>
          <w:szCs w:val="28"/>
          <w:lang w:val="zh-CN"/>
        </w:rPr>
      </w:pPr>
    </w:p>
    <w:p>
      <w:pPr>
        <w:autoSpaceDE w:val="0"/>
        <w:autoSpaceDN w:val="0"/>
        <w:adjustRightInd w:val="0"/>
        <w:spacing w:line="360" w:lineRule="auto"/>
        <w:jc w:val="center"/>
        <w:rPr>
          <w:rFonts w:hint="eastAsia" w:ascii="宋体" w:hAnsi="宋体" w:cs="黑体"/>
          <w:b/>
          <w:bCs/>
          <w:sz w:val="28"/>
          <w:szCs w:val="28"/>
          <w:lang w:val="zh-CN"/>
        </w:rPr>
      </w:pPr>
      <w:r>
        <w:rPr>
          <w:rFonts w:hint="eastAsia" w:ascii="宋体" w:hAnsi="宋体" w:cs="黑体"/>
          <w:b/>
          <w:bCs/>
          <w:sz w:val="28"/>
          <w:szCs w:val="28"/>
          <w:lang w:val="zh-CN"/>
        </w:rPr>
        <w:t>4.3 技术方案（实施方案）</w:t>
      </w:r>
    </w:p>
    <w:p>
      <w:pPr>
        <w:autoSpaceDE w:val="0"/>
        <w:autoSpaceDN w:val="0"/>
        <w:adjustRightInd w:val="0"/>
        <w:spacing w:line="480" w:lineRule="auto"/>
        <w:jc w:val="center"/>
        <w:rPr>
          <w:rFonts w:cs="宋体" w:asciiTheme="minorEastAsia" w:hAnsiTheme="minorEastAsia"/>
          <w:sz w:val="24"/>
          <w:lang w:val="zh-CN"/>
        </w:rPr>
      </w:pPr>
      <w:r>
        <w:rPr>
          <w:rFonts w:hint="eastAsia" w:cs="宋体" w:asciiTheme="minorEastAsia" w:hAnsiTheme="minorEastAsia"/>
          <w:sz w:val="24"/>
          <w:szCs w:val="24"/>
          <w:lang w:val="zh-CN"/>
        </w:rPr>
        <w:t>（投标人根据招标文件要求自行编制）</w:t>
      </w:r>
    </w:p>
    <w:p>
      <w:pPr>
        <w:autoSpaceDE w:val="0"/>
        <w:autoSpaceDN w:val="0"/>
        <w:adjustRightInd w:val="0"/>
        <w:spacing w:line="360" w:lineRule="auto"/>
        <w:outlineLvl w:val="0"/>
        <w:rPr>
          <w:rFonts w:ascii="宋体" w:cs="宋体"/>
          <w:sz w:val="24"/>
          <w:lang w:val="zh-CN"/>
        </w:rPr>
      </w:pPr>
    </w:p>
    <w:p>
      <w:pPr>
        <w:spacing w:line="480" w:lineRule="exact"/>
        <w:jc w:val="center"/>
        <w:rPr>
          <w:rFonts w:ascii="宋体" w:hAnsi="宋体"/>
          <w:b/>
          <w:bCs/>
          <w:sz w:val="36"/>
          <w:szCs w:val="36"/>
        </w:rPr>
      </w:pPr>
    </w:p>
    <w:p>
      <w:pPr>
        <w:spacing w:line="300" w:lineRule="exact"/>
        <w:rPr>
          <w:rFonts w:asciiTheme="minorEastAsia" w:hAnsiTheme="minorEastAsia"/>
          <w:sz w:val="24"/>
          <w:szCs w:val="24"/>
        </w:rPr>
      </w:pPr>
    </w:p>
    <w:p>
      <w:pPr>
        <w:snapToGrid w:val="0"/>
        <w:spacing w:line="360" w:lineRule="auto"/>
        <w:jc w:val="center"/>
        <w:rPr>
          <w:rFonts w:hAnsi="宋体" w:eastAsia="宋体"/>
          <w:b/>
          <w:snapToGrid w:val="0"/>
          <w:kern w:val="0"/>
          <w:sz w:val="36"/>
          <w:szCs w:val="36"/>
        </w:rPr>
      </w:pPr>
    </w:p>
    <w:p>
      <w:pPr>
        <w:snapToGrid w:val="0"/>
        <w:spacing w:line="360" w:lineRule="auto"/>
        <w:jc w:val="both"/>
        <w:rPr>
          <w:rFonts w:ascii="宋体" w:hAnsi="宋体"/>
          <w:b/>
          <w:bCs/>
          <w:sz w:val="36"/>
          <w:szCs w:val="36"/>
        </w:rPr>
      </w:pPr>
    </w:p>
    <w:p>
      <w:pPr>
        <w:autoSpaceDE w:val="0"/>
        <w:autoSpaceDN w:val="0"/>
        <w:adjustRightInd w:val="0"/>
        <w:spacing w:line="360" w:lineRule="auto"/>
        <w:jc w:val="center"/>
        <w:rPr>
          <w:rFonts w:hint="eastAsia" w:ascii="宋体" w:hAnsi="宋体" w:cs="黑体"/>
          <w:b/>
          <w:bCs/>
          <w:sz w:val="28"/>
          <w:szCs w:val="28"/>
          <w:lang w:val="zh-CN"/>
        </w:rPr>
      </w:pPr>
      <w:r>
        <w:rPr>
          <w:rFonts w:hint="eastAsia" w:ascii="宋体" w:hAnsi="宋体" w:cs="黑体"/>
          <w:b/>
          <w:bCs/>
          <w:sz w:val="28"/>
          <w:szCs w:val="28"/>
          <w:lang w:val="zh-CN"/>
        </w:rPr>
        <w:t>4.4 业绩情况表</w:t>
      </w:r>
    </w:p>
    <w:p>
      <w:pPr>
        <w:spacing w:before="50" w:after="156" w:afterLines="50" w:line="360" w:lineRule="auto"/>
        <w:contextualSpacing/>
        <w:jc w:val="left"/>
        <w:rPr>
          <w:rFonts w:asciiTheme="minorEastAsia" w:hAnsiTheme="minorEastAsia"/>
          <w:sz w:val="24"/>
          <w:szCs w:val="24"/>
        </w:rPr>
      </w:pPr>
      <w:r>
        <w:rPr>
          <w:rFonts w:hint="eastAsia" w:asciiTheme="minorEastAsia" w:hAnsiTheme="minorEastAsia"/>
          <w:sz w:val="24"/>
          <w:szCs w:val="24"/>
        </w:rPr>
        <w:t>项目编号：</w:t>
      </w:r>
    </w:p>
    <w:p>
      <w:pPr>
        <w:snapToGrid w:val="0"/>
        <w:spacing w:line="360" w:lineRule="auto"/>
        <w:rPr>
          <w:rFonts w:hAnsi="宋体" w:eastAsia="宋体"/>
          <w:b/>
          <w:snapToGrid w:val="0"/>
          <w:kern w:val="0"/>
          <w:sz w:val="36"/>
          <w:szCs w:val="36"/>
        </w:rPr>
      </w:pPr>
      <w:r>
        <w:rPr>
          <w:rFonts w:hint="eastAsia" w:asciiTheme="minorEastAsia" w:hAnsiTheme="minorEastAsia"/>
          <w:sz w:val="24"/>
          <w:szCs w:val="24"/>
        </w:rPr>
        <w:t xml:space="preserve">项目名称：   </w:t>
      </w:r>
    </w:p>
    <w:tbl>
      <w:tblPr>
        <w:tblStyle w:val="24"/>
        <w:tblW w:w="92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712"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序号</w:t>
            </w:r>
          </w:p>
        </w:tc>
        <w:tc>
          <w:tcPr>
            <w:tcW w:w="1808"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客户单位名称</w:t>
            </w:r>
          </w:p>
        </w:tc>
        <w:tc>
          <w:tcPr>
            <w:tcW w:w="3579"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项目名称及主要内容</w:t>
            </w:r>
          </w:p>
        </w:tc>
        <w:tc>
          <w:tcPr>
            <w:tcW w:w="1440"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合同金额（万元）</w:t>
            </w:r>
          </w:p>
        </w:tc>
        <w:tc>
          <w:tcPr>
            <w:tcW w:w="1706" w:type="dxa"/>
            <w:shd w:val="clear" w:color="auto" w:fill="F3F3F3"/>
            <w:vAlign w:val="center"/>
          </w:tcPr>
          <w:p>
            <w:pPr>
              <w:pStyle w:val="9"/>
              <w:jc w:val="center"/>
              <w:rPr>
                <w:rFonts w:ascii="宋体" w:hAnsi="宋体" w:eastAsia="宋体" w:cs="Times New Roman"/>
                <w:b/>
                <w:bCs/>
                <w:sz w:val="24"/>
                <w:szCs w:val="24"/>
              </w:rPr>
            </w:pPr>
            <w:r>
              <w:rPr>
                <w:rFonts w:hint="eastAsia" w:ascii="宋体" w:hAnsi="宋体" w:eastAsia="宋体" w:cs="宋体"/>
                <w:b/>
                <w:bCs/>
                <w:sz w:val="24"/>
                <w:szCs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12" w:type="dxa"/>
            <w:vAlign w:val="center"/>
          </w:tcPr>
          <w:p>
            <w:pPr>
              <w:pStyle w:val="9"/>
              <w:spacing w:line="360" w:lineRule="auto"/>
              <w:jc w:val="center"/>
              <w:rPr>
                <w:rFonts w:ascii="宋体" w:hAnsi="宋体" w:eastAsia="宋体" w:cs="宋体"/>
                <w:sz w:val="24"/>
                <w:szCs w:val="24"/>
              </w:rPr>
            </w:pPr>
            <w:r>
              <w:rPr>
                <w:rFonts w:ascii="宋体" w:hAnsi="宋体" w:eastAsia="宋体" w:cs="宋体"/>
                <w:sz w:val="24"/>
                <w:szCs w:val="24"/>
              </w:rPr>
              <w:t>1</w:t>
            </w:r>
          </w:p>
        </w:tc>
        <w:tc>
          <w:tcPr>
            <w:tcW w:w="1808" w:type="dxa"/>
            <w:vAlign w:val="center"/>
          </w:tcPr>
          <w:p>
            <w:pPr>
              <w:pStyle w:val="9"/>
              <w:spacing w:line="360" w:lineRule="auto"/>
              <w:jc w:val="center"/>
              <w:rPr>
                <w:rFonts w:ascii="宋体" w:hAnsi="宋体" w:eastAsia="宋体" w:cs="Times New Roman"/>
                <w:sz w:val="24"/>
                <w:szCs w:val="24"/>
              </w:rPr>
            </w:pPr>
          </w:p>
        </w:tc>
        <w:tc>
          <w:tcPr>
            <w:tcW w:w="3579" w:type="dxa"/>
            <w:vAlign w:val="center"/>
          </w:tcPr>
          <w:p>
            <w:pPr>
              <w:pStyle w:val="9"/>
              <w:spacing w:line="360" w:lineRule="auto"/>
              <w:jc w:val="center"/>
              <w:rPr>
                <w:rFonts w:ascii="宋体" w:hAnsi="宋体" w:eastAsia="宋体" w:cs="Times New Roman"/>
                <w:sz w:val="24"/>
                <w:szCs w:val="24"/>
              </w:rPr>
            </w:pPr>
          </w:p>
        </w:tc>
        <w:tc>
          <w:tcPr>
            <w:tcW w:w="1440" w:type="dxa"/>
            <w:vAlign w:val="center"/>
          </w:tcPr>
          <w:p>
            <w:pPr>
              <w:pStyle w:val="9"/>
              <w:spacing w:line="360" w:lineRule="auto"/>
              <w:jc w:val="center"/>
              <w:rPr>
                <w:rFonts w:ascii="宋体" w:hAnsi="宋体" w:eastAsia="宋体" w:cs="Times New Roman"/>
                <w:sz w:val="24"/>
                <w:szCs w:val="24"/>
              </w:rPr>
            </w:pPr>
          </w:p>
        </w:tc>
        <w:tc>
          <w:tcPr>
            <w:tcW w:w="1706" w:type="dxa"/>
            <w:vAlign w:val="center"/>
          </w:tcPr>
          <w:p>
            <w:pPr>
              <w:pStyle w:val="9"/>
              <w:spacing w:line="360" w:lineRule="auto"/>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12" w:type="dxa"/>
            <w:vAlign w:val="center"/>
          </w:tcPr>
          <w:p>
            <w:pPr>
              <w:pStyle w:val="9"/>
              <w:spacing w:line="360" w:lineRule="auto"/>
              <w:jc w:val="center"/>
              <w:rPr>
                <w:rFonts w:ascii="宋体" w:hAnsi="宋体" w:eastAsia="宋体" w:cs="宋体"/>
                <w:sz w:val="24"/>
                <w:szCs w:val="24"/>
              </w:rPr>
            </w:pPr>
            <w:r>
              <w:rPr>
                <w:rFonts w:ascii="宋体" w:hAnsi="宋体" w:eastAsia="宋体" w:cs="宋体"/>
                <w:sz w:val="24"/>
                <w:szCs w:val="24"/>
              </w:rPr>
              <w:t>2</w:t>
            </w:r>
          </w:p>
        </w:tc>
        <w:tc>
          <w:tcPr>
            <w:tcW w:w="1808" w:type="dxa"/>
            <w:vAlign w:val="center"/>
          </w:tcPr>
          <w:p>
            <w:pPr>
              <w:pStyle w:val="9"/>
              <w:spacing w:line="360" w:lineRule="auto"/>
              <w:jc w:val="center"/>
              <w:rPr>
                <w:rFonts w:ascii="宋体" w:hAnsi="宋体" w:eastAsia="宋体" w:cs="Times New Roman"/>
                <w:sz w:val="24"/>
                <w:szCs w:val="24"/>
              </w:rPr>
            </w:pPr>
          </w:p>
        </w:tc>
        <w:tc>
          <w:tcPr>
            <w:tcW w:w="3579" w:type="dxa"/>
            <w:vAlign w:val="center"/>
          </w:tcPr>
          <w:p>
            <w:pPr>
              <w:pStyle w:val="9"/>
              <w:spacing w:line="360" w:lineRule="auto"/>
              <w:jc w:val="center"/>
              <w:rPr>
                <w:rFonts w:ascii="宋体" w:hAnsi="宋体" w:eastAsia="宋体" w:cs="Times New Roman"/>
                <w:sz w:val="24"/>
                <w:szCs w:val="24"/>
              </w:rPr>
            </w:pPr>
          </w:p>
        </w:tc>
        <w:tc>
          <w:tcPr>
            <w:tcW w:w="1440" w:type="dxa"/>
            <w:vAlign w:val="center"/>
          </w:tcPr>
          <w:p>
            <w:pPr>
              <w:pStyle w:val="9"/>
              <w:spacing w:line="360" w:lineRule="auto"/>
              <w:jc w:val="center"/>
              <w:rPr>
                <w:rFonts w:ascii="宋体" w:hAnsi="宋体" w:eastAsia="宋体" w:cs="Times New Roman"/>
                <w:sz w:val="24"/>
                <w:szCs w:val="24"/>
              </w:rPr>
            </w:pPr>
          </w:p>
        </w:tc>
        <w:tc>
          <w:tcPr>
            <w:tcW w:w="1706" w:type="dxa"/>
            <w:vAlign w:val="center"/>
          </w:tcPr>
          <w:p>
            <w:pPr>
              <w:pStyle w:val="9"/>
              <w:spacing w:line="360" w:lineRule="auto"/>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12" w:type="dxa"/>
            <w:vAlign w:val="center"/>
          </w:tcPr>
          <w:p>
            <w:pPr>
              <w:pStyle w:val="9"/>
              <w:spacing w:line="360" w:lineRule="auto"/>
              <w:jc w:val="center"/>
              <w:rPr>
                <w:rFonts w:ascii="宋体" w:hAnsi="宋体" w:eastAsia="宋体" w:cs="宋体"/>
                <w:sz w:val="24"/>
                <w:szCs w:val="24"/>
              </w:rPr>
            </w:pPr>
            <w:r>
              <w:rPr>
                <w:rFonts w:ascii="宋体" w:hAnsi="宋体" w:eastAsia="宋体" w:cs="宋体"/>
                <w:sz w:val="24"/>
                <w:szCs w:val="24"/>
              </w:rPr>
              <w:t>3</w:t>
            </w:r>
          </w:p>
        </w:tc>
        <w:tc>
          <w:tcPr>
            <w:tcW w:w="1808" w:type="dxa"/>
            <w:vAlign w:val="center"/>
          </w:tcPr>
          <w:p>
            <w:pPr>
              <w:pStyle w:val="9"/>
              <w:spacing w:line="360" w:lineRule="auto"/>
              <w:jc w:val="center"/>
              <w:rPr>
                <w:rFonts w:ascii="宋体" w:hAnsi="宋体" w:eastAsia="宋体" w:cs="Times New Roman"/>
                <w:sz w:val="24"/>
                <w:szCs w:val="24"/>
              </w:rPr>
            </w:pPr>
          </w:p>
        </w:tc>
        <w:tc>
          <w:tcPr>
            <w:tcW w:w="3579" w:type="dxa"/>
            <w:vAlign w:val="center"/>
          </w:tcPr>
          <w:p>
            <w:pPr>
              <w:pStyle w:val="9"/>
              <w:spacing w:line="360" w:lineRule="auto"/>
              <w:jc w:val="center"/>
              <w:rPr>
                <w:rFonts w:ascii="宋体" w:hAnsi="宋体" w:eastAsia="宋体" w:cs="Times New Roman"/>
                <w:sz w:val="24"/>
                <w:szCs w:val="24"/>
              </w:rPr>
            </w:pPr>
          </w:p>
        </w:tc>
        <w:tc>
          <w:tcPr>
            <w:tcW w:w="1440" w:type="dxa"/>
            <w:vAlign w:val="center"/>
          </w:tcPr>
          <w:p>
            <w:pPr>
              <w:pStyle w:val="9"/>
              <w:spacing w:line="360" w:lineRule="auto"/>
              <w:jc w:val="center"/>
              <w:rPr>
                <w:rFonts w:ascii="宋体" w:hAnsi="宋体" w:eastAsia="宋体" w:cs="Times New Roman"/>
                <w:sz w:val="24"/>
                <w:szCs w:val="24"/>
              </w:rPr>
            </w:pPr>
          </w:p>
        </w:tc>
        <w:tc>
          <w:tcPr>
            <w:tcW w:w="1706" w:type="dxa"/>
            <w:vAlign w:val="center"/>
          </w:tcPr>
          <w:p>
            <w:pPr>
              <w:pStyle w:val="9"/>
              <w:spacing w:line="360" w:lineRule="auto"/>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12" w:type="dxa"/>
            <w:vAlign w:val="center"/>
          </w:tcPr>
          <w:p>
            <w:pPr>
              <w:pStyle w:val="9"/>
              <w:spacing w:line="360" w:lineRule="auto"/>
              <w:jc w:val="center"/>
              <w:rPr>
                <w:rFonts w:ascii="宋体" w:hAnsi="宋体" w:eastAsia="宋体" w:cs="宋体"/>
                <w:sz w:val="24"/>
                <w:szCs w:val="24"/>
              </w:rPr>
            </w:pPr>
            <w:r>
              <w:rPr>
                <w:rFonts w:ascii="宋体" w:hAnsi="宋体" w:eastAsia="宋体" w:cs="宋体"/>
                <w:sz w:val="24"/>
                <w:szCs w:val="24"/>
              </w:rPr>
              <w:t>4</w:t>
            </w:r>
          </w:p>
        </w:tc>
        <w:tc>
          <w:tcPr>
            <w:tcW w:w="1808" w:type="dxa"/>
            <w:vAlign w:val="center"/>
          </w:tcPr>
          <w:p>
            <w:pPr>
              <w:jc w:val="center"/>
              <w:rPr>
                <w:rFonts w:ascii="宋体"/>
              </w:rPr>
            </w:pPr>
          </w:p>
        </w:tc>
        <w:tc>
          <w:tcPr>
            <w:tcW w:w="3579" w:type="dxa"/>
            <w:vAlign w:val="center"/>
          </w:tcPr>
          <w:p>
            <w:pPr>
              <w:jc w:val="center"/>
              <w:rPr>
                <w:rFonts w:ascii="宋体"/>
              </w:rPr>
            </w:pPr>
          </w:p>
        </w:tc>
        <w:tc>
          <w:tcPr>
            <w:tcW w:w="1440" w:type="dxa"/>
            <w:vAlign w:val="center"/>
          </w:tcPr>
          <w:p>
            <w:pPr>
              <w:jc w:val="center"/>
              <w:rPr>
                <w:rFonts w:ascii="宋体"/>
              </w:rPr>
            </w:pPr>
          </w:p>
        </w:tc>
        <w:tc>
          <w:tcPr>
            <w:tcW w:w="1706" w:type="dxa"/>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12" w:type="dxa"/>
            <w:vAlign w:val="center"/>
          </w:tcPr>
          <w:p>
            <w:pPr>
              <w:pStyle w:val="9"/>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1808" w:type="dxa"/>
            <w:vAlign w:val="center"/>
          </w:tcPr>
          <w:p>
            <w:pPr>
              <w:jc w:val="center"/>
              <w:rPr>
                <w:rFonts w:ascii="宋体"/>
              </w:rPr>
            </w:pPr>
          </w:p>
        </w:tc>
        <w:tc>
          <w:tcPr>
            <w:tcW w:w="3579" w:type="dxa"/>
            <w:vAlign w:val="center"/>
          </w:tcPr>
          <w:p>
            <w:pPr>
              <w:jc w:val="center"/>
              <w:rPr>
                <w:rFonts w:ascii="宋体"/>
              </w:rPr>
            </w:pPr>
          </w:p>
        </w:tc>
        <w:tc>
          <w:tcPr>
            <w:tcW w:w="1440" w:type="dxa"/>
            <w:vAlign w:val="center"/>
          </w:tcPr>
          <w:p>
            <w:pPr>
              <w:jc w:val="center"/>
              <w:rPr>
                <w:rFonts w:ascii="宋体"/>
              </w:rPr>
            </w:pPr>
          </w:p>
        </w:tc>
        <w:tc>
          <w:tcPr>
            <w:tcW w:w="1706" w:type="dxa"/>
            <w:vAlign w:val="center"/>
          </w:tcPr>
          <w:p>
            <w:pPr>
              <w:jc w:val="center"/>
              <w:rPr>
                <w:rFonts w:ascii="宋体"/>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sz w:val="36"/>
          <w:szCs w:val="36"/>
        </w:rPr>
      </w:pPr>
    </w:p>
    <w:p>
      <w:pPr>
        <w:pStyle w:val="2"/>
        <w:ind w:firstLine="340"/>
      </w:pPr>
    </w:p>
    <w:p>
      <w:pPr>
        <w:autoSpaceDE w:val="0"/>
        <w:autoSpaceDN w:val="0"/>
        <w:adjustRightInd w:val="0"/>
        <w:spacing w:line="360" w:lineRule="auto"/>
        <w:jc w:val="center"/>
        <w:rPr>
          <w:rFonts w:hint="eastAsia" w:ascii="宋体" w:hAnsi="宋体" w:cs="黑体"/>
          <w:b/>
          <w:bCs/>
          <w:sz w:val="28"/>
          <w:szCs w:val="28"/>
          <w:lang w:val="zh-CN"/>
        </w:rPr>
      </w:pPr>
      <w:r>
        <w:rPr>
          <w:rFonts w:hint="eastAsia" w:ascii="宋体" w:hAnsi="宋体" w:cs="黑体"/>
          <w:b/>
          <w:bCs/>
          <w:sz w:val="28"/>
          <w:szCs w:val="28"/>
          <w:lang w:val="zh-CN"/>
        </w:rPr>
        <w:t>4.5 售后服务方案</w:t>
      </w: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（投标人根据招标文件要求自行编制）</w:t>
      </w:r>
    </w:p>
    <w:p>
      <w:pPr>
        <w:pStyle w:val="2"/>
        <w:ind w:left="0" w:leftChars="0" w:firstLine="0" w:firstLineChars="0"/>
      </w:pPr>
    </w:p>
    <w:p>
      <w:pPr>
        <w:autoSpaceDE w:val="0"/>
        <w:autoSpaceDN w:val="0"/>
        <w:adjustRightInd w:val="0"/>
        <w:spacing w:line="360" w:lineRule="auto"/>
        <w:jc w:val="center"/>
        <w:rPr>
          <w:rFonts w:hint="eastAsia" w:ascii="宋体" w:hAnsi="宋体" w:cs="黑体"/>
          <w:b/>
          <w:bCs/>
          <w:sz w:val="28"/>
          <w:szCs w:val="28"/>
          <w:lang w:val="zh-CN"/>
        </w:rPr>
      </w:pPr>
      <w:r>
        <w:rPr>
          <w:rFonts w:hint="eastAsia" w:ascii="宋体" w:hAnsi="宋体" w:cs="黑体"/>
          <w:b/>
          <w:bCs/>
          <w:sz w:val="28"/>
          <w:szCs w:val="28"/>
          <w:lang w:val="zh-CN"/>
        </w:rPr>
        <w:t>4.6 中小企业声明函</w:t>
      </w:r>
    </w:p>
    <w:p>
      <w:pPr>
        <w:widowControl/>
        <w:spacing w:before="100" w:beforeAutospacing="1" w:after="100" w:afterAutospacing="1" w:line="360" w:lineRule="auto"/>
        <w:ind w:firstLine="420"/>
        <w:contextualSpacing/>
        <w:jc w:val="left"/>
        <w:rPr>
          <w:rFonts w:ascii="宋体" w:hAnsi="宋体" w:cs="Arial"/>
          <w:kern w:val="0"/>
          <w:sz w:val="24"/>
          <w:szCs w:val="24"/>
        </w:rPr>
      </w:pPr>
      <w:r>
        <w:rPr>
          <w:rFonts w:hint="eastAsia" w:ascii="宋体" w:hAnsi="宋体" w:cs="Arial"/>
          <w:kern w:val="0"/>
          <w:sz w:val="24"/>
          <w:szCs w:val="24"/>
        </w:rPr>
        <w:t>本公司郑重声明，根据《政府采购促进中小企业发展暂行办法》（财库[2011]181号）的规定，本公司为______（请填写：中型、小型、微型）企业。即，本公司同时满足以下条件：</w:t>
      </w:r>
      <w:r>
        <w:rPr>
          <w:rFonts w:hint="eastAsia" w:ascii="宋体" w:hAnsi="宋体" w:cs="Arial"/>
          <w:kern w:val="0"/>
          <w:sz w:val="24"/>
          <w:szCs w:val="24"/>
        </w:rPr>
        <w:br w:type="textWrapping"/>
      </w:r>
      <w:r>
        <w:rPr>
          <w:rFonts w:hint="eastAsia" w:ascii="宋体" w:hAnsi="宋体" w:cs="Arial"/>
          <w:kern w:val="0"/>
          <w:sz w:val="24"/>
          <w:szCs w:val="24"/>
        </w:rPr>
        <w:t>　　根据《工业和信息化部、国家统计局、国家发展和改革委员会、财政部关于印发中小企业划型标准规定的通知》（工信部联企业[2011]300号）规定的划分标准，</w:t>
      </w:r>
      <w:r>
        <w:rPr>
          <w:rFonts w:hint="eastAsia"/>
          <w:sz w:val="24"/>
          <w:szCs w:val="24"/>
        </w:rPr>
        <w:t>按照《国家统计局关于印发统计上大中小微型企业划分办法的通知》（国统字</w:t>
      </w:r>
      <w:r>
        <w:rPr>
          <w:sz w:val="24"/>
          <w:szCs w:val="24"/>
        </w:rPr>
        <w:t>[2011] 75</w:t>
      </w:r>
      <w:r>
        <w:rPr>
          <w:rFonts w:hint="eastAsia"/>
          <w:sz w:val="24"/>
          <w:szCs w:val="24"/>
        </w:rPr>
        <w:t>号）规定，本公司所属行业为</w:t>
      </w:r>
      <w:r>
        <w:rPr>
          <w:sz w:val="24"/>
          <w:szCs w:val="24"/>
        </w:rPr>
        <w:t>______</w:t>
      </w:r>
      <w:r>
        <w:rPr>
          <w:rFonts w:hint="eastAsia"/>
          <w:sz w:val="24"/>
          <w:szCs w:val="24"/>
        </w:rPr>
        <w:t>，截至上一财年末，公司资产总额</w:t>
      </w:r>
      <w:r>
        <w:rPr>
          <w:sz w:val="24"/>
          <w:szCs w:val="24"/>
        </w:rPr>
        <w:t>__</w:t>
      </w:r>
      <w:r>
        <w:rPr>
          <w:sz w:val="24"/>
          <w:szCs w:val="24"/>
          <w:u w:val="single"/>
        </w:rPr>
        <w:t>____</w:t>
      </w:r>
      <w:r>
        <w:rPr>
          <w:rFonts w:hint="eastAsia"/>
          <w:sz w:val="24"/>
          <w:szCs w:val="24"/>
        </w:rPr>
        <w:t>万元，营业收入</w:t>
      </w:r>
      <w:r>
        <w:rPr>
          <w:sz w:val="24"/>
          <w:szCs w:val="24"/>
        </w:rPr>
        <w:t>______</w:t>
      </w:r>
      <w:r>
        <w:rPr>
          <w:rFonts w:hint="eastAsia"/>
          <w:sz w:val="24"/>
          <w:szCs w:val="24"/>
        </w:rPr>
        <w:t>万元，从业人员</w:t>
      </w:r>
      <w:r>
        <w:rPr>
          <w:sz w:val="24"/>
          <w:szCs w:val="24"/>
        </w:rPr>
        <w:t>______</w:t>
      </w:r>
      <w:r>
        <w:rPr>
          <w:rFonts w:hint="eastAsia"/>
          <w:sz w:val="24"/>
          <w:szCs w:val="24"/>
        </w:rPr>
        <w:t>人，</w:t>
      </w:r>
      <w:r>
        <w:rPr>
          <w:rFonts w:hint="eastAsia" w:ascii="宋体" w:hAnsi="宋体" w:cs="Arial"/>
          <w:kern w:val="0"/>
          <w:sz w:val="24"/>
          <w:szCs w:val="24"/>
        </w:rPr>
        <w:t>本公司为______（请填写：中型、小型、微型）企业。</w:t>
      </w:r>
    </w:p>
    <w:p>
      <w:pPr>
        <w:widowControl/>
        <w:spacing w:before="100" w:beforeAutospacing="1" w:after="100" w:afterAutospacing="1" w:line="360" w:lineRule="auto"/>
        <w:ind w:firstLine="420"/>
        <w:contextualSpacing/>
        <w:jc w:val="left"/>
        <w:rPr>
          <w:rFonts w:ascii="宋体" w:hAnsi="宋体" w:cs="Arial"/>
          <w:kern w:val="0"/>
          <w:sz w:val="24"/>
          <w:szCs w:val="24"/>
        </w:rPr>
      </w:pPr>
      <w:r>
        <w:rPr>
          <w:rFonts w:hint="eastAsia" w:ascii="宋体" w:hAnsi="宋体" w:cs="Arial"/>
          <w:kern w:val="0"/>
          <w:sz w:val="24"/>
          <w:szCs w:val="24"/>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kern w:val="0"/>
          <w:sz w:val="24"/>
          <w:szCs w:val="24"/>
        </w:rPr>
      </w:pPr>
    </w:p>
    <w:p>
      <w:pPr>
        <w:widowControl/>
        <w:spacing w:before="100" w:beforeAutospacing="1" w:after="100" w:afterAutospacing="1" w:line="360" w:lineRule="auto"/>
        <w:ind w:left="3885" w:leftChars="1850"/>
        <w:jc w:val="left"/>
        <w:rPr>
          <w:rFonts w:ascii="宋体" w:hAnsi="宋体" w:cs="Arial"/>
          <w:kern w:val="0"/>
          <w:sz w:val="24"/>
          <w:szCs w:val="24"/>
        </w:rPr>
      </w:pPr>
      <w:r>
        <w:rPr>
          <w:rFonts w:hint="eastAsia" w:ascii="宋体" w:hAnsi="宋体" w:cs="Arial"/>
          <w:kern w:val="0"/>
          <w:sz w:val="24"/>
          <w:szCs w:val="24"/>
        </w:rPr>
        <w:t>企业名称（盖章）：　　　　　　　　　</w:t>
      </w:r>
    </w:p>
    <w:p>
      <w:pPr>
        <w:spacing w:before="156" w:beforeLines="50" w:after="156" w:afterLines="50" w:line="360" w:lineRule="auto"/>
        <w:ind w:right="420" w:firstLine="3840" w:firstLineChars="1600"/>
        <w:rPr>
          <w:rFonts w:cs="宋体" w:asciiTheme="minorEastAsia" w:hAnsiTheme="minorEastAsia"/>
          <w:sz w:val="24"/>
          <w:szCs w:val="24"/>
          <w:lang w:val="zh-CN"/>
        </w:rPr>
      </w:pPr>
      <w:r>
        <w:rPr>
          <w:rFonts w:hint="eastAsia" w:cs="宋体" w:asciiTheme="minorEastAsia" w:hAnsiTheme="minorEastAsia"/>
          <w:sz w:val="24"/>
          <w:szCs w:val="24"/>
          <w:lang w:val="zh-CN"/>
        </w:rPr>
        <w:t xml:space="preserve">日    期：    </w:t>
      </w:r>
      <w:r>
        <w:rPr>
          <w:rFonts w:hint="eastAsia" w:cs="宋体" w:asciiTheme="minorEastAsia" w:hAnsiTheme="minorEastAsia"/>
          <w:szCs w:val="21"/>
        </w:rPr>
        <w:t>年    月    日</w:t>
      </w:r>
    </w:p>
    <w:p>
      <w:pPr>
        <w:pStyle w:val="2"/>
        <w:ind w:firstLine="340"/>
      </w:pPr>
    </w:p>
    <w:p>
      <w:pPr>
        <w:widowControl/>
        <w:spacing w:before="100" w:beforeAutospacing="1" w:after="100" w:afterAutospacing="1" w:line="360" w:lineRule="auto"/>
        <w:contextualSpacing/>
        <w:jc w:val="left"/>
        <w:rPr>
          <w:rFonts w:ascii="宋体" w:hAnsi="宋体"/>
          <w:sz w:val="24"/>
          <w:szCs w:val="24"/>
        </w:rPr>
      </w:pPr>
      <w:r>
        <w:rPr>
          <w:rFonts w:hint="eastAsia" w:ascii="宋体" w:hAnsi="宋体"/>
          <w:sz w:val="24"/>
          <w:szCs w:val="24"/>
        </w:rPr>
        <w:t>说明：</w:t>
      </w:r>
    </w:p>
    <w:p>
      <w:pPr>
        <w:widowControl/>
        <w:spacing w:before="100" w:beforeAutospacing="1" w:after="100" w:afterAutospacing="1" w:line="360" w:lineRule="auto"/>
        <w:contextualSpacing/>
        <w:jc w:val="left"/>
        <w:rPr>
          <w:rFonts w:ascii="宋体" w:hAnsi="宋体" w:cs="Arial"/>
          <w:kern w:val="0"/>
          <w:sz w:val="24"/>
          <w:szCs w:val="24"/>
        </w:rPr>
      </w:pPr>
      <w:r>
        <w:rPr>
          <w:rFonts w:hint="eastAsia" w:ascii="宋体" w:hAnsi="宋体" w:cs="Arial"/>
          <w:kern w:val="0"/>
          <w:sz w:val="24"/>
          <w:szCs w:val="24"/>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b/>
          <w:bCs/>
          <w:sz w:val="36"/>
          <w:szCs w:val="36"/>
        </w:rPr>
      </w:pPr>
      <w:r>
        <w:rPr>
          <w:rFonts w:hint="eastAsia" w:ascii="宋体" w:hAnsi="宋体" w:cs="Arial"/>
          <w:kern w:val="0"/>
          <w:sz w:val="24"/>
          <w:szCs w:val="24"/>
        </w:rPr>
        <w:t>2、如投标人为联合投标的，联合投标人需分别填写上述《中小企业声明函》。</w:t>
      </w:r>
    </w:p>
    <w:p>
      <w:pPr>
        <w:spacing w:line="360" w:lineRule="auto"/>
        <w:jc w:val="center"/>
        <w:rPr>
          <w:rFonts w:ascii="宋体" w:hAnsi="宋体"/>
          <w:b/>
          <w:bCs/>
          <w:sz w:val="36"/>
          <w:szCs w:val="36"/>
        </w:rPr>
      </w:pPr>
      <w:r>
        <w:rPr>
          <w:rFonts w:hint="eastAsia" w:ascii="宋体" w:hAnsi="宋体"/>
          <w:b/>
          <w:bCs/>
          <w:sz w:val="36"/>
          <w:szCs w:val="36"/>
        </w:rPr>
        <w:br w:type="page"/>
      </w:r>
    </w:p>
    <w:p>
      <w:pPr>
        <w:autoSpaceDE w:val="0"/>
        <w:autoSpaceDN w:val="0"/>
        <w:adjustRightInd w:val="0"/>
        <w:spacing w:line="360" w:lineRule="auto"/>
        <w:jc w:val="center"/>
        <w:rPr>
          <w:rFonts w:hint="eastAsia" w:ascii="宋体" w:hAnsi="宋体" w:cs="黑体"/>
          <w:b/>
          <w:bCs/>
          <w:sz w:val="28"/>
          <w:szCs w:val="28"/>
          <w:lang w:val="zh-CN"/>
        </w:rPr>
      </w:pPr>
      <w:r>
        <w:rPr>
          <w:rFonts w:hint="eastAsia" w:ascii="宋体" w:hAnsi="宋体" w:cs="黑体"/>
          <w:b/>
          <w:bCs/>
          <w:sz w:val="28"/>
          <w:szCs w:val="28"/>
          <w:lang w:val="zh-CN"/>
        </w:rPr>
        <w:t>4.7 残疾人福利性单位声明函</w:t>
      </w:r>
    </w:p>
    <w:p>
      <w:pPr>
        <w:spacing w:line="360" w:lineRule="auto"/>
        <w:rPr>
          <w:rFonts w:ascii="宋体" w:hAnsi="宋体"/>
          <w:szCs w:val="21"/>
        </w:rPr>
      </w:pPr>
    </w:p>
    <w:p>
      <w:pPr>
        <w:spacing w:line="360" w:lineRule="auto"/>
        <w:ind w:firstLine="480" w:firstLineChars="200"/>
        <w:rPr>
          <w:rFonts w:ascii="宋体" w:hAnsi="宋体"/>
          <w:sz w:val="24"/>
          <w:szCs w:val="24"/>
        </w:rPr>
      </w:pPr>
      <w:r>
        <w:rPr>
          <w:rFonts w:hint="eastAsia" w:ascii="宋体" w:hAnsi="宋体"/>
          <w:sz w:val="24"/>
          <w:szCs w:val="24"/>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Arial"/>
          <w:kern w:val="0"/>
          <w:sz w:val="24"/>
          <w:szCs w:val="24"/>
          <w:u w:val="single"/>
        </w:rPr>
        <w:t>　     　</w:t>
      </w:r>
      <w:r>
        <w:rPr>
          <w:rFonts w:hint="eastAsia" w:ascii="宋体" w:hAnsi="宋体"/>
          <w:sz w:val="24"/>
          <w:szCs w:val="24"/>
        </w:rPr>
        <w:t>单位的</w:t>
      </w:r>
      <w:r>
        <w:rPr>
          <w:rFonts w:hint="eastAsia" w:ascii="宋体" w:hAnsi="宋体" w:cs="Arial"/>
          <w:kern w:val="0"/>
          <w:sz w:val="24"/>
          <w:szCs w:val="24"/>
          <w:u w:val="single"/>
        </w:rPr>
        <w:t>　     　</w:t>
      </w:r>
      <w:r>
        <w:rPr>
          <w:rFonts w:hint="eastAsia" w:ascii="宋体" w:hAnsi="宋体"/>
          <w:sz w:val="24"/>
          <w:szCs w:val="24"/>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sz w:val="24"/>
          <w:szCs w:val="24"/>
        </w:rPr>
      </w:pPr>
      <w:r>
        <w:rPr>
          <w:rFonts w:hint="eastAsia" w:ascii="宋体" w:hAnsi="宋体"/>
          <w:sz w:val="24"/>
          <w:szCs w:val="24"/>
        </w:rPr>
        <w:t>本单位对上述声明的真实性负责。如有虚假，将依法承担相应责任。</w:t>
      </w: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rPr>
        <w:t xml:space="preserve">                                    单位名称（盖章）：</w:t>
      </w:r>
    </w:p>
    <w:p>
      <w:pPr>
        <w:spacing w:before="156" w:beforeLines="50" w:after="156" w:afterLines="50" w:line="360" w:lineRule="auto"/>
        <w:ind w:right="420" w:firstLine="4320" w:firstLineChars="1800"/>
        <w:rPr>
          <w:rFonts w:cs="宋体" w:asciiTheme="minorEastAsia" w:hAnsiTheme="minorEastAsia"/>
          <w:sz w:val="24"/>
          <w:szCs w:val="24"/>
          <w:lang w:val="zh-CN"/>
        </w:rPr>
      </w:pPr>
      <w:r>
        <w:rPr>
          <w:rFonts w:hint="eastAsia" w:cs="宋体" w:asciiTheme="minorEastAsia" w:hAnsiTheme="minorEastAsia"/>
          <w:sz w:val="24"/>
          <w:szCs w:val="24"/>
          <w:lang w:val="zh-CN"/>
        </w:rPr>
        <w:t xml:space="preserve">日    期：    </w:t>
      </w:r>
      <w:r>
        <w:rPr>
          <w:rFonts w:hint="eastAsia" w:cs="宋体" w:asciiTheme="minorEastAsia" w:hAnsiTheme="minorEastAsia"/>
          <w:szCs w:val="21"/>
        </w:rPr>
        <w:t>年    月    日</w:t>
      </w:r>
    </w:p>
    <w:p>
      <w:pPr>
        <w:spacing w:line="360" w:lineRule="auto"/>
        <w:rPr>
          <w:rFonts w:ascii="宋体" w:hAnsi="宋体"/>
          <w:sz w:val="24"/>
          <w:szCs w:val="24"/>
        </w:rPr>
      </w:pPr>
    </w:p>
    <w:p/>
    <w:p/>
    <w:p/>
    <w:p>
      <w:pPr>
        <w:autoSpaceDE w:val="0"/>
        <w:autoSpaceDN w:val="0"/>
        <w:adjustRightInd w:val="0"/>
        <w:spacing w:line="360" w:lineRule="auto"/>
        <w:jc w:val="center"/>
        <w:rPr>
          <w:rFonts w:hint="eastAsia" w:ascii="宋体" w:hAnsi="宋体" w:cs="黑体"/>
          <w:b/>
          <w:bCs/>
          <w:sz w:val="28"/>
          <w:szCs w:val="28"/>
          <w:lang w:val="zh-CN"/>
        </w:rPr>
      </w:pPr>
      <w:r>
        <w:rPr>
          <w:rFonts w:hint="eastAsia" w:ascii="宋体" w:hAnsi="宋体" w:cs="黑体"/>
          <w:b/>
          <w:bCs/>
          <w:sz w:val="28"/>
          <w:szCs w:val="28"/>
          <w:lang w:val="zh-CN"/>
        </w:rPr>
        <w:t xml:space="preserve">4.8 所投产品符合国家强制性要求承诺函 </w:t>
      </w:r>
    </w:p>
    <w:p>
      <w:pPr>
        <w:autoSpaceDE w:val="0"/>
        <w:autoSpaceDN w:val="0"/>
        <w:adjustRightInd w:val="0"/>
        <w:spacing w:line="360" w:lineRule="auto"/>
        <w:jc w:val="center"/>
        <w:outlineLvl w:val="0"/>
        <w:rPr>
          <w:rFonts w:ascii="宋体" w:hAnsi="宋体"/>
          <w:b/>
          <w:bCs/>
          <w:sz w:val="28"/>
          <w:szCs w:val="28"/>
        </w:rPr>
      </w:pPr>
    </w:p>
    <w:p>
      <w:pPr>
        <w:spacing w:line="360" w:lineRule="auto"/>
        <w:ind w:firstLine="480" w:firstLineChars="200"/>
        <w:jc w:val="center"/>
        <w:rPr>
          <w:rFonts w:ascii="宋体" w:hAnsi="宋体"/>
          <w:sz w:val="24"/>
          <w:szCs w:val="24"/>
        </w:rPr>
      </w:pPr>
      <w:r>
        <w:rPr>
          <w:rFonts w:hint="eastAsia" w:ascii="宋体" w:hAnsi="宋体"/>
          <w:sz w:val="24"/>
          <w:szCs w:val="24"/>
        </w:rPr>
        <w:t>投标人所投产品涉及国家有属强制性规定的，须承诺其所投产品符合国家强制性要求（如CCC认证，格式自拟）</w:t>
      </w:r>
    </w:p>
    <w:p>
      <w:pPr>
        <w:autoSpaceDE w:val="0"/>
        <w:autoSpaceDN w:val="0"/>
        <w:adjustRightInd w:val="0"/>
        <w:spacing w:line="360" w:lineRule="auto"/>
        <w:jc w:val="center"/>
        <w:rPr>
          <w:rFonts w:hint="eastAsia" w:ascii="宋体" w:hAnsi="宋体" w:cs="黑体"/>
          <w:b/>
          <w:bCs/>
          <w:sz w:val="28"/>
          <w:szCs w:val="28"/>
          <w:lang w:val="zh-CN"/>
        </w:rPr>
      </w:pPr>
    </w:p>
    <w:p>
      <w:pPr>
        <w:autoSpaceDE w:val="0"/>
        <w:autoSpaceDN w:val="0"/>
        <w:adjustRightInd w:val="0"/>
        <w:spacing w:line="360" w:lineRule="auto"/>
        <w:jc w:val="center"/>
        <w:rPr>
          <w:rFonts w:hint="eastAsia" w:ascii="宋体" w:hAnsi="宋体" w:cs="黑体"/>
          <w:b/>
          <w:bCs/>
          <w:sz w:val="28"/>
          <w:szCs w:val="28"/>
          <w:lang w:val="zh-CN"/>
        </w:rPr>
      </w:pPr>
    </w:p>
    <w:p>
      <w:pPr>
        <w:autoSpaceDE w:val="0"/>
        <w:autoSpaceDN w:val="0"/>
        <w:adjustRightInd w:val="0"/>
        <w:spacing w:line="360" w:lineRule="auto"/>
        <w:jc w:val="center"/>
        <w:rPr>
          <w:rFonts w:hint="eastAsia" w:ascii="宋体" w:hAnsi="宋体" w:cs="黑体"/>
          <w:b/>
          <w:bCs/>
          <w:sz w:val="28"/>
          <w:szCs w:val="28"/>
          <w:lang w:val="zh-CN"/>
        </w:rPr>
      </w:pPr>
    </w:p>
    <w:p>
      <w:pPr>
        <w:autoSpaceDE w:val="0"/>
        <w:autoSpaceDN w:val="0"/>
        <w:adjustRightInd w:val="0"/>
        <w:spacing w:line="360" w:lineRule="auto"/>
        <w:jc w:val="center"/>
        <w:rPr>
          <w:rFonts w:hint="eastAsia" w:ascii="宋体" w:hAnsi="宋体" w:cs="黑体"/>
          <w:b/>
          <w:bCs/>
          <w:sz w:val="28"/>
          <w:szCs w:val="28"/>
          <w:lang w:val="zh-CN"/>
        </w:rPr>
      </w:pPr>
    </w:p>
    <w:p>
      <w:pPr>
        <w:autoSpaceDE w:val="0"/>
        <w:autoSpaceDN w:val="0"/>
        <w:adjustRightInd w:val="0"/>
        <w:spacing w:line="360" w:lineRule="auto"/>
        <w:jc w:val="center"/>
        <w:rPr>
          <w:rFonts w:hint="eastAsia" w:ascii="宋体" w:hAnsi="宋体" w:cs="黑体"/>
          <w:b/>
          <w:bCs/>
          <w:sz w:val="28"/>
          <w:szCs w:val="28"/>
          <w:lang w:val="zh-CN"/>
        </w:rPr>
      </w:pPr>
      <w:r>
        <w:rPr>
          <w:rFonts w:hint="eastAsia" w:ascii="宋体" w:hAnsi="宋体" w:cs="黑体"/>
          <w:b/>
          <w:bCs/>
          <w:sz w:val="28"/>
          <w:szCs w:val="28"/>
          <w:lang w:val="zh-CN"/>
        </w:rPr>
        <w:t>4.</w:t>
      </w:r>
      <w:r>
        <w:rPr>
          <w:rFonts w:hint="eastAsia" w:ascii="宋体" w:hAnsi="宋体" w:cs="黑体"/>
          <w:b/>
          <w:bCs/>
          <w:sz w:val="28"/>
          <w:szCs w:val="28"/>
          <w:lang w:val="en-US" w:eastAsia="zh-CN"/>
        </w:rPr>
        <w:t>9</w:t>
      </w:r>
      <w:r>
        <w:rPr>
          <w:rFonts w:hint="eastAsia" w:ascii="宋体" w:hAnsi="宋体" w:cs="黑体"/>
          <w:b/>
          <w:bCs/>
          <w:sz w:val="28"/>
          <w:szCs w:val="28"/>
          <w:lang w:val="zh-CN"/>
        </w:rPr>
        <w:t>“环境标志产品政府采购品目清单”优先采购产品情况</w:t>
      </w:r>
    </w:p>
    <w:p>
      <w:pPr>
        <w:autoSpaceDE w:val="0"/>
        <w:autoSpaceDN w:val="0"/>
        <w:adjustRightInd w:val="0"/>
        <w:spacing w:line="360" w:lineRule="auto"/>
        <w:jc w:val="center"/>
        <w:outlineLvl w:val="0"/>
        <w:rPr>
          <w:rFonts w:ascii="宋体"/>
          <w:b/>
          <w:bCs/>
          <w:color w:val="000000"/>
          <w:sz w:val="28"/>
          <w:szCs w:val="28"/>
        </w:rPr>
      </w:pPr>
    </w:p>
    <w:p>
      <w:pPr>
        <w:spacing w:before="50" w:afterLines="50" w:line="360" w:lineRule="auto"/>
        <w:contextualSpacing/>
        <w:jc w:val="left"/>
        <w:rPr>
          <w:rFonts w:ascii="宋体"/>
          <w:color w:val="000000"/>
          <w:szCs w:val="21"/>
        </w:rPr>
      </w:pPr>
      <w:r>
        <w:rPr>
          <w:rFonts w:hint="eastAsia" w:ascii="宋体" w:hAnsi="宋体"/>
          <w:color w:val="000000"/>
          <w:szCs w:val="21"/>
        </w:rPr>
        <w:t>项目编号：</w:t>
      </w:r>
    </w:p>
    <w:p>
      <w:pPr>
        <w:tabs>
          <w:tab w:val="left" w:pos="1800"/>
          <w:tab w:val="left" w:pos="5580"/>
        </w:tabs>
        <w:spacing w:line="360" w:lineRule="auto"/>
        <w:rPr>
          <w:rFonts w:ascii="宋体"/>
          <w:color w:val="000000"/>
          <w:szCs w:val="21"/>
        </w:rPr>
      </w:pPr>
      <w:r>
        <w:rPr>
          <w:rFonts w:hint="eastAsia" w:ascii="宋体" w:hAnsi="宋体"/>
          <w:color w:val="000000"/>
          <w:szCs w:val="21"/>
        </w:rPr>
        <w:t>项目名称：</w:t>
      </w:r>
    </w:p>
    <w:p>
      <w:pPr>
        <w:tabs>
          <w:tab w:val="left" w:pos="1800"/>
          <w:tab w:val="left" w:pos="5580"/>
        </w:tabs>
        <w:spacing w:line="360" w:lineRule="auto"/>
        <w:rPr>
          <w:rFonts w:ascii="宋体"/>
          <w:color w:val="000000"/>
          <w:szCs w:val="21"/>
        </w:rPr>
      </w:pPr>
    </w:p>
    <w:tbl>
      <w:tblPr>
        <w:tblStyle w:val="24"/>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526" w:type="dxa"/>
            <w:shd w:val="clear" w:color="auto" w:fill="F2F2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374" w:type="dxa"/>
            <w:shd w:val="clear" w:color="auto" w:fill="F2F2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518" w:type="dxa"/>
            <w:shd w:val="clear" w:color="auto" w:fill="F2F2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40" w:type="dxa"/>
            <w:shd w:val="clear" w:color="auto" w:fill="F2F2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648" w:type="dxa"/>
            <w:shd w:val="clear" w:color="auto" w:fill="F2F2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600" w:type="dxa"/>
            <w:shd w:val="clear" w:color="auto" w:fill="F2F2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417" w:type="dxa"/>
            <w:shd w:val="clear" w:color="auto" w:fill="F2F2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9"/>
              <w:spacing w:line="360" w:lineRule="auto"/>
              <w:jc w:val="center"/>
              <w:rPr>
                <w:rFonts w:ascii="宋体" w:hAnsi="宋体" w:eastAsia="宋体" w:cs="Times New Roman"/>
                <w:sz w:val="21"/>
                <w:szCs w:val="21"/>
              </w:rPr>
            </w:pPr>
            <w:r>
              <w:rPr>
                <w:rFonts w:ascii="宋体" w:hAnsi="宋体" w:eastAsia="宋体" w:cs="Times New Roman"/>
                <w:sz w:val="21"/>
                <w:szCs w:val="21"/>
              </w:rPr>
              <w:t>1</w:t>
            </w:r>
          </w:p>
        </w:tc>
        <w:tc>
          <w:tcPr>
            <w:tcW w:w="1374" w:type="dxa"/>
            <w:vAlign w:val="center"/>
          </w:tcPr>
          <w:p>
            <w:pPr>
              <w:pStyle w:val="9"/>
              <w:spacing w:line="360" w:lineRule="auto"/>
              <w:rPr>
                <w:rFonts w:ascii="宋体" w:hAnsi="宋体" w:eastAsia="宋体" w:cs="Times New Roman"/>
                <w:sz w:val="21"/>
                <w:szCs w:val="21"/>
              </w:rPr>
            </w:pPr>
          </w:p>
        </w:tc>
        <w:tc>
          <w:tcPr>
            <w:tcW w:w="1518" w:type="dxa"/>
            <w:vAlign w:val="center"/>
          </w:tcPr>
          <w:p>
            <w:pPr>
              <w:pStyle w:val="9"/>
              <w:spacing w:line="360" w:lineRule="auto"/>
              <w:rPr>
                <w:rFonts w:ascii="宋体" w:hAnsi="宋体" w:eastAsia="宋体" w:cs="Times New Roman"/>
                <w:sz w:val="21"/>
                <w:szCs w:val="21"/>
              </w:rPr>
            </w:pPr>
          </w:p>
        </w:tc>
        <w:tc>
          <w:tcPr>
            <w:tcW w:w="1240" w:type="dxa"/>
          </w:tcPr>
          <w:p>
            <w:pPr>
              <w:pStyle w:val="9"/>
              <w:spacing w:line="360" w:lineRule="auto"/>
              <w:rPr>
                <w:rFonts w:ascii="宋体" w:hAnsi="宋体" w:eastAsia="宋体" w:cs="Times New Roman"/>
                <w:sz w:val="21"/>
                <w:szCs w:val="21"/>
              </w:rPr>
            </w:pPr>
          </w:p>
        </w:tc>
        <w:tc>
          <w:tcPr>
            <w:tcW w:w="1648" w:type="dxa"/>
          </w:tcPr>
          <w:p>
            <w:pPr>
              <w:pStyle w:val="9"/>
              <w:spacing w:line="360" w:lineRule="auto"/>
              <w:rPr>
                <w:rFonts w:ascii="宋体" w:hAnsi="宋体" w:eastAsia="宋体" w:cs="Times New Roman"/>
                <w:sz w:val="21"/>
                <w:szCs w:val="21"/>
              </w:rPr>
            </w:pPr>
          </w:p>
        </w:tc>
        <w:tc>
          <w:tcPr>
            <w:tcW w:w="1600" w:type="dxa"/>
          </w:tcPr>
          <w:p>
            <w:pPr>
              <w:pStyle w:val="9"/>
              <w:spacing w:line="360" w:lineRule="auto"/>
              <w:rPr>
                <w:rFonts w:ascii="宋体" w:hAnsi="宋体" w:eastAsia="宋体" w:cs="Times New Roman"/>
                <w:sz w:val="21"/>
                <w:szCs w:val="21"/>
              </w:rPr>
            </w:pPr>
          </w:p>
        </w:tc>
        <w:tc>
          <w:tcPr>
            <w:tcW w:w="1417" w:type="dxa"/>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9"/>
              <w:spacing w:line="360" w:lineRule="auto"/>
              <w:jc w:val="center"/>
              <w:rPr>
                <w:rFonts w:ascii="宋体" w:hAnsi="宋体" w:eastAsia="宋体" w:cs="Times New Roman"/>
                <w:sz w:val="21"/>
                <w:szCs w:val="21"/>
              </w:rPr>
            </w:pPr>
            <w:r>
              <w:rPr>
                <w:rFonts w:ascii="宋体" w:hAnsi="宋体" w:eastAsia="宋体" w:cs="Times New Roman"/>
                <w:sz w:val="21"/>
                <w:szCs w:val="21"/>
              </w:rPr>
              <w:t>2</w:t>
            </w:r>
          </w:p>
        </w:tc>
        <w:tc>
          <w:tcPr>
            <w:tcW w:w="1374" w:type="dxa"/>
            <w:vAlign w:val="center"/>
          </w:tcPr>
          <w:p>
            <w:pPr>
              <w:pStyle w:val="9"/>
              <w:spacing w:line="360" w:lineRule="auto"/>
              <w:rPr>
                <w:rFonts w:ascii="宋体" w:hAnsi="宋体" w:eastAsia="宋体" w:cs="Times New Roman"/>
                <w:sz w:val="21"/>
                <w:szCs w:val="21"/>
              </w:rPr>
            </w:pPr>
          </w:p>
        </w:tc>
        <w:tc>
          <w:tcPr>
            <w:tcW w:w="1518" w:type="dxa"/>
            <w:vAlign w:val="center"/>
          </w:tcPr>
          <w:p>
            <w:pPr>
              <w:pStyle w:val="9"/>
              <w:spacing w:line="360" w:lineRule="auto"/>
              <w:rPr>
                <w:rFonts w:ascii="宋体" w:hAnsi="宋体" w:eastAsia="宋体" w:cs="Times New Roman"/>
                <w:sz w:val="21"/>
                <w:szCs w:val="21"/>
              </w:rPr>
            </w:pPr>
          </w:p>
        </w:tc>
        <w:tc>
          <w:tcPr>
            <w:tcW w:w="1240" w:type="dxa"/>
          </w:tcPr>
          <w:p>
            <w:pPr>
              <w:pStyle w:val="9"/>
              <w:spacing w:line="360" w:lineRule="auto"/>
              <w:rPr>
                <w:rFonts w:ascii="宋体" w:hAnsi="宋体" w:eastAsia="宋体" w:cs="Times New Roman"/>
                <w:sz w:val="21"/>
                <w:szCs w:val="21"/>
              </w:rPr>
            </w:pPr>
          </w:p>
        </w:tc>
        <w:tc>
          <w:tcPr>
            <w:tcW w:w="1648" w:type="dxa"/>
          </w:tcPr>
          <w:p>
            <w:pPr>
              <w:pStyle w:val="9"/>
              <w:spacing w:line="360" w:lineRule="auto"/>
              <w:rPr>
                <w:rFonts w:ascii="宋体" w:hAnsi="宋体" w:eastAsia="宋体" w:cs="Times New Roman"/>
                <w:sz w:val="21"/>
                <w:szCs w:val="21"/>
              </w:rPr>
            </w:pPr>
          </w:p>
        </w:tc>
        <w:tc>
          <w:tcPr>
            <w:tcW w:w="1600" w:type="dxa"/>
          </w:tcPr>
          <w:p>
            <w:pPr>
              <w:pStyle w:val="9"/>
              <w:spacing w:line="360" w:lineRule="auto"/>
              <w:rPr>
                <w:rFonts w:ascii="宋体" w:hAnsi="宋体" w:eastAsia="宋体" w:cs="Times New Roman"/>
                <w:sz w:val="21"/>
                <w:szCs w:val="21"/>
              </w:rPr>
            </w:pPr>
          </w:p>
        </w:tc>
        <w:tc>
          <w:tcPr>
            <w:tcW w:w="1417" w:type="dxa"/>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374" w:type="dxa"/>
            <w:vAlign w:val="center"/>
          </w:tcPr>
          <w:p>
            <w:pPr>
              <w:pStyle w:val="9"/>
              <w:spacing w:line="360" w:lineRule="auto"/>
              <w:rPr>
                <w:rFonts w:ascii="宋体" w:hAnsi="宋体" w:eastAsia="宋体" w:cs="Times New Roman"/>
                <w:sz w:val="21"/>
                <w:szCs w:val="21"/>
              </w:rPr>
            </w:pPr>
          </w:p>
        </w:tc>
        <w:tc>
          <w:tcPr>
            <w:tcW w:w="1518" w:type="dxa"/>
            <w:vAlign w:val="center"/>
          </w:tcPr>
          <w:p>
            <w:pPr>
              <w:pStyle w:val="9"/>
              <w:spacing w:line="360" w:lineRule="auto"/>
              <w:rPr>
                <w:rFonts w:ascii="宋体" w:hAnsi="宋体" w:eastAsia="宋体" w:cs="Times New Roman"/>
                <w:sz w:val="21"/>
                <w:szCs w:val="21"/>
              </w:rPr>
            </w:pPr>
          </w:p>
        </w:tc>
        <w:tc>
          <w:tcPr>
            <w:tcW w:w="1240" w:type="dxa"/>
          </w:tcPr>
          <w:p>
            <w:pPr>
              <w:pStyle w:val="9"/>
              <w:spacing w:line="360" w:lineRule="auto"/>
              <w:rPr>
                <w:rFonts w:ascii="宋体" w:hAnsi="宋体" w:eastAsia="宋体" w:cs="Times New Roman"/>
                <w:sz w:val="21"/>
                <w:szCs w:val="21"/>
              </w:rPr>
            </w:pPr>
          </w:p>
        </w:tc>
        <w:tc>
          <w:tcPr>
            <w:tcW w:w="1648" w:type="dxa"/>
          </w:tcPr>
          <w:p>
            <w:pPr>
              <w:pStyle w:val="9"/>
              <w:spacing w:line="360" w:lineRule="auto"/>
              <w:rPr>
                <w:rFonts w:ascii="宋体" w:hAnsi="宋体" w:eastAsia="宋体" w:cs="Times New Roman"/>
                <w:sz w:val="21"/>
                <w:szCs w:val="21"/>
              </w:rPr>
            </w:pPr>
          </w:p>
        </w:tc>
        <w:tc>
          <w:tcPr>
            <w:tcW w:w="1600" w:type="dxa"/>
          </w:tcPr>
          <w:p>
            <w:pPr>
              <w:pStyle w:val="9"/>
              <w:spacing w:line="360" w:lineRule="auto"/>
              <w:rPr>
                <w:rFonts w:ascii="宋体" w:hAnsi="宋体" w:eastAsia="宋体" w:cs="Times New Roman"/>
                <w:sz w:val="21"/>
                <w:szCs w:val="21"/>
              </w:rPr>
            </w:pPr>
          </w:p>
        </w:tc>
        <w:tc>
          <w:tcPr>
            <w:tcW w:w="1417" w:type="dxa"/>
          </w:tcPr>
          <w:p>
            <w:pPr>
              <w:pStyle w:val="9"/>
              <w:spacing w:line="360" w:lineRule="auto"/>
              <w:rPr>
                <w:rFonts w:ascii="宋体" w:hAnsi="宋体" w:eastAsia="宋体" w:cs="Times New Roman"/>
                <w:sz w:val="21"/>
                <w:szCs w:val="21"/>
              </w:rPr>
            </w:pPr>
          </w:p>
        </w:tc>
      </w:tr>
    </w:tbl>
    <w:p>
      <w:pPr>
        <w:autoSpaceDE w:val="0"/>
        <w:autoSpaceDN w:val="0"/>
        <w:adjustRightInd w:val="0"/>
        <w:spacing w:line="480" w:lineRule="auto"/>
        <w:rPr>
          <w:rFonts w:ascii="宋体" w:cs="宋体"/>
          <w:szCs w:val="21"/>
          <w:lang w:val="zh-CN"/>
        </w:rPr>
      </w:pPr>
      <w:r>
        <w:rPr>
          <w:rFonts w:hint="eastAsia" w:ascii="宋体" w:hAnsi="宋体" w:cs="宋体"/>
          <w:szCs w:val="21"/>
          <w:lang w:val="zh-CN"/>
        </w:rPr>
        <w:t>投标人（公章）：</w:t>
      </w:r>
    </w:p>
    <w:p>
      <w:pPr>
        <w:autoSpaceDE w:val="0"/>
        <w:autoSpaceDN w:val="0"/>
        <w:adjustRightInd w:val="0"/>
        <w:spacing w:line="480" w:lineRule="auto"/>
        <w:rPr>
          <w:rFonts w:ascii="宋体" w:cs="宋体"/>
          <w:szCs w:val="21"/>
          <w:lang w:val="zh-CN"/>
        </w:rPr>
      </w:pPr>
      <w:r>
        <w:rPr>
          <w:rFonts w:hint="eastAsia" w:ascii="宋体" w:hAnsi="宋体" w:cs="宋体"/>
          <w:szCs w:val="21"/>
          <w:lang w:val="zh-CN"/>
        </w:rPr>
        <w:t>投标人法定代表人（单位负责人）或授权代表签字：</w:t>
      </w:r>
    </w:p>
    <w:p>
      <w:pPr>
        <w:snapToGrid w:val="0"/>
        <w:spacing w:line="500" w:lineRule="exact"/>
        <w:rPr>
          <w:rFonts w:ascii="宋体" w:cs="宋体"/>
          <w:szCs w:val="21"/>
          <w:lang w:val="zh-CN"/>
        </w:rPr>
      </w:pPr>
    </w:p>
    <w:p>
      <w:pPr>
        <w:ind w:left="630" w:hanging="630" w:hangingChars="300"/>
        <w:rPr>
          <w:rFonts w:ascii="宋体" w:cs="宋体"/>
          <w:szCs w:val="21"/>
          <w:lang w:val="zh-CN"/>
        </w:rPr>
      </w:pPr>
      <w:r>
        <w:rPr>
          <w:rFonts w:hint="eastAsia" w:ascii="宋体" w:hAnsi="宋体" w:cs="宋体"/>
          <w:szCs w:val="21"/>
          <w:lang w:val="zh-CN"/>
        </w:rPr>
        <w:t>说明：所投产品节能认证证书须附后。</w:t>
      </w:r>
    </w:p>
    <w:p>
      <w:pPr>
        <w:ind w:left="630" w:hanging="630" w:hangingChars="300"/>
        <w:rPr>
          <w:rFonts w:ascii="宋体" w:cs="宋体"/>
          <w:szCs w:val="21"/>
          <w:lang w:val="zh-CN"/>
        </w:rPr>
      </w:pPr>
    </w:p>
    <w:p>
      <w:pPr>
        <w:spacing w:line="480" w:lineRule="auto"/>
        <w:rPr>
          <w:rFonts w:ascii="宋体" w:cs="Arial"/>
          <w:color w:val="000000"/>
          <w:szCs w:val="21"/>
        </w:rPr>
      </w:pPr>
    </w:p>
    <w:p/>
    <w:p/>
    <w:p/>
    <w:p/>
    <w:p/>
    <w:p/>
    <w:p/>
    <w:p/>
    <w:p/>
    <w:p/>
    <w:p/>
    <w:p/>
    <w:p/>
    <w:p/>
    <w:p/>
    <w:p/>
    <w:p/>
    <w:p/>
    <w:p/>
    <w:p>
      <w:pPr>
        <w:autoSpaceDE w:val="0"/>
        <w:autoSpaceDN w:val="0"/>
        <w:adjustRightInd w:val="0"/>
        <w:spacing w:line="360" w:lineRule="auto"/>
        <w:jc w:val="center"/>
        <w:rPr>
          <w:rFonts w:hint="eastAsia" w:ascii="宋体" w:hAnsi="宋体" w:cs="黑体"/>
          <w:b/>
          <w:bCs/>
          <w:sz w:val="28"/>
          <w:szCs w:val="28"/>
          <w:lang w:val="zh-CN"/>
        </w:rPr>
      </w:pPr>
    </w:p>
    <w:p>
      <w:pPr>
        <w:autoSpaceDE w:val="0"/>
        <w:autoSpaceDN w:val="0"/>
        <w:adjustRightInd w:val="0"/>
        <w:spacing w:line="360" w:lineRule="auto"/>
        <w:jc w:val="center"/>
        <w:rPr>
          <w:rFonts w:ascii="宋体" w:cs="黑体"/>
          <w:b/>
          <w:bCs/>
          <w:sz w:val="28"/>
          <w:szCs w:val="28"/>
          <w:lang w:val="zh-CN"/>
        </w:rPr>
      </w:pPr>
      <w:r>
        <w:rPr>
          <w:rFonts w:hint="eastAsia" w:ascii="宋体" w:hAnsi="宋体" w:cs="黑体"/>
          <w:b/>
          <w:bCs/>
          <w:sz w:val="28"/>
          <w:szCs w:val="28"/>
          <w:lang w:val="zh-CN"/>
        </w:rPr>
        <w:t>五、其他资料（若有）</w:t>
      </w:r>
    </w:p>
    <w:p/>
    <w:p/>
    <w:p/>
    <w:p>
      <w:pPr>
        <w:spacing w:line="360" w:lineRule="auto"/>
        <w:jc w:val="center"/>
        <w:rPr>
          <w:rFonts w:ascii="宋体"/>
          <w:b/>
          <w:bCs/>
          <w:color w:val="000000"/>
          <w:sz w:val="28"/>
          <w:szCs w:val="28"/>
        </w:rPr>
      </w:pPr>
      <w:r>
        <w:rPr>
          <w:rFonts w:hint="eastAsia" w:ascii="宋体" w:hAnsi="宋体"/>
          <w:b/>
          <w:bCs/>
          <w:color w:val="000000"/>
          <w:sz w:val="28"/>
          <w:szCs w:val="28"/>
        </w:rPr>
        <w:t>除招标文件另有规定外，投标人认为需要提交的其他证明材料或资料加盖投标人的单位公章后应在此项下提交。</w:t>
      </w:r>
    </w:p>
    <w:p>
      <w:pPr>
        <w:spacing w:line="360" w:lineRule="auto"/>
        <w:jc w:val="center"/>
        <w:rPr>
          <w:rFonts w:ascii="宋体"/>
          <w:b/>
          <w:bCs/>
          <w:color w:val="000000"/>
          <w:sz w:val="28"/>
          <w:szCs w:val="28"/>
        </w:rPr>
      </w:pPr>
      <w:r>
        <w:rPr>
          <w:rFonts w:ascii="宋体"/>
          <w:b/>
          <w:bCs/>
          <w:color w:val="000000"/>
          <w:sz w:val="28"/>
          <w:szCs w:val="28"/>
        </w:rPr>
        <w:t> </w:t>
      </w:r>
    </w:p>
    <w:p/>
    <w:p/>
    <w:p/>
    <w:p/>
    <w:p/>
    <w:p/>
    <w:p/>
    <w:p/>
    <w:p/>
    <w:p/>
    <w:p/>
    <w:p/>
    <w:p/>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w:panose1 w:val="020F0502020204030204"/>
    <w:charset w:val="00"/>
    <w:family w:val="swiss"/>
    <w:pitch w:val="default"/>
    <w:sig w:usb0="00000000" w:usb1="00000000" w:usb2="00000001" w:usb3="00000000" w:csb0="0000019F" w:csb1="00000000"/>
  </w:font>
  <w:font w:name="等线">
    <w:altName w:val="宋体"/>
    <w:panose1 w:val="02010600030101010101"/>
    <w:charset w:val="86"/>
    <w:family w:val="auto"/>
    <w:pitch w:val="default"/>
    <w:sig w:usb0="00000000" w:usb1="00000000" w:usb2="00000016" w:usb3="00000000" w:csb0="0004000F" w:csb1="00000000"/>
  </w:font>
  <w:font w:name="微软简隶书">
    <w:altName w:val="宋体"/>
    <w:panose1 w:val="00000000000000000000"/>
    <w:charset w:val="86"/>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MS Mincho">
    <w:altName w:val="MS UI Gothic"/>
    <w:panose1 w:val="02020609040205080304"/>
    <w:charset w:val="80"/>
    <w:family w:val="modern"/>
    <w:pitch w:val="default"/>
    <w:sig w:usb0="00000000" w:usb1="00000000" w:usb2="00000010" w:usb3="00000000" w:csb0="4002009F" w:csb1="DFD70000"/>
  </w:font>
  <w:font w:name="Cambria Math">
    <w:altName w:val="Palatino Linotype"/>
    <w:panose1 w:val="02040503050406030204"/>
    <w:charset w:val="00"/>
    <w:family w:val="roman"/>
    <w:pitch w:val="default"/>
    <w:sig w:usb0="00000000" w:usb1="00000000" w:usb2="00000000" w:usb3="00000000" w:csb0="0000019F" w:csb1="00000000"/>
  </w:font>
  <w:font w:name="楷体">
    <w:altName w:val="楷体_GB2312"/>
    <w:panose1 w:val="02010609060101010101"/>
    <w:charset w:val="86"/>
    <w:family w:val="modern"/>
    <w:pitch w:val="default"/>
    <w:sig w:usb0="00000000" w:usb1="00000000" w:usb2="00000016" w:usb3="00000000" w:csb0="00040001" w:csb1="00000000"/>
  </w:font>
  <w:font w:name="微软雅黑">
    <w:altName w:val="黑体"/>
    <w:panose1 w:val="020B0503020204020204"/>
    <w:charset w:val="86"/>
    <w:family w:val="swiss"/>
    <w:pitch w:val="default"/>
    <w:sig w:usb0="00000000" w:usb1="00000000" w:usb2="00000016" w:usb3="00000000" w:csb0="0004001F" w:csb1="00000000"/>
  </w:font>
  <w:font w:name="TimesNewRomanPSMT">
    <w:altName w:val="Times New Roman"/>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003" w:usb1="080E0000" w:usb2="00000000"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Lucida Sans">
    <w:panose1 w:val="020B0602030504020204"/>
    <w:charset w:val="00"/>
    <w:family w:val="auto"/>
    <w:pitch w:val="default"/>
    <w:sig w:usb0="00000000" w:usb1="00000000" w:usb2="00000000" w:usb3="00000000" w:csb0="00000000" w:csb1="00000000"/>
  </w:font>
  <w:font w:name="MS UI Gothic">
    <w:panose1 w:val="020B0600070205080204"/>
    <w:charset w:val="80"/>
    <w:family w:val="auto"/>
    <w:pitch w:val="default"/>
    <w:sig w:usb0="A00002BF" w:usb1="68C7FCFB" w:usb2="00000010" w:usb3="00000000" w:csb0="4002009F" w:csb1="DFD70000"/>
  </w:font>
  <w:font w:name="Palatino Linotype">
    <w:panose1 w:val="02040502050505030304"/>
    <w:charset w:val="00"/>
    <w:family w:val="auto"/>
    <w:pitch w:val="default"/>
    <w:sig w:usb0="E0000387" w:usb1="40000013" w:usb2="00000000" w:usb3="00000000" w:csb0="2000019F"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pict>
        <v:shape id="_x0000_s4097" o:spid="_x0000_s4097" o:spt="202" type="#_x0000_t202" style="position:absolute;left:0pt;margin-top:0pt;height:144pt;width:144pt;mso-position-horizontal:center;mso-position-horizontal-relative:margin;mso-wrap-style:none;z-index:1024;mso-width-relative:page;mso-height-relative:page;" filled="f" stroked="f" coordsize="21600,21600">
          <v:path/>
          <v:fill on="f" focussize="0,0"/>
          <v:stroke on="f" joinstyle="miter"/>
          <v:imagedata o:title=""/>
          <o:lock v:ext="edit"/>
          <v:textbox inset="0mm,0mm,0mm,0mm" style="mso-fit-shape-to-text:t;">
            <w:txbxContent>
              <w:p>
                <w:pPr>
                  <w:pStyle w:val="19"/>
                </w:pPr>
                <w:r>
                  <w:fldChar w:fldCharType="begin"/>
                </w:r>
                <w:r>
                  <w:instrText xml:space="preserve"> PAGE  \* MERGEFORMAT </w:instrText>
                </w:r>
                <w:r>
                  <w:fldChar w:fldCharType="separate"/>
                </w:r>
                <w:r>
                  <w:t>1</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C48D323"/>
    <w:multiLevelType w:val="singleLevel"/>
    <w:tmpl w:val="AC48D323"/>
    <w:lvl w:ilvl="0" w:tentative="0">
      <w:start w:val="2"/>
      <w:numFmt w:val="decimal"/>
      <w:suff w:val="nothing"/>
      <w:lvlText w:val="%1、"/>
      <w:lvlJc w:val="left"/>
    </w:lvl>
  </w:abstractNum>
  <w:abstractNum w:abstractNumId="1">
    <w:nsid w:val="ACEF56A4"/>
    <w:multiLevelType w:val="singleLevel"/>
    <w:tmpl w:val="ACEF56A4"/>
    <w:lvl w:ilvl="0" w:tentative="0">
      <w:start w:val="1"/>
      <w:numFmt w:val="chineseCounting"/>
      <w:suff w:val="space"/>
      <w:lvlText w:val="第%1章"/>
      <w:lvlJc w:val="left"/>
      <w:rPr>
        <w:rFonts w:hint="eastAsia"/>
      </w:rPr>
    </w:lvl>
  </w:abstractNum>
  <w:abstractNum w:abstractNumId="2">
    <w:nsid w:val="BCCC8CF0"/>
    <w:multiLevelType w:val="singleLevel"/>
    <w:tmpl w:val="BCCC8CF0"/>
    <w:lvl w:ilvl="0" w:tentative="0">
      <w:start w:val="1"/>
      <w:numFmt w:val="decimal"/>
      <w:suff w:val="nothing"/>
      <w:lvlText w:val="%1、"/>
      <w:lvlJc w:val="left"/>
    </w:lvl>
  </w:abstractNum>
  <w:abstractNum w:abstractNumId="3">
    <w:nsid w:val="E31B524A"/>
    <w:multiLevelType w:val="singleLevel"/>
    <w:tmpl w:val="E31B524A"/>
    <w:lvl w:ilvl="0" w:tentative="0">
      <w:start w:val="1"/>
      <w:numFmt w:val="decimal"/>
      <w:suff w:val="nothing"/>
      <w:lvlText w:val="%1、"/>
      <w:lvlJc w:val="left"/>
    </w:lvl>
  </w:abstractNum>
  <w:abstractNum w:abstractNumId="4">
    <w:nsid w:val="00000006"/>
    <w:multiLevelType w:val="multilevel"/>
    <w:tmpl w:val="00000006"/>
    <w:lvl w:ilvl="0" w:tentative="0">
      <w:start w:val="1"/>
      <w:numFmt w:val="chineseCountingThousand"/>
      <w:pStyle w:val="4"/>
      <w:suff w:val="nothing"/>
      <w:lvlText w:val="第%1部分"/>
      <w:lvlJc w:val="center"/>
      <w:pPr>
        <w:ind w:left="-288" w:firstLine="288"/>
      </w:pPr>
      <w:rPr>
        <w:rFonts w:hint="eastAsia" w:cs="Times New Roman"/>
        <w:sz w:val="28"/>
        <w:szCs w:val="28"/>
      </w:rPr>
    </w:lvl>
    <w:lvl w:ilvl="1" w:tentative="0">
      <w:start w:val="1"/>
      <w:numFmt w:val="chineseCountingThousand"/>
      <w:pStyle w:val="5"/>
      <w:suff w:val="nothing"/>
      <w:lvlText w:val="%2、"/>
      <w:lvlJc w:val="left"/>
      <w:pPr>
        <w:ind w:left="254"/>
      </w:pPr>
      <w:rPr>
        <w:rFonts w:hint="eastAsia" w:ascii="宋体" w:hAnsi="宋体" w:eastAsia="宋体" w:cs="Times New Roman"/>
        <w:sz w:val="24"/>
        <w:szCs w:val="24"/>
      </w:rPr>
    </w:lvl>
    <w:lvl w:ilvl="2" w:tentative="0">
      <w:start w:val="1"/>
      <w:numFmt w:val="chineseCountingThousand"/>
      <w:suff w:val="nothing"/>
      <w:lvlText w:val="(%3)"/>
      <w:lvlJc w:val="left"/>
      <w:rPr>
        <w:rFonts w:hint="default" w:ascii="Times New Roman" w:hAnsi="Times New Roman" w:eastAsia="宋体" w:cs="Times New Roman"/>
        <w:b/>
        <w:i w:val="0"/>
        <w:spacing w:val="0"/>
        <w:w w:val="100"/>
        <w:position w:val="0"/>
        <w:sz w:val="21"/>
        <w:szCs w:val="21"/>
      </w:rPr>
    </w:lvl>
    <w:lvl w:ilvl="3" w:tentative="0">
      <w:start w:val="1"/>
      <w:numFmt w:val="decimal"/>
      <w:pStyle w:val="7"/>
      <w:suff w:val="nothing"/>
      <w:lvlText w:val="%4、"/>
      <w:lvlJc w:val="left"/>
      <w:rPr>
        <w:rFonts w:hint="eastAsia" w:cs="Times New Roman"/>
      </w:rPr>
    </w:lvl>
    <w:lvl w:ilvl="4" w:tentative="0">
      <w:start w:val="1"/>
      <w:numFmt w:val="upperLetter"/>
      <w:suff w:val="nothing"/>
      <w:lvlText w:val="%5、"/>
      <w:lvlJc w:val="left"/>
      <w:rPr>
        <w:rFonts w:hint="eastAsia" w:cs="Times New Roman"/>
      </w:rPr>
    </w:lvl>
    <w:lvl w:ilvl="5" w:tentative="0">
      <w:start w:val="1"/>
      <w:numFmt w:val="none"/>
      <w:suff w:val="nothing"/>
      <w:lvlText w:val=""/>
      <w:lvlJc w:val="left"/>
      <w:rPr>
        <w:rFonts w:hint="eastAsia" w:cs="Times New Roman"/>
      </w:rPr>
    </w:lvl>
    <w:lvl w:ilvl="6" w:tentative="0">
      <w:start w:val="1"/>
      <w:numFmt w:val="none"/>
      <w:suff w:val="nothing"/>
      <w:lvlText w:val=""/>
      <w:lvlJc w:val="left"/>
      <w:rPr>
        <w:rFonts w:hint="eastAsia" w:cs="Times New Roman"/>
      </w:rPr>
    </w:lvl>
    <w:lvl w:ilvl="7" w:tentative="0">
      <w:start w:val="1"/>
      <w:numFmt w:val="none"/>
      <w:suff w:val="nothing"/>
      <w:lvlText w:val=""/>
      <w:lvlJc w:val="left"/>
      <w:rPr>
        <w:rFonts w:hint="eastAsia" w:cs="Times New Roman"/>
      </w:rPr>
    </w:lvl>
    <w:lvl w:ilvl="8" w:tentative="0">
      <w:start w:val="1"/>
      <w:numFmt w:val="none"/>
      <w:suff w:val="nothing"/>
      <w:lvlText w:val=""/>
      <w:lvlJc w:val="left"/>
      <w:rPr>
        <w:rFonts w:hint="eastAsia" w:cs="Times New Roman"/>
      </w:rPr>
    </w:lvl>
  </w:abstractNum>
  <w:abstractNum w:abstractNumId="5">
    <w:nsid w:val="00000014"/>
    <w:multiLevelType w:val="multilevel"/>
    <w:tmpl w:val="00000014"/>
    <w:lvl w:ilvl="0" w:tentative="0">
      <w:start w:val="1"/>
      <w:numFmt w:val="decimal"/>
      <w:pStyle w:val="52"/>
      <w:lvlText w:val="%1."/>
      <w:lvlJc w:val="left"/>
      <w:pPr>
        <w:tabs>
          <w:tab w:val="left" w:pos="709"/>
        </w:tabs>
        <w:ind w:left="709" w:hanging="709"/>
      </w:pPr>
      <w:rPr>
        <w:rFonts w:hint="eastAsia" w:cs="Times New Roman"/>
      </w:rPr>
    </w:lvl>
    <w:lvl w:ilvl="1" w:tentative="0">
      <w:start w:val="1"/>
      <w:numFmt w:val="decimal"/>
      <w:lvlText w:val="%1.%2"/>
      <w:lvlJc w:val="left"/>
      <w:pPr>
        <w:tabs>
          <w:tab w:val="left" w:pos="709"/>
        </w:tabs>
        <w:ind w:left="709" w:hanging="709"/>
      </w:pPr>
      <w:rPr>
        <w:rFonts w:hint="eastAsia" w:ascii="宋体" w:hAnsi="宋体" w:eastAsia="宋体" w:cs="Times New Roman"/>
        <w:b w:val="0"/>
        <w:color w:val="auto"/>
        <w:sz w:val="21"/>
        <w:szCs w:val="21"/>
      </w:rPr>
    </w:lvl>
    <w:lvl w:ilvl="2" w:tentative="0">
      <w:start w:val="1"/>
      <w:numFmt w:val="decimal"/>
      <w:lvlText w:val="%1.%2.%3."/>
      <w:lvlJc w:val="left"/>
      <w:pPr>
        <w:tabs>
          <w:tab w:val="left" w:pos="425"/>
        </w:tabs>
        <w:ind w:left="425" w:hanging="425"/>
      </w:pPr>
      <w:rPr>
        <w:rFonts w:hint="eastAsia" w:cs="Times New Roman"/>
        <w:sz w:val="21"/>
        <w:szCs w:val="21"/>
      </w:rPr>
    </w:lvl>
    <w:lvl w:ilvl="3" w:tentative="0">
      <w:start w:val="1"/>
      <w:numFmt w:val="decimal"/>
      <w:lvlText w:val="%1.%2.%3.%4."/>
      <w:lvlJc w:val="left"/>
      <w:pPr>
        <w:tabs>
          <w:tab w:val="left" w:pos="851"/>
        </w:tabs>
        <w:ind w:left="851" w:hanging="851"/>
      </w:pPr>
      <w:rPr>
        <w:rFonts w:hint="eastAsia" w:cs="Times New Roman"/>
      </w:rPr>
    </w:lvl>
    <w:lvl w:ilvl="4" w:tentative="0">
      <w:start w:val="1"/>
      <w:numFmt w:val="decimal"/>
      <w:lvlText w:val="%1.%2.%3.%4.%5."/>
      <w:lvlJc w:val="left"/>
      <w:pPr>
        <w:tabs>
          <w:tab w:val="left" w:pos="992"/>
        </w:tabs>
        <w:ind w:left="992" w:hanging="992"/>
      </w:pPr>
      <w:rPr>
        <w:rFonts w:hint="eastAsia" w:cs="Times New Roman"/>
      </w:rPr>
    </w:lvl>
    <w:lvl w:ilvl="5" w:tentative="0">
      <w:start w:val="1"/>
      <w:numFmt w:val="decimal"/>
      <w:lvlText w:val="%1.%2.%3.%4.%5.%6."/>
      <w:lvlJc w:val="left"/>
      <w:pPr>
        <w:tabs>
          <w:tab w:val="left" w:pos="1134"/>
        </w:tabs>
        <w:ind w:left="1134" w:hanging="1134"/>
      </w:pPr>
      <w:rPr>
        <w:rFonts w:hint="eastAsia" w:cs="Times New Roman"/>
      </w:rPr>
    </w:lvl>
    <w:lvl w:ilvl="6" w:tentative="0">
      <w:start w:val="1"/>
      <w:numFmt w:val="decimal"/>
      <w:lvlText w:val="%1.%2.%3.%4.%5.%6.%7."/>
      <w:lvlJc w:val="left"/>
      <w:pPr>
        <w:tabs>
          <w:tab w:val="left" w:pos="1276"/>
        </w:tabs>
        <w:ind w:left="1276" w:hanging="1276"/>
      </w:pPr>
      <w:rPr>
        <w:rFonts w:hint="eastAsia" w:cs="Times New Roman"/>
      </w:rPr>
    </w:lvl>
    <w:lvl w:ilvl="7" w:tentative="0">
      <w:start w:val="1"/>
      <w:numFmt w:val="decimal"/>
      <w:lvlText w:val="%1.%2.%3.%4.%5.%6.%7.%8."/>
      <w:lvlJc w:val="left"/>
      <w:pPr>
        <w:tabs>
          <w:tab w:val="left" w:pos="1418"/>
        </w:tabs>
        <w:ind w:left="1418" w:hanging="1418"/>
      </w:pPr>
      <w:rPr>
        <w:rFonts w:hint="eastAsia" w:cs="Times New Roman"/>
      </w:rPr>
    </w:lvl>
    <w:lvl w:ilvl="8" w:tentative="0">
      <w:start w:val="1"/>
      <w:numFmt w:val="decimal"/>
      <w:lvlText w:val="%1.%2.%3.%4.%5.%6.%7.%8.%9."/>
      <w:lvlJc w:val="left"/>
      <w:pPr>
        <w:tabs>
          <w:tab w:val="left" w:pos="1559"/>
        </w:tabs>
        <w:ind w:left="1559" w:hanging="1559"/>
      </w:pPr>
      <w:rPr>
        <w:rFonts w:hint="eastAsia" w:cs="Times New Roman"/>
      </w:rPr>
    </w:lvl>
  </w:abstractNum>
  <w:abstractNum w:abstractNumId="6">
    <w:nsid w:val="0FD46054"/>
    <w:multiLevelType w:val="multilevel"/>
    <w:tmpl w:val="0FD46054"/>
    <w:lvl w:ilvl="0" w:tentative="0">
      <w:start w:val="1"/>
      <w:numFmt w:val="decimal"/>
      <w:lvlText w:val="%1."/>
      <w:lvlJc w:val="left"/>
      <w:pPr>
        <w:tabs>
          <w:tab w:val="left" w:pos="420"/>
        </w:tabs>
        <w:ind w:left="420" w:hanging="420"/>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7">
    <w:nsid w:val="1523A57B"/>
    <w:multiLevelType w:val="singleLevel"/>
    <w:tmpl w:val="1523A57B"/>
    <w:lvl w:ilvl="0" w:tentative="0">
      <w:start w:val="1"/>
      <w:numFmt w:val="decimal"/>
      <w:suff w:val="nothing"/>
      <w:lvlText w:val="%1、"/>
      <w:lvlJc w:val="left"/>
    </w:lvl>
  </w:abstractNum>
  <w:abstractNum w:abstractNumId="8">
    <w:nsid w:val="18EA743F"/>
    <w:multiLevelType w:val="multilevel"/>
    <w:tmpl w:val="18EA743F"/>
    <w:lvl w:ilvl="0" w:tentative="0">
      <w:start w:val="26"/>
      <w:numFmt w:val="decimal"/>
      <w:lvlText w:val="%1.1 "/>
      <w:lvlJc w:val="left"/>
      <w:pPr>
        <w:ind w:left="964" w:hanging="544"/>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9">
    <w:nsid w:val="1C99F775"/>
    <w:multiLevelType w:val="singleLevel"/>
    <w:tmpl w:val="1C99F775"/>
    <w:lvl w:ilvl="0" w:tentative="0">
      <w:start w:val="1"/>
      <w:numFmt w:val="decimal"/>
      <w:suff w:val="nothing"/>
      <w:lvlText w:val="%1、"/>
      <w:lvlJc w:val="left"/>
    </w:lvl>
  </w:abstractNum>
  <w:abstractNum w:abstractNumId="10">
    <w:nsid w:val="1D311DEE"/>
    <w:multiLevelType w:val="multilevel"/>
    <w:tmpl w:val="1D311DEE"/>
    <w:lvl w:ilvl="0" w:tentative="0">
      <w:start w:val="30"/>
      <w:numFmt w:val="decimal"/>
      <w:lvlText w:val="%1.1 "/>
      <w:lvlJc w:val="left"/>
      <w:pPr>
        <w:ind w:left="964" w:hanging="544"/>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1">
    <w:nsid w:val="214802C3"/>
    <w:multiLevelType w:val="multilevel"/>
    <w:tmpl w:val="214802C3"/>
    <w:lvl w:ilvl="0" w:tentative="0">
      <w:start w:val="1"/>
      <w:numFmt w:val="decimal"/>
      <w:lvlText w:val="%1."/>
      <w:lvlJc w:val="left"/>
      <w:pPr>
        <w:ind w:left="420" w:hanging="420"/>
      </w:pPr>
      <w:rPr>
        <w:rFonts w:hint="eastAsia" w:cs="Times New Roman"/>
      </w:rPr>
    </w:lvl>
    <w:lvl w:ilvl="1" w:tentative="0">
      <w:start w:val="2"/>
      <w:numFmt w:val="decimal"/>
      <w:isLgl/>
      <w:lvlText w:val="%1.%2"/>
      <w:lvlJc w:val="left"/>
      <w:pPr>
        <w:ind w:left="964" w:hanging="544"/>
      </w:pPr>
      <w:rPr>
        <w:rFonts w:hint="default" w:cs="Times New Roman"/>
      </w:rPr>
    </w:lvl>
    <w:lvl w:ilvl="2" w:tentative="0">
      <w:start w:val="1"/>
      <w:numFmt w:val="decimal"/>
      <w:isLgl/>
      <w:lvlText w:val="%1.%2.%3"/>
      <w:lvlJc w:val="left"/>
      <w:pPr>
        <w:ind w:left="1560" w:hanging="720"/>
      </w:pPr>
      <w:rPr>
        <w:rFonts w:hint="default" w:cs="Times New Roman"/>
      </w:rPr>
    </w:lvl>
    <w:lvl w:ilvl="3" w:tentative="0">
      <w:start w:val="1"/>
      <w:numFmt w:val="decimal"/>
      <w:isLgl/>
      <w:lvlText w:val="%1.%2.%3.%4"/>
      <w:lvlJc w:val="left"/>
      <w:pPr>
        <w:ind w:left="2340" w:hanging="1080"/>
      </w:pPr>
      <w:rPr>
        <w:rFonts w:hint="default" w:cs="Times New Roman"/>
      </w:rPr>
    </w:lvl>
    <w:lvl w:ilvl="4" w:tentative="0">
      <w:start w:val="1"/>
      <w:numFmt w:val="decimal"/>
      <w:isLgl/>
      <w:lvlText w:val="%1.%2.%3.%4.%5"/>
      <w:lvlJc w:val="left"/>
      <w:pPr>
        <w:ind w:left="2760" w:hanging="1080"/>
      </w:pPr>
      <w:rPr>
        <w:rFonts w:hint="default" w:cs="Times New Roman"/>
      </w:rPr>
    </w:lvl>
    <w:lvl w:ilvl="5" w:tentative="0">
      <w:start w:val="1"/>
      <w:numFmt w:val="decimal"/>
      <w:isLgl/>
      <w:lvlText w:val="%1.%2.%3.%4.%5.%6"/>
      <w:lvlJc w:val="left"/>
      <w:pPr>
        <w:ind w:left="3540" w:hanging="1440"/>
      </w:pPr>
      <w:rPr>
        <w:rFonts w:hint="default" w:cs="Times New Roman"/>
      </w:rPr>
    </w:lvl>
    <w:lvl w:ilvl="6" w:tentative="0">
      <w:start w:val="1"/>
      <w:numFmt w:val="decimal"/>
      <w:isLgl/>
      <w:lvlText w:val="%1.%2.%3.%4.%5.%6.%7"/>
      <w:lvlJc w:val="left"/>
      <w:pPr>
        <w:ind w:left="3960" w:hanging="1440"/>
      </w:pPr>
      <w:rPr>
        <w:rFonts w:hint="default" w:cs="Times New Roman"/>
      </w:rPr>
    </w:lvl>
    <w:lvl w:ilvl="7" w:tentative="0">
      <w:start w:val="1"/>
      <w:numFmt w:val="decimal"/>
      <w:isLgl/>
      <w:lvlText w:val="%1.%2.%3.%4.%5.%6.%7.%8"/>
      <w:lvlJc w:val="left"/>
      <w:pPr>
        <w:ind w:left="4740" w:hanging="1800"/>
      </w:pPr>
      <w:rPr>
        <w:rFonts w:hint="default" w:cs="Times New Roman"/>
      </w:rPr>
    </w:lvl>
    <w:lvl w:ilvl="8" w:tentative="0">
      <w:start w:val="1"/>
      <w:numFmt w:val="decimal"/>
      <w:isLgl/>
      <w:lvlText w:val="%1.%2.%3.%4.%5.%6.%7.%8.%9"/>
      <w:lvlJc w:val="left"/>
      <w:pPr>
        <w:ind w:left="5160" w:hanging="1800"/>
      </w:pPr>
      <w:rPr>
        <w:rFonts w:hint="default" w:cs="Times New Roman"/>
      </w:rPr>
    </w:lvl>
  </w:abstractNum>
  <w:abstractNum w:abstractNumId="12">
    <w:nsid w:val="2CC3004A"/>
    <w:multiLevelType w:val="multilevel"/>
    <w:tmpl w:val="2CC3004A"/>
    <w:lvl w:ilvl="0" w:tentative="0">
      <w:start w:val="35"/>
      <w:numFmt w:val="decimal"/>
      <w:lvlText w:val="%1"/>
      <w:lvlJc w:val="left"/>
      <w:pPr>
        <w:ind w:left="432" w:hanging="432"/>
      </w:pPr>
      <w:rPr>
        <w:rFonts w:hint="default"/>
      </w:rPr>
    </w:lvl>
    <w:lvl w:ilvl="1" w:tentative="0">
      <w:start w:val="1"/>
      <w:numFmt w:val="decimal"/>
      <w:lvlText w:val="%1.%2"/>
      <w:lvlJc w:val="left"/>
      <w:pPr>
        <w:ind w:left="852" w:hanging="432"/>
      </w:pPr>
      <w:rPr>
        <w:rFonts w:hint="default"/>
      </w:rPr>
    </w:lvl>
    <w:lvl w:ilvl="2" w:tentative="0">
      <w:start w:val="1"/>
      <w:numFmt w:val="decimal"/>
      <w:lvlText w:val="%1.%2.%3"/>
      <w:lvlJc w:val="left"/>
      <w:pPr>
        <w:ind w:left="1560" w:hanging="720"/>
      </w:pPr>
      <w:rPr>
        <w:rFonts w:hint="default"/>
      </w:rPr>
    </w:lvl>
    <w:lvl w:ilvl="3" w:tentative="0">
      <w:start w:val="1"/>
      <w:numFmt w:val="decimal"/>
      <w:lvlText w:val="%1.%2.%3.%4"/>
      <w:lvlJc w:val="left"/>
      <w:pPr>
        <w:ind w:left="2340" w:hanging="1080"/>
      </w:pPr>
      <w:rPr>
        <w:rFonts w:hint="default"/>
      </w:rPr>
    </w:lvl>
    <w:lvl w:ilvl="4" w:tentative="0">
      <w:start w:val="1"/>
      <w:numFmt w:val="decimal"/>
      <w:lvlText w:val="%1.%2.%3.%4.%5"/>
      <w:lvlJc w:val="left"/>
      <w:pPr>
        <w:ind w:left="2760" w:hanging="1080"/>
      </w:pPr>
      <w:rPr>
        <w:rFonts w:hint="default"/>
      </w:rPr>
    </w:lvl>
    <w:lvl w:ilvl="5" w:tentative="0">
      <w:start w:val="1"/>
      <w:numFmt w:val="decimal"/>
      <w:lvlText w:val="%1.%2.%3.%4.%5.%6"/>
      <w:lvlJc w:val="left"/>
      <w:pPr>
        <w:ind w:left="3540" w:hanging="1440"/>
      </w:pPr>
      <w:rPr>
        <w:rFonts w:hint="default"/>
      </w:rPr>
    </w:lvl>
    <w:lvl w:ilvl="6" w:tentative="0">
      <w:start w:val="1"/>
      <w:numFmt w:val="decimal"/>
      <w:lvlText w:val="%1.%2.%3.%4.%5.%6.%7"/>
      <w:lvlJc w:val="left"/>
      <w:pPr>
        <w:ind w:left="3960" w:hanging="1440"/>
      </w:pPr>
      <w:rPr>
        <w:rFonts w:hint="default"/>
      </w:rPr>
    </w:lvl>
    <w:lvl w:ilvl="7" w:tentative="0">
      <w:start w:val="1"/>
      <w:numFmt w:val="decimal"/>
      <w:lvlText w:val="%1.%2.%3.%4.%5.%6.%7.%8"/>
      <w:lvlJc w:val="left"/>
      <w:pPr>
        <w:ind w:left="4740" w:hanging="1800"/>
      </w:pPr>
      <w:rPr>
        <w:rFonts w:hint="default"/>
      </w:rPr>
    </w:lvl>
    <w:lvl w:ilvl="8" w:tentative="0">
      <w:start w:val="1"/>
      <w:numFmt w:val="decimal"/>
      <w:lvlText w:val="%1.%2.%3.%4.%5.%6.%7.%8.%9"/>
      <w:lvlJc w:val="left"/>
      <w:pPr>
        <w:ind w:left="5160" w:hanging="1800"/>
      </w:pPr>
      <w:rPr>
        <w:rFonts w:hint="default"/>
      </w:rPr>
    </w:lvl>
  </w:abstractNum>
  <w:abstractNum w:abstractNumId="13">
    <w:nsid w:val="2EE9EDD6"/>
    <w:multiLevelType w:val="singleLevel"/>
    <w:tmpl w:val="2EE9EDD6"/>
    <w:lvl w:ilvl="0" w:tentative="0">
      <w:start w:val="1"/>
      <w:numFmt w:val="decimal"/>
      <w:suff w:val="nothing"/>
      <w:lvlText w:val="（%1）"/>
      <w:lvlJc w:val="left"/>
    </w:lvl>
  </w:abstractNum>
  <w:abstractNum w:abstractNumId="14">
    <w:nsid w:val="3F0A2C70"/>
    <w:multiLevelType w:val="multilevel"/>
    <w:tmpl w:val="3F0A2C70"/>
    <w:lvl w:ilvl="0" w:tentative="0">
      <w:start w:val="22"/>
      <w:numFmt w:val="decimal"/>
      <w:lvlText w:val="%1.1 "/>
      <w:lvlJc w:val="left"/>
      <w:pPr>
        <w:ind w:left="964" w:hanging="544"/>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5">
    <w:nsid w:val="40246CB1"/>
    <w:multiLevelType w:val="multilevel"/>
    <w:tmpl w:val="40246CB1"/>
    <w:lvl w:ilvl="0" w:tentative="0">
      <w:start w:val="34"/>
      <w:numFmt w:val="decimal"/>
      <w:lvlText w:val="%1"/>
      <w:lvlJc w:val="left"/>
      <w:pPr>
        <w:ind w:left="432" w:hanging="432"/>
      </w:pPr>
      <w:rPr>
        <w:rFonts w:hint="default"/>
      </w:rPr>
    </w:lvl>
    <w:lvl w:ilvl="1" w:tentative="0">
      <w:start w:val="7"/>
      <w:numFmt w:val="decimal"/>
      <w:lvlText w:val="%1.%2"/>
      <w:lvlJc w:val="left"/>
      <w:pPr>
        <w:ind w:left="1396" w:hanging="432"/>
      </w:pPr>
      <w:rPr>
        <w:rFonts w:hint="default"/>
      </w:rPr>
    </w:lvl>
    <w:lvl w:ilvl="2" w:tentative="0">
      <w:start w:val="1"/>
      <w:numFmt w:val="decimal"/>
      <w:lvlText w:val="%1.%2.%3"/>
      <w:lvlJc w:val="left"/>
      <w:pPr>
        <w:ind w:left="2648" w:hanging="720"/>
      </w:pPr>
      <w:rPr>
        <w:rFonts w:hint="default"/>
      </w:rPr>
    </w:lvl>
    <w:lvl w:ilvl="3" w:tentative="0">
      <w:start w:val="1"/>
      <w:numFmt w:val="decimal"/>
      <w:lvlText w:val="%1.%2.%3.%4"/>
      <w:lvlJc w:val="left"/>
      <w:pPr>
        <w:ind w:left="3972" w:hanging="1080"/>
      </w:pPr>
      <w:rPr>
        <w:rFonts w:hint="default"/>
      </w:rPr>
    </w:lvl>
    <w:lvl w:ilvl="4" w:tentative="0">
      <w:start w:val="1"/>
      <w:numFmt w:val="decimal"/>
      <w:lvlText w:val="%1.%2.%3.%4.%5"/>
      <w:lvlJc w:val="left"/>
      <w:pPr>
        <w:ind w:left="4936" w:hanging="1080"/>
      </w:pPr>
      <w:rPr>
        <w:rFonts w:hint="default"/>
      </w:rPr>
    </w:lvl>
    <w:lvl w:ilvl="5" w:tentative="0">
      <w:start w:val="1"/>
      <w:numFmt w:val="decimal"/>
      <w:lvlText w:val="%1.%2.%3.%4.%5.%6"/>
      <w:lvlJc w:val="left"/>
      <w:pPr>
        <w:ind w:left="6260" w:hanging="1440"/>
      </w:pPr>
      <w:rPr>
        <w:rFonts w:hint="default"/>
      </w:rPr>
    </w:lvl>
    <w:lvl w:ilvl="6" w:tentative="0">
      <w:start w:val="1"/>
      <w:numFmt w:val="decimal"/>
      <w:lvlText w:val="%1.%2.%3.%4.%5.%6.%7"/>
      <w:lvlJc w:val="left"/>
      <w:pPr>
        <w:ind w:left="7224" w:hanging="1440"/>
      </w:pPr>
      <w:rPr>
        <w:rFonts w:hint="default"/>
      </w:rPr>
    </w:lvl>
    <w:lvl w:ilvl="7" w:tentative="0">
      <w:start w:val="1"/>
      <w:numFmt w:val="decimal"/>
      <w:lvlText w:val="%1.%2.%3.%4.%5.%6.%7.%8"/>
      <w:lvlJc w:val="left"/>
      <w:pPr>
        <w:ind w:left="8548" w:hanging="1800"/>
      </w:pPr>
      <w:rPr>
        <w:rFonts w:hint="default"/>
      </w:rPr>
    </w:lvl>
    <w:lvl w:ilvl="8" w:tentative="0">
      <w:start w:val="1"/>
      <w:numFmt w:val="decimal"/>
      <w:lvlText w:val="%1.%2.%3.%4.%5.%6.%7.%8.%9"/>
      <w:lvlJc w:val="left"/>
      <w:pPr>
        <w:ind w:left="9512" w:hanging="1800"/>
      </w:pPr>
      <w:rPr>
        <w:rFonts w:hint="default"/>
      </w:rPr>
    </w:lvl>
  </w:abstractNum>
  <w:abstractNum w:abstractNumId="16">
    <w:nsid w:val="40FD4A4D"/>
    <w:multiLevelType w:val="singleLevel"/>
    <w:tmpl w:val="40FD4A4D"/>
    <w:lvl w:ilvl="0" w:tentative="0">
      <w:start w:val="1"/>
      <w:numFmt w:val="decimal"/>
      <w:suff w:val="nothing"/>
      <w:lvlText w:val="%1、"/>
      <w:lvlJc w:val="left"/>
    </w:lvl>
  </w:abstractNum>
  <w:abstractNum w:abstractNumId="17">
    <w:nsid w:val="4413E38B"/>
    <w:multiLevelType w:val="singleLevel"/>
    <w:tmpl w:val="4413E38B"/>
    <w:lvl w:ilvl="0" w:tentative="0">
      <w:start w:val="1"/>
      <w:numFmt w:val="decimal"/>
      <w:suff w:val="nothing"/>
      <w:lvlText w:val="%1、"/>
      <w:lvlJc w:val="left"/>
    </w:lvl>
  </w:abstractNum>
  <w:abstractNum w:abstractNumId="18">
    <w:nsid w:val="4A4D31A5"/>
    <w:multiLevelType w:val="multilevel"/>
    <w:tmpl w:val="4A4D31A5"/>
    <w:lvl w:ilvl="0" w:tentative="0">
      <w:start w:val="36"/>
      <w:numFmt w:val="decimal"/>
      <w:lvlText w:val="%1"/>
      <w:lvlJc w:val="left"/>
      <w:pPr>
        <w:ind w:left="432" w:hanging="432"/>
      </w:pPr>
      <w:rPr>
        <w:rFonts w:hint="default"/>
      </w:rPr>
    </w:lvl>
    <w:lvl w:ilvl="1" w:tentative="0">
      <w:start w:val="2"/>
      <w:numFmt w:val="decimal"/>
      <w:lvlText w:val="%1.%2"/>
      <w:lvlJc w:val="left"/>
      <w:pPr>
        <w:ind w:left="852" w:hanging="432"/>
      </w:pPr>
      <w:rPr>
        <w:rFonts w:hint="default"/>
      </w:rPr>
    </w:lvl>
    <w:lvl w:ilvl="2" w:tentative="0">
      <w:start w:val="1"/>
      <w:numFmt w:val="decimal"/>
      <w:lvlText w:val="%1.%2.%3"/>
      <w:lvlJc w:val="left"/>
      <w:pPr>
        <w:ind w:left="1560" w:hanging="720"/>
      </w:pPr>
      <w:rPr>
        <w:rFonts w:hint="default"/>
      </w:rPr>
    </w:lvl>
    <w:lvl w:ilvl="3" w:tentative="0">
      <w:start w:val="1"/>
      <w:numFmt w:val="decimal"/>
      <w:lvlText w:val="%1.%2.%3.%4"/>
      <w:lvlJc w:val="left"/>
      <w:pPr>
        <w:ind w:left="2340" w:hanging="1080"/>
      </w:pPr>
      <w:rPr>
        <w:rFonts w:hint="default"/>
      </w:rPr>
    </w:lvl>
    <w:lvl w:ilvl="4" w:tentative="0">
      <w:start w:val="1"/>
      <w:numFmt w:val="decimal"/>
      <w:lvlText w:val="%1.%2.%3.%4.%5"/>
      <w:lvlJc w:val="left"/>
      <w:pPr>
        <w:ind w:left="2760" w:hanging="1080"/>
      </w:pPr>
      <w:rPr>
        <w:rFonts w:hint="default"/>
      </w:rPr>
    </w:lvl>
    <w:lvl w:ilvl="5" w:tentative="0">
      <w:start w:val="1"/>
      <w:numFmt w:val="decimal"/>
      <w:lvlText w:val="%1.%2.%3.%4.%5.%6"/>
      <w:lvlJc w:val="left"/>
      <w:pPr>
        <w:ind w:left="3540" w:hanging="1440"/>
      </w:pPr>
      <w:rPr>
        <w:rFonts w:hint="default"/>
      </w:rPr>
    </w:lvl>
    <w:lvl w:ilvl="6" w:tentative="0">
      <w:start w:val="1"/>
      <w:numFmt w:val="decimal"/>
      <w:lvlText w:val="%1.%2.%3.%4.%5.%6.%7"/>
      <w:lvlJc w:val="left"/>
      <w:pPr>
        <w:ind w:left="3960" w:hanging="1440"/>
      </w:pPr>
      <w:rPr>
        <w:rFonts w:hint="default"/>
      </w:rPr>
    </w:lvl>
    <w:lvl w:ilvl="7" w:tentative="0">
      <w:start w:val="1"/>
      <w:numFmt w:val="decimal"/>
      <w:lvlText w:val="%1.%2.%3.%4.%5.%6.%7.%8"/>
      <w:lvlJc w:val="left"/>
      <w:pPr>
        <w:ind w:left="4740" w:hanging="1800"/>
      </w:pPr>
      <w:rPr>
        <w:rFonts w:hint="default"/>
      </w:rPr>
    </w:lvl>
    <w:lvl w:ilvl="8" w:tentative="0">
      <w:start w:val="1"/>
      <w:numFmt w:val="decimal"/>
      <w:lvlText w:val="%1.%2.%3.%4.%5.%6.%7.%8.%9"/>
      <w:lvlJc w:val="left"/>
      <w:pPr>
        <w:ind w:left="5160" w:hanging="1800"/>
      </w:pPr>
      <w:rPr>
        <w:rFonts w:hint="default"/>
      </w:rPr>
    </w:lvl>
  </w:abstractNum>
  <w:abstractNum w:abstractNumId="19">
    <w:nsid w:val="563B5F73"/>
    <w:multiLevelType w:val="multilevel"/>
    <w:tmpl w:val="563B5F73"/>
    <w:lvl w:ilvl="0" w:tentative="0">
      <w:start w:val="33"/>
      <w:numFmt w:val="decimal"/>
      <w:lvlText w:val="%1.1 "/>
      <w:lvlJc w:val="left"/>
      <w:pPr>
        <w:ind w:left="964" w:hanging="544"/>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0">
    <w:nsid w:val="59F817E8"/>
    <w:multiLevelType w:val="singleLevel"/>
    <w:tmpl w:val="59F817E8"/>
    <w:lvl w:ilvl="0" w:tentative="0">
      <w:start w:val="1"/>
      <w:numFmt w:val="chineseCounting"/>
      <w:pStyle w:val="56"/>
      <w:suff w:val="nothing"/>
      <w:lvlText w:val="%1、"/>
      <w:lvlJc w:val="left"/>
      <w:rPr>
        <w:rFonts w:cs="Times New Roman"/>
      </w:rPr>
    </w:lvl>
  </w:abstractNum>
  <w:abstractNum w:abstractNumId="21">
    <w:nsid w:val="770A1C09"/>
    <w:multiLevelType w:val="multilevel"/>
    <w:tmpl w:val="770A1C09"/>
    <w:lvl w:ilvl="0" w:tentative="0">
      <w:start w:val="2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7B3910BC"/>
    <w:multiLevelType w:val="multilevel"/>
    <w:tmpl w:val="7B3910BC"/>
    <w:lvl w:ilvl="0" w:tentative="0">
      <w:start w:val="12"/>
      <w:numFmt w:val="decimal"/>
      <w:lvlText w:val="%1.1 "/>
      <w:lvlJc w:val="left"/>
      <w:pPr>
        <w:ind w:left="964" w:hanging="544"/>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4"/>
  </w:num>
  <w:num w:numId="2">
    <w:abstractNumId w:val="5"/>
  </w:num>
  <w:num w:numId="3">
    <w:abstractNumId w:val="20"/>
  </w:num>
  <w:num w:numId="4">
    <w:abstractNumId w:val="1"/>
  </w:num>
  <w:num w:numId="5">
    <w:abstractNumId w:val="0"/>
  </w:num>
  <w:num w:numId="6">
    <w:abstractNumId w:val="11"/>
  </w:num>
  <w:num w:numId="7">
    <w:abstractNumId w:val="22"/>
  </w:num>
  <w:num w:numId="8">
    <w:abstractNumId w:val="14"/>
  </w:num>
  <w:num w:numId="9">
    <w:abstractNumId w:val="21"/>
  </w:num>
  <w:num w:numId="10">
    <w:abstractNumId w:val="8"/>
  </w:num>
  <w:num w:numId="11">
    <w:abstractNumId w:val="10"/>
  </w:num>
  <w:num w:numId="12">
    <w:abstractNumId w:val="19"/>
  </w:num>
  <w:num w:numId="13">
    <w:abstractNumId w:val="15"/>
  </w:num>
  <w:num w:numId="14">
    <w:abstractNumId w:val="12"/>
  </w:num>
  <w:num w:numId="15">
    <w:abstractNumId w:val="18"/>
  </w:num>
  <w:num w:numId="16">
    <w:abstractNumId w:val="7"/>
  </w:num>
  <w:num w:numId="17">
    <w:abstractNumId w:val="16"/>
  </w:num>
  <w:num w:numId="18">
    <w:abstractNumId w:val="17"/>
  </w:num>
  <w:num w:numId="19">
    <w:abstractNumId w:val="9"/>
  </w:num>
  <w:num w:numId="20">
    <w:abstractNumId w:val="13"/>
  </w:num>
  <w:num w:numId="21">
    <w:abstractNumId w:val="3"/>
  </w:num>
  <w:num w:numId="22">
    <w:abstractNumId w:val="2"/>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034C"/>
    <w:rsid w:val="00005D78"/>
    <w:rsid w:val="0001370A"/>
    <w:rsid w:val="000168B0"/>
    <w:rsid w:val="00023ACC"/>
    <w:rsid w:val="00023F4B"/>
    <w:rsid w:val="000269FC"/>
    <w:rsid w:val="00032E32"/>
    <w:rsid w:val="000332D6"/>
    <w:rsid w:val="000346ED"/>
    <w:rsid w:val="000359FA"/>
    <w:rsid w:val="00040D8C"/>
    <w:rsid w:val="00041EAE"/>
    <w:rsid w:val="0004213B"/>
    <w:rsid w:val="00053E96"/>
    <w:rsid w:val="00054A52"/>
    <w:rsid w:val="000576C2"/>
    <w:rsid w:val="000730FA"/>
    <w:rsid w:val="00073D7B"/>
    <w:rsid w:val="000753C3"/>
    <w:rsid w:val="00075D7D"/>
    <w:rsid w:val="000779E8"/>
    <w:rsid w:val="00077E62"/>
    <w:rsid w:val="00080F36"/>
    <w:rsid w:val="00085F8B"/>
    <w:rsid w:val="0008676F"/>
    <w:rsid w:val="000873AE"/>
    <w:rsid w:val="000928D7"/>
    <w:rsid w:val="00094EAD"/>
    <w:rsid w:val="000A4572"/>
    <w:rsid w:val="000B5686"/>
    <w:rsid w:val="000B6CE3"/>
    <w:rsid w:val="000D07EA"/>
    <w:rsid w:val="000D2DED"/>
    <w:rsid w:val="000D39AC"/>
    <w:rsid w:val="000D56A2"/>
    <w:rsid w:val="000D7543"/>
    <w:rsid w:val="000E35EC"/>
    <w:rsid w:val="000F2228"/>
    <w:rsid w:val="00100BEF"/>
    <w:rsid w:val="001013D9"/>
    <w:rsid w:val="0010571F"/>
    <w:rsid w:val="00105E5D"/>
    <w:rsid w:val="00114018"/>
    <w:rsid w:val="00117B60"/>
    <w:rsid w:val="00121E2F"/>
    <w:rsid w:val="00130CF0"/>
    <w:rsid w:val="00133EDE"/>
    <w:rsid w:val="00142DB6"/>
    <w:rsid w:val="00152A00"/>
    <w:rsid w:val="00156EC1"/>
    <w:rsid w:val="00157D68"/>
    <w:rsid w:val="00160E65"/>
    <w:rsid w:val="00162C1E"/>
    <w:rsid w:val="001752D1"/>
    <w:rsid w:val="00184D9E"/>
    <w:rsid w:val="001975A1"/>
    <w:rsid w:val="00197AA1"/>
    <w:rsid w:val="001A4064"/>
    <w:rsid w:val="001A4757"/>
    <w:rsid w:val="001C0F4F"/>
    <w:rsid w:val="001D3B98"/>
    <w:rsid w:val="001D4207"/>
    <w:rsid w:val="001E645C"/>
    <w:rsid w:val="001E7C2C"/>
    <w:rsid w:val="001F5571"/>
    <w:rsid w:val="00203BE3"/>
    <w:rsid w:val="00210B90"/>
    <w:rsid w:val="00210C2B"/>
    <w:rsid w:val="00210FCB"/>
    <w:rsid w:val="00215FE7"/>
    <w:rsid w:val="00236FFE"/>
    <w:rsid w:val="00247073"/>
    <w:rsid w:val="002474B4"/>
    <w:rsid w:val="00250C01"/>
    <w:rsid w:val="00253067"/>
    <w:rsid w:val="002530F5"/>
    <w:rsid w:val="00272751"/>
    <w:rsid w:val="002843EA"/>
    <w:rsid w:val="00285B31"/>
    <w:rsid w:val="00293C27"/>
    <w:rsid w:val="002945DA"/>
    <w:rsid w:val="002A2E42"/>
    <w:rsid w:val="002A5B82"/>
    <w:rsid w:val="002B0AA5"/>
    <w:rsid w:val="002B7920"/>
    <w:rsid w:val="002C2AE9"/>
    <w:rsid w:val="002C3F11"/>
    <w:rsid w:val="002C6F61"/>
    <w:rsid w:val="002C75E0"/>
    <w:rsid w:val="002C7916"/>
    <w:rsid w:val="002D1414"/>
    <w:rsid w:val="002D2425"/>
    <w:rsid w:val="002D32A6"/>
    <w:rsid w:val="002D4951"/>
    <w:rsid w:val="002E2CED"/>
    <w:rsid w:val="002E695C"/>
    <w:rsid w:val="002F3A7B"/>
    <w:rsid w:val="002F4123"/>
    <w:rsid w:val="002F71E7"/>
    <w:rsid w:val="003033ED"/>
    <w:rsid w:val="00303972"/>
    <w:rsid w:val="003044A3"/>
    <w:rsid w:val="00315D76"/>
    <w:rsid w:val="00320DAC"/>
    <w:rsid w:val="00323356"/>
    <w:rsid w:val="003242B4"/>
    <w:rsid w:val="003243E2"/>
    <w:rsid w:val="00327637"/>
    <w:rsid w:val="003305F9"/>
    <w:rsid w:val="00335F83"/>
    <w:rsid w:val="0033677E"/>
    <w:rsid w:val="00337912"/>
    <w:rsid w:val="00345B74"/>
    <w:rsid w:val="003552A2"/>
    <w:rsid w:val="00357431"/>
    <w:rsid w:val="00360873"/>
    <w:rsid w:val="00364B1D"/>
    <w:rsid w:val="00372961"/>
    <w:rsid w:val="00373266"/>
    <w:rsid w:val="00376C2E"/>
    <w:rsid w:val="0038333D"/>
    <w:rsid w:val="00387397"/>
    <w:rsid w:val="00390295"/>
    <w:rsid w:val="003B4F25"/>
    <w:rsid w:val="003B75ED"/>
    <w:rsid w:val="003C7A69"/>
    <w:rsid w:val="003C7F5A"/>
    <w:rsid w:val="003F5CD2"/>
    <w:rsid w:val="003F6AF9"/>
    <w:rsid w:val="0040393C"/>
    <w:rsid w:val="00406170"/>
    <w:rsid w:val="00410B93"/>
    <w:rsid w:val="00414383"/>
    <w:rsid w:val="004207F8"/>
    <w:rsid w:val="00422114"/>
    <w:rsid w:val="00424AF3"/>
    <w:rsid w:val="004301CE"/>
    <w:rsid w:val="0044305C"/>
    <w:rsid w:val="004438F4"/>
    <w:rsid w:val="00454C42"/>
    <w:rsid w:val="00461483"/>
    <w:rsid w:val="00473ADD"/>
    <w:rsid w:val="0047523F"/>
    <w:rsid w:val="00476C13"/>
    <w:rsid w:val="004A091C"/>
    <w:rsid w:val="004A1AF2"/>
    <w:rsid w:val="004A383B"/>
    <w:rsid w:val="004A4195"/>
    <w:rsid w:val="004A5148"/>
    <w:rsid w:val="004B054D"/>
    <w:rsid w:val="004C165B"/>
    <w:rsid w:val="004D3DD0"/>
    <w:rsid w:val="004E07F6"/>
    <w:rsid w:val="004E0A1F"/>
    <w:rsid w:val="004E0F6D"/>
    <w:rsid w:val="004E5765"/>
    <w:rsid w:val="004F109D"/>
    <w:rsid w:val="004F121A"/>
    <w:rsid w:val="004F1C5F"/>
    <w:rsid w:val="004F32A0"/>
    <w:rsid w:val="004F7AD2"/>
    <w:rsid w:val="00500E35"/>
    <w:rsid w:val="00501891"/>
    <w:rsid w:val="0050408E"/>
    <w:rsid w:val="00505DA2"/>
    <w:rsid w:val="00505FAE"/>
    <w:rsid w:val="00506D7B"/>
    <w:rsid w:val="005138E7"/>
    <w:rsid w:val="00514E54"/>
    <w:rsid w:val="00515F85"/>
    <w:rsid w:val="005174FF"/>
    <w:rsid w:val="005213EF"/>
    <w:rsid w:val="0052728E"/>
    <w:rsid w:val="005316FF"/>
    <w:rsid w:val="005328E6"/>
    <w:rsid w:val="00532F3B"/>
    <w:rsid w:val="00544424"/>
    <w:rsid w:val="00545745"/>
    <w:rsid w:val="0054649B"/>
    <w:rsid w:val="00550D0B"/>
    <w:rsid w:val="00555C15"/>
    <w:rsid w:val="00555DF7"/>
    <w:rsid w:val="00562B7A"/>
    <w:rsid w:val="00575D26"/>
    <w:rsid w:val="0057676D"/>
    <w:rsid w:val="0058008A"/>
    <w:rsid w:val="0058369C"/>
    <w:rsid w:val="0058393C"/>
    <w:rsid w:val="0058525C"/>
    <w:rsid w:val="005A39DD"/>
    <w:rsid w:val="005A4753"/>
    <w:rsid w:val="005B0C29"/>
    <w:rsid w:val="005B170A"/>
    <w:rsid w:val="005B52B6"/>
    <w:rsid w:val="005B7E65"/>
    <w:rsid w:val="005C0CF5"/>
    <w:rsid w:val="005C3AE6"/>
    <w:rsid w:val="005C5F5B"/>
    <w:rsid w:val="005C67C8"/>
    <w:rsid w:val="005D2512"/>
    <w:rsid w:val="005E534D"/>
    <w:rsid w:val="005E6774"/>
    <w:rsid w:val="005F225E"/>
    <w:rsid w:val="005F6F6A"/>
    <w:rsid w:val="00600306"/>
    <w:rsid w:val="006078AC"/>
    <w:rsid w:val="00613A09"/>
    <w:rsid w:val="00614340"/>
    <w:rsid w:val="00615BE2"/>
    <w:rsid w:val="00616C06"/>
    <w:rsid w:val="006303FC"/>
    <w:rsid w:val="00630CA6"/>
    <w:rsid w:val="00634FA0"/>
    <w:rsid w:val="00636AAD"/>
    <w:rsid w:val="0064118C"/>
    <w:rsid w:val="00642CFC"/>
    <w:rsid w:val="006503D0"/>
    <w:rsid w:val="006503D8"/>
    <w:rsid w:val="00662D35"/>
    <w:rsid w:val="0066419E"/>
    <w:rsid w:val="00664321"/>
    <w:rsid w:val="006643F3"/>
    <w:rsid w:val="00667B6D"/>
    <w:rsid w:val="0067566A"/>
    <w:rsid w:val="0067738B"/>
    <w:rsid w:val="00677EBD"/>
    <w:rsid w:val="00680752"/>
    <w:rsid w:val="0068663A"/>
    <w:rsid w:val="006873AB"/>
    <w:rsid w:val="006907F7"/>
    <w:rsid w:val="0069187A"/>
    <w:rsid w:val="00693F99"/>
    <w:rsid w:val="006A0BCE"/>
    <w:rsid w:val="006A28C1"/>
    <w:rsid w:val="006B7982"/>
    <w:rsid w:val="006C6397"/>
    <w:rsid w:val="006D10FD"/>
    <w:rsid w:val="006D5FEB"/>
    <w:rsid w:val="006D7001"/>
    <w:rsid w:val="006D77A9"/>
    <w:rsid w:val="006E145E"/>
    <w:rsid w:val="006E1AB0"/>
    <w:rsid w:val="006E1BFC"/>
    <w:rsid w:val="00700109"/>
    <w:rsid w:val="00702C35"/>
    <w:rsid w:val="007044D1"/>
    <w:rsid w:val="00705B28"/>
    <w:rsid w:val="0071006A"/>
    <w:rsid w:val="00714711"/>
    <w:rsid w:val="007179F1"/>
    <w:rsid w:val="00717D9E"/>
    <w:rsid w:val="0072406E"/>
    <w:rsid w:val="007320FE"/>
    <w:rsid w:val="00736FD5"/>
    <w:rsid w:val="00745282"/>
    <w:rsid w:val="00750835"/>
    <w:rsid w:val="00750AFB"/>
    <w:rsid w:val="00764C95"/>
    <w:rsid w:val="00765BB6"/>
    <w:rsid w:val="0076709E"/>
    <w:rsid w:val="00770487"/>
    <w:rsid w:val="0077295F"/>
    <w:rsid w:val="0078203A"/>
    <w:rsid w:val="00784A09"/>
    <w:rsid w:val="00786345"/>
    <w:rsid w:val="00794F26"/>
    <w:rsid w:val="007A1275"/>
    <w:rsid w:val="007A7F0D"/>
    <w:rsid w:val="007B0663"/>
    <w:rsid w:val="007C3980"/>
    <w:rsid w:val="007D71A1"/>
    <w:rsid w:val="007E0E82"/>
    <w:rsid w:val="007F0DA6"/>
    <w:rsid w:val="007F4CBA"/>
    <w:rsid w:val="007F6674"/>
    <w:rsid w:val="00801A1A"/>
    <w:rsid w:val="00802DED"/>
    <w:rsid w:val="008030DD"/>
    <w:rsid w:val="008063FB"/>
    <w:rsid w:val="00807643"/>
    <w:rsid w:val="00807B25"/>
    <w:rsid w:val="00810D02"/>
    <w:rsid w:val="008152BC"/>
    <w:rsid w:val="00815A8A"/>
    <w:rsid w:val="00817189"/>
    <w:rsid w:val="00823F0C"/>
    <w:rsid w:val="00831284"/>
    <w:rsid w:val="00835490"/>
    <w:rsid w:val="008429F4"/>
    <w:rsid w:val="0084403D"/>
    <w:rsid w:val="00845044"/>
    <w:rsid w:val="00845E73"/>
    <w:rsid w:val="00847441"/>
    <w:rsid w:val="008505E0"/>
    <w:rsid w:val="008543A6"/>
    <w:rsid w:val="0086534E"/>
    <w:rsid w:val="0086677B"/>
    <w:rsid w:val="0087048A"/>
    <w:rsid w:val="00872B2B"/>
    <w:rsid w:val="00875AAF"/>
    <w:rsid w:val="00877BA9"/>
    <w:rsid w:val="00882C2F"/>
    <w:rsid w:val="0088415D"/>
    <w:rsid w:val="00886BBE"/>
    <w:rsid w:val="00892943"/>
    <w:rsid w:val="008A3B64"/>
    <w:rsid w:val="008A5A2E"/>
    <w:rsid w:val="008B0022"/>
    <w:rsid w:val="008B01DC"/>
    <w:rsid w:val="008B132A"/>
    <w:rsid w:val="008B5CD5"/>
    <w:rsid w:val="008B7021"/>
    <w:rsid w:val="008C7F74"/>
    <w:rsid w:val="008D0201"/>
    <w:rsid w:val="008D2D0F"/>
    <w:rsid w:val="008D53D8"/>
    <w:rsid w:val="008E7B4D"/>
    <w:rsid w:val="008F0CB1"/>
    <w:rsid w:val="00915D3A"/>
    <w:rsid w:val="009164E8"/>
    <w:rsid w:val="00924DAB"/>
    <w:rsid w:val="00927A1C"/>
    <w:rsid w:val="009440E8"/>
    <w:rsid w:val="00944BFE"/>
    <w:rsid w:val="00946F33"/>
    <w:rsid w:val="00951B07"/>
    <w:rsid w:val="00956A32"/>
    <w:rsid w:val="00960738"/>
    <w:rsid w:val="009623EE"/>
    <w:rsid w:val="00962400"/>
    <w:rsid w:val="0096428B"/>
    <w:rsid w:val="009726B9"/>
    <w:rsid w:val="0097473D"/>
    <w:rsid w:val="00991EE9"/>
    <w:rsid w:val="009A0AC9"/>
    <w:rsid w:val="009B61E8"/>
    <w:rsid w:val="009B79A8"/>
    <w:rsid w:val="009C12AB"/>
    <w:rsid w:val="009C41F3"/>
    <w:rsid w:val="009C4A78"/>
    <w:rsid w:val="009D15FA"/>
    <w:rsid w:val="009D4208"/>
    <w:rsid w:val="009D76D2"/>
    <w:rsid w:val="009E01A6"/>
    <w:rsid w:val="009E0C30"/>
    <w:rsid w:val="00A02E8C"/>
    <w:rsid w:val="00A04493"/>
    <w:rsid w:val="00A04AFF"/>
    <w:rsid w:val="00A2033B"/>
    <w:rsid w:val="00A22272"/>
    <w:rsid w:val="00A24AAD"/>
    <w:rsid w:val="00A305AC"/>
    <w:rsid w:val="00A33B8B"/>
    <w:rsid w:val="00A4729F"/>
    <w:rsid w:val="00A52CFB"/>
    <w:rsid w:val="00A56792"/>
    <w:rsid w:val="00A57B03"/>
    <w:rsid w:val="00A63044"/>
    <w:rsid w:val="00A63942"/>
    <w:rsid w:val="00A64A45"/>
    <w:rsid w:val="00A65044"/>
    <w:rsid w:val="00A678FE"/>
    <w:rsid w:val="00A760F2"/>
    <w:rsid w:val="00A831DE"/>
    <w:rsid w:val="00A939A6"/>
    <w:rsid w:val="00A94D3B"/>
    <w:rsid w:val="00A956D3"/>
    <w:rsid w:val="00AA301E"/>
    <w:rsid w:val="00AA4948"/>
    <w:rsid w:val="00AA551C"/>
    <w:rsid w:val="00AA75E5"/>
    <w:rsid w:val="00AB190E"/>
    <w:rsid w:val="00AB1F1D"/>
    <w:rsid w:val="00AB5003"/>
    <w:rsid w:val="00AC4FB4"/>
    <w:rsid w:val="00AD282C"/>
    <w:rsid w:val="00AD3C60"/>
    <w:rsid w:val="00AE1360"/>
    <w:rsid w:val="00AE565E"/>
    <w:rsid w:val="00AF36D3"/>
    <w:rsid w:val="00AF47D5"/>
    <w:rsid w:val="00AF712E"/>
    <w:rsid w:val="00B03A69"/>
    <w:rsid w:val="00B055BE"/>
    <w:rsid w:val="00B1447B"/>
    <w:rsid w:val="00B14B8C"/>
    <w:rsid w:val="00B15E4D"/>
    <w:rsid w:val="00B16D9F"/>
    <w:rsid w:val="00B209F0"/>
    <w:rsid w:val="00B26858"/>
    <w:rsid w:val="00B310D0"/>
    <w:rsid w:val="00B40EF5"/>
    <w:rsid w:val="00B510F5"/>
    <w:rsid w:val="00B53F3E"/>
    <w:rsid w:val="00B54144"/>
    <w:rsid w:val="00B54904"/>
    <w:rsid w:val="00B622EF"/>
    <w:rsid w:val="00B67CBD"/>
    <w:rsid w:val="00B72BD7"/>
    <w:rsid w:val="00B750A7"/>
    <w:rsid w:val="00B773F0"/>
    <w:rsid w:val="00B8167F"/>
    <w:rsid w:val="00B855ED"/>
    <w:rsid w:val="00B9219F"/>
    <w:rsid w:val="00B965F2"/>
    <w:rsid w:val="00BA2632"/>
    <w:rsid w:val="00BA2D3A"/>
    <w:rsid w:val="00BA5805"/>
    <w:rsid w:val="00BB1866"/>
    <w:rsid w:val="00BB7BF0"/>
    <w:rsid w:val="00BC0D9C"/>
    <w:rsid w:val="00BC0DFC"/>
    <w:rsid w:val="00BD1C8B"/>
    <w:rsid w:val="00BD1EE7"/>
    <w:rsid w:val="00BD7285"/>
    <w:rsid w:val="00BE0DFE"/>
    <w:rsid w:val="00BE45BC"/>
    <w:rsid w:val="00BF3841"/>
    <w:rsid w:val="00BF54FA"/>
    <w:rsid w:val="00C00746"/>
    <w:rsid w:val="00C00BB2"/>
    <w:rsid w:val="00C01C37"/>
    <w:rsid w:val="00C01F26"/>
    <w:rsid w:val="00C030C4"/>
    <w:rsid w:val="00C03D4D"/>
    <w:rsid w:val="00C06CCE"/>
    <w:rsid w:val="00C100EE"/>
    <w:rsid w:val="00C13354"/>
    <w:rsid w:val="00C1406D"/>
    <w:rsid w:val="00C16F27"/>
    <w:rsid w:val="00C21C83"/>
    <w:rsid w:val="00C23BCA"/>
    <w:rsid w:val="00C247A1"/>
    <w:rsid w:val="00C2703B"/>
    <w:rsid w:val="00C344D9"/>
    <w:rsid w:val="00C348AA"/>
    <w:rsid w:val="00C4306F"/>
    <w:rsid w:val="00C44E1C"/>
    <w:rsid w:val="00C4573C"/>
    <w:rsid w:val="00C457B9"/>
    <w:rsid w:val="00C4630A"/>
    <w:rsid w:val="00C51458"/>
    <w:rsid w:val="00C556BC"/>
    <w:rsid w:val="00C5581B"/>
    <w:rsid w:val="00C62D22"/>
    <w:rsid w:val="00C63EF7"/>
    <w:rsid w:val="00C6500F"/>
    <w:rsid w:val="00C7309D"/>
    <w:rsid w:val="00C8034C"/>
    <w:rsid w:val="00C86192"/>
    <w:rsid w:val="00C908F5"/>
    <w:rsid w:val="00C94CE3"/>
    <w:rsid w:val="00CB09B8"/>
    <w:rsid w:val="00CB10AE"/>
    <w:rsid w:val="00CB1C7E"/>
    <w:rsid w:val="00CB1DE2"/>
    <w:rsid w:val="00CB2B6A"/>
    <w:rsid w:val="00CC0D60"/>
    <w:rsid w:val="00CC0E0E"/>
    <w:rsid w:val="00CC17A6"/>
    <w:rsid w:val="00CC3D8E"/>
    <w:rsid w:val="00CC7610"/>
    <w:rsid w:val="00CD1D26"/>
    <w:rsid w:val="00CD3071"/>
    <w:rsid w:val="00CD45B8"/>
    <w:rsid w:val="00CD4D86"/>
    <w:rsid w:val="00CD5A73"/>
    <w:rsid w:val="00CE2CF1"/>
    <w:rsid w:val="00CE417C"/>
    <w:rsid w:val="00D00C7D"/>
    <w:rsid w:val="00D023F6"/>
    <w:rsid w:val="00D050D2"/>
    <w:rsid w:val="00D1680D"/>
    <w:rsid w:val="00D33246"/>
    <w:rsid w:val="00D379BE"/>
    <w:rsid w:val="00D40594"/>
    <w:rsid w:val="00D530CE"/>
    <w:rsid w:val="00D60CC8"/>
    <w:rsid w:val="00D60D1B"/>
    <w:rsid w:val="00D62B97"/>
    <w:rsid w:val="00D63CA1"/>
    <w:rsid w:val="00D678D3"/>
    <w:rsid w:val="00D713A0"/>
    <w:rsid w:val="00D75DF5"/>
    <w:rsid w:val="00D76C9F"/>
    <w:rsid w:val="00D80BD8"/>
    <w:rsid w:val="00D84234"/>
    <w:rsid w:val="00D94546"/>
    <w:rsid w:val="00D95F07"/>
    <w:rsid w:val="00D9738B"/>
    <w:rsid w:val="00DA1077"/>
    <w:rsid w:val="00DA62F5"/>
    <w:rsid w:val="00DB5925"/>
    <w:rsid w:val="00DB7E57"/>
    <w:rsid w:val="00DC3848"/>
    <w:rsid w:val="00DC3E97"/>
    <w:rsid w:val="00DC67C5"/>
    <w:rsid w:val="00DD3287"/>
    <w:rsid w:val="00DD71B6"/>
    <w:rsid w:val="00DE7D93"/>
    <w:rsid w:val="00DF0C77"/>
    <w:rsid w:val="00DF7AB7"/>
    <w:rsid w:val="00E20746"/>
    <w:rsid w:val="00E32DB4"/>
    <w:rsid w:val="00E34F3B"/>
    <w:rsid w:val="00E370C9"/>
    <w:rsid w:val="00E37D3A"/>
    <w:rsid w:val="00E4000B"/>
    <w:rsid w:val="00E432D5"/>
    <w:rsid w:val="00E574F2"/>
    <w:rsid w:val="00E6214B"/>
    <w:rsid w:val="00E632F8"/>
    <w:rsid w:val="00E6460A"/>
    <w:rsid w:val="00E650E5"/>
    <w:rsid w:val="00E70DA3"/>
    <w:rsid w:val="00E92BED"/>
    <w:rsid w:val="00E95D1D"/>
    <w:rsid w:val="00EA5EE7"/>
    <w:rsid w:val="00EA6087"/>
    <w:rsid w:val="00EA645B"/>
    <w:rsid w:val="00EA64C2"/>
    <w:rsid w:val="00EB00CD"/>
    <w:rsid w:val="00EB1100"/>
    <w:rsid w:val="00EC39C3"/>
    <w:rsid w:val="00EC7B35"/>
    <w:rsid w:val="00EE78AB"/>
    <w:rsid w:val="00EF2ACD"/>
    <w:rsid w:val="00EF46ED"/>
    <w:rsid w:val="00EF573C"/>
    <w:rsid w:val="00EF7464"/>
    <w:rsid w:val="00EF7D19"/>
    <w:rsid w:val="00F065C6"/>
    <w:rsid w:val="00F11527"/>
    <w:rsid w:val="00F12168"/>
    <w:rsid w:val="00F22E1C"/>
    <w:rsid w:val="00F27FEA"/>
    <w:rsid w:val="00F3089F"/>
    <w:rsid w:val="00F31DEF"/>
    <w:rsid w:val="00F32C1F"/>
    <w:rsid w:val="00F35E04"/>
    <w:rsid w:val="00F45937"/>
    <w:rsid w:val="00F50A79"/>
    <w:rsid w:val="00F5201D"/>
    <w:rsid w:val="00F527F2"/>
    <w:rsid w:val="00F5670D"/>
    <w:rsid w:val="00F5755B"/>
    <w:rsid w:val="00F609BF"/>
    <w:rsid w:val="00F67E49"/>
    <w:rsid w:val="00F74065"/>
    <w:rsid w:val="00F77D85"/>
    <w:rsid w:val="00F826A6"/>
    <w:rsid w:val="00F83A66"/>
    <w:rsid w:val="00F908B9"/>
    <w:rsid w:val="00F9402A"/>
    <w:rsid w:val="00F96A4F"/>
    <w:rsid w:val="00F96B77"/>
    <w:rsid w:val="00FA256C"/>
    <w:rsid w:val="00FB1061"/>
    <w:rsid w:val="00FB2FC2"/>
    <w:rsid w:val="00FB3047"/>
    <w:rsid w:val="00FB7E42"/>
    <w:rsid w:val="00FC11F2"/>
    <w:rsid w:val="00FC2988"/>
    <w:rsid w:val="00FC3B84"/>
    <w:rsid w:val="00FD11BA"/>
    <w:rsid w:val="00FD3C4B"/>
    <w:rsid w:val="00FF0E10"/>
    <w:rsid w:val="00FF289A"/>
    <w:rsid w:val="00FF4A6B"/>
    <w:rsid w:val="00FF620F"/>
    <w:rsid w:val="00FF6F49"/>
    <w:rsid w:val="13404256"/>
    <w:rsid w:val="34344D6A"/>
    <w:rsid w:val="4F5F1BF3"/>
    <w:rsid w:val="577B0413"/>
    <w:rsid w:val="606B484D"/>
    <w:rsid w:val="665C6E2A"/>
    <w:rsid w:val="673B2EC6"/>
    <w:rsid w:val="69753CE7"/>
    <w:rsid w:val="7D174DEC"/>
    <w:rsid w:val="7DF35934"/>
    <w:rsid w:val="7F071735"/>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nhideWhenUsed="0" w:uiPriority="0" w:semiHidden="0" w:name="toc 2" w:locked="1"/>
    <w:lsdException w:qFormat="1" w:unhideWhenUsed="0" w:uiPriority="99" w:semiHidden="0" w:name="toc 3"/>
    <w:lsdException w:unhideWhenUsed="0" w:uiPriority="0" w:semiHidden="0" w:name="toc 4" w:locked="1"/>
    <w:lsdException w:qFormat="1" w:unhideWhenUsed="0" w:uiPriority="99" w:semiHidden="0" w:name="toc 5"/>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qFormat="1"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99"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qFormat="1" w:unhideWhenUsed="0" w:uiPriority="99" w:semiHidden="0" w:name="Body Text First Indent"/>
    <w:lsdException w:uiPriority="99" w:name="Body Text First Indent 2"/>
    <w:lsdException w:uiPriority="99" w:name="Note Heading"/>
    <w:lsdException w:uiPriority="99" w:name="Body Text 2"/>
    <w:lsdException w:qFormat="1" w:unhideWhenUsed="0" w:uiPriority="99" w:semiHidden="0" w:name="Body Text 3"/>
    <w:lsdException w:uiPriority="99" w:name="Body Text Indent 2"/>
    <w:lsdException w:uiPriority="99" w:name="Body Text Indent 3"/>
    <w:lsdException w:qFormat="1" w:unhideWhenUsed="0" w:uiPriority="0" w:semiHidden="0"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link w:val="29"/>
    <w:qFormat/>
    <w:uiPriority w:val="99"/>
    <w:pPr>
      <w:keepNext/>
      <w:keepLines/>
      <w:numPr>
        <w:ilvl w:val="0"/>
        <w:numId w:val="1"/>
      </w:numPr>
      <w:adjustRightInd w:val="0"/>
      <w:spacing w:before="340" w:after="330" w:line="578" w:lineRule="atLeast"/>
      <w:ind w:left="0"/>
      <w:jc w:val="left"/>
      <w:textAlignment w:val="baseline"/>
      <w:outlineLvl w:val="0"/>
    </w:pPr>
    <w:rPr>
      <w:b/>
      <w:bCs/>
      <w:kern w:val="44"/>
      <w:sz w:val="44"/>
      <w:szCs w:val="44"/>
    </w:rPr>
  </w:style>
  <w:style w:type="paragraph" w:styleId="5">
    <w:name w:val="heading 2"/>
    <w:basedOn w:val="1"/>
    <w:next w:val="1"/>
    <w:link w:val="30"/>
    <w:qFormat/>
    <w:uiPriority w:val="99"/>
    <w:pPr>
      <w:keepNext/>
      <w:keepLines/>
      <w:numPr>
        <w:ilvl w:val="1"/>
        <w:numId w:val="1"/>
      </w:numPr>
      <w:adjustRightInd w:val="0"/>
      <w:spacing w:before="260" w:after="260" w:line="416" w:lineRule="atLeast"/>
      <w:jc w:val="left"/>
      <w:textAlignment w:val="baseline"/>
      <w:outlineLvl w:val="1"/>
    </w:pPr>
    <w:rPr>
      <w:rFonts w:ascii="Arial" w:hAnsi="Arial" w:eastAsia="黑体"/>
      <w:b/>
      <w:bCs/>
      <w:kern w:val="0"/>
      <w:sz w:val="32"/>
      <w:szCs w:val="32"/>
    </w:rPr>
  </w:style>
  <w:style w:type="paragraph" w:styleId="6">
    <w:name w:val="heading 3"/>
    <w:basedOn w:val="1"/>
    <w:next w:val="1"/>
    <w:link w:val="31"/>
    <w:qFormat/>
    <w:uiPriority w:val="99"/>
    <w:pPr>
      <w:autoSpaceDE w:val="0"/>
      <w:autoSpaceDN w:val="0"/>
      <w:adjustRightInd w:val="0"/>
      <w:spacing w:afterLines="50" w:line="360" w:lineRule="auto"/>
      <w:ind w:left="-4"/>
      <w:jc w:val="center"/>
      <w:outlineLvl w:val="2"/>
    </w:pPr>
    <w:rPr>
      <w:rFonts w:ascii="宋体" w:hAnsi="宋体"/>
      <w:b/>
      <w:color w:val="000000"/>
      <w:kern w:val="0"/>
      <w:sz w:val="24"/>
      <w:szCs w:val="20"/>
      <w:lang w:val="en-GB"/>
    </w:rPr>
  </w:style>
  <w:style w:type="paragraph" w:styleId="7">
    <w:name w:val="heading 4"/>
    <w:basedOn w:val="1"/>
    <w:next w:val="1"/>
    <w:link w:val="32"/>
    <w:qFormat/>
    <w:uiPriority w:val="99"/>
    <w:pPr>
      <w:keepNext/>
      <w:keepLines/>
      <w:numPr>
        <w:ilvl w:val="3"/>
        <w:numId w:val="1"/>
      </w:numPr>
      <w:adjustRightInd w:val="0"/>
      <w:spacing w:before="280" w:after="290" w:line="376" w:lineRule="atLeast"/>
      <w:jc w:val="left"/>
      <w:textAlignment w:val="baseline"/>
      <w:outlineLvl w:val="3"/>
    </w:pPr>
    <w:rPr>
      <w:rFonts w:ascii="Arial" w:hAnsi="Arial" w:eastAsia="黑体"/>
      <w:b/>
      <w:bCs/>
      <w:kern w:val="0"/>
      <w:sz w:val="28"/>
      <w:szCs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link w:val="42"/>
    <w:qFormat/>
    <w:uiPriority w:val="99"/>
    <w:pPr>
      <w:ind w:firstLine="420" w:firstLineChars="100"/>
    </w:pPr>
    <w:rPr>
      <w:rFonts w:ascii="宋体" w:hAnsi="Times New Roman"/>
      <w:kern w:val="0"/>
      <w:sz w:val="34"/>
      <w:szCs w:val="20"/>
    </w:rPr>
  </w:style>
  <w:style w:type="paragraph" w:styleId="3">
    <w:name w:val="Body Text"/>
    <w:basedOn w:val="1"/>
    <w:link w:val="34"/>
    <w:semiHidden/>
    <w:qFormat/>
    <w:uiPriority w:val="99"/>
    <w:pPr>
      <w:spacing w:after="120"/>
    </w:pPr>
  </w:style>
  <w:style w:type="paragraph" w:styleId="8">
    <w:name w:val="Normal Indent"/>
    <w:basedOn w:val="1"/>
    <w:qFormat/>
    <w:uiPriority w:val="99"/>
    <w:pPr>
      <w:ind w:firstLine="425"/>
    </w:pPr>
    <w:rPr>
      <w:rFonts w:ascii="Times New Roman" w:hAnsi="Times New Roman"/>
      <w:szCs w:val="20"/>
    </w:rPr>
  </w:style>
  <w:style w:type="paragraph" w:styleId="9">
    <w:name w:val="caption"/>
    <w:basedOn w:val="1"/>
    <w:next w:val="1"/>
    <w:qFormat/>
    <w:uiPriority w:val="99"/>
    <w:rPr>
      <w:rFonts w:ascii="Arial" w:hAnsi="Arial" w:eastAsia="黑体" w:cs="Arial"/>
      <w:sz w:val="20"/>
      <w:szCs w:val="20"/>
    </w:rPr>
  </w:style>
  <w:style w:type="paragraph" w:styleId="10">
    <w:name w:val="annotation text"/>
    <w:basedOn w:val="1"/>
    <w:unhideWhenUsed/>
    <w:qFormat/>
    <w:uiPriority w:val="0"/>
    <w:pPr>
      <w:jc w:val="left"/>
    </w:pPr>
    <w:rPr>
      <w:rFonts w:ascii="Calibri" w:hAnsi="Calibri" w:eastAsia="宋体" w:cs="Times New Roman"/>
      <w:szCs w:val="24"/>
    </w:rPr>
  </w:style>
  <w:style w:type="paragraph" w:styleId="11">
    <w:name w:val="Body Text 3"/>
    <w:basedOn w:val="1"/>
    <w:link w:val="33"/>
    <w:qFormat/>
    <w:uiPriority w:val="99"/>
    <w:rPr>
      <w:rFonts w:ascii="Times New Roman" w:hAnsi="Times New Roman"/>
      <w:color w:val="FF0000"/>
      <w:sz w:val="24"/>
      <w:szCs w:val="24"/>
    </w:rPr>
  </w:style>
  <w:style w:type="paragraph" w:styleId="12">
    <w:name w:val="Body Text Indent"/>
    <w:basedOn w:val="1"/>
    <w:link w:val="35"/>
    <w:qFormat/>
    <w:uiPriority w:val="99"/>
    <w:pPr>
      <w:adjustRightInd w:val="0"/>
      <w:spacing w:after="120" w:line="360" w:lineRule="atLeast"/>
      <w:ind w:left="420" w:leftChars="200"/>
      <w:jc w:val="left"/>
      <w:textAlignment w:val="baseline"/>
    </w:pPr>
    <w:rPr>
      <w:kern w:val="0"/>
      <w:sz w:val="24"/>
      <w:szCs w:val="20"/>
    </w:rPr>
  </w:style>
  <w:style w:type="paragraph" w:styleId="13">
    <w:name w:val="Block Text"/>
    <w:basedOn w:val="1"/>
    <w:qFormat/>
    <w:uiPriority w:val="0"/>
    <w:pPr>
      <w:adjustRightInd w:val="0"/>
      <w:spacing w:line="300" w:lineRule="auto"/>
      <w:ind w:left="958" w:right="-120" w:rightChars="-120"/>
    </w:pPr>
    <w:rPr>
      <w:kern w:val="0"/>
      <w:sz w:val="28"/>
      <w:szCs w:val="20"/>
    </w:rPr>
  </w:style>
  <w:style w:type="paragraph" w:styleId="14">
    <w:name w:val="toc 5"/>
    <w:basedOn w:val="1"/>
    <w:next w:val="1"/>
    <w:qFormat/>
    <w:uiPriority w:val="99"/>
    <w:pPr>
      <w:spacing w:line="276" w:lineRule="auto"/>
      <w:ind w:left="960"/>
      <w:jc w:val="center"/>
    </w:pPr>
    <w:rPr>
      <w:rFonts w:ascii="Times New Roman" w:hAnsi="Times New Roman"/>
      <w:b/>
      <w:color w:val="000000"/>
      <w:sz w:val="36"/>
      <w:szCs w:val="36"/>
    </w:rPr>
  </w:style>
  <w:style w:type="paragraph" w:styleId="15">
    <w:name w:val="toc 3"/>
    <w:basedOn w:val="1"/>
    <w:next w:val="1"/>
    <w:qFormat/>
    <w:uiPriority w:val="99"/>
    <w:pPr>
      <w:ind w:left="480"/>
      <w:jc w:val="left"/>
    </w:pPr>
    <w:rPr>
      <w:rFonts w:ascii="Times New Roman" w:hAnsi="Times New Roman"/>
      <w:i/>
      <w:iCs/>
      <w:color w:val="0000FF"/>
      <w:sz w:val="20"/>
      <w:szCs w:val="20"/>
    </w:rPr>
  </w:style>
  <w:style w:type="paragraph" w:styleId="16">
    <w:name w:val="Plain Text"/>
    <w:basedOn w:val="1"/>
    <w:link w:val="36"/>
    <w:qFormat/>
    <w:uiPriority w:val="0"/>
    <w:rPr>
      <w:sz w:val="24"/>
    </w:rPr>
  </w:style>
  <w:style w:type="paragraph" w:styleId="17">
    <w:name w:val="Date"/>
    <w:basedOn w:val="1"/>
    <w:next w:val="1"/>
    <w:link w:val="37"/>
    <w:qFormat/>
    <w:uiPriority w:val="99"/>
    <w:pPr>
      <w:ind w:left="100" w:leftChars="2500"/>
    </w:pPr>
  </w:style>
  <w:style w:type="paragraph" w:styleId="18">
    <w:name w:val="Balloon Text"/>
    <w:basedOn w:val="1"/>
    <w:link w:val="38"/>
    <w:semiHidden/>
    <w:qFormat/>
    <w:uiPriority w:val="99"/>
    <w:rPr>
      <w:sz w:val="18"/>
      <w:szCs w:val="18"/>
    </w:rPr>
  </w:style>
  <w:style w:type="paragraph" w:styleId="19">
    <w:name w:val="footer"/>
    <w:basedOn w:val="1"/>
    <w:link w:val="39"/>
    <w:qFormat/>
    <w:uiPriority w:val="99"/>
    <w:pPr>
      <w:tabs>
        <w:tab w:val="center" w:pos="4153"/>
        <w:tab w:val="right" w:pos="8306"/>
      </w:tabs>
      <w:snapToGrid w:val="0"/>
      <w:jc w:val="left"/>
    </w:pPr>
    <w:rPr>
      <w:sz w:val="18"/>
      <w:szCs w:val="18"/>
    </w:rPr>
  </w:style>
  <w:style w:type="paragraph" w:styleId="20">
    <w:name w:val="header"/>
    <w:basedOn w:val="1"/>
    <w:link w:val="40"/>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qFormat/>
    <w:uiPriority w:val="99"/>
    <w:pPr>
      <w:spacing w:before="120" w:after="120"/>
      <w:jc w:val="left"/>
    </w:pPr>
    <w:rPr>
      <w:rFonts w:ascii="Times New Roman" w:hAnsi="Times New Roman"/>
      <w:b/>
      <w:bCs/>
      <w:caps/>
      <w:color w:val="0000FF"/>
      <w:sz w:val="20"/>
      <w:szCs w:val="20"/>
    </w:rPr>
  </w:style>
  <w:style w:type="paragraph" w:styleId="22">
    <w:name w:val="HTML Preformatted"/>
    <w:basedOn w:val="1"/>
    <w:link w:val="41"/>
    <w:semiHidden/>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23">
    <w:name w:val="Normal (Web)"/>
    <w:basedOn w:val="1"/>
    <w:qFormat/>
    <w:uiPriority w:val="0"/>
    <w:rPr>
      <w:sz w:val="24"/>
      <w:szCs w:val="24"/>
    </w:rPr>
  </w:style>
  <w:style w:type="table" w:styleId="25">
    <w:name w:val="Table Grid"/>
    <w:basedOn w:val="24"/>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Strong"/>
    <w:basedOn w:val="26"/>
    <w:qFormat/>
    <w:uiPriority w:val="99"/>
    <w:rPr>
      <w:rFonts w:cs="Times New Roman"/>
      <w:b/>
      <w:bCs/>
    </w:rPr>
  </w:style>
  <w:style w:type="character" w:styleId="28">
    <w:name w:val="Hyperlink"/>
    <w:basedOn w:val="26"/>
    <w:qFormat/>
    <w:uiPriority w:val="99"/>
    <w:rPr>
      <w:rFonts w:cs="Times New Roman"/>
      <w:color w:val="0000FF"/>
      <w:u w:val="single"/>
    </w:rPr>
  </w:style>
  <w:style w:type="character" w:customStyle="1" w:styleId="29">
    <w:name w:val="标题 1 Char"/>
    <w:basedOn w:val="26"/>
    <w:link w:val="4"/>
    <w:qFormat/>
    <w:locked/>
    <w:uiPriority w:val="99"/>
    <w:rPr>
      <w:rFonts w:ascii="Calibri" w:hAnsi="Calibri" w:eastAsia="宋体" w:cs="Times New Roman"/>
      <w:b/>
      <w:bCs/>
      <w:kern w:val="44"/>
      <w:sz w:val="44"/>
      <w:szCs w:val="44"/>
    </w:rPr>
  </w:style>
  <w:style w:type="character" w:customStyle="1" w:styleId="30">
    <w:name w:val="标题 2 Char"/>
    <w:basedOn w:val="26"/>
    <w:link w:val="5"/>
    <w:qFormat/>
    <w:locked/>
    <w:uiPriority w:val="99"/>
    <w:rPr>
      <w:rFonts w:ascii="Arial" w:hAnsi="Arial" w:eastAsia="黑体" w:cs="Times New Roman"/>
      <w:b/>
      <w:bCs/>
      <w:kern w:val="0"/>
      <w:sz w:val="32"/>
      <w:szCs w:val="32"/>
    </w:rPr>
  </w:style>
  <w:style w:type="character" w:customStyle="1" w:styleId="31">
    <w:name w:val="标题 3 Char"/>
    <w:basedOn w:val="26"/>
    <w:link w:val="6"/>
    <w:qFormat/>
    <w:locked/>
    <w:uiPriority w:val="99"/>
    <w:rPr>
      <w:rFonts w:ascii="宋体" w:hAnsi="宋体" w:eastAsia="宋体" w:cs="Times New Roman"/>
      <w:b/>
      <w:color w:val="000000"/>
      <w:kern w:val="0"/>
      <w:sz w:val="20"/>
      <w:szCs w:val="20"/>
      <w:lang w:val="en-GB"/>
    </w:rPr>
  </w:style>
  <w:style w:type="character" w:customStyle="1" w:styleId="32">
    <w:name w:val="标题 4 Char"/>
    <w:basedOn w:val="26"/>
    <w:link w:val="7"/>
    <w:qFormat/>
    <w:locked/>
    <w:uiPriority w:val="99"/>
    <w:rPr>
      <w:rFonts w:ascii="Arial" w:hAnsi="Arial" w:eastAsia="黑体" w:cs="Times New Roman"/>
      <w:b/>
      <w:bCs/>
      <w:kern w:val="0"/>
      <w:sz w:val="28"/>
      <w:szCs w:val="28"/>
    </w:rPr>
  </w:style>
  <w:style w:type="character" w:customStyle="1" w:styleId="33">
    <w:name w:val="正文文本 3 Char"/>
    <w:basedOn w:val="26"/>
    <w:link w:val="11"/>
    <w:qFormat/>
    <w:locked/>
    <w:uiPriority w:val="99"/>
    <w:rPr>
      <w:rFonts w:ascii="Times New Roman" w:hAnsi="Times New Roman" w:eastAsia="宋体" w:cs="Times New Roman"/>
      <w:color w:val="FF0000"/>
      <w:sz w:val="24"/>
      <w:szCs w:val="24"/>
    </w:rPr>
  </w:style>
  <w:style w:type="character" w:customStyle="1" w:styleId="34">
    <w:name w:val="正文文本 Char"/>
    <w:basedOn w:val="26"/>
    <w:link w:val="3"/>
    <w:semiHidden/>
    <w:qFormat/>
    <w:locked/>
    <w:uiPriority w:val="99"/>
    <w:rPr>
      <w:rFonts w:cs="Times New Roman"/>
    </w:rPr>
  </w:style>
  <w:style w:type="character" w:customStyle="1" w:styleId="35">
    <w:name w:val="正文文本缩进 Char"/>
    <w:basedOn w:val="26"/>
    <w:link w:val="12"/>
    <w:qFormat/>
    <w:locked/>
    <w:uiPriority w:val="99"/>
    <w:rPr>
      <w:sz w:val="24"/>
    </w:rPr>
  </w:style>
  <w:style w:type="character" w:customStyle="1" w:styleId="36">
    <w:name w:val="纯文本 Char"/>
    <w:basedOn w:val="26"/>
    <w:link w:val="16"/>
    <w:qFormat/>
    <w:locked/>
    <w:uiPriority w:val="0"/>
    <w:rPr>
      <w:rFonts w:eastAsia="宋体" w:cs="Times New Roman"/>
      <w:sz w:val="24"/>
    </w:rPr>
  </w:style>
  <w:style w:type="character" w:customStyle="1" w:styleId="37">
    <w:name w:val="日期 Char"/>
    <w:basedOn w:val="26"/>
    <w:link w:val="17"/>
    <w:qFormat/>
    <w:locked/>
    <w:uiPriority w:val="99"/>
    <w:rPr>
      <w:rFonts w:cs="Times New Roman"/>
    </w:rPr>
  </w:style>
  <w:style w:type="character" w:customStyle="1" w:styleId="38">
    <w:name w:val="批注框文本 Char"/>
    <w:basedOn w:val="26"/>
    <w:link w:val="18"/>
    <w:semiHidden/>
    <w:qFormat/>
    <w:locked/>
    <w:uiPriority w:val="99"/>
    <w:rPr>
      <w:rFonts w:cs="Times New Roman"/>
      <w:sz w:val="18"/>
      <w:szCs w:val="18"/>
    </w:rPr>
  </w:style>
  <w:style w:type="character" w:customStyle="1" w:styleId="39">
    <w:name w:val="页脚 Char"/>
    <w:basedOn w:val="26"/>
    <w:link w:val="19"/>
    <w:qFormat/>
    <w:locked/>
    <w:uiPriority w:val="99"/>
    <w:rPr>
      <w:rFonts w:cs="Times New Roman"/>
      <w:sz w:val="18"/>
      <w:szCs w:val="18"/>
    </w:rPr>
  </w:style>
  <w:style w:type="character" w:customStyle="1" w:styleId="40">
    <w:name w:val="页眉 Char"/>
    <w:basedOn w:val="26"/>
    <w:link w:val="20"/>
    <w:qFormat/>
    <w:locked/>
    <w:uiPriority w:val="99"/>
    <w:rPr>
      <w:rFonts w:cs="Times New Roman"/>
      <w:sz w:val="18"/>
      <w:szCs w:val="18"/>
    </w:rPr>
  </w:style>
  <w:style w:type="character" w:customStyle="1" w:styleId="41">
    <w:name w:val="HTML 预设格式 Char"/>
    <w:basedOn w:val="26"/>
    <w:link w:val="22"/>
    <w:semiHidden/>
    <w:qFormat/>
    <w:locked/>
    <w:uiPriority w:val="99"/>
    <w:rPr>
      <w:rFonts w:ascii="宋体" w:hAnsi="宋体" w:eastAsia="宋体" w:cs="宋体"/>
      <w:kern w:val="0"/>
      <w:sz w:val="24"/>
      <w:szCs w:val="24"/>
    </w:rPr>
  </w:style>
  <w:style w:type="character" w:customStyle="1" w:styleId="42">
    <w:name w:val="正文首行缩进 Char"/>
    <w:basedOn w:val="34"/>
    <w:link w:val="2"/>
    <w:qFormat/>
    <w:locked/>
    <w:uiPriority w:val="99"/>
    <w:rPr>
      <w:rFonts w:ascii="宋体" w:hAnsi="Times New Roman" w:eastAsia="宋体"/>
      <w:kern w:val="0"/>
      <w:sz w:val="20"/>
      <w:szCs w:val="20"/>
    </w:rPr>
  </w:style>
  <w:style w:type="character" w:customStyle="1" w:styleId="43">
    <w:name w:val="纯文本 Char1"/>
    <w:qFormat/>
    <w:uiPriority w:val="99"/>
    <w:rPr>
      <w:rFonts w:eastAsia="宋体"/>
      <w:sz w:val="24"/>
    </w:rPr>
  </w:style>
  <w:style w:type="paragraph" w:customStyle="1" w:styleId="44">
    <w:name w:val="Default"/>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45">
    <w:name w:val="列出段落1"/>
    <w:basedOn w:val="1"/>
    <w:qFormat/>
    <w:uiPriority w:val="99"/>
    <w:pPr>
      <w:ind w:firstLine="420" w:firstLineChars="200"/>
    </w:pPr>
  </w:style>
  <w:style w:type="paragraph" w:styleId="46">
    <w:name w:val="List Paragraph"/>
    <w:basedOn w:val="1"/>
    <w:qFormat/>
    <w:uiPriority w:val="99"/>
    <w:pPr>
      <w:ind w:firstLine="420" w:firstLineChars="200"/>
    </w:pPr>
  </w:style>
  <w:style w:type="character" w:customStyle="1" w:styleId="47">
    <w:name w:val="正文文本缩进 Char Char"/>
    <w:link w:val="48"/>
    <w:qFormat/>
    <w:locked/>
    <w:uiPriority w:val="99"/>
    <w:rPr>
      <w:rFonts w:ascii="宋体"/>
      <w:sz w:val="24"/>
    </w:rPr>
  </w:style>
  <w:style w:type="paragraph" w:customStyle="1" w:styleId="48">
    <w:name w:val="正文文本缩进1"/>
    <w:basedOn w:val="1"/>
    <w:link w:val="47"/>
    <w:qFormat/>
    <w:uiPriority w:val="99"/>
    <w:pPr>
      <w:spacing w:line="360" w:lineRule="auto"/>
      <w:ind w:firstLine="480" w:firstLineChars="200"/>
    </w:pPr>
    <w:rPr>
      <w:rFonts w:ascii="宋体"/>
      <w:kern w:val="0"/>
      <w:sz w:val="24"/>
      <w:szCs w:val="20"/>
    </w:rPr>
  </w:style>
  <w:style w:type="character" w:customStyle="1" w:styleId="49">
    <w:name w:val="日期 Char Char"/>
    <w:link w:val="50"/>
    <w:qFormat/>
    <w:locked/>
    <w:uiPriority w:val="99"/>
    <w:rPr>
      <w:sz w:val="24"/>
    </w:rPr>
  </w:style>
  <w:style w:type="paragraph" w:customStyle="1" w:styleId="50">
    <w:name w:val="日期1"/>
    <w:basedOn w:val="1"/>
    <w:next w:val="1"/>
    <w:link w:val="49"/>
    <w:uiPriority w:val="99"/>
    <w:rPr>
      <w:kern w:val="0"/>
      <w:sz w:val="24"/>
      <w:szCs w:val="20"/>
    </w:rPr>
  </w:style>
  <w:style w:type="paragraph" w:customStyle="1" w:styleId="51">
    <w:name w:val="正文缩进1"/>
    <w:basedOn w:val="1"/>
    <w:uiPriority w:val="99"/>
    <w:pPr>
      <w:adjustRightInd w:val="0"/>
      <w:spacing w:line="360" w:lineRule="atLeast"/>
      <w:ind w:firstLine="420" w:firstLineChars="200"/>
      <w:jc w:val="left"/>
      <w:textAlignment w:val="baseline"/>
    </w:pPr>
    <w:rPr>
      <w:rFonts w:ascii="Times New Roman" w:hAnsi="Times New Roman"/>
      <w:kern w:val="0"/>
      <w:sz w:val="24"/>
      <w:szCs w:val="20"/>
    </w:rPr>
  </w:style>
  <w:style w:type="paragraph" w:customStyle="1" w:styleId="52">
    <w:name w:val="样式1"/>
    <w:basedOn w:val="1"/>
    <w:uiPriority w:val="99"/>
    <w:pPr>
      <w:numPr>
        <w:ilvl w:val="0"/>
        <w:numId w:val="2"/>
      </w:numPr>
      <w:adjustRightInd w:val="0"/>
      <w:textAlignment w:val="baseline"/>
    </w:pPr>
    <w:rPr>
      <w:rFonts w:ascii="宋体" w:hAnsi="宋体"/>
      <w:kern w:val="0"/>
      <w:szCs w:val="21"/>
    </w:rPr>
  </w:style>
  <w:style w:type="paragraph" w:customStyle="1" w:styleId="53">
    <w:name w:val="图"/>
    <w:basedOn w:val="1"/>
    <w:uiPriority w:val="99"/>
    <w:pPr>
      <w:keepNext/>
      <w:adjustRightInd w:val="0"/>
      <w:spacing w:before="60" w:after="60" w:line="300" w:lineRule="auto"/>
      <w:jc w:val="center"/>
      <w:textAlignment w:val="center"/>
    </w:pPr>
    <w:rPr>
      <w:rFonts w:ascii="Times New Roman" w:hAnsi="Times New Roman"/>
      <w:color w:val="0000FF"/>
      <w:spacing w:val="20"/>
      <w:kern w:val="0"/>
      <w:sz w:val="24"/>
      <w:szCs w:val="20"/>
    </w:rPr>
  </w:style>
  <w:style w:type="character" w:customStyle="1" w:styleId="54">
    <w:name w:val="edittexttarea"/>
    <w:basedOn w:val="26"/>
    <w:uiPriority w:val="99"/>
    <w:rPr>
      <w:rFonts w:cs="Times New Roman"/>
    </w:rPr>
  </w:style>
  <w:style w:type="paragraph" w:customStyle="1" w:styleId="55">
    <w:name w:val="样式 标题 1 + 四号 居中 段前: 12 磅 段后: 12 磅 行距: 单倍行距"/>
    <w:basedOn w:val="4"/>
    <w:uiPriority w:val="99"/>
    <w:pPr>
      <w:spacing w:before="240" w:after="240" w:line="240" w:lineRule="auto"/>
      <w:ind w:left="-288"/>
      <w:jc w:val="center"/>
    </w:pPr>
    <w:rPr>
      <w:rFonts w:cs="宋体"/>
      <w:sz w:val="28"/>
      <w:szCs w:val="20"/>
    </w:rPr>
  </w:style>
  <w:style w:type="paragraph" w:customStyle="1" w:styleId="56">
    <w:name w:val="样式 样式 样式 样式 标题 2 + 宋体 五号 非加粗 黑色 + 段前: 6 磅 段后: 0 磅 行距: 单倍行距 + 段前:..."/>
    <w:basedOn w:val="1"/>
    <w:qFormat/>
    <w:uiPriority w:val="99"/>
    <w:pPr>
      <w:keepNext/>
      <w:keepLines/>
      <w:numPr>
        <w:ilvl w:val="0"/>
        <w:numId w:val="3"/>
      </w:numPr>
      <w:adjustRightInd w:val="0"/>
      <w:spacing w:before="240"/>
      <w:jc w:val="left"/>
      <w:textAlignment w:val="baseline"/>
      <w:outlineLvl w:val="1"/>
    </w:pPr>
    <w:rPr>
      <w:rFonts w:ascii="宋体" w:hAnsi="宋体" w:cs="宋体"/>
      <w:b/>
      <w:bCs/>
      <w:color w:val="000000"/>
      <w:kern w:val="0"/>
      <w:szCs w:val="20"/>
    </w:rPr>
  </w:style>
  <w:style w:type="character" w:customStyle="1" w:styleId="57">
    <w:name w:val="正文文本缩进 Char1"/>
    <w:basedOn w:val="26"/>
    <w:semiHidden/>
    <w:uiPriority w:val="99"/>
    <w:rPr>
      <w:rFonts w:cs="Times New Roman"/>
    </w:rPr>
  </w:style>
  <w:style w:type="paragraph" w:customStyle="1" w:styleId="58">
    <w:name w:val="纯文本1"/>
    <w:basedOn w:val="1"/>
    <w:uiPriority w:val="99"/>
    <w:rPr>
      <w:rFonts w:cs="黑体"/>
      <w:sz w:val="24"/>
      <w:szCs w:val="24"/>
    </w:rPr>
  </w:style>
  <w:style w:type="paragraph" w:customStyle="1" w:styleId="59">
    <w:name w:val="样式 标题 3 + (中文) 黑体 小四 非加粗 段前: 7.8 磅 段后: 0 磅 行距: 固定值 20 磅"/>
    <w:basedOn w:val="6"/>
    <w:uiPriority w:val="99"/>
    <w:pPr>
      <w:keepNext/>
      <w:keepLines/>
      <w:autoSpaceDE/>
      <w:autoSpaceDN/>
      <w:adjustRightInd/>
      <w:spacing w:afterLines="0" w:line="400" w:lineRule="exact"/>
      <w:ind w:left="0" w:firstLine="21" w:firstLineChars="200"/>
      <w:jc w:val="left"/>
    </w:pPr>
    <w:rPr>
      <w:rFonts w:ascii="Calibri" w:hAnsi="Calibri" w:eastAsia="黑体" w:cs="宋体"/>
      <w:b w:val="0"/>
      <w:color w:val="auto"/>
      <w:lang w:val="en-US"/>
    </w:rPr>
  </w:style>
  <w:style w:type="character" w:customStyle="1" w:styleId="60">
    <w:name w:val="font31"/>
    <w:uiPriority w:val="0"/>
    <w:rPr>
      <w:rFonts w:hint="eastAsia" w:ascii="宋体" w:hAnsi="宋体" w:eastAsia="宋体" w:cs="宋体"/>
      <w:color w:val="000000"/>
      <w:sz w:val="20"/>
      <w:szCs w:val="20"/>
      <w:u w:val="none"/>
    </w:rPr>
  </w:style>
  <w:style w:type="character" w:customStyle="1" w:styleId="61">
    <w:name w:val="font12"/>
    <w:qFormat/>
    <w:uiPriority w:val="0"/>
    <w:rPr>
      <w:rFonts w:hint="default" w:ascii="Calibri" w:hAnsi="Calibri" w:cs="Calibri"/>
      <w:color w:val="000000"/>
      <w:sz w:val="20"/>
      <w:szCs w:val="20"/>
      <w:u w:val="none"/>
    </w:rPr>
  </w:style>
  <w:style w:type="character" w:customStyle="1" w:styleId="62">
    <w:name w:val="font111"/>
    <w:qFormat/>
    <w:uiPriority w:val="0"/>
    <w:rPr>
      <w:rFonts w:hint="default" w:ascii="等线" w:hAnsi="等线" w:eastAsia="等线" w:cs="等线"/>
      <w:color w:val="000000"/>
      <w:sz w:val="20"/>
      <w:szCs w:val="20"/>
      <w:u w:val="none"/>
    </w:rPr>
  </w:style>
  <w:style w:type="character" w:customStyle="1" w:styleId="63">
    <w:name w:val="font81"/>
    <w:uiPriority w:val="0"/>
    <w:rPr>
      <w:rFonts w:hint="default" w:ascii="等线" w:hAnsi="等线" w:eastAsia="等线" w:cs="等线"/>
      <w:color w:val="000000"/>
      <w:sz w:val="18"/>
      <w:szCs w:val="18"/>
      <w:u w:val="none"/>
    </w:rPr>
  </w:style>
  <w:style w:type="character" w:customStyle="1" w:styleId="64">
    <w:name w:val="font61"/>
    <w:uiPriority w:val="0"/>
    <w:rPr>
      <w:rFonts w:hint="eastAsia" w:ascii="宋体" w:hAnsi="宋体" w:eastAsia="宋体" w:cs="宋体"/>
      <w:color w:val="000000"/>
      <w:sz w:val="18"/>
      <w:szCs w:val="18"/>
      <w:u w:val="none"/>
    </w:rPr>
  </w:style>
  <w:style w:type="character" w:customStyle="1" w:styleId="65">
    <w:name w:val="font51"/>
    <w:uiPriority w:val="0"/>
    <w:rPr>
      <w:rFonts w:hint="eastAsia" w:ascii="宋体" w:hAnsi="宋体" w:eastAsia="宋体" w:cs="宋体"/>
      <w:color w:val="000000"/>
      <w:sz w:val="20"/>
      <w:szCs w:val="20"/>
      <w:u w:val="none"/>
    </w:rPr>
  </w:style>
  <w:style w:type="character" w:customStyle="1" w:styleId="66">
    <w:name w:val="font71"/>
    <w:uiPriority w:val="0"/>
    <w:rPr>
      <w:rFonts w:hint="default" w:ascii="Times New Roman" w:hAnsi="Times New Roman" w:cs="Times New Roman"/>
      <w:color w:val="000000"/>
      <w:sz w:val="20"/>
      <w:szCs w:val="20"/>
      <w:u w:val="none"/>
    </w:rPr>
  </w:style>
  <w:style w:type="paragraph" w:customStyle="1" w:styleId="67">
    <w:name w:val="正文 New New New New"/>
    <w:qFormat/>
    <w:uiPriority w:val="0"/>
    <w:pPr>
      <w:widowControl w:val="0"/>
      <w:jc w:val="both"/>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71</Pages>
  <Words>5644</Words>
  <Characters>32174</Characters>
  <Lines>268</Lines>
  <Paragraphs>75</Paragraphs>
  <TotalTime>17</TotalTime>
  <ScaleCrop>false</ScaleCrop>
  <LinksUpToDate>false</LinksUpToDate>
  <CharactersWithSpaces>37743</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2019-08-01T02:27:00Z</dcterms:created>
  <dc:creator>许昌市公共资源交易中心:孟莉</dc:creator>
  <cp:lastModifiedBy>Administrator</cp:lastModifiedBy>
  <cp:lastPrinted>2020-03-06T09:23:00Z</cp:lastPrinted>
  <dcterms:modified xsi:type="dcterms:W3CDTF">2020-03-06T09:49:02Z</dcterms:modified>
  <cp:revision>490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