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auto"/>
        <w:jc w:val="right"/>
        <w:rPr>
          <w:rFonts w:hint="eastAsia"/>
          <w:b/>
          <w:sz w:val="52"/>
          <w:szCs w:val="52"/>
        </w:rPr>
      </w:pPr>
    </w:p>
    <w:p>
      <w:pPr>
        <w:autoSpaceDE w:val="0"/>
        <w:autoSpaceDN w:val="0"/>
        <w:adjustRightInd w:val="0"/>
        <w:spacing w:line="600" w:lineRule="auto"/>
        <w:jc w:val="right"/>
        <w:rPr>
          <w:rFonts w:hAnsi="宋体" w:cs="黑体"/>
          <w:b/>
          <w:bCs/>
          <w:spacing w:val="60"/>
          <w:sz w:val="48"/>
          <w:szCs w:val="48"/>
        </w:rPr>
      </w:pPr>
      <w:r>
        <w:rPr>
          <w:rFonts w:ascii="宋体" w:hAnsi="宋体" w:cs="宋体"/>
          <w:sz w:val="24"/>
          <w:szCs w:val="24"/>
        </w:rPr>
        <w:drawing>
          <wp:inline distT="0" distB="0" distL="114300" distR="114300">
            <wp:extent cx="1366520" cy="672465"/>
            <wp:effectExtent l="0" t="0" r="508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7" cstate="print"/>
                    <a:stretch>
                      <a:fillRect/>
                    </a:stretch>
                  </pic:blipFill>
                  <pic:spPr>
                    <a:xfrm>
                      <a:off x="0" y="0"/>
                      <a:ext cx="1366520" cy="672465"/>
                    </a:xfrm>
                    <a:prstGeom prst="rect">
                      <a:avLst/>
                    </a:prstGeom>
                    <a:noFill/>
                    <a:ln w="9525">
                      <a:noFill/>
                    </a:ln>
                  </pic:spPr>
                </pic:pic>
              </a:graphicData>
            </a:graphic>
          </wp:inline>
        </w:drawing>
      </w:r>
    </w:p>
    <w:p>
      <w:pPr>
        <w:autoSpaceDE w:val="0"/>
        <w:autoSpaceDN w:val="0"/>
        <w:adjustRightInd w:val="0"/>
        <w:jc w:val="center"/>
        <w:rPr>
          <w:rFonts w:hint="eastAsia" w:eastAsia="宋体"/>
          <w:b/>
          <w:sz w:val="72"/>
          <w:szCs w:val="72"/>
          <w:lang w:eastAsia="zh-CN"/>
        </w:rPr>
      </w:pPr>
      <w:r>
        <w:rPr>
          <w:rFonts w:hint="eastAsia"/>
          <w:b/>
          <w:bCs/>
          <w:sz w:val="48"/>
          <w:szCs w:val="48"/>
          <w:lang w:eastAsia="zh-CN"/>
        </w:rPr>
        <w:t>襄城县汾陈镇2017至2019年通村公路建设项目</w:t>
      </w:r>
    </w:p>
    <w:p>
      <w:pPr>
        <w:autoSpaceDE w:val="0"/>
        <w:autoSpaceDN w:val="0"/>
        <w:adjustRightInd w:val="0"/>
        <w:jc w:val="center"/>
        <w:rPr>
          <w:b/>
          <w:sz w:val="72"/>
          <w:szCs w:val="72"/>
        </w:rPr>
      </w:pPr>
    </w:p>
    <w:p>
      <w:pPr>
        <w:autoSpaceDE w:val="0"/>
        <w:autoSpaceDN w:val="0"/>
        <w:adjustRightInd w:val="0"/>
        <w:jc w:val="center"/>
        <w:rPr>
          <w:b/>
          <w:sz w:val="72"/>
          <w:szCs w:val="72"/>
        </w:rPr>
      </w:pPr>
    </w:p>
    <w:p>
      <w:pPr>
        <w:autoSpaceDE w:val="0"/>
        <w:autoSpaceDN w:val="0"/>
        <w:adjustRightInd w:val="0"/>
        <w:jc w:val="center"/>
        <w:rPr>
          <w:b/>
          <w:sz w:val="72"/>
          <w:szCs w:val="72"/>
        </w:rPr>
      </w:pPr>
    </w:p>
    <w:p>
      <w:pPr>
        <w:autoSpaceDE w:val="0"/>
        <w:autoSpaceDN w:val="0"/>
        <w:adjustRightInd w:val="0"/>
        <w:jc w:val="center"/>
        <w:rPr>
          <w:b/>
          <w:sz w:val="72"/>
          <w:szCs w:val="72"/>
        </w:rPr>
      </w:pPr>
    </w:p>
    <w:p>
      <w:pPr>
        <w:autoSpaceDE w:val="0"/>
        <w:autoSpaceDN w:val="0"/>
        <w:adjustRightInd w:val="0"/>
        <w:jc w:val="center"/>
        <w:rPr>
          <w:rFonts w:hAnsi="宋体" w:cs="黑体"/>
          <w:sz w:val="44"/>
          <w:szCs w:val="44"/>
        </w:rPr>
      </w:pPr>
      <w:r>
        <w:rPr>
          <w:rFonts w:hint="eastAsia"/>
          <w:b/>
          <w:sz w:val="72"/>
          <w:szCs w:val="72"/>
        </w:rPr>
        <w:t>招标文件</w:t>
      </w:r>
    </w:p>
    <w:p>
      <w:pPr>
        <w:pStyle w:val="2"/>
        <w:ind w:firstLine="341"/>
        <w:jc w:val="center"/>
      </w:pPr>
    </w:p>
    <w:p>
      <w:pPr>
        <w:autoSpaceDE w:val="0"/>
        <w:autoSpaceDN w:val="0"/>
        <w:adjustRightInd w:val="0"/>
        <w:jc w:val="center"/>
        <w:rPr>
          <w:rFonts w:hAnsi="宋体" w:cs="黑体"/>
          <w:sz w:val="44"/>
          <w:szCs w:val="44"/>
        </w:rPr>
      </w:pPr>
    </w:p>
    <w:p>
      <w:pPr>
        <w:pStyle w:val="2"/>
        <w:ind w:firstLine="0" w:firstLineChars="0"/>
        <w:rPr>
          <w:rFonts w:hAnsi="宋体" w:cs="黑体"/>
          <w:sz w:val="44"/>
          <w:szCs w:val="44"/>
        </w:rPr>
      </w:pPr>
    </w:p>
    <w:p>
      <w:pPr>
        <w:ind w:firstLine="640" w:firstLineChars="200"/>
        <w:rPr>
          <w:b/>
          <w:bCs/>
          <w:sz w:val="32"/>
        </w:rPr>
      </w:pPr>
      <w:r>
        <w:rPr>
          <w:rFonts w:hint="eastAsia"/>
          <w:b/>
          <w:bCs/>
          <w:sz w:val="32"/>
        </w:rPr>
        <w:t xml:space="preserve">            </w:t>
      </w:r>
    </w:p>
    <w:p>
      <w:pPr>
        <w:spacing w:line="600" w:lineRule="auto"/>
        <w:rPr>
          <w:b/>
          <w:bCs/>
          <w:sz w:val="32"/>
        </w:rPr>
      </w:pPr>
    </w:p>
    <w:p>
      <w:pPr>
        <w:spacing w:line="600" w:lineRule="auto"/>
        <w:ind w:firstLine="1920" w:firstLineChars="600"/>
        <w:rPr>
          <w:rFonts w:hint="eastAsia" w:eastAsia="宋体"/>
          <w:b/>
          <w:bCs/>
          <w:sz w:val="32"/>
          <w:lang w:eastAsia="zh-CN"/>
        </w:rPr>
      </w:pPr>
      <w:r>
        <w:rPr>
          <w:rFonts w:hint="eastAsia"/>
          <w:b/>
          <w:bCs/>
          <w:sz w:val="32"/>
        </w:rPr>
        <w:t>招 标 人：</w:t>
      </w:r>
      <w:r>
        <w:rPr>
          <w:rFonts w:hint="eastAsia"/>
          <w:b/>
          <w:bCs/>
          <w:sz w:val="32"/>
          <w:lang w:eastAsia="zh-CN"/>
        </w:rPr>
        <w:t xml:space="preserve">襄城县汾陈镇人民政府 </w:t>
      </w:r>
    </w:p>
    <w:p>
      <w:pPr>
        <w:spacing w:line="600" w:lineRule="auto"/>
        <w:ind w:firstLine="1920" w:firstLineChars="600"/>
        <w:rPr>
          <w:b/>
          <w:bCs/>
          <w:sz w:val="32"/>
        </w:rPr>
      </w:pPr>
      <w:r>
        <w:rPr>
          <w:rFonts w:hint="eastAsia" w:hAnsi="宋体" w:cs="黑体"/>
          <w:b/>
          <w:sz w:val="32"/>
          <w:szCs w:val="32"/>
        </w:rPr>
        <w:t>代理机构：</w:t>
      </w:r>
      <w:r>
        <w:rPr>
          <w:rFonts w:hint="eastAsia" w:hAnsi="宋体" w:cs="宋体"/>
          <w:b/>
          <w:sz w:val="30"/>
          <w:szCs w:val="30"/>
        </w:rPr>
        <w:t>河南慧霖工程管理服务有限公司</w:t>
      </w:r>
    </w:p>
    <w:p>
      <w:pPr>
        <w:spacing w:line="600" w:lineRule="auto"/>
        <w:ind w:firstLine="3520" w:firstLineChars="1100"/>
        <w:rPr>
          <w:rFonts w:hAnsi="宋体" w:cs="黑体"/>
          <w:b/>
          <w:sz w:val="32"/>
          <w:szCs w:val="32"/>
        </w:rPr>
      </w:pPr>
      <w:r>
        <w:rPr>
          <w:rFonts w:hint="eastAsia" w:hAnsi="宋体" w:cs="黑体"/>
          <w:b/>
          <w:sz w:val="32"/>
          <w:szCs w:val="32"/>
        </w:rPr>
        <w:t>二〇二〇年</w:t>
      </w:r>
      <w:r>
        <w:rPr>
          <w:rFonts w:hint="eastAsia" w:hAnsi="宋体" w:cs="黑体"/>
          <w:b/>
          <w:sz w:val="32"/>
          <w:szCs w:val="32"/>
          <w:lang w:eastAsia="zh-CN"/>
        </w:rPr>
        <w:t>三</w:t>
      </w:r>
      <w:r>
        <w:rPr>
          <w:rFonts w:hint="eastAsia" w:hAnsi="宋体" w:cs="黑体"/>
          <w:b/>
          <w:sz w:val="32"/>
          <w:szCs w:val="32"/>
        </w:rPr>
        <w:t>月</w:t>
      </w:r>
    </w:p>
    <w:p>
      <w:pPr>
        <w:sectPr>
          <w:headerReference r:id="rId5" w:type="first"/>
          <w:headerReference r:id="rId3" w:type="default"/>
          <w:footerReference r:id="rId6" w:type="default"/>
          <w:headerReference r:id="rId4" w:type="even"/>
          <w:footerReference r:id="rId7" w:type="even"/>
          <w:pgSz w:w="11906" w:h="16838"/>
          <w:pgMar w:top="1304" w:right="1134" w:bottom="1304" w:left="1134" w:header="851" w:footer="992" w:gutter="0"/>
          <w:pgNumType w:start="1"/>
          <w:cols w:space="720" w:num="1"/>
          <w:titlePg/>
          <w:docGrid w:type="linesAndChars" w:linePitch="312" w:charSpace="0"/>
        </w:sectPr>
      </w:pPr>
    </w:p>
    <w:p>
      <w:pPr>
        <w:pStyle w:val="2"/>
        <w:ind w:firstLine="340"/>
      </w:pPr>
    </w:p>
    <w:p>
      <w:pPr>
        <w:jc w:val="center"/>
        <w:rPr>
          <w:rFonts w:hAnsi="宋体" w:cs="宋体"/>
          <w:b/>
          <w:sz w:val="44"/>
        </w:rPr>
      </w:pPr>
      <w:r>
        <w:rPr>
          <w:rFonts w:hint="eastAsia" w:hAnsi="宋体" w:cs="宋体"/>
          <w:b/>
          <w:sz w:val="44"/>
        </w:rPr>
        <w:t>目  录</w:t>
      </w:r>
    </w:p>
    <w:p>
      <w:pPr>
        <w:jc w:val="center"/>
        <w:rPr>
          <w:rFonts w:hAnsi="宋体" w:cs="宋体"/>
          <w:b/>
          <w:sz w:val="32"/>
        </w:rPr>
      </w:pPr>
    </w:p>
    <w:p>
      <w:pPr>
        <w:jc w:val="center"/>
        <w:rPr>
          <w:rFonts w:hAnsi="宋体" w:cs="宋体"/>
        </w:rPr>
      </w:pPr>
    </w:p>
    <w:p>
      <w:pPr>
        <w:pStyle w:val="11"/>
        <w:tabs>
          <w:tab w:val="right" w:leader="dot" w:pos="9638"/>
        </w:tabs>
        <w:rPr>
          <w:rFonts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r>
        <w:fldChar w:fldCharType="begin"/>
      </w:r>
      <w:r>
        <w:instrText xml:space="preserve"> HYPERLINK \l "_Toc11428" </w:instrText>
      </w:r>
      <w:r>
        <w:fldChar w:fldCharType="separate"/>
      </w:r>
      <w:r>
        <w:rPr>
          <w:rFonts w:hint="eastAsia" w:ascii="宋体" w:hAnsi="宋体" w:cs="宋体"/>
          <w:b/>
          <w:bCs/>
          <w:sz w:val="28"/>
          <w:szCs w:val="28"/>
        </w:rPr>
        <w:t>第一章  招标公告</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_Toc11428 </w:instrText>
      </w:r>
      <w:r>
        <w:rPr>
          <w:rFonts w:hint="eastAsia" w:ascii="宋体" w:hAnsi="宋体" w:cs="宋体"/>
          <w:b/>
          <w:bCs/>
          <w:sz w:val="28"/>
          <w:szCs w:val="28"/>
        </w:rPr>
        <w:fldChar w:fldCharType="separate"/>
      </w:r>
      <w:r>
        <w:rPr>
          <w:rFonts w:hint="eastAsia" w:ascii="宋体" w:hAnsi="宋体" w:cs="宋体"/>
          <w:b/>
          <w:bCs/>
          <w:sz w:val="28"/>
          <w:szCs w:val="28"/>
        </w:rPr>
        <w:t>2</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1"/>
        <w:tabs>
          <w:tab w:val="right" w:leader="dot" w:pos="9638"/>
        </w:tabs>
        <w:rPr>
          <w:rFonts w:ascii="宋体" w:hAnsi="宋体" w:cs="宋体"/>
          <w:b/>
          <w:bCs/>
          <w:sz w:val="28"/>
          <w:szCs w:val="28"/>
        </w:rPr>
      </w:pPr>
      <w:r>
        <w:fldChar w:fldCharType="begin"/>
      </w:r>
      <w:r>
        <w:instrText xml:space="preserve"> HYPERLINK \l "_Toc15375" </w:instrText>
      </w:r>
      <w:r>
        <w:fldChar w:fldCharType="separate"/>
      </w:r>
      <w:r>
        <w:rPr>
          <w:rFonts w:hint="eastAsia" w:ascii="宋体" w:hAnsi="宋体" w:cs="宋体"/>
          <w:b/>
          <w:bCs/>
          <w:sz w:val="28"/>
          <w:szCs w:val="28"/>
        </w:rPr>
        <w:t>第二章  投标人须知</w:t>
      </w:r>
      <w:r>
        <w:rPr>
          <w:rFonts w:hint="eastAsia" w:ascii="宋体" w:hAnsi="宋体" w:cs="宋体"/>
          <w:b/>
          <w:bCs/>
          <w:sz w:val="28"/>
          <w:szCs w:val="28"/>
        </w:rPr>
        <w:tab/>
      </w:r>
      <w:r>
        <w:rPr>
          <w:rFonts w:hint="eastAsia" w:ascii="宋体" w:hAnsi="宋体" w:cs="宋体"/>
          <w:b/>
          <w:bCs/>
          <w:sz w:val="28"/>
          <w:szCs w:val="28"/>
          <w:lang w:val="en-US" w:eastAsia="zh-CN"/>
        </w:rPr>
        <w:t>6</w:t>
      </w:r>
      <w:r>
        <w:rPr>
          <w:rFonts w:hint="eastAsia" w:ascii="宋体" w:hAnsi="宋体" w:cs="宋体"/>
          <w:b/>
          <w:bCs/>
          <w:sz w:val="28"/>
          <w:szCs w:val="28"/>
        </w:rPr>
        <w:fldChar w:fldCharType="end"/>
      </w:r>
    </w:p>
    <w:p>
      <w:pPr>
        <w:pStyle w:val="11"/>
        <w:tabs>
          <w:tab w:val="right" w:leader="dot" w:pos="9638"/>
        </w:tabs>
        <w:rPr>
          <w:rFonts w:ascii="宋体" w:hAnsi="宋体" w:cs="宋体"/>
          <w:b/>
          <w:bCs/>
          <w:sz w:val="28"/>
          <w:szCs w:val="28"/>
        </w:rPr>
      </w:pPr>
      <w:r>
        <w:fldChar w:fldCharType="begin"/>
      </w:r>
      <w:r>
        <w:instrText xml:space="preserve"> HYPERLINK \l "_Toc20990" </w:instrText>
      </w:r>
      <w:r>
        <w:fldChar w:fldCharType="separate"/>
      </w:r>
      <w:r>
        <w:rPr>
          <w:rFonts w:hint="eastAsia" w:ascii="宋体" w:hAnsi="宋体" w:cs="宋体"/>
          <w:b/>
          <w:bCs/>
          <w:sz w:val="28"/>
          <w:szCs w:val="28"/>
        </w:rPr>
        <w:t>第三章  评标办法（综合计分法）</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_Toc20990 </w:instrText>
      </w:r>
      <w:r>
        <w:rPr>
          <w:rFonts w:hint="eastAsia" w:ascii="宋体" w:hAnsi="宋体" w:cs="宋体"/>
          <w:b/>
          <w:bCs/>
          <w:sz w:val="28"/>
          <w:szCs w:val="28"/>
        </w:rPr>
        <w:fldChar w:fldCharType="separate"/>
      </w:r>
      <w:r>
        <w:rPr>
          <w:rFonts w:hint="eastAsia" w:ascii="宋体" w:hAnsi="宋体" w:cs="宋体"/>
          <w:b/>
          <w:bCs/>
          <w:sz w:val="28"/>
          <w:szCs w:val="28"/>
        </w:rPr>
        <w:t>28</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1"/>
        <w:tabs>
          <w:tab w:val="right" w:leader="dot" w:pos="9638"/>
        </w:tabs>
        <w:rPr>
          <w:rFonts w:ascii="宋体" w:hAnsi="宋体" w:cs="宋体"/>
          <w:b/>
          <w:bCs/>
          <w:sz w:val="28"/>
          <w:szCs w:val="28"/>
        </w:rPr>
      </w:pPr>
      <w:r>
        <w:fldChar w:fldCharType="begin"/>
      </w:r>
      <w:r>
        <w:instrText xml:space="preserve"> HYPERLINK \l "_Toc11681" </w:instrText>
      </w:r>
      <w:r>
        <w:fldChar w:fldCharType="separate"/>
      </w:r>
      <w:r>
        <w:rPr>
          <w:rFonts w:hint="eastAsia" w:ascii="宋体" w:hAnsi="宋体" w:cs="宋体"/>
          <w:b/>
          <w:bCs/>
          <w:kern w:val="44"/>
          <w:sz w:val="28"/>
          <w:szCs w:val="28"/>
        </w:rPr>
        <w:t>第四章  合同条款及格式</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_Toc11681 </w:instrText>
      </w:r>
      <w:r>
        <w:rPr>
          <w:rFonts w:hint="eastAsia" w:ascii="宋体" w:hAnsi="宋体" w:cs="宋体"/>
          <w:b/>
          <w:bCs/>
          <w:sz w:val="28"/>
          <w:szCs w:val="28"/>
        </w:rPr>
        <w:fldChar w:fldCharType="separate"/>
      </w:r>
      <w:r>
        <w:rPr>
          <w:rFonts w:hint="eastAsia" w:ascii="宋体" w:hAnsi="宋体" w:cs="宋体"/>
          <w:b/>
          <w:bCs/>
          <w:sz w:val="28"/>
          <w:szCs w:val="28"/>
        </w:rPr>
        <w:t>38</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1"/>
        <w:tabs>
          <w:tab w:val="right" w:leader="dot" w:pos="9638"/>
        </w:tabs>
        <w:rPr>
          <w:rFonts w:ascii="宋体" w:hAnsi="宋体" w:cs="宋体"/>
          <w:b/>
          <w:bCs/>
          <w:sz w:val="28"/>
          <w:szCs w:val="28"/>
        </w:rPr>
      </w:pPr>
      <w:r>
        <w:fldChar w:fldCharType="begin"/>
      </w:r>
      <w:r>
        <w:instrText xml:space="preserve"> HYPERLINK \l "_Toc15573" </w:instrText>
      </w:r>
      <w:r>
        <w:fldChar w:fldCharType="separate"/>
      </w:r>
      <w:r>
        <w:rPr>
          <w:rFonts w:hint="eastAsia" w:ascii="宋体" w:hAnsi="宋体" w:cs="宋体"/>
          <w:b/>
          <w:bCs/>
          <w:kern w:val="44"/>
          <w:sz w:val="28"/>
          <w:szCs w:val="28"/>
        </w:rPr>
        <w:t>第五章  工程量清单</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_Toc15573 </w:instrText>
      </w:r>
      <w:r>
        <w:rPr>
          <w:rFonts w:hint="eastAsia" w:ascii="宋体" w:hAnsi="宋体" w:cs="宋体"/>
          <w:b/>
          <w:bCs/>
          <w:sz w:val="28"/>
          <w:szCs w:val="28"/>
        </w:rPr>
        <w:fldChar w:fldCharType="separate"/>
      </w:r>
      <w:r>
        <w:rPr>
          <w:rFonts w:hint="eastAsia" w:ascii="宋体" w:hAnsi="宋体" w:cs="宋体"/>
          <w:b/>
          <w:bCs/>
          <w:sz w:val="28"/>
          <w:szCs w:val="28"/>
        </w:rPr>
        <w:t>39</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1"/>
        <w:tabs>
          <w:tab w:val="right" w:leader="dot" w:pos="9638"/>
        </w:tabs>
        <w:rPr>
          <w:rFonts w:ascii="宋体" w:hAnsi="宋体" w:cs="宋体"/>
          <w:b/>
          <w:bCs/>
          <w:sz w:val="28"/>
          <w:szCs w:val="28"/>
        </w:rPr>
      </w:pPr>
      <w:r>
        <w:fldChar w:fldCharType="begin"/>
      </w:r>
      <w:r>
        <w:instrText xml:space="preserve"> HYPERLINK \l "_Toc9650" </w:instrText>
      </w:r>
      <w:r>
        <w:fldChar w:fldCharType="separate"/>
      </w:r>
      <w:r>
        <w:rPr>
          <w:rFonts w:hint="eastAsia" w:ascii="宋体" w:hAnsi="宋体" w:cs="宋体"/>
          <w:b/>
          <w:bCs/>
          <w:sz w:val="28"/>
          <w:szCs w:val="28"/>
        </w:rPr>
        <w:t>第六章  图 纸</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_Toc9650 </w:instrText>
      </w:r>
      <w:r>
        <w:rPr>
          <w:rFonts w:hint="eastAsia" w:ascii="宋体" w:hAnsi="宋体" w:cs="宋体"/>
          <w:b/>
          <w:bCs/>
          <w:sz w:val="28"/>
          <w:szCs w:val="28"/>
        </w:rPr>
        <w:fldChar w:fldCharType="separate"/>
      </w:r>
      <w:r>
        <w:rPr>
          <w:rFonts w:hint="eastAsia" w:ascii="宋体" w:hAnsi="宋体" w:cs="宋体"/>
          <w:b/>
          <w:bCs/>
          <w:sz w:val="28"/>
          <w:szCs w:val="28"/>
        </w:rPr>
        <w:t>46</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1"/>
        <w:tabs>
          <w:tab w:val="right" w:leader="dot" w:pos="9638"/>
        </w:tabs>
        <w:rPr>
          <w:rFonts w:ascii="宋体" w:hAnsi="宋体" w:cs="宋体"/>
          <w:b/>
          <w:bCs/>
          <w:sz w:val="28"/>
          <w:szCs w:val="28"/>
        </w:rPr>
      </w:pPr>
      <w:r>
        <w:fldChar w:fldCharType="begin"/>
      </w:r>
      <w:r>
        <w:instrText xml:space="preserve"> HYPERLINK \l "_Toc2791" </w:instrText>
      </w:r>
      <w:r>
        <w:fldChar w:fldCharType="separate"/>
      </w:r>
      <w:r>
        <w:rPr>
          <w:rFonts w:hint="eastAsia" w:ascii="宋体" w:hAnsi="宋体" w:cs="宋体"/>
          <w:b/>
          <w:bCs/>
          <w:sz w:val="28"/>
          <w:szCs w:val="28"/>
        </w:rPr>
        <w:t>第七章  技术标准和要求</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_Toc2791 </w:instrText>
      </w:r>
      <w:r>
        <w:rPr>
          <w:rFonts w:hint="eastAsia" w:ascii="宋体" w:hAnsi="宋体" w:cs="宋体"/>
          <w:b/>
          <w:bCs/>
          <w:sz w:val="28"/>
          <w:szCs w:val="28"/>
        </w:rPr>
        <w:fldChar w:fldCharType="separate"/>
      </w:r>
      <w:r>
        <w:rPr>
          <w:rFonts w:hint="eastAsia" w:ascii="宋体" w:hAnsi="宋体" w:cs="宋体"/>
          <w:b/>
          <w:bCs/>
          <w:sz w:val="28"/>
          <w:szCs w:val="28"/>
        </w:rPr>
        <w:t>47</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1"/>
        <w:tabs>
          <w:tab w:val="right" w:leader="dot" w:pos="9638"/>
        </w:tabs>
        <w:rPr>
          <w:rFonts w:ascii="宋体" w:hAnsi="宋体" w:cs="宋体"/>
          <w:b/>
          <w:bCs/>
          <w:sz w:val="28"/>
          <w:szCs w:val="28"/>
        </w:rPr>
      </w:pPr>
      <w:r>
        <w:fldChar w:fldCharType="begin"/>
      </w:r>
      <w:r>
        <w:instrText xml:space="preserve"> HYPERLINK \l "_Toc18525" </w:instrText>
      </w:r>
      <w:r>
        <w:fldChar w:fldCharType="separate"/>
      </w:r>
      <w:r>
        <w:rPr>
          <w:rFonts w:hint="eastAsia" w:ascii="宋体" w:hAnsi="宋体" w:cs="宋体"/>
          <w:b/>
          <w:bCs/>
          <w:sz w:val="28"/>
          <w:szCs w:val="28"/>
        </w:rPr>
        <w:t>第八章  投标文件格式</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_Toc18525 </w:instrText>
      </w:r>
      <w:r>
        <w:rPr>
          <w:rFonts w:hint="eastAsia" w:ascii="宋体" w:hAnsi="宋体" w:cs="宋体"/>
          <w:b/>
          <w:bCs/>
          <w:sz w:val="28"/>
          <w:szCs w:val="28"/>
        </w:rPr>
        <w:fldChar w:fldCharType="separate"/>
      </w:r>
      <w:r>
        <w:rPr>
          <w:rFonts w:hint="eastAsia" w:ascii="宋体" w:hAnsi="宋体" w:cs="宋体"/>
          <w:b/>
          <w:bCs/>
          <w:sz w:val="28"/>
          <w:szCs w:val="28"/>
        </w:rPr>
        <w:t>48</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ind w:firstLine="3032" w:firstLineChars="1083"/>
        <w:rPr>
          <w:rFonts w:hAnsi="宋体" w:cs="黑体"/>
          <w:b/>
          <w:sz w:val="32"/>
          <w:szCs w:val="32"/>
        </w:rPr>
      </w:pPr>
      <w:r>
        <w:rPr>
          <w:rFonts w:hint="eastAsia" w:ascii="宋体" w:hAnsi="宋体" w:cs="宋体"/>
          <w:b/>
          <w:bCs/>
          <w:sz w:val="28"/>
          <w:szCs w:val="28"/>
        </w:rPr>
        <w:fldChar w:fldCharType="end"/>
      </w:r>
    </w:p>
    <w:p>
      <w:pPr>
        <w:tabs>
          <w:tab w:val="left" w:pos="3185"/>
          <w:tab w:val="center" w:pos="5452"/>
        </w:tabs>
        <w:snapToGrid w:val="0"/>
        <w:spacing w:before="156" w:beforeLines="50"/>
        <w:ind w:firstLine="880" w:firstLineChars="200"/>
        <w:jc w:val="left"/>
        <w:rPr>
          <w:rFonts w:hAnsi="宋体" w:cs="黑体"/>
          <w:b/>
          <w:sz w:val="36"/>
          <w:szCs w:val="36"/>
        </w:rPr>
      </w:pPr>
      <w:r>
        <w:rPr>
          <w:rFonts w:hint="eastAsia" w:ascii="黑体" w:hAnsi="宋体" w:eastAsia="黑体"/>
          <w:b/>
          <w:sz w:val="44"/>
        </w:rPr>
        <w:t xml:space="preserve">                </w:t>
      </w:r>
      <w:bookmarkStart w:id="0" w:name="_Toc215282124"/>
    </w:p>
    <w:p>
      <w:pPr>
        <w:tabs>
          <w:tab w:val="left" w:pos="3185"/>
          <w:tab w:val="center" w:pos="5452"/>
        </w:tabs>
        <w:snapToGrid w:val="0"/>
        <w:spacing w:before="156" w:beforeLines="50"/>
        <w:jc w:val="left"/>
        <w:rPr>
          <w:rFonts w:hAnsi="宋体" w:cs="黑体"/>
          <w:b/>
          <w:sz w:val="36"/>
          <w:szCs w:val="36"/>
        </w:rPr>
      </w:pPr>
    </w:p>
    <w:p>
      <w:pPr>
        <w:tabs>
          <w:tab w:val="left" w:pos="3185"/>
          <w:tab w:val="center" w:pos="5452"/>
        </w:tabs>
        <w:snapToGrid w:val="0"/>
        <w:spacing w:before="156" w:beforeLines="50"/>
        <w:jc w:val="left"/>
        <w:rPr>
          <w:rFonts w:hAnsi="宋体" w:cs="黑体"/>
          <w:b/>
          <w:sz w:val="36"/>
          <w:szCs w:val="36"/>
        </w:rPr>
      </w:pPr>
    </w:p>
    <w:p>
      <w:pPr>
        <w:tabs>
          <w:tab w:val="left" w:pos="3185"/>
          <w:tab w:val="center" w:pos="5452"/>
        </w:tabs>
        <w:snapToGrid w:val="0"/>
        <w:spacing w:before="156" w:beforeLines="50"/>
        <w:jc w:val="left"/>
        <w:rPr>
          <w:rFonts w:hAnsi="宋体" w:cs="黑体"/>
          <w:b/>
          <w:sz w:val="36"/>
          <w:szCs w:val="36"/>
        </w:rPr>
      </w:pPr>
    </w:p>
    <w:p>
      <w:pPr>
        <w:tabs>
          <w:tab w:val="left" w:pos="3185"/>
          <w:tab w:val="center" w:pos="5452"/>
        </w:tabs>
        <w:snapToGrid w:val="0"/>
        <w:spacing w:before="156" w:beforeLines="50"/>
        <w:jc w:val="left"/>
        <w:rPr>
          <w:rFonts w:hAnsi="宋体" w:cs="黑体"/>
          <w:b/>
          <w:sz w:val="36"/>
          <w:szCs w:val="36"/>
        </w:rPr>
        <w:sectPr>
          <w:headerReference r:id="rId8" w:type="first"/>
          <w:footerReference r:id="rId10" w:type="first"/>
          <w:footerReference r:id="rId9" w:type="default"/>
          <w:pgSz w:w="11906" w:h="16838"/>
          <w:pgMar w:top="1304" w:right="1134" w:bottom="1304" w:left="1134" w:header="851" w:footer="992" w:gutter="0"/>
          <w:pgNumType w:start="1"/>
          <w:cols w:space="720" w:num="1"/>
          <w:titlePg/>
          <w:docGrid w:type="linesAndChars" w:linePitch="312" w:charSpace="0"/>
        </w:sectPr>
      </w:pPr>
    </w:p>
    <w:p>
      <w:pPr>
        <w:pStyle w:val="6"/>
        <w:spacing w:line="240" w:lineRule="auto"/>
      </w:pPr>
      <w:bookmarkStart w:id="1" w:name="_Toc18564"/>
      <w:bookmarkStart w:id="2" w:name="_Toc11428"/>
      <w:r>
        <w:rPr>
          <w:rFonts w:hint="eastAsia"/>
        </w:rPr>
        <w:t>第一章  招标公告</w:t>
      </w:r>
      <w:bookmarkEnd w:id="1"/>
      <w:bookmarkEnd w:id="2"/>
    </w:p>
    <w:p>
      <w:pPr>
        <w:widowControl/>
        <w:spacing w:line="312" w:lineRule="auto"/>
        <w:jc w:val="center"/>
        <w:rPr>
          <w:b/>
          <w:sz w:val="32"/>
          <w:szCs w:val="32"/>
        </w:rPr>
      </w:pPr>
      <w:bookmarkStart w:id="3" w:name="_Toc15375"/>
      <w:bookmarkStart w:id="4" w:name="_Toc1722"/>
      <w:r>
        <w:rPr>
          <w:rFonts w:hint="eastAsia"/>
          <w:b/>
          <w:sz w:val="32"/>
          <w:szCs w:val="32"/>
          <w:lang w:eastAsia="zh-CN"/>
        </w:rPr>
        <w:t>襄城县汾陈镇2017至2019年通村公路建设项目</w:t>
      </w:r>
      <w:r>
        <w:rPr>
          <w:rFonts w:hint="eastAsia"/>
          <w:b/>
          <w:sz w:val="32"/>
          <w:szCs w:val="32"/>
        </w:rPr>
        <w:t>招标公告</w:t>
      </w:r>
    </w:p>
    <w:p>
      <w:pPr>
        <w:widowControl/>
        <w:spacing w:line="460" w:lineRule="exact"/>
        <w:ind w:firstLine="480" w:firstLineChars="200"/>
        <w:rPr>
          <w:rFonts w:hAnsi="宋体"/>
          <w:b/>
          <w:sz w:val="24"/>
        </w:rPr>
      </w:pPr>
      <w:r>
        <w:rPr>
          <w:rFonts w:hint="eastAsia" w:hAnsi="宋体"/>
          <w:b/>
          <w:sz w:val="24"/>
        </w:rPr>
        <w:t>1、招标条件</w:t>
      </w:r>
    </w:p>
    <w:p>
      <w:pPr>
        <w:widowControl/>
        <w:spacing w:line="460" w:lineRule="exact"/>
        <w:ind w:firstLine="480" w:firstLineChars="200"/>
        <w:jc w:val="left"/>
        <w:rPr>
          <w:rFonts w:hAnsi="宋体"/>
          <w:sz w:val="24"/>
        </w:rPr>
      </w:pPr>
      <w:r>
        <w:rPr>
          <w:rFonts w:hint="eastAsia" w:hAnsi="宋体"/>
          <w:sz w:val="24"/>
          <w:lang w:eastAsia="zh-CN"/>
        </w:rPr>
        <w:t>襄城县汾陈镇2017至2019年通村公路建设项目</w:t>
      </w:r>
      <w:r>
        <w:rPr>
          <w:rFonts w:hint="eastAsia" w:hAnsi="宋体"/>
          <w:sz w:val="24"/>
        </w:rPr>
        <w:t>，已由相关部门批准建设，招标人为</w:t>
      </w:r>
      <w:r>
        <w:rPr>
          <w:rFonts w:hint="eastAsia" w:hAnsi="宋体"/>
          <w:sz w:val="24"/>
          <w:lang w:eastAsia="zh-CN"/>
        </w:rPr>
        <w:t xml:space="preserve">襄城县汾陈镇人民政府 </w:t>
      </w:r>
      <w:r>
        <w:rPr>
          <w:rFonts w:hint="eastAsia" w:hAnsi="宋体"/>
          <w:sz w:val="24"/>
        </w:rPr>
        <w:t>。建设资金为财政资金，项目已具备招标条件，现对该项目进行公开招标。</w:t>
      </w:r>
    </w:p>
    <w:p>
      <w:pPr>
        <w:widowControl/>
        <w:spacing w:line="460" w:lineRule="exact"/>
        <w:ind w:firstLine="480" w:firstLineChars="200"/>
        <w:rPr>
          <w:rFonts w:hAnsi="宋体"/>
          <w:b/>
          <w:sz w:val="24"/>
        </w:rPr>
      </w:pPr>
      <w:r>
        <w:rPr>
          <w:rFonts w:hint="eastAsia" w:hAnsi="宋体"/>
          <w:b/>
          <w:sz w:val="24"/>
        </w:rPr>
        <w:t>2、项目概况与招标内容</w:t>
      </w:r>
    </w:p>
    <w:p>
      <w:pPr>
        <w:widowControl/>
        <w:spacing w:line="460" w:lineRule="exact"/>
        <w:ind w:firstLine="480" w:firstLineChars="200"/>
        <w:jc w:val="left"/>
        <w:rPr>
          <w:rFonts w:hint="default" w:hAnsi="宋体" w:eastAsia="宋体"/>
          <w:sz w:val="24"/>
          <w:lang w:val="en-US" w:eastAsia="zh-CN"/>
        </w:rPr>
      </w:pPr>
      <w:r>
        <w:rPr>
          <w:rFonts w:hint="eastAsia" w:hAnsi="宋体"/>
          <w:sz w:val="24"/>
        </w:rPr>
        <w:t>2.1项目编号： XZ【2020】</w:t>
      </w:r>
      <w:r>
        <w:rPr>
          <w:rFonts w:hint="eastAsia" w:hAnsi="宋体"/>
          <w:sz w:val="24"/>
          <w:lang w:val="en-US" w:eastAsia="zh-CN"/>
        </w:rPr>
        <w:t>016</w:t>
      </w:r>
    </w:p>
    <w:p>
      <w:pPr>
        <w:widowControl/>
        <w:spacing w:line="460" w:lineRule="exact"/>
        <w:ind w:firstLine="480" w:firstLineChars="200"/>
        <w:jc w:val="left"/>
        <w:rPr>
          <w:rFonts w:hAnsi="宋体"/>
          <w:sz w:val="24"/>
        </w:rPr>
      </w:pPr>
      <w:r>
        <w:rPr>
          <w:rFonts w:hint="eastAsia" w:hAnsi="宋体"/>
          <w:sz w:val="24"/>
        </w:rPr>
        <w:t>2.2项目概况：本项目为</w:t>
      </w:r>
      <w:r>
        <w:rPr>
          <w:rFonts w:hint="eastAsia" w:hAnsi="宋体"/>
          <w:sz w:val="24"/>
          <w:lang w:eastAsia="zh-CN"/>
        </w:rPr>
        <w:t>襄城县汾陈镇2017至2019年通村公路建设项目</w:t>
      </w:r>
      <w:r>
        <w:rPr>
          <w:rFonts w:hint="eastAsia" w:hAnsi="宋体"/>
          <w:sz w:val="24"/>
        </w:rPr>
        <w:t>，具体内容详见招标文件；</w:t>
      </w:r>
    </w:p>
    <w:p>
      <w:pPr>
        <w:spacing w:line="460" w:lineRule="exact"/>
        <w:ind w:firstLine="480" w:firstLineChars="200"/>
        <w:jc w:val="left"/>
        <w:rPr>
          <w:rFonts w:hAnsi="宋体"/>
          <w:color w:val="auto"/>
          <w:sz w:val="24"/>
          <w:szCs w:val="28"/>
        </w:rPr>
      </w:pPr>
      <w:r>
        <w:rPr>
          <w:rFonts w:hint="eastAsia" w:hAnsi="宋体"/>
          <w:sz w:val="24"/>
          <w:szCs w:val="28"/>
        </w:rPr>
        <w:t>2.</w:t>
      </w:r>
      <w:r>
        <w:rPr>
          <w:rFonts w:hint="eastAsia" w:hAnsi="宋体"/>
          <w:color w:val="auto"/>
          <w:sz w:val="24"/>
          <w:szCs w:val="28"/>
        </w:rPr>
        <w:t>3招标控制价：</w:t>
      </w:r>
      <w:r>
        <w:rPr>
          <w:rFonts w:hint="eastAsia" w:hAnsi="宋体"/>
          <w:color w:val="auto"/>
          <w:sz w:val="24"/>
          <w:szCs w:val="28"/>
          <w:lang w:val="en-US" w:eastAsia="zh-CN"/>
        </w:rPr>
        <w:t>2601572.57</w:t>
      </w:r>
      <w:r>
        <w:rPr>
          <w:rFonts w:hint="eastAsia" w:hAnsi="宋体"/>
          <w:color w:val="auto"/>
          <w:sz w:val="24"/>
          <w:szCs w:val="28"/>
        </w:rPr>
        <w:t>元；（单位工程的分部分项工程费总额、措施项目费总额、其他项目费总额、规费总额和税金总额等详见附件）；</w:t>
      </w:r>
    </w:p>
    <w:p>
      <w:pPr>
        <w:spacing w:line="360" w:lineRule="auto"/>
        <w:ind w:firstLine="480" w:firstLineChars="200"/>
        <w:jc w:val="left"/>
        <w:rPr>
          <w:rFonts w:hAnsi="宋体"/>
          <w:color w:val="auto"/>
          <w:sz w:val="24"/>
          <w:szCs w:val="28"/>
        </w:rPr>
      </w:pPr>
      <w:r>
        <w:rPr>
          <w:rFonts w:hint="eastAsia" w:hAnsi="宋体"/>
          <w:color w:val="auto"/>
          <w:sz w:val="24"/>
          <w:szCs w:val="28"/>
        </w:rPr>
        <w:t>2.4招标范围：招标文件、工程量清单、答疑纪要和补充文件（如有）范围内的所有建设内容。</w:t>
      </w:r>
    </w:p>
    <w:p>
      <w:pPr>
        <w:spacing w:line="360" w:lineRule="auto"/>
        <w:ind w:firstLine="480" w:firstLineChars="200"/>
        <w:jc w:val="left"/>
        <w:rPr>
          <w:rFonts w:ascii="宋体" w:hAnsi="宋体"/>
          <w:color w:val="auto"/>
          <w:kern w:val="0"/>
          <w:sz w:val="24"/>
          <w:szCs w:val="28"/>
        </w:rPr>
      </w:pPr>
      <w:r>
        <w:rPr>
          <w:rFonts w:hint="eastAsia" w:hAnsi="宋体"/>
          <w:color w:val="auto"/>
          <w:sz w:val="24"/>
          <w:szCs w:val="28"/>
        </w:rPr>
        <w:t>2.5标段划分：</w:t>
      </w:r>
      <w:r>
        <w:rPr>
          <w:rFonts w:hint="eastAsia" w:hAnsi="宋体"/>
          <w:color w:val="auto"/>
          <w:sz w:val="24"/>
          <w:szCs w:val="28"/>
          <w:lang w:val="en-US" w:eastAsia="zh-CN"/>
        </w:rPr>
        <w:t>1</w:t>
      </w:r>
      <w:r>
        <w:rPr>
          <w:rFonts w:hint="eastAsia"/>
          <w:bCs/>
          <w:color w:val="auto"/>
          <w:sz w:val="24"/>
          <w:szCs w:val="24"/>
        </w:rPr>
        <w:t>个</w:t>
      </w:r>
      <w:r>
        <w:rPr>
          <w:bCs/>
          <w:color w:val="auto"/>
          <w:sz w:val="24"/>
          <w:szCs w:val="24"/>
        </w:rPr>
        <w:t>标段</w:t>
      </w:r>
      <w:r>
        <w:rPr>
          <w:rFonts w:hint="eastAsia" w:hAnsi="宋体"/>
          <w:color w:val="auto"/>
          <w:sz w:val="24"/>
        </w:rPr>
        <w:t>；</w:t>
      </w:r>
    </w:p>
    <w:p>
      <w:pPr>
        <w:spacing w:line="460" w:lineRule="exact"/>
        <w:ind w:firstLine="480" w:firstLineChars="200"/>
        <w:jc w:val="left"/>
        <w:rPr>
          <w:rFonts w:hAnsi="宋体"/>
          <w:color w:val="auto"/>
          <w:sz w:val="24"/>
          <w:szCs w:val="28"/>
        </w:rPr>
      </w:pPr>
      <w:r>
        <w:rPr>
          <w:rFonts w:hint="eastAsia" w:hAnsi="宋体"/>
          <w:color w:val="auto"/>
          <w:sz w:val="24"/>
          <w:szCs w:val="28"/>
        </w:rPr>
        <w:t>2.6计划工期：</w:t>
      </w:r>
      <w:r>
        <w:rPr>
          <w:rFonts w:hint="eastAsia" w:hAnsi="宋体"/>
          <w:color w:val="auto"/>
          <w:sz w:val="24"/>
          <w:szCs w:val="28"/>
          <w:lang w:val="en-US" w:eastAsia="zh-CN"/>
        </w:rPr>
        <w:t>30</w:t>
      </w:r>
      <w:r>
        <w:rPr>
          <w:rFonts w:hint="eastAsia" w:hAnsi="宋体"/>
          <w:color w:val="auto"/>
          <w:sz w:val="24"/>
          <w:szCs w:val="28"/>
        </w:rPr>
        <w:t>日历天；</w:t>
      </w:r>
    </w:p>
    <w:p>
      <w:pPr>
        <w:widowControl/>
        <w:spacing w:line="460" w:lineRule="exact"/>
        <w:ind w:firstLine="480" w:firstLineChars="200"/>
        <w:jc w:val="left"/>
        <w:rPr>
          <w:rFonts w:hAnsi="宋体"/>
          <w:color w:val="auto"/>
          <w:sz w:val="24"/>
        </w:rPr>
      </w:pPr>
      <w:r>
        <w:rPr>
          <w:rFonts w:hint="eastAsia" w:hAnsi="宋体"/>
          <w:color w:val="auto"/>
          <w:sz w:val="24"/>
        </w:rPr>
        <w:t>2.7质量要求：合格。</w:t>
      </w:r>
    </w:p>
    <w:p>
      <w:pPr>
        <w:spacing w:line="360" w:lineRule="auto"/>
        <w:ind w:firstLine="480" w:firstLineChars="200"/>
        <w:outlineLvl w:val="0"/>
        <w:rPr>
          <w:rFonts w:hAnsi="宋体"/>
          <w:b/>
          <w:sz w:val="24"/>
        </w:rPr>
      </w:pPr>
      <w:r>
        <w:rPr>
          <w:rFonts w:hint="eastAsia" w:hAnsi="宋体"/>
          <w:b/>
          <w:sz w:val="24"/>
        </w:rPr>
        <w:t>3、投标人资格要求</w:t>
      </w:r>
    </w:p>
    <w:p>
      <w:pPr>
        <w:spacing w:line="460" w:lineRule="exact"/>
        <w:ind w:firstLine="480" w:firstLineChars="200"/>
        <w:outlineLvl w:val="0"/>
        <w:rPr>
          <w:rFonts w:hAnsi="宋体"/>
          <w:bCs/>
          <w:sz w:val="24"/>
          <w:szCs w:val="24"/>
        </w:rPr>
      </w:pPr>
      <w:r>
        <w:rPr>
          <w:rFonts w:hint="eastAsia" w:hAnsi="宋体"/>
          <w:bCs/>
          <w:sz w:val="24"/>
          <w:szCs w:val="24"/>
        </w:rPr>
        <w:t>3.1投标人须具有独立的法人资格，具有合格有效的营业执照；</w:t>
      </w:r>
    </w:p>
    <w:p>
      <w:pPr>
        <w:spacing w:line="460" w:lineRule="exact"/>
        <w:ind w:firstLine="480" w:firstLineChars="200"/>
        <w:outlineLvl w:val="0"/>
        <w:rPr>
          <w:rFonts w:hAnsi="宋体"/>
          <w:bCs/>
          <w:sz w:val="24"/>
          <w:szCs w:val="24"/>
          <w:highlight w:val="none"/>
        </w:rPr>
      </w:pPr>
      <w:r>
        <w:rPr>
          <w:rFonts w:hint="eastAsia" w:hAnsi="宋体"/>
          <w:bCs/>
          <w:sz w:val="24"/>
          <w:szCs w:val="24"/>
          <w:highlight w:val="none"/>
        </w:rPr>
        <w:t>3.2投标人须具备建设行政主管部门颁发的市政公用工程施工总承包</w:t>
      </w:r>
      <w:r>
        <w:rPr>
          <w:rFonts w:hint="eastAsia" w:hAnsi="宋体"/>
          <w:bCs/>
          <w:sz w:val="24"/>
          <w:szCs w:val="24"/>
          <w:highlight w:val="none"/>
          <w:lang w:eastAsia="zh-CN"/>
        </w:rPr>
        <w:t>叁</w:t>
      </w:r>
      <w:r>
        <w:rPr>
          <w:rFonts w:hint="eastAsia" w:hAnsi="宋体"/>
          <w:bCs/>
          <w:sz w:val="24"/>
          <w:szCs w:val="24"/>
          <w:highlight w:val="none"/>
        </w:rPr>
        <w:t>级及以上资质</w:t>
      </w:r>
      <w:r>
        <w:rPr>
          <w:rFonts w:hint="eastAsia" w:hAnsi="宋体"/>
          <w:bCs/>
          <w:sz w:val="24"/>
          <w:szCs w:val="24"/>
          <w:highlight w:val="none"/>
          <w:lang w:eastAsia="zh-CN"/>
        </w:rPr>
        <w:t>或公路工程施工总承包叁</w:t>
      </w:r>
      <w:r>
        <w:rPr>
          <w:rFonts w:hint="eastAsia" w:hAnsi="宋体"/>
          <w:bCs/>
          <w:sz w:val="24"/>
          <w:szCs w:val="24"/>
          <w:highlight w:val="none"/>
        </w:rPr>
        <w:t>级及以上资质，且具有有效的安全生产许可证，并在人员、设备、资金等方面具有相应的施工能力；</w:t>
      </w:r>
    </w:p>
    <w:p>
      <w:pPr>
        <w:spacing w:line="460" w:lineRule="exact"/>
        <w:ind w:firstLine="480" w:firstLineChars="200"/>
        <w:outlineLvl w:val="0"/>
        <w:rPr>
          <w:rFonts w:hAnsi="宋体"/>
          <w:bCs/>
          <w:sz w:val="24"/>
          <w:szCs w:val="24"/>
          <w:highlight w:val="none"/>
        </w:rPr>
      </w:pPr>
      <w:r>
        <w:rPr>
          <w:rFonts w:hint="eastAsia" w:hAnsi="宋体"/>
          <w:bCs/>
          <w:sz w:val="24"/>
          <w:szCs w:val="24"/>
          <w:highlight w:val="none"/>
        </w:rPr>
        <w:t>3.3拟派项目经理须具有市政工程</w:t>
      </w:r>
      <w:r>
        <w:rPr>
          <w:rFonts w:hint="eastAsia" w:hAnsi="宋体"/>
          <w:bCs/>
          <w:sz w:val="24"/>
          <w:szCs w:val="24"/>
          <w:highlight w:val="none"/>
          <w:lang w:eastAsia="zh-CN"/>
        </w:rPr>
        <w:t>或公路工程</w:t>
      </w:r>
      <w:r>
        <w:rPr>
          <w:rFonts w:hint="eastAsia" w:hAnsi="宋体"/>
          <w:bCs/>
          <w:sz w:val="24"/>
          <w:szCs w:val="24"/>
          <w:highlight w:val="none"/>
        </w:rPr>
        <w:t>专业贰级及以上注册建造师资格证书（不含临时），并具有有效的安全生产考核合格证书，且未担任其他正在施工建设工程的项目经理（承诺书由法定代表人及项目经理签名并加盖单位公章）；</w:t>
      </w:r>
    </w:p>
    <w:p>
      <w:pPr>
        <w:spacing w:line="460" w:lineRule="exact"/>
        <w:ind w:firstLine="480" w:firstLineChars="200"/>
        <w:outlineLvl w:val="0"/>
        <w:rPr>
          <w:rFonts w:hAnsi="宋体"/>
          <w:bCs/>
          <w:sz w:val="24"/>
          <w:szCs w:val="24"/>
        </w:rPr>
      </w:pPr>
      <w:r>
        <w:rPr>
          <w:rFonts w:hint="eastAsia" w:hAnsi="宋体"/>
          <w:bCs/>
          <w:sz w:val="24"/>
          <w:szCs w:val="24"/>
        </w:rPr>
        <w:t>3.4拟派技术负责人须具有相关专业中级及以上职称；</w:t>
      </w:r>
    </w:p>
    <w:p>
      <w:pPr>
        <w:spacing w:line="460" w:lineRule="exact"/>
        <w:ind w:firstLine="480" w:firstLineChars="200"/>
        <w:outlineLvl w:val="0"/>
        <w:rPr>
          <w:rFonts w:hAnsi="宋体"/>
          <w:bCs/>
          <w:sz w:val="24"/>
          <w:szCs w:val="24"/>
        </w:rPr>
      </w:pPr>
      <w:r>
        <w:rPr>
          <w:rFonts w:hint="eastAsia" w:hAnsi="宋体"/>
          <w:bCs/>
          <w:sz w:val="24"/>
          <w:szCs w:val="24"/>
        </w:rPr>
        <w:t>3.5投标企业未被列入信用中国网站信用记录失信被执行人、重大税收违法案件当事人名单、严重违法失信行为记录名单（查询网站：信用中国，提供报名时间内网站查询截图）。投标人提供工商企业信用信息公示报告（国家企业信用信息公示系统http://www.gsxt.gov.cn），【提供报名时间内网站查询截图，未被列入经营异常名录信息、列入严重违法失信企业名单（黑名单）信息内容】。投标人未被列入信用河南（河南省投标企业提供）网站（http://www.credithn.gov.cn/）信用信息栏黑名单并提供报名时间内网站查询截图；</w:t>
      </w:r>
    </w:p>
    <w:p>
      <w:pPr>
        <w:spacing w:line="460" w:lineRule="exact"/>
        <w:ind w:firstLine="480" w:firstLineChars="200"/>
        <w:outlineLvl w:val="0"/>
        <w:rPr>
          <w:rFonts w:hAnsi="宋体"/>
          <w:bCs/>
          <w:sz w:val="24"/>
          <w:szCs w:val="24"/>
        </w:rPr>
      </w:pPr>
      <w:r>
        <w:rPr>
          <w:rFonts w:hint="eastAsia" w:hAnsi="宋体"/>
          <w:bCs/>
          <w:sz w:val="24"/>
          <w:szCs w:val="24"/>
        </w:rPr>
        <w:t>3.6投标人须提供许昌公共资源交易信用管理平台投标单位诚信承诺书网页截图；</w:t>
      </w:r>
    </w:p>
    <w:p>
      <w:pPr>
        <w:spacing w:line="460" w:lineRule="exact"/>
        <w:ind w:firstLine="480" w:firstLineChars="200"/>
        <w:outlineLvl w:val="0"/>
        <w:rPr>
          <w:rFonts w:hAnsi="宋体"/>
          <w:bCs/>
          <w:sz w:val="24"/>
          <w:szCs w:val="24"/>
        </w:rPr>
      </w:pPr>
      <w:r>
        <w:rPr>
          <w:rFonts w:hint="eastAsia" w:hAnsi="宋体"/>
          <w:bCs/>
          <w:sz w:val="24"/>
          <w:szCs w:val="24"/>
        </w:rPr>
        <w:t>3.7本项目不接受联合体投标；</w:t>
      </w:r>
    </w:p>
    <w:p>
      <w:pPr>
        <w:spacing w:line="460" w:lineRule="exact"/>
        <w:ind w:firstLine="480" w:firstLineChars="200"/>
        <w:outlineLvl w:val="0"/>
      </w:pPr>
      <w:r>
        <w:rPr>
          <w:rFonts w:hint="eastAsia" w:hAnsi="宋体"/>
          <w:bCs/>
          <w:sz w:val="24"/>
          <w:szCs w:val="24"/>
        </w:rPr>
        <w:t>3.8本次招标实行资格后审；</w:t>
      </w:r>
    </w:p>
    <w:p>
      <w:pPr>
        <w:tabs>
          <w:tab w:val="left" w:pos="7095"/>
        </w:tabs>
        <w:spacing w:line="360" w:lineRule="auto"/>
        <w:ind w:firstLine="480" w:firstLineChars="200"/>
        <w:rPr>
          <w:rFonts w:hAnsi="宋体"/>
          <w:b/>
          <w:bCs/>
          <w:sz w:val="24"/>
          <w:szCs w:val="24"/>
        </w:rPr>
      </w:pPr>
      <w:r>
        <w:rPr>
          <w:rFonts w:hint="eastAsia" w:hAnsi="宋体"/>
          <w:b/>
          <w:bCs/>
          <w:sz w:val="24"/>
          <w:szCs w:val="24"/>
        </w:rPr>
        <w:t>4、网上下载招标文件</w:t>
      </w:r>
    </w:p>
    <w:p>
      <w:pPr>
        <w:tabs>
          <w:tab w:val="left" w:pos="7095"/>
        </w:tabs>
        <w:spacing w:line="360" w:lineRule="auto"/>
        <w:ind w:firstLine="480" w:firstLineChars="200"/>
        <w:rPr>
          <w:rFonts w:hAnsi="宋体"/>
          <w:sz w:val="24"/>
          <w:szCs w:val="24"/>
        </w:rPr>
      </w:pPr>
      <w:r>
        <w:rPr>
          <w:rFonts w:hint="eastAsia" w:hAnsi="宋体"/>
          <w:sz w:val="24"/>
          <w:szCs w:val="24"/>
        </w:rPr>
        <w:t>4.1投标人持CA数字认证证书，登录《全国公共资源交易平台（河南省·许昌市）》“系统用户注册”入口（http://ggzy.xuchang.gov.cn）进行免费注册登记（详见“常见问题解答-诚信库网上注册相关资料下载”）；</w:t>
      </w:r>
    </w:p>
    <w:p>
      <w:pPr>
        <w:tabs>
          <w:tab w:val="left" w:pos="7095"/>
        </w:tabs>
        <w:spacing w:line="360" w:lineRule="auto"/>
        <w:ind w:firstLine="480" w:firstLineChars="200"/>
        <w:rPr>
          <w:rFonts w:hAnsi="宋体"/>
          <w:sz w:val="24"/>
          <w:szCs w:val="24"/>
        </w:rPr>
      </w:pPr>
      <w:r>
        <w:rPr>
          <w:rFonts w:hint="eastAsia" w:hAnsi="宋体"/>
          <w:sz w:val="24"/>
          <w:szCs w:val="24"/>
        </w:rPr>
        <w:t>4.2在投标截止时间前登录《全国公共资源交易平台（河南省·许昌市）》“投标人/供应商登录”入口（http://ggzy.xuchang.gov.cn）自行下载招标文件（详见“常见问题解答-交易系统操作手册”）。</w:t>
      </w:r>
    </w:p>
    <w:p>
      <w:pPr>
        <w:tabs>
          <w:tab w:val="left" w:pos="7095"/>
        </w:tabs>
        <w:spacing w:line="360" w:lineRule="auto"/>
        <w:ind w:firstLine="480" w:firstLineChars="200"/>
        <w:rPr>
          <w:rFonts w:hAnsi="宋体"/>
          <w:b/>
          <w:bCs/>
          <w:sz w:val="24"/>
          <w:szCs w:val="24"/>
        </w:rPr>
      </w:pPr>
      <w:r>
        <w:rPr>
          <w:rFonts w:hint="eastAsia" w:hAnsi="宋体"/>
          <w:b/>
          <w:bCs/>
          <w:sz w:val="24"/>
          <w:szCs w:val="24"/>
        </w:rPr>
        <w:t>5、招标文件和施工图纸的获取</w:t>
      </w:r>
    </w:p>
    <w:p>
      <w:pPr>
        <w:tabs>
          <w:tab w:val="left" w:pos="7095"/>
        </w:tabs>
        <w:spacing w:line="360" w:lineRule="auto"/>
        <w:ind w:firstLine="480" w:firstLineChars="200"/>
        <w:rPr>
          <w:rFonts w:hAnsi="宋体"/>
          <w:sz w:val="24"/>
          <w:szCs w:val="24"/>
        </w:rPr>
      </w:pPr>
      <w:r>
        <w:rPr>
          <w:rFonts w:hint="eastAsia" w:hAnsi="宋体"/>
          <w:sz w:val="24"/>
          <w:szCs w:val="24"/>
        </w:rPr>
        <w:t>5.1招标文件和工程量清单的获取：投标人于投标文件递交截止时间前均可登录</w:t>
      </w:r>
      <w:r>
        <w:rPr>
          <w:rFonts w:hint="eastAsia"/>
          <w:szCs w:val="24"/>
        </w:rPr>
        <w:t>《</w:t>
      </w:r>
      <w:r>
        <w:rPr>
          <w:rFonts w:hint="eastAsia" w:hAnsi="宋体"/>
          <w:sz w:val="24"/>
          <w:szCs w:val="24"/>
        </w:rPr>
        <w:t>全国公共资源交易平台(河南省▪许昌市)</w:t>
      </w:r>
      <w:r>
        <w:rPr>
          <w:rFonts w:hint="eastAsia"/>
          <w:szCs w:val="24"/>
        </w:rPr>
        <w:t>》</w:t>
      </w:r>
      <w:r>
        <w:rPr>
          <w:rFonts w:hint="eastAsia" w:hAnsi="宋体"/>
          <w:sz w:val="24"/>
          <w:szCs w:val="24"/>
        </w:rPr>
        <w:t>（http://ggzy.xuchang.gov.cn），通过“投标人/供应商登录” 入口自行下载。</w:t>
      </w:r>
    </w:p>
    <w:p>
      <w:pPr>
        <w:tabs>
          <w:tab w:val="left" w:pos="7095"/>
        </w:tabs>
        <w:spacing w:line="360" w:lineRule="auto"/>
        <w:ind w:firstLine="480" w:firstLineChars="200"/>
        <w:rPr>
          <w:rFonts w:hAnsi="宋体"/>
          <w:sz w:val="24"/>
          <w:szCs w:val="24"/>
        </w:rPr>
      </w:pPr>
      <w:r>
        <w:rPr>
          <w:rFonts w:hint="eastAsia" w:hAnsi="宋体"/>
          <w:sz w:val="24"/>
          <w:szCs w:val="24"/>
        </w:rPr>
        <w:t>5.2施工图纸下载：按照招标文件中第二章投标人须知前附表第2.1项所给的网址自行下载。</w:t>
      </w:r>
    </w:p>
    <w:p>
      <w:pPr>
        <w:autoSpaceDE w:val="0"/>
        <w:autoSpaceDN w:val="0"/>
        <w:adjustRightInd w:val="0"/>
        <w:spacing w:line="360" w:lineRule="auto"/>
        <w:ind w:firstLine="480" w:firstLineChars="200"/>
        <w:jc w:val="left"/>
        <w:rPr>
          <w:rFonts w:hAnsi="宋体" w:cs="宋体"/>
          <w:b/>
          <w:bCs/>
          <w:sz w:val="24"/>
        </w:rPr>
      </w:pPr>
      <w:r>
        <w:rPr>
          <w:rFonts w:hint="eastAsia" w:hAnsi="宋体"/>
          <w:sz w:val="24"/>
          <w:szCs w:val="24"/>
        </w:rPr>
        <w:t>5.3招标文件每套售价</w:t>
      </w:r>
      <w:r>
        <w:rPr>
          <w:rFonts w:hint="eastAsia" w:hAnsi="宋体"/>
          <w:sz w:val="24"/>
          <w:szCs w:val="24"/>
          <w:u w:val="single"/>
        </w:rPr>
        <w:t>300</w:t>
      </w:r>
      <w:r>
        <w:rPr>
          <w:rFonts w:hint="eastAsia" w:hAnsi="宋体"/>
          <w:sz w:val="24"/>
          <w:szCs w:val="24"/>
        </w:rPr>
        <w:t>元，于提交电子投标文件时缴纳给招标代理机构，售后不退</w:t>
      </w:r>
      <w:r>
        <w:rPr>
          <w:rFonts w:hint="eastAsia" w:hAnsi="宋体" w:cs="宋体"/>
          <w:sz w:val="24"/>
        </w:rPr>
        <w:t>。</w:t>
      </w:r>
    </w:p>
    <w:p>
      <w:pPr>
        <w:autoSpaceDE w:val="0"/>
        <w:autoSpaceDN w:val="0"/>
        <w:adjustRightInd w:val="0"/>
        <w:spacing w:line="360" w:lineRule="auto"/>
        <w:ind w:firstLine="480" w:firstLineChars="200"/>
        <w:jc w:val="left"/>
        <w:rPr>
          <w:rFonts w:hAnsi="宋体" w:cs="宋体"/>
          <w:b/>
          <w:bCs/>
          <w:sz w:val="24"/>
        </w:rPr>
      </w:pPr>
      <w:r>
        <w:rPr>
          <w:rFonts w:hint="eastAsia" w:hAnsi="宋体" w:cs="宋体"/>
          <w:b/>
          <w:bCs/>
          <w:sz w:val="24"/>
        </w:rPr>
        <w:t>6、投标文件的提交</w:t>
      </w:r>
    </w:p>
    <w:p>
      <w:pPr>
        <w:spacing w:line="360" w:lineRule="auto"/>
        <w:ind w:firstLine="480" w:firstLineChars="200"/>
        <w:rPr>
          <w:rFonts w:ascii="宋体" w:hAnsi="宋体" w:cs="宋体"/>
          <w:sz w:val="24"/>
        </w:rPr>
      </w:pPr>
      <w:r>
        <w:rPr>
          <w:rFonts w:hint="eastAsia" w:ascii="宋体" w:hAnsi="宋体" w:cs="宋体"/>
          <w:sz w:val="24"/>
        </w:rPr>
        <w:t>6.1全流程电子化交易项目，须提交电子介质存储的备份文件</w:t>
      </w:r>
      <w:r>
        <w:rPr>
          <w:rFonts w:hint="eastAsia" w:ascii="宋体" w:hAnsi="宋体" w:cs="宋体"/>
          <w:sz w:val="24"/>
          <w:lang w:val="en-US" w:eastAsia="zh-CN"/>
        </w:rPr>
        <w:t>3</w:t>
      </w:r>
      <w:r>
        <w:rPr>
          <w:rFonts w:hint="eastAsia" w:ascii="宋体" w:hAnsi="宋体" w:cs="宋体"/>
          <w:sz w:val="24"/>
        </w:rPr>
        <w:t>份并分开单独密封。</w:t>
      </w:r>
    </w:p>
    <w:p>
      <w:pPr>
        <w:spacing w:line="360" w:lineRule="auto"/>
        <w:ind w:firstLine="480" w:firstLineChars="200"/>
        <w:rPr>
          <w:rFonts w:ascii="宋体" w:hAnsi="宋体" w:cs="宋体"/>
          <w:sz w:val="24"/>
          <w:szCs w:val="24"/>
        </w:rPr>
      </w:pPr>
      <w:r>
        <w:rPr>
          <w:rFonts w:hint="eastAsia" w:ascii="宋体" w:hAnsi="宋体" w:cs="宋体"/>
          <w:sz w:val="24"/>
        </w:rPr>
        <w:t>6.2电子投标文件的提交：电子投标文件应在投标文件提交截止时间（开标时间）之前成功提交至《全国公共资源交易平台(河南省▪许昌市)》</w:t>
      </w:r>
      <w:r>
        <w:rPr>
          <w:rFonts w:hint="eastAsia" w:ascii="宋体" w:hAnsi="宋体" w:cs="宋体"/>
          <w:sz w:val="24"/>
          <w:szCs w:val="24"/>
        </w:rPr>
        <w:t>公共资源交易系统，同时提交</w:t>
      </w:r>
      <w:r>
        <w:rPr>
          <w:rFonts w:hint="eastAsia" w:ascii="宋体" w:hAnsi="宋体" w:cs="宋体"/>
          <w:sz w:val="24"/>
          <w:szCs w:val="24"/>
          <w:lang w:val="en-US" w:eastAsia="zh-CN"/>
        </w:rPr>
        <w:t>2</w:t>
      </w:r>
      <w:r>
        <w:rPr>
          <w:rFonts w:hint="eastAsia" w:ascii="宋体" w:hAnsi="宋体" w:cs="宋体"/>
          <w:sz w:val="24"/>
          <w:szCs w:val="24"/>
        </w:rPr>
        <w:t>份</w:t>
      </w:r>
      <w:r>
        <w:rPr>
          <w:rFonts w:hint="eastAsia" w:ascii="宋体" w:hAnsi="宋体" w:cs="宋体"/>
          <w:sz w:val="24"/>
        </w:rPr>
        <w:t>使用电子介质存储的备份文件。</w:t>
      </w:r>
    </w:p>
    <w:p>
      <w:pPr>
        <w:spacing w:line="360" w:lineRule="auto"/>
        <w:ind w:firstLine="480" w:firstLineChars="200"/>
        <w:rPr>
          <w:rFonts w:ascii="宋体" w:hAnsi="宋体" w:cs="宋体"/>
          <w:color w:val="000000" w:themeColor="text1"/>
          <w:sz w:val="24"/>
          <w:szCs w:val="24"/>
        </w:rPr>
      </w:pPr>
      <w:r>
        <w:rPr>
          <w:rFonts w:hint="eastAsia" w:ascii="宋体" w:hAnsi="宋体" w:cs="宋体"/>
          <w:sz w:val="24"/>
          <w:szCs w:val="24"/>
        </w:rPr>
        <w:t>6.3投标文件提交的截止时间及开标时间：</w:t>
      </w:r>
      <w:r>
        <w:rPr>
          <w:rFonts w:hint="eastAsia" w:ascii="宋体" w:hAnsi="宋体" w:cs="宋体"/>
          <w:color w:val="000000" w:themeColor="text1"/>
          <w:sz w:val="24"/>
          <w:szCs w:val="24"/>
        </w:rPr>
        <w:t>2020年</w:t>
      </w:r>
      <w:r>
        <w:rPr>
          <w:rFonts w:hint="eastAsia" w:ascii="宋体" w:hAnsi="宋体" w:cs="宋体"/>
          <w:color w:val="000000" w:themeColor="text1"/>
          <w:sz w:val="24"/>
          <w:szCs w:val="24"/>
          <w:lang w:val="en-US" w:eastAsia="zh-CN"/>
        </w:rPr>
        <w:t>4</w:t>
      </w:r>
      <w:r>
        <w:rPr>
          <w:rFonts w:hint="eastAsia" w:ascii="宋体" w:hAnsi="宋体" w:cs="宋体"/>
          <w:color w:val="000000" w:themeColor="text1"/>
          <w:sz w:val="24"/>
          <w:szCs w:val="24"/>
        </w:rPr>
        <w:t>月</w:t>
      </w:r>
      <w:r>
        <w:rPr>
          <w:rFonts w:hint="eastAsia" w:ascii="宋体" w:hAnsi="宋体" w:cs="宋体"/>
          <w:color w:val="000000" w:themeColor="text1"/>
          <w:sz w:val="24"/>
          <w:szCs w:val="24"/>
          <w:lang w:val="en-US" w:eastAsia="zh-CN"/>
        </w:rPr>
        <w:t>14</w:t>
      </w:r>
      <w:r>
        <w:rPr>
          <w:rFonts w:hint="eastAsia" w:ascii="宋体" w:hAnsi="宋体" w:cs="宋体"/>
          <w:color w:val="000000" w:themeColor="text1"/>
          <w:sz w:val="24"/>
          <w:szCs w:val="24"/>
        </w:rPr>
        <w:t>日9时00分。</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6.4</w:t>
      </w:r>
      <w:r>
        <w:rPr>
          <w:rFonts w:hint="eastAsia" w:ascii="宋体" w:hAnsi="宋体" w:cs="宋体"/>
          <w:color w:val="000000" w:themeColor="text1"/>
          <w:sz w:val="24"/>
          <w:szCs w:val="24"/>
        </w:rPr>
        <w:t>电子投标文件提交</w:t>
      </w:r>
      <w:r>
        <w:rPr>
          <w:rFonts w:hint="eastAsia" w:ascii="宋体" w:hAnsi="宋体" w:cs="宋体"/>
          <w:color w:val="000000" w:themeColor="text1"/>
          <w:sz w:val="24"/>
        </w:rPr>
        <w:t>地点：</w:t>
      </w:r>
      <w:r>
        <w:rPr>
          <w:rFonts w:hint="eastAsia" w:ascii="宋体" w:hAnsi="宋体" w:cs="宋体"/>
          <w:bCs/>
          <w:color w:val="000000" w:themeColor="text1"/>
          <w:sz w:val="24"/>
        </w:rPr>
        <w:t>襄城县公共资源交易中心（襄城县八七路东电子产业园12楼开标二室）；</w:t>
      </w:r>
    </w:p>
    <w:p>
      <w:pPr>
        <w:spacing w:line="360" w:lineRule="auto"/>
        <w:ind w:firstLine="480" w:firstLineChars="200"/>
        <w:rPr>
          <w:rFonts w:ascii="宋体" w:hAnsi="宋体" w:cs="宋体"/>
          <w:sz w:val="24"/>
        </w:rPr>
      </w:pPr>
      <w:r>
        <w:rPr>
          <w:rFonts w:hint="eastAsia" w:ascii="宋体" w:hAnsi="宋体" w:cs="宋体"/>
          <w:color w:val="000000" w:themeColor="text1"/>
          <w:sz w:val="24"/>
        </w:rPr>
        <w:t>6.5逾期送达的或者未送达指定地点的电子介质存储的备份文件，招标人不</w:t>
      </w:r>
      <w:r>
        <w:rPr>
          <w:rFonts w:hint="eastAsia" w:ascii="宋体" w:hAnsi="宋体" w:cs="宋体"/>
          <w:sz w:val="24"/>
        </w:rPr>
        <w:t>予受理。</w:t>
      </w:r>
    </w:p>
    <w:p>
      <w:pPr>
        <w:spacing w:line="360" w:lineRule="auto"/>
        <w:ind w:firstLine="480" w:firstLineChars="200"/>
        <w:rPr>
          <w:rFonts w:hAnsi="宋体" w:cs="宋体"/>
          <w:b/>
          <w:sz w:val="24"/>
          <w:szCs w:val="24"/>
        </w:rPr>
      </w:pPr>
      <w:r>
        <w:rPr>
          <w:rFonts w:hint="eastAsia" w:hAnsi="宋体" w:cs="宋体"/>
          <w:b/>
          <w:sz w:val="24"/>
          <w:szCs w:val="24"/>
        </w:rPr>
        <w:t>7、发布公告的媒介</w:t>
      </w:r>
    </w:p>
    <w:p>
      <w:pPr>
        <w:spacing w:line="360" w:lineRule="auto"/>
        <w:ind w:firstLine="480" w:firstLineChars="200"/>
        <w:rPr>
          <w:rFonts w:hAnsi="宋体" w:cs="宋体"/>
          <w:sz w:val="24"/>
          <w:szCs w:val="24"/>
        </w:rPr>
      </w:pPr>
      <w:r>
        <w:rPr>
          <w:rFonts w:hint="eastAsia" w:hAnsi="宋体" w:cs="宋体"/>
          <w:sz w:val="24"/>
          <w:szCs w:val="24"/>
        </w:rPr>
        <w:t>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widowControl/>
        <w:spacing w:line="360" w:lineRule="auto"/>
        <w:ind w:firstLine="480" w:firstLineChars="200"/>
        <w:rPr>
          <w:rFonts w:hAnsi="宋体"/>
          <w:b/>
          <w:sz w:val="24"/>
        </w:rPr>
      </w:pPr>
      <w:r>
        <w:rPr>
          <w:rFonts w:hint="eastAsia" w:hAnsi="宋体"/>
          <w:b/>
          <w:sz w:val="24"/>
        </w:rPr>
        <w:t>8、联系方式</w:t>
      </w:r>
    </w:p>
    <w:p>
      <w:pPr>
        <w:widowControl/>
        <w:spacing w:line="360" w:lineRule="auto"/>
        <w:ind w:firstLine="480" w:firstLineChars="200"/>
        <w:jc w:val="left"/>
        <w:rPr>
          <w:rFonts w:hAnsi="宋体"/>
          <w:sz w:val="24"/>
        </w:rPr>
      </w:pPr>
      <w:r>
        <w:rPr>
          <w:rFonts w:hint="eastAsia" w:hAnsi="宋体"/>
          <w:sz w:val="24"/>
        </w:rPr>
        <w:t>招 标 人：</w:t>
      </w:r>
      <w:r>
        <w:rPr>
          <w:rFonts w:hint="eastAsia" w:hAnsi="宋体"/>
          <w:sz w:val="24"/>
          <w:lang w:eastAsia="zh-CN"/>
        </w:rPr>
        <w:t xml:space="preserve">襄城县汾陈镇人民政府 </w:t>
      </w:r>
      <w:r>
        <w:rPr>
          <w:rFonts w:hint="eastAsia" w:hAnsi="宋体"/>
          <w:sz w:val="24"/>
        </w:rPr>
        <w:t xml:space="preserve">      </w:t>
      </w:r>
    </w:p>
    <w:p>
      <w:pPr>
        <w:widowControl/>
        <w:spacing w:line="360" w:lineRule="auto"/>
        <w:ind w:firstLine="480" w:firstLineChars="200"/>
        <w:jc w:val="left"/>
        <w:rPr>
          <w:rFonts w:hint="default" w:hAnsi="宋体" w:eastAsia="宋体"/>
          <w:sz w:val="24"/>
          <w:lang w:val="en-US" w:eastAsia="zh-CN"/>
        </w:rPr>
      </w:pPr>
      <w:r>
        <w:rPr>
          <w:rFonts w:hint="eastAsia" w:hAnsi="宋体"/>
          <w:sz w:val="24"/>
        </w:rPr>
        <w:t xml:space="preserve">联系电话： </w:t>
      </w:r>
      <w:r>
        <w:rPr>
          <w:rFonts w:hint="eastAsia" w:hAnsi="宋体"/>
          <w:sz w:val="24"/>
          <w:lang w:val="en-US" w:eastAsia="zh-CN"/>
        </w:rPr>
        <w:t xml:space="preserve"> 17630303999</w:t>
      </w:r>
    </w:p>
    <w:p>
      <w:pPr>
        <w:widowControl/>
        <w:spacing w:line="360" w:lineRule="auto"/>
        <w:ind w:firstLine="480" w:firstLineChars="200"/>
        <w:jc w:val="left"/>
        <w:rPr>
          <w:rFonts w:hAnsi="宋体"/>
          <w:sz w:val="24"/>
        </w:rPr>
      </w:pPr>
      <w:r>
        <w:rPr>
          <w:rFonts w:hint="eastAsia" w:hAnsi="宋体"/>
          <w:sz w:val="24"/>
        </w:rPr>
        <w:t>地    址：襄城县</w:t>
      </w:r>
      <w:r>
        <w:rPr>
          <w:rFonts w:hint="eastAsia" w:hAnsi="宋体"/>
          <w:sz w:val="24"/>
          <w:lang w:eastAsia="zh-CN"/>
        </w:rPr>
        <w:t>汾陈镇</w:t>
      </w:r>
    </w:p>
    <w:p>
      <w:pPr>
        <w:widowControl/>
        <w:spacing w:line="360" w:lineRule="auto"/>
        <w:ind w:firstLine="480" w:firstLineChars="200"/>
        <w:jc w:val="left"/>
        <w:rPr>
          <w:rFonts w:hAnsi="宋体"/>
          <w:sz w:val="24"/>
        </w:rPr>
      </w:pPr>
      <w:r>
        <w:rPr>
          <w:rFonts w:hint="eastAsia" w:hAnsi="宋体"/>
          <w:sz w:val="24"/>
        </w:rPr>
        <w:t>代理机构：河南慧霖工程管理服务有限公司</w:t>
      </w:r>
    </w:p>
    <w:p>
      <w:pPr>
        <w:widowControl/>
        <w:spacing w:line="360" w:lineRule="auto"/>
        <w:ind w:firstLine="480" w:firstLineChars="200"/>
        <w:jc w:val="left"/>
        <w:rPr>
          <w:rFonts w:hint="default" w:hAnsi="宋体" w:eastAsia="宋体"/>
          <w:sz w:val="24"/>
          <w:lang w:val="en-US" w:eastAsia="zh-CN"/>
        </w:rPr>
      </w:pPr>
      <w:r>
        <w:rPr>
          <w:rFonts w:hint="eastAsia" w:hAnsi="宋体"/>
          <w:sz w:val="24"/>
        </w:rPr>
        <w:t xml:space="preserve">联系电话：0375-6161678  </w:t>
      </w:r>
      <w:r>
        <w:rPr>
          <w:rFonts w:hint="eastAsia" w:hAnsi="宋体"/>
          <w:sz w:val="24"/>
          <w:lang w:val="en-US" w:eastAsia="zh-CN"/>
        </w:rPr>
        <w:t xml:space="preserve">   18137595115</w:t>
      </w:r>
    </w:p>
    <w:p>
      <w:pPr>
        <w:widowControl/>
        <w:spacing w:line="360" w:lineRule="auto"/>
        <w:ind w:firstLine="480" w:firstLineChars="200"/>
        <w:jc w:val="left"/>
        <w:rPr>
          <w:rFonts w:hAnsi="宋体"/>
          <w:sz w:val="24"/>
        </w:rPr>
      </w:pPr>
      <w:r>
        <w:rPr>
          <w:rFonts w:hint="eastAsia" w:hAnsi="宋体"/>
          <w:sz w:val="24"/>
        </w:rPr>
        <w:t>地址：平顶山新华区建设路西段云顶灯饰城内1号楼3楼1-5号</w:t>
      </w:r>
    </w:p>
    <w:p>
      <w:pPr>
        <w:spacing w:line="360" w:lineRule="auto"/>
        <w:ind w:firstLine="480" w:firstLineChars="200"/>
        <w:jc w:val="right"/>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2020年</w:t>
      </w:r>
      <w:r>
        <w:rPr>
          <w:rFonts w:hint="eastAsia" w:hAnsi="宋体"/>
          <w:bCs/>
          <w:color w:val="000000" w:themeColor="text1"/>
          <w:sz w:val="24"/>
          <w:szCs w:val="24"/>
          <w:lang w:val="en-US" w:eastAsia="zh-CN"/>
          <w14:textFill>
            <w14:solidFill>
              <w14:schemeClr w14:val="tx1"/>
            </w14:solidFill>
          </w14:textFill>
        </w:rPr>
        <w:t>3</w:t>
      </w:r>
      <w:r>
        <w:rPr>
          <w:rFonts w:hint="eastAsia" w:hAnsi="宋体"/>
          <w:bCs/>
          <w:color w:val="000000" w:themeColor="text1"/>
          <w:sz w:val="24"/>
          <w:szCs w:val="24"/>
          <w14:textFill>
            <w14:solidFill>
              <w14:schemeClr w14:val="tx1"/>
            </w14:solidFill>
          </w14:textFill>
        </w:rPr>
        <w:t>月</w:t>
      </w:r>
      <w:r>
        <w:rPr>
          <w:rFonts w:hint="eastAsia" w:hAnsi="宋体"/>
          <w:bCs/>
          <w:color w:val="000000" w:themeColor="text1"/>
          <w:sz w:val="24"/>
          <w:szCs w:val="24"/>
          <w:lang w:val="en-US" w:eastAsia="zh-CN"/>
          <w14:textFill>
            <w14:solidFill>
              <w14:schemeClr w14:val="tx1"/>
            </w14:solidFill>
          </w14:textFill>
        </w:rPr>
        <w:t>24</w:t>
      </w:r>
      <w:r>
        <w:rPr>
          <w:rFonts w:hint="eastAsia" w:hAnsi="宋体"/>
          <w:bCs/>
          <w:color w:val="000000" w:themeColor="text1"/>
          <w:sz w:val="24"/>
          <w:szCs w:val="24"/>
          <w14:textFill>
            <w14:solidFill>
              <w14:schemeClr w14:val="tx1"/>
            </w14:solidFill>
          </w14:textFill>
        </w:rPr>
        <w:t>日</w:t>
      </w:r>
    </w:p>
    <w:p>
      <w:pPr>
        <w:spacing w:line="276" w:lineRule="auto"/>
        <w:ind w:firstLine="560" w:firstLineChars="200"/>
        <w:rPr>
          <w:rFonts w:hint="eastAsia" w:hAnsi="宋体"/>
          <w:b/>
          <w:sz w:val="28"/>
          <w:szCs w:val="28"/>
        </w:rPr>
      </w:pPr>
    </w:p>
    <w:p>
      <w:pPr>
        <w:spacing w:line="276" w:lineRule="auto"/>
        <w:ind w:firstLine="560" w:firstLineChars="200"/>
        <w:rPr>
          <w:rFonts w:hint="eastAsia" w:hAnsi="宋体"/>
          <w:b/>
          <w:sz w:val="28"/>
          <w:szCs w:val="28"/>
        </w:rPr>
      </w:pPr>
    </w:p>
    <w:p>
      <w:pPr>
        <w:spacing w:line="276" w:lineRule="auto"/>
        <w:ind w:firstLine="560" w:firstLineChars="200"/>
        <w:rPr>
          <w:rFonts w:hint="eastAsia" w:hAnsi="宋体"/>
          <w:b/>
          <w:sz w:val="28"/>
          <w:szCs w:val="28"/>
        </w:rPr>
      </w:pPr>
    </w:p>
    <w:p>
      <w:pPr>
        <w:spacing w:line="276" w:lineRule="auto"/>
        <w:ind w:firstLine="560" w:firstLineChars="200"/>
        <w:rPr>
          <w:rFonts w:hint="eastAsia" w:hAnsi="宋体"/>
          <w:b/>
          <w:sz w:val="28"/>
          <w:szCs w:val="28"/>
        </w:rPr>
      </w:pPr>
    </w:p>
    <w:p>
      <w:pPr>
        <w:spacing w:line="276" w:lineRule="auto"/>
        <w:ind w:firstLine="560" w:firstLineChars="200"/>
        <w:rPr>
          <w:rFonts w:hint="eastAsia" w:hAnsi="宋体"/>
          <w:b/>
          <w:sz w:val="28"/>
          <w:szCs w:val="28"/>
        </w:rPr>
      </w:pPr>
    </w:p>
    <w:p>
      <w:pPr>
        <w:spacing w:line="276" w:lineRule="auto"/>
        <w:ind w:firstLine="560" w:firstLineChars="200"/>
        <w:rPr>
          <w:rFonts w:hint="eastAsia" w:hAnsi="宋体"/>
          <w:b/>
          <w:sz w:val="28"/>
          <w:szCs w:val="28"/>
        </w:rPr>
      </w:pPr>
    </w:p>
    <w:p>
      <w:pPr>
        <w:spacing w:line="276" w:lineRule="auto"/>
        <w:ind w:firstLine="560" w:firstLineChars="200"/>
        <w:rPr>
          <w:rFonts w:hint="eastAsia" w:hAnsi="宋体"/>
          <w:b/>
          <w:sz w:val="28"/>
          <w:szCs w:val="28"/>
        </w:rPr>
      </w:pPr>
    </w:p>
    <w:p>
      <w:pPr>
        <w:spacing w:line="276" w:lineRule="auto"/>
        <w:ind w:firstLine="560" w:firstLineChars="200"/>
        <w:rPr>
          <w:rFonts w:hint="eastAsia" w:hAnsi="宋体"/>
          <w:b/>
          <w:sz w:val="28"/>
          <w:szCs w:val="28"/>
        </w:rPr>
      </w:pPr>
    </w:p>
    <w:p>
      <w:pPr>
        <w:spacing w:line="276" w:lineRule="auto"/>
        <w:ind w:firstLine="560" w:firstLineChars="200"/>
        <w:rPr>
          <w:rFonts w:hint="eastAsia" w:hAnsi="宋体"/>
          <w:b/>
          <w:sz w:val="28"/>
          <w:szCs w:val="28"/>
        </w:rPr>
      </w:pPr>
    </w:p>
    <w:p>
      <w:pPr>
        <w:spacing w:line="276" w:lineRule="auto"/>
        <w:ind w:firstLine="560" w:firstLineChars="200"/>
        <w:rPr>
          <w:rFonts w:hint="eastAsia" w:hAnsi="宋体"/>
          <w:b/>
          <w:sz w:val="28"/>
          <w:szCs w:val="28"/>
        </w:rPr>
      </w:pPr>
    </w:p>
    <w:p>
      <w:pPr>
        <w:spacing w:line="276" w:lineRule="auto"/>
        <w:ind w:firstLine="560" w:firstLineChars="200"/>
        <w:rPr>
          <w:rFonts w:hint="eastAsia" w:hAnsi="宋体"/>
          <w:b/>
          <w:sz w:val="28"/>
          <w:szCs w:val="28"/>
        </w:rPr>
      </w:pPr>
    </w:p>
    <w:p>
      <w:pPr>
        <w:spacing w:line="276" w:lineRule="auto"/>
        <w:ind w:firstLine="560" w:firstLineChars="200"/>
        <w:rPr>
          <w:rFonts w:hint="eastAsia" w:hAnsi="宋体"/>
          <w:b/>
          <w:sz w:val="28"/>
          <w:szCs w:val="28"/>
        </w:rPr>
      </w:pPr>
    </w:p>
    <w:p>
      <w:pPr>
        <w:spacing w:line="276" w:lineRule="auto"/>
        <w:ind w:firstLine="560" w:firstLineChars="200"/>
        <w:rPr>
          <w:rFonts w:hint="eastAsia" w:hAnsi="宋体"/>
          <w:b/>
          <w:sz w:val="28"/>
          <w:szCs w:val="28"/>
        </w:rPr>
      </w:pPr>
    </w:p>
    <w:p>
      <w:pPr>
        <w:spacing w:line="276" w:lineRule="auto"/>
        <w:ind w:firstLine="560" w:firstLineChars="200"/>
        <w:rPr>
          <w:rFonts w:hint="eastAsia" w:hAnsi="宋体"/>
          <w:b/>
          <w:sz w:val="28"/>
          <w:szCs w:val="28"/>
        </w:rPr>
      </w:pPr>
    </w:p>
    <w:p>
      <w:pPr>
        <w:spacing w:line="276" w:lineRule="auto"/>
        <w:rPr>
          <w:rFonts w:hint="eastAsia" w:hAnsi="宋体"/>
          <w:b/>
          <w:sz w:val="28"/>
          <w:szCs w:val="28"/>
        </w:rPr>
      </w:pPr>
    </w:p>
    <w:p>
      <w:pPr>
        <w:spacing w:line="276" w:lineRule="auto"/>
        <w:ind w:firstLine="560" w:firstLineChars="200"/>
        <w:rPr>
          <w:rFonts w:hAnsi="宋体"/>
          <w:b/>
          <w:sz w:val="28"/>
          <w:szCs w:val="28"/>
        </w:rPr>
      </w:pPr>
      <w:r>
        <w:rPr>
          <w:rFonts w:hint="eastAsia" w:hAnsi="宋体"/>
          <w:b/>
          <w:sz w:val="28"/>
          <w:szCs w:val="28"/>
        </w:rPr>
        <w:t>温馨提示：</w:t>
      </w:r>
    </w:p>
    <w:p>
      <w:pPr>
        <w:spacing w:line="276" w:lineRule="auto"/>
        <w:ind w:firstLine="560" w:firstLineChars="200"/>
        <w:rPr>
          <w:rFonts w:hAnsi="宋体"/>
          <w:b/>
          <w:sz w:val="28"/>
          <w:szCs w:val="28"/>
        </w:rPr>
      </w:pPr>
      <w:r>
        <w:rPr>
          <w:rFonts w:hint="eastAsia" w:ascii="宋体" w:hAnsi="宋体" w:cs="宋体"/>
          <w:b/>
          <w:kern w:val="0"/>
          <w:sz w:val="28"/>
          <w:szCs w:val="28"/>
        </w:rPr>
        <w:t>本项目为全流程电子化交易项目</w:t>
      </w:r>
      <w:r>
        <w:rPr>
          <w:rFonts w:hint="eastAsia" w:hAnsi="宋体"/>
          <w:b/>
          <w:sz w:val="28"/>
          <w:szCs w:val="28"/>
        </w:rPr>
        <w:t>，请认真阅读招标文件，并注意以下事项。</w:t>
      </w:r>
    </w:p>
    <w:p>
      <w:pPr>
        <w:tabs>
          <w:tab w:val="left" w:pos="7095"/>
        </w:tabs>
        <w:spacing w:line="276" w:lineRule="auto"/>
        <w:ind w:firstLine="480" w:firstLineChars="200"/>
        <w:contextualSpacing/>
        <w:rPr>
          <w:rFonts w:hAnsi="宋体"/>
          <w:b/>
          <w:sz w:val="24"/>
          <w:szCs w:val="24"/>
        </w:rPr>
      </w:pPr>
      <w:r>
        <w:rPr>
          <w:rFonts w:hint="eastAsia" w:hAnsi="宋体"/>
          <w:b/>
          <w:sz w:val="24"/>
          <w:szCs w:val="24"/>
        </w:rPr>
        <w:t>1.投标人应按招标文件规定下载、编制、提交电子投标文件。开、评标现场不接受投标人递交的电子投标文件以外的其他资料。</w:t>
      </w:r>
    </w:p>
    <w:p>
      <w:pPr>
        <w:tabs>
          <w:tab w:val="left" w:pos="7095"/>
        </w:tabs>
        <w:spacing w:line="276" w:lineRule="auto"/>
        <w:ind w:firstLine="480" w:firstLineChars="200"/>
        <w:contextualSpacing/>
        <w:rPr>
          <w:rFonts w:hAnsi="宋体"/>
          <w:b/>
          <w:sz w:val="24"/>
          <w:szCs w:val="24"/>
        </w:rPr>
      </w:pPr>
      <w:r>
        <w:rPr>
          <w:rFonts w:hint="eastAsia" w:hAnsi="宋体"/>
          <w:b/>
          <w:sz w:val="24"/>
          <w:szCs w:val="24"/>
        </w:rPr>
        <w:t>2</w:t>
      </w:r>
      <w:r>
        <w:rPr>
          <w:rFonts w:hAnsi="宋体"/>
          <w:b/>
          <w:sz w:val="24"/>
          <w:szCs w:val="24"/>
        </w:rPr>
        <w:t>.</w:t>
      </w:r>
      <w:r>
        <w:rPr>
          <w:rFonts w:hint="eastAsia" w:hAnsi="宋体"/>
          <w:b/>
          <w:sz w:val="24"/>
          <w:szCs w:val="24"/>
        </w:rPr>
        <w:t>电子文件下载、制作、提交期间和开标（电子投标文件的解密）环节，投标人须使用CA数字证书（证书须在有效期内）。</w:t>
      </w:r>
    </w:p>
    <w:p>
      <w:pPr>
        <w:tabs>
          <w:tab w:val="left" w:pos="7095"/>
        </w:tabs>
        <w:spacing w:line="276" w:lineRule="auto"/>
        <w:ind w:firstLine="480" w:firstLineChars="200"/>
        <w:contextualSpacing/>
        <w:rPr>
          <w:rFonts w:hAnsi="宋体"/>
          <w:b/>
          <w:sz w:val="24"/>
          <w:szCs w:val="24"/>
        </w:rPr>
      </w:pPr>
      <w:r>
        <w:rPr>
          <w:rFonts w:hint="eastAsia" w:hAnsi="宋体"/>
          <w:b/>
          <w:sz w:val="24"/>
          <w:szCs w:val="24"/>
        </w:rPr>
        <w:t>3.电子投标文件的制作。</w:t>
      </w:r>
    </w:p>
    <w:p>
      <w:pPr>
        <w:tabs>
          <w:tab w:val="left" w:pos="7095"/>
        </w:tabs>
        <w:spacing w:line="360" w:lineRule="auto"/>
        <w:ind w:firstLine="480" w:firstLineChars="200"/>
        <w:contextualSpacing/>
        <w:rPr>
          <w:rFonts w:hAnsi="宋体"/>
          <w:sz w:val="24"/>
          <w:szCs w:val="24"/>
        </w:rPr>
      </w:pPr>
      <w:r>
        <w:rPr>
          <w:rFonts w:hAnsi="宋体"/>
          <w:sz w:val="24"/>
          <w:szCs w:val="24"/>
        </w:rPr>
        <w:t>3</w:t>
      </w:r>
      <w:r>
        <w:rPr>
          <w:rFonts w:hint="eastAsia" w:hAnsi="宋体"/>
          <w:sz w:val="24"/>
          <w:szCs w:val="24"/>
        </w:rPr>
        <w:t>.1 投标人登录《全国公共资源交易平台（河南省·许昌市）》公共资源交易系统（http://221.14.6.70:8088/ggzy/）下载“许昌投标文件制作系统SEARUN V1.1”，按招标文件要求制作电子投标文件。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left="105" w:leftChars="50" w:firstLine="480" w:firstLineChars="200"/>
        <w:contextualSpacing/>
        <w:rPr>
          <w:rFonts w:hAnsi="宋体"/>
          <w:sz w:val="24"/>
          <w:szCs w:val="24"/>
        </w:rPr>
      </w:pPr>
      <w:r>
        <w:rPr>
          <w:rFonts w:hAnsi="宋体"/>
          <w:sz w:val="24"/>
          <w:szCs w:val="24"/>
        </w:rPr>
        <w:t>3</w:t>
      </w:r>
      <w:r>
        <w:rPr>
          <w:rFonts w:hint="eastAsia" w:hAnsi="宋体"/>
          <w:sz w:val="24"/>
          <w:szCs w:val="24"/>
        </w:rPr>
        <w:t>.</w:t>
      </w:r>
      <w:r>
        <w:rPr>
          <w:rFonts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05" w:leftChars="50" w:firstLine="480" w:firstLineChars="200"/>
        <w:contextualSpacing/>
        <w:rPr>
          <w:rFonts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480" w:firstLineChars="200"/>
        <w:contextualSpacing/>
        <w:rPr>
          <w:rFonts w:hAnsi="宋体"/>
          <w:sz w:val="24"/>
          <w:szCs w:val="24"/>
        </w:rPr>
      </w:pPr>
      <w:r>
        <w:rPr>
          <w:rFonts w:hint="eastAsia" w:hAnsi="宋体"/>
          <w:b/>
          <w:sz w:val="24"/>
          <w:szCs w:val="24"/>
        </w:rPr>
        <w:t>一个标段对应生成一个文件夹（xxxx项目xx标段）, 其中包含2个文件和1个文件夹。</w:t>
      </w:r>
      <w:r>
        <w:rPr>
          <w:rFonts w:hint="eastAsia" w:hAnsi="宋体"/>
          <w:sz w:val="24"/>
          <w:szCs w:val="24"/>
        </w:rPr>
        <w:t>后缀名为“</w:t>
      </w:r>
      <w:r>
        <w:rPr>
          <w:rFonts w:hAnsi="宋体"/>
          <w:sz w:val="24"/>
          <w:szCs w:val="24"/>
        </w:rPr>
        <w:t>.file</w:t>
      </w:r>
      <w:r>
        <w:rPr>
          <w:rFonts w:hint="eastAsia" w:hAnsi="宋体"/>
          <w:sz w:val="24"/>
          <w:szCs w:val="24"/>
        </w:rPr>
        <w:t>”的文件用于电子投标使用，后缀名为“.PDF”的文件、“备份文件夹”使用电子介质存储，供开标现场备用。</w:t>
      </w:r>
    </w:p>
    <w:p>
      <w:pPr>
        <w:tabs>
          <w:tab w:val="left" w:pos="7095"/>
        </w:tabs>
        <w:spacing w:line="360" w:lineRule="auto"/>
        <w:ind w:firstLine="480" w:firstLineChars="200"/>
        <w:contextualSpacing/>
        <w:rPr>
          <w:rFonts w:hAnsi="宋体"/>
          <w:b/>
          <w:sz w:val="24"/>
          <w:szCs w:val="24"/>
        </w:rPr>
      </w:pPr>
      <w:r>
        <w:rPr>
          <w:rFonts w:hAnsi="宋体"/>
          <w:b/>
          <w:sz w:val="24"/>
          <w:szCs w:val="24"/>
        </w:rPr>
        <w:t>4</w:t>
      </w:r>
      <w:r>
        <w:rPr>
          <w:rFonts w:hint="eastAsia" w:hAnsi="宋体"/>
          <w:b/>
          <w:sz w:val="24"/>
          <w:szCs w:val="24"/>
        </w:rPr>
        <w:t>.电子投标文件的提交</w:t>
      </w:r>
    </w:p>
    <w:p>
      <w:pPr>
        <w:tabs>
          <w:tab w:val="left" w:pos="7095"/>
        </w:tabs>
        <w:spacing w:line="360" w:lineRule="auto"/>
        <w:ind w:firstLine="120" w:firstLineChars="50"/>
        <w:contextualSpacing/>
        <w:rPr>
          <w:rFonts w:hAnsi="宋体"/>
          <w:sz w:val="24"/>
          <w:szCs w:val="24"/>
        </w:rPr>
      </w:pPr>
      <w:r>
        <w:rPr>
          <w:rFonts w:hint="eastAsia" w:hAnsi="宋体"/>
          <w:sz w:val="24"/>
          <w:szCs w:val="24"/>
        </w:rPr>
        <w:t xml:space="preserve"> </w:t>
      </w:r>
      <w:r>
        <w:rPr>
          <w:rFonts w:hAnsi="宋体"/>
          <w:sz w:val="24"/>
          <w:szCs w:val="24"/>
        </w:rPr>
        <w:t>4</w:t>
      </w:r>
      <w:r>
        <w:rPr>
          <w:rFonts w:hint="eastAsia" w:hAnsi="宋体"/>
          <w:sz w:val="24"/>
          <w:szCs w:val="24"/>
        </w:rPr>
        <w:t>.1电子投标文件应在招标文件规定的投标文件提交截止时间（开标时间）之前成功提交至《全国公共资源交易平台（河南省·许昌市）》公共资源交易系统（http://ggzy.xuchang.gov.cn）。</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hAnsi="宋体"/>
          <w:sz w:val="24"/>
          <w:szCs w:val="24"/>
        </w:rPr>
        <w:t>4.</w:t>
      </w:r>
      <w:r>
        <w:rPr>
          <w:rFonts w:hint="eastAsia" w:hAnsi="宋体"/>
          <w:sz w:val="24"/>
          <w:szCs w:val="24"/>
        </w:rPr>
        <w:t>2 投标人对同一项目多个标段进行投标的，电子投标文件应按标段分别提交。</w:t>
      </w:r>
    </w:p>
    <w:p>
      <w:pPr>
        <w:tabs>
          <w:tab w:val="left" w:pos="7095"/>
        </w:tabs>
        <w:spacing w:line="360" w:lineRule="auto"/>
        <w:ind w:firstLine="480" w:firstLineChars="200"/>
        <w:contextualSpacing/>
        <w:rPr>
          <w:rFonts w:hAnsi="宋体"/>
          <w:sz w:val="24"/>
          <w:szCs w:val="24"/>
        </w:rPr>
      </w:pPr>
      <w:r>
        <w:rPr>
          <w:rFonts w:hAnsi="宋体"/>
          <w:sz w:val="24"/>
          <w:szCs w:val="24"/>
        </w:rPr>
        <w:t>4</w:t>
      </w:r>
      <w:r>
        <w:rPr>
          <w:rFonts w:hint="eastAsia" w:hAnsi="宋体"/>
          <w:sz w:val="24"/>
          <w:szCs w:val="24"/>
        </w:rPr>
        <w:t>.</w:t>
      </w:r>
      <w:r>
        <w:rPr>
          <w:rFonts w:hAnsi="宋体"/>
          <w:sz w:val="24"/>
          <w:szCs w:val="24"/>
        </w:rPr>
        <w:t>3</w:t>
      </w:r>
      <w:r>
        <w:rPr>
          <w:rFonts w:hint="eastAsia" w:hAnsi="宋体"/>
          <w:sz w:val="24"/>
          <w:szCs w:val="24"/>
        </w:rPr>
        <w:t xml:space="preserve"> 电子投标文件成功提交后，投标人应打印“投标文件提交回执单”，供开标现场备查。</w:t>
      </w:r>
    </w:p>
    <w:p>
      <w:pPr>
        <w:tabs>
          <w:tab w:val="left" w:pos="7095"/>
        </w:tabs>
        <w:spacing w:line="360" w:lineRule="auto"/>
        <w:ind w:firstLine="480" w:firstLineChars="200"/>
        <w:contextualSpacing/>
        <w:rPr>
          <w:rFonts w:hAnsi="宋体"/>
          <w:b/>
          <w:sz w:val="24"/>
          <w:szCs w:val="24"/>
        </w:rPr>
      </w:pPr>
      <w:r>
        <w:rPr>
          <w:rFonts w:hAnsi="宋体"/>
          <w:b/>
          <w:sz w:val="24"/>
          <w:szCs w:val="24"/>
        </w:rPr>
        <w:t>5</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hAnsi="宋体"/>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hAnsi="宋体"/>
          <w:sz w:val="24"/>
          <w:szCs w:val="24"/>
        </w:rPr>
        <w:t>5.2全流程电子化交易系统如因系统异常情况无法完成，将以人工方式进行。评标委员会以投标人提供的</w:t>
      </w:r>
      <w:r>
        <w:rPr>
          <w:rFonts w:hint="eastAsia" w:hAnsi="宋体" w:cs="宋体"/>
          <w:sz w:val="24"/>
        </w:rPr>
        <w:t>电子介质存储的备份文件</w:t>
      </w:r>
      <w:r>
        <w:rPr>
          <w:rFonts w:hint="eastAsia" w:hAnsi="宋体"/>
          <w:sz w:val="24"/>
          <w:szCs w:val="24"/>
        </w:rPr>
        <w:t>为依据评标。</w:t>
      </w:r>
    </w:p>
    <w:p>
      <w:pPr>
        <w:pStyle w:val="6"/>
        <w:rPr>
          <w:rFonts w:cs="黑体"/>
          <w:b w:val="0"/>
          <w:sz w:val="36"/>
          <w:szCs w:val="36"/>
        </w:rPr>
      </w:pPr>
      <w:r>
        <w:rPr>
          <w:rFonts w:hint="eastAsia"/>
        </w:rPr>
        <w:t xml:space="preserve">第二章  </w:t>
      </w:r>
      <w:bookmarkEnd w:id="0"/>
      <w:r>
        <w:rPr>
          <w:rFonts w:hint="eastAsia"/>
        </w:rPr>
        <w:t>投标人须知</w:t>
      </w:r>
      <w:bookmarkEnd w:id="3"/>
      <w:bookmarkEnd w:id="4"/>
    </w:p>
    <w:p>
      <w:pPr>
        <w:autoSpaceDE w:val="0"/>
        <w:autoSpaceDN w:val="0"/>
        <w:adjustRightInd w:val="0"/>
        <w:ind w:firstLine="560" w:firstLineChars="200"/>
        <w:rPr>
          <w:rFonts w:hAnsi="宋体" w:cs="黑体"/>
          <w:b/>
          <w:sz w:val="28"/>
          <w:szCs w:val="28"/>
        </w:rPr>
      </w:pPr>
      <w:bookmarkStart w:id="5" w:name="_Toc283559940"/>
      <w:r>
        <w:rPr>
          <w:rFonts w:hint="eastAsia" w:hAnsi="宋体" w:cs="黑体"/>
          <w:b/>
          <w:sz w:val="28"/>
          <w:szCs w:val="28"/>
        </w:rPr>
        <w:t>投标人须知前附表</w:t>
      </w:r>
      <w:bookmarkEnd w:id="5"/>
    </w:p>
    <w:tbl>
      <w:tblPr>
        <w:tblStyle w:val="15"/>
        <w:tblW w:w="10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
        <w:gridCol w:w="67"/>
        <w:gridCol w:w="1571"/>
        <w:gridCol w:w="792"/>
        <w:gridCol w:w="74"/>
        <w:gridCol w:w="1393"/>
        <w:gridCol w:w="5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条款号</w:t>
            </w:r>
          </w:p>
        </w:tc>
        <w:tc>
          <w:tcPr>
            <w:tcW w:w="2437" w:type="dxa"/>
            <w:gridSpan w:val="4"/>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 款 名 称</w:t>
            </w:r>
          </w:p>
        </w:tc>
        <w:tc>
          <w:tcPr>
            <w:tcW w:w="6780" w:type="dxa"/>
            <w:gridSpan w:val="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1.1.2</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招标人</w:t>
            </w:r>
          </w:p>
        </w:tc>
        <w:tc>
          <w:tcPr>
            <w:tcW w:w="6780" w:type="dxa"/>
            <w:gridSpan w:val="3"/>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招 标 人：</w:t>
            </w:r>
            <w:r>
              <w:rPr>
                <w:rFonts w:hint="eastAsia" w:ascii="宋体" w:hAnsi="宋体" w:cs="宋体"/>
                <w:sz w:val="24"/>
                <w:szCs w:val="24"/>
                <w:lang w:eastAsia="zh-CN"/>
              </w:rPr>
              <w:t xml:space="preserve">襄城县汾陈镇人民政府 </w:t>
            </w:r>
            <w:r>
              <w:rPr>
                <w:rFonts w:hint="eastAsia" w:ascii="宋体" w:hAnsi="宋体" w:cs="宋体"/>
                <w:sz w:val="24"/>
                <w:szCs w:val="24"/>
              </w:rPr>
              <w:t xml:space="preserve">         </w:t>
            </w:r>
          </w:p>
          <w:p>
            <w:pPr>
              <w:autoSpaceDE w:val="0"/>
              <w:autoSpaceDN w:val="0"/>
              <w:adjustRightInd w:val="0"/>
              <w:spacing w:line="360" w:lineRule="auto"/>
              <w:jc w:val="left"/>
            </w:pPr>
            <w:r>
              <w:rPr>
                <w:rFonts w:hint="eastAsia" w:ascii="宋体" w:hAnsi="宋体" w:cs="宋体"/>
                <w:sz w:val="24"/>
                <w:szCs w:val="24"/>
              </w:rPr>
              <w:t>联系电话：</w:t>
            </w:r>
            <w:r>
              <w:rPr>
                <w:rFonts w:hint="eastAsia" w:hAnsi="宋体"/>
                <w:sz w:val="24"/>
                <w:lang w:val="en-US" w:eastAsia="zh-CN"/>
              </w:rPr>
              <w:t>17630303999</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地    址：襄城县</w:t>
            </w:r>
            <w:r>
              <w:rPr>
                <w:rFonts w:hint="eastAsia" w:hAnsi="宋体"/>
                <w:sz w:val="24"/>
                <w:lang w:eastAsia="zh-CN"/>
              </w:rPr>
              <w:t>汾陈镇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1.1.3</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80" w:type="dxa"/>
            <w:gridSpan w:val="3"/>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代理机构：河南慧霖工程管理服务有限公司</w:t>
            </w:r>
          </w:p>
          <w:p>
            <w:pPr>
              <w:autoSpaceDE w:val="0"/>
              <w:autoSpaceDN w:val="0"/>
              <w:adjustRightInd w:val="0"/>
              <w:spacing w:line="360" w:lineRule="auto"/>
              <w:jc w:val="left"/>
              <w:rPr>
                <w:rFonts w:hint="default" w:ascii="宋体" w:hAnsi="宋体" w:eastAsia="宋体" w:cs="宋体"/>
                <w:sz w:val="24"/>
                <w:szCs w:val="24"/>
                <w:lang w:val="en-US" w:eastAsia="zh-CN"/>
              </w:rPr>
            </w:pPr>
            <w:r>
              <w:rPr>
                <w:rFonts w:hint="eastAsia" w:ascii="宋体" w:hAnsi="宋体" w:cs="宋体"/>
                <w:sz w:val="24"/>
                <w:szCs w:val="24"/>
              </w:rPr>
              <w:t xml:space="preserve">联系电话：0375-6161678  </w:t>
            </w:r>
            <w:r>
              <w:rPr>
                <w:rFonts w:hint="eastAsia" w:ascii="宋体" w:hAnsi="宋体" w:cs="宋体"/>
                <w:sz w:val="24"/>
                <w:szCs w:val="24"/>
                <w:lang w:val="en-US" w:eastAsia="zh-CN"/>
              </w:rPr>
              <w:t>18137595115</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地址：平顶山新华区建设路西段云顶灯饰城内1号楼3楼1-5号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1.1.4</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项目名称</w:t>
            </w:r>
          </w:p>
        </w:tc>
        <w:tc>
          <w:tcPr>
            <w:tcW w:w="6780" w:type="dxa"/>
            <w:gridSpan w:val="3"/>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zh-CN"/>
              </w:rPr>
              <w:t>襄城县汾陈镇2017至2019年通村公路建设项目</w:t>
            </w: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1.1.5</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建设地点</w:t>
            </w:r>
          </w:p>
        </w:tc>
        <w:tc>
          <w:tcPr>
            <w:tcW w:w="6780" w:type="dxa"/>
            <w:gridSpan w:val="3"/>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1.2.1</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资金来源</w:t>
            </w:r>
          </w:p>
        </w:tc>
        <w:tc>
          <w:tcPr>
            <w:tcW w:w="6780" w:type="dxa"/>
            <w:gridSpan w:val="3"/>
          </w:tcPr>
          <w:p>
            <w:pPr>
              <w:autoSpaceDE w:val="0"/>
              <w:autoSpaceDN w:val="0"/>
              <w:adjustRightInd w:val="0"/>
              <w:spacing w:line="360" w:lineRule="auto"/>
              <w:jc w:val="left"/>
              <w:rPr>
                <w:rFonts w:ascii="宋体" w:hAnsi="宋体" w:cs="宋体"/>
                <w:sz w:val="24"/>
                <w:szCs w:val="24"/>
              </w:rPr>
            </w:pPr>
            <w:r>
              <w:rPr>
                <w:rFonts w:hint="eastAsia" w:hAnsi="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1.2.2</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出资比例</w:t>
            </w:r>
          </w:p>
        </w:tc>
        <w:tc>
          <w:tcPr>
            <w:tcW w:w="6780" w:type="dxa"/>
            <w:gridSpan w:val="3"/>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1.2.3</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资金落实情况</w:t>
            </w:r>
          </w:p>
        </w:tc>
        <w:tc>
          <w:tcPr>
            <w:tcW w:w="6780" w:type="dxa"/>
            <w:gridSpan w:val="3"/>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1.3.1</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招标范围</w:t>
            </w:r>
          </w:p>
        </w:tc>
        <w:tc>
          <w:tcPr>
            <w:tcW w:w="6780" w:type="dxa"/>
            <w:gridSpan w:val="3"/>
            <w:tcBorders>
              <w:bottom w:val="single" w:color="auto" w:sz="4" w:space="0"/>
            </w:tcBorders>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招标文件、工程量清单、答疑纪要和补充文件（如有）范围内的所有建设内容。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1.3.2</w:t>
            </w:r>
          </w:p>
        </w:tc>
        <w:tc>
          <w:tcPr>
            <w:tcW w:w="2437" w:type="dxa"/>
            <w:gridSpan w:val="4"/>
            <w:tcBorders>
              <w:right w:val="single" w:color="auto" w:sz="4" w:space="0"/>
            </w:tcBorders>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计划工期</w:t>
            </w:r>
          </w:p>
        </w:tc>
        <w:tc>
          <w:tcPr>
            <w:tcW w:w="6780"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cs="宋体"/>
                <w:color w:val="000000" w:themeColor="text1"/>
                <w:sz w:val="24"/>
                <w:szCs w:val="24"/>
              </w:rPr>
            </w:pPr>
            <w:r>
              <w:rPr>
                <w:rFonts w:hint="eastAsia" w:ascii="宋体" w:hAnsi="宋体" w:cs="宋体"/>
                <w:color w:val="000000" w:themeColor="text1"/>
                <w:sz w:val="24"/>
                <w:szCs w:val="24"/>
                <w:lang w:val="en-US" w:eastAsia="zh-CN"/>
              </w:rPr>
              <w:t>30</w:t>
            </w:r>
            <w:r>
              <w:rPr>
                <w:rFonts w:hint="eastAsia" w:ascii="宋体" w:hAnsi="宋体" w:cs="宋体"/>
                <w:color w:val="000000" w:themeColor="text1"/>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1.3.3</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质量要求</w:t>
            </w:r>
          </w:p>
        </w:tc>
        <w:tc>
          <w:tcPr>
            <w:tcW w:w="6780" w:type="dxa"/>
            <w:gridSpan w:val="3"/>
            <w:tcBorders>
              <w:top w:val="single" w:color="auto" w:sz="4" w:space="0"/>
            </w:tcBorders>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1.4.1</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投标人资质条件</w:t>
            </w:r>
          </w:p>
        </w:tc>
        <w:tc>
          <w:tcPr>
            <w:tcW w:w="6780" w:type="dxa"/>
            <w:gridSpan w:val="3"/>
            <w:vAlign w:val="center"/>
          </w:tcPr>
          <w:p>
            <w:pPr>
              <w:spacing w:line="460" w:lineRule="exact"/>
              <w:outlineLvl w:val="0"/>
              <w:rPr>
                <w:rFonts w:hAnsi="宋体"/>
                <w:bCs/>
                <w:sz w:val="24"/>
                <w:szCs w:val="24"/>
              </w:rPr>
            </w:pPr>
            <w:r>
              <w:rPr>
                <w:rFonts w:hint="eastAsia" w:hAnsi="宋体"/>
                <w:bCs/>
                <w:sz w:val="24"/>
                <w:szCs w:val="24"/>
              </w:rPr>
              <w:t>1</w:t>
            </w:r>
            <w:r>
              <w:rPr>
                <w:rFonts w:hint="eastAsia" w:hAnsi="宋体"/>
                <w:bCs/>
                <w:sz w:val="24"/>
                <w:szCs w:val="24"/>
                <w:lang w:eastAsia="zh-CN"/>
              </w:rPr>
              <w:t>、</w:t>
            </w:r>
            <w:r>
              <w:rPr>
                <w:rFonts w:hint="eastAsia" w:hAnsi="宋体"/>
                <w:bCs/>
                <w:sz w:val="24"/>
                <w:szCs w:val="24"/>
              </w:rPr>
              <w:t>投标人须具有独立的法人资格，具有合格有效的营业执照；</w:t>
            </w:r>
          </w:p>
          <w:p>
            <w:pPr>
              <w:spacing w:line="460" w:lineRule="exact"/>
              <w:outlineLvl w:val="0"/>
              <w:rPr>
                <w:rFonts w:hint="eastAsia" w:hAnsi="宋体"/>
                <w:bCs/>
                <w:sz w:val="24"/>
                <w:szCs w:val="24"/>
              </w:rPr>
            </w:pPr>
            <w:r>
              <w:rPr>
                <w:rFonts w:hint="eastAsia" w:hAnsi="宋体"/>
                <w:bCs/>
                <w:sz w:val="24"/>
                <w:szCs w:val="24"/>
              </w:rPr>
              <w:t>2</w:t>
            </w:r>
            <w:r>
              <w:rPr>
                <w:rFonts w:hint="eastAsia" w:hAnsi="宋体"/>
                <w:bCs/>
                <w:sz w:val="24"/>
                <w:szCs w:val="24"/>
                <w:lang w:eastAsia="zh-CN"/>
              </w:rPr>
              <w:t>、</w:t>
            </w:r>
            <w:r>
              <w:rPr>
                <w:rFonts w:hint="eastAsia" w:hAnsi="宋体"/>
                <w:bCs/>
                <w:sz w:val="24"/>
                <w:szCs w:val="24"/>
              </w:rPr>
              <w:t>投标人须具备建设行政主管部门颁发的市政公用工程施工总承包</w:t>
            </w:r>
            <w:r>
              <w:rPr>
                <w:rFonts w:hint="eastAsia" w:hAnsi="宋体"/>
                <w:bCs/>
                <w:sz w:val="24"/>
                <w:szCs w:val="24"/>
                <w:lang w:eastAsia="zh-CN"/>
              </w:rPr>
              <w:t>叁</w:t>
            </w:r>
            <w:r>
              <w:rPr>
                <w:rFonts w:hint="eastAsia" w:hAnsi="宋体"/>
                <w:bCs/>
                <w:sz w:val="24"/>
                <w:szCs w:val="24"/>
              </w:rPr>
              <w:t>级及以上资质</w:t>
            </w:r>
            <w:r>
              <w:rPr>
                <w:rFonts w:hint="eastAsia" w:hAnsi="宋体"/>
                <w:bCs/>
                <w:sz w:val="24"/>
                <w:szCs w:val="24"/>
                <w:lang w:eastAsia="zh-CN"/>
              </w:rPr>
              <w:t>或公路工程施工总承包叁</w:t>
            </w:r>
            <w:r>
              <w:rPr>
                <w:rFonts w:hint="eastAsia" w:hAnsi="宋体"/>
                <w:bCs/>
                <w:sz w:val="24"/>
                <w:szCs w:val="24"/>
              </w:rPr>
              <w:t>级及以上资质，且具有有效的安全生产许可证，并在人员、设备、资金等方面具有相应的施工能力；</w:t>
            </w:r>
          </w:p>
          <w:p>
            <w:pPr>
              <w:spacing w:line="460" w:lineRule="exact"/>
              <w:outlineLvl w:val="0"/>
              <w:rPr>
                <w:rFonts w:hint="eastAsia" w:hAnsi="宋体"/>
                <w:bCs/>
                <w:sz w:val="24"/>
                <w:szCs w:val="24"/>
              </w:rPr>
            </w:pPr>
            <w:r>
              <w:rPr>
                <w:rFonts w:hint="eastAsia" w:hAnsi="宋体"/>
                <w:bCs/>
                <w:sz w:val="24"/>
                <w:szCs w:val="24"/>
              </w:rPr>
              <w:t>3</w:t>
            </w:r>
            <w:r>
              <w:rPr>
                <w:rFonts w:hint="eastAsia" w:hAnsi="宋体"/>
                <w:bCs/>
                <w:sz w:val="24"/>
                <w:szCs w:val="24"/>
                <w:lang w:eastAsia="zh-CN"/>
              </w:rPr>
              <w:t>、</w:t>
            </w:r>
            <w:r>
              <w:rPr>
                <w:rFonts w:hint="eastAsia" w:hAnsi="宋体"/>
                <w:bCs/>
                <w:sz w:val="24"/>
                <w:szCs w:val="24"/>
              </w:rPr>
              <w:t>拟派项目经理须具有市政工程</w:t>
            </w:r>
            <w:r>
              <w:rPr>
                <w:rFonts w:hint="eastAsia" w:hAnsi="宋体"/>
                <w:bCs/>
                <w:sz w:val="24"/>
                <w:szCs w:val="24"/>
                <w:lang w:eastAsia="zh-CN"/>
              </w:rPr>
              <w:t>或公路工程</w:t>
            </w:r>
            <w:r>
              <w:rPr>
                <w:rFonts w:hint="eastAsia" w:hAnsi="宋体"/>
                <w:bCs/>
                <w:sz w:val="24"/>
                <w:szCs w:val="24"/>
              </w:rPr>
              <w:t>专业贰级及以上注册建造师资格证书（不含临时），并具有有效的安全生产考核合格证书，且未担任其他正在施工建设工程的项目经理（承诺书由法定代表人及项目经理签名并加盖单位公章）；</w:t>
            </w:r>
          </w:p>
          <w:p>
            <w:pPr>
              <w:spacing w:line="460" w:lineRule="exact"/>
              <w:outlineLvl w:val="0"/>
              <w:rPr>
                <w:rFonts w:hAnsi="宋体"/>
                <w:bCs/>
                <w:sz w:val="24"/>
                <w:szCs w:val="24"/>
              </w:rPr>
            </w:pPr>
            <w:r>
              <w:rPr>
                <w:rFonts w:hint="eastAsia" w:hAnsi="宋体"/>
                <w:bCs/>
                <w:sz w:val="24"/>
                <w:szCs w:val="24"/>
              </w:rPr>
              <w:t>4拟派技术负责人须具有相关专业中级及以上职称；</w:t>
            </w:r>
          </w:p>
          <w:p>
            <w:pPr>
              <w:spacing w:line="460" w:lineRule="exact"/>
              <w:outlineLvl w:val="0"/>
              <w:rPr>
                <w:rFonts w:hAnsi="宋体"/>
                <w:bCs/>
                <w:sz w:val="24"/>
                <w:szCs w:val="24"/>
              </w:rPr>
            </w:pPr>
            <w:r>
              <w:rPr>
                <w:rFonts w:hint="eastAsia" w:hAnsi="宋体"/>
                <w:bCs/>
                <w:sz w:val="24"/>
                <w:szCs w:val="24"/>
              </w:rPr>
              <w:t>5投标企业未被列入信用中国网站信用记录失信被执行人、重大税收违法案件当事人名单、严重违法失信行为记录名单（查询网站：信用中国，提供报名时间内网站查询截图）。投标人提供工商企业信用信息公示报告（国家企业信用信息公示系统http://www.gsxt.gov.cn），【提供报名时间内网站查询截图，未被列入经营异常名录信息、列入严重违法失信企业名单（黑名单）信息内容】。投标人未被列入信用河南（河南省投标企业提供）网站（http://www.credithn.gov.cn/）信用信息栏黑名单并提供报名时间内网站查询截图；</w:t>
            </w:r>
          </w:p>
          <w:p>
            <w:pPr>
              <w:spacing w:line="460" w:lineRule="exact"/>
              <w:outlineLvl w:val="0"/>
              <w:rPr>
                <w:rFonts w:hAnsi="宋体"/>
                <w:bCs/>
                <w:sz w:val="24"/>
                <w:szCs w:val="24"/>
              </w:rPr>
            </w:pPr>
            <w:r>
              <w:rPr>
                <w:rFonts w:hint="eastAsia" w:hAnsi="宋体"/>
                <w:bCs/>
                <w:sz w:val="24"/>
                <w:szCs w:val="24"/>
              </w:rPr>
              <w:t>6投标人须提供许昌公共资源交易信用管理平台投标单位诚信承诺书网页截图；</w:t>
            </w:r>
          </w:p>
          <w:p>
            <w:pPr>
              <w:spacing w:line="460" w:lineRule="exact"/>
              <w:outlineLvl w:val="0"/>
              <w:rPr>
                <w:rFonts w:hAnsi="宋体"/>
                <w:bCs/>
                <w:sz w:val="24"/>
                <w:szCs w:val="24"/>
              </w:rPr>
            </w:pPr>
            <w:r>
              <w:rPr>
                <w:rFonts w:hint="eastAsia" w:hAnsi="宋体"/>
                <w:bCs/>
                <w:sz w:val="24"/>
                <w:szCs w:val="24"/>
              </w:rPr>
              <w:t>7本项目不接受联合体投标；</w:t>
            </w:r>
          </w:p>
          <w:p>
            <w:pPr>
              <w:spacing w:line="460" w:lineRule="exact"/>
              <w:outlineLvl w:val="0"/>
              <w:rPr>
                <w:rFonts w:ascii="宋体" w:hAnsi="宋体" w:cs="宋体"/>
                <w:sz w:val="24"/>
                <w:szCs w:val="24"/>
              </w:rPr>
            </w:pPr>
            <w:r>
              <w:rPr>
                <w:rFonts w:hint="eastAsia" w:hAnsi="宋体"/>
                <w:bCs/>
                <w:sz w:val="24"/>
                <w:szCs w:val="24"/>
              </w:rPr>
              <w:t>8本次招标实行资格后审；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1.4.2</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是否接受联合体投标</w:t>
            </w:r>
          </w:p>
        </w:tc>
        <w:tc>
          <w:tcPr>
            <w:tcW w:w="6780" w:type="dxa"/>
            <w:gridSpan w:val="3"/>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1.9.1</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踏勘现场</w:t>
            </w:r>
          </w:p>
        </w:tc>
        <w:tc>
          <w:tcPr>
            <w:tcW w:w="6780" w:type="dxa"/>
            <w:gridSpan w:val="3"/>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1.10.1</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投标预备会</w:t>
            </w:r>
          </w:p>
        </w:tc>
        <w:tc>
          <w:tcPr>
            <w:tcW w:w="6780" w:type="dxa"/>
            <w:gridSpan w:val="3"/>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1.10.2</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投标人提出问题的截止时间</w:t>
            </w:r>
          </w:p>
        </w:tc>
        <w:tc>
          <w:tcPr>
            <w:tcW w:w="6780" w:type="dxa"/>
            <w:gridSpan w:val="3"/>
            <w:vAlign w:val="center"/>
          </w:tcPr>
          <w:p>
            <w:pPr>
              <w:spacing w:line="360" w:lineRule="auto"/>
              <w:rPr>
                <w:rFonts w:ascii="宋体" w:hAnsi="宋体" w:cs="宋体"/>
                <w:sz w:val="24"/>
                <w:szCs w:val="24"/>
              </w:rPr>
            </w:pPr>
            <w:r>
              <w:rPr>
                <w:rFonts w:hint="eastAsia" w:ascii="宋体" w:hAnsi="宋体" w:cs="宋体"/>
                <w:sz w:val="24"/>
                <w:szCs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spacing w:line="360" w:lineRule="auto"/>
              <w:jc w:val="center"/>
              <w:rPr>
                <w:rFonts w:ascii="宋体" w:hAnsi="宋体" w:cs="宋体"/>
                <w:sz w:val="24"/>
                <w:szCs w:val="24"/>
              </w:rPr>
            </w:pPr>
            <w:r>
              <w:rPr>
                <w:rFonts w:hint="eastAsia" w:ascii="宋体" w:hAnsi="宋体" w:cs="宋体"/>
                <w:sz w:val="24"/>
                <w:szCs w:val="24"/>
              </w:rPr>
              <w:t>1.10.3</w:t>
            </w:r>
          </w:p>
        </w:tc>
        <w:tc>
          <w:tcPr>
            <w:tcW w:w="2437" w:type="dxa"/>
            <w:gridSpan w:val="4"/>
            <w:vAlign w:val="center"/>
          </w:tcPr>
          <w:p>
            <w:pPr>
              <w:spacing w:line="360" w:lineRule="auto"/>
              <w:jc w:val="center"/>
              <w:rPr>
                <w:rFonts w:ascii="宋体" w:hAnsi="宋体" w:cs="宋体"/>
                <w:sz w:val="24"/>
                <w:szCs w:val="24"/>
              </w:rPr>
            </w:pPr>
            <w:r>
              <w:rPr>
                <w:rFonts w:hint="eastAsia" w:ascii="宋体" w:hAnsi="宋体" w:cs="宋体"/>
                <w:sz w:val="24"/>
                <w:szCs w:val="24"/>
              </w:rPr>
              <w:t>招标人澄清的时间</w:t>
            </w:r>
          </w:p>
        </w:tc>
        <w:tc>
          <w:tcPr>
            <w:tcW w:w="6780" w:type="dxa"/>
            <w:gridSpan w:val="3"/>
            <w:vAlign w:val="center"/>
          </w:tcPr>
          <w:p>
            <w:pPr>
              <w:spacing w:line="360" w:lineRule="auto"/>
              <w:rPr>
                <w:rFonts w:ascii="宋体" w:hAnsi="宋体" w:cs="宋体"/>
                <w:sz w:val="24"/>
                <w:szCs w:val="24"/>
              </w:rPr>
            </w:pPr>
            <w:r>
              <w:rPr>
                <w:rFonts w:hint="eastAsia" w:ascii="宋体" w:hAnsi="宋体" w:cs="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1.11</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分包</w:t>
            </w:r>
          </w:p>
        </w:tc>
        <w:tc>
          <w:tcPr>
            <w:tcW w:w="6780" w:type="dxa"/>
            <w:gridSpan w:val="3"/>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 xml:space="preserve">1.12 </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偏离</w:t>
            </w:r>
          </w:p>
        </w:tc>
        <w:tc>
          <w:tcPr>
            <w:tcW w:w="6780" w:type="dxa"/>
            <w:gridSpan w:val="3"/>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 xml:space="preserve">2.1 </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招标文件及图纸</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的获取</w:t>
            </w:r>
          </w:p>
        </w:tc>
        <w:tc>
          <w:tcPr>
            <w:tcW w:w="6780" w:type="dxa"/>
            <w:gridSpan w:val="3"/>
          </w:tcPr>
          <w:p>
            <w:pPr>
              <w:autoSpaceDE w:val="0"/>
              <w:autoSpaceDN w:val="0"/>
              <w:adjustRightInd w:val="0"/>
              <w:spacing w:line="360" w:lineRule="auto"/>
              <w:jc w:val="left"/>
            </w:pPr>
            <w:r>
              <w:rPr>
                <w:rFonts w:hint="eastAsia"/>
              </w:rPr>
              <w:t>招标文件和工程量清单的获取：投标人于投标文件递交截止时间前均可登录《全国公共资源交易平台（河南省·许昌市）》（http://ggzy.xuchang.gov.cn），通过“投标人/供应商登录”后自行下载。</w:t>
            </w:r>
          </w:p>
          <w:p>
            <w:pPr>
              <w:widowControl/>
              <w:spacing w:line="360" w:lineRule="auto"/>
              <w:jc w:val="left"/>
              <w:rPr>
                <w:rFonts w:hint="default" w:eastAsia="宋体"/>
                <w:lang w:val="en-US" w:eastAsia="zh-CN"/>
              </w:rPr>
            </w:pPr>
            <w:r>
              <w:rPr>
                <w:rFonts w:hint="eastAsia"/>
                <w:color w:val="0000FF"/>
              </w:rPr>
              <w:t>图纸</w:t>
            </w:r>
            <w:r>
              <w:rPr>
                <w:rFonts w:hint="eastAsia"/>
                <w:color w:val="0000FF"/>
                <w:lang w:eastAsia="zh-CN"/>
              </w:rPr>
              <w:t>：</w:t>
            </w:r>
            <w:r>
              <w:rPr>
                <w:rFonts w:hint="eastAsia"/>
                <w:color w:val="0000FF"/>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2.1.1</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构成招标文件的其他材料</w:t>
            </w:r>
          </w:p>
        </w:tc>
        <w:tc>
          <w:tcPr>
            <w:tcW w:w="6780" w:type="dxa"/>
            <w:gridSpan w:val="3"/>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2.2.1</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投标人要求澄清招标文件的截止时间</w:t>
            </w:r>
          </w:p>
        </w:tc>
        <w:tc>
          <w:tcPr>
            <w:tcW w:w="6780" w:type="dxa"/>
            <w:gridSpan w:val="3"/>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2.2.2</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投标截止时间</w:t>
            </w:r>
          </w:p>
        </w:tc>
        <w:tc>
          <w:tcPr>
            <w:tcW w:w="6780" w:type="dxa"/>
            <w:gridSpan w:val="3"/>
          </w:tcPr>
          <w:p>
            <w:pPr>
              <w:autoSpaceDE w:val="0"/>
              <w:autoSpaceDN w:val="0"/>
              <w:adjustRightInd w:val="0"/>
              <w:spacing w:line="360" w:lineRule="auto"/>
              <w:jc w:val="left"/>
              <w:rPr>
                <w:rFonts w:ascii="宋体" w:hAnsi="宋体" w:cs="宋体"/>
                <w:color w:val="0000FF"/>
                <w:sz w:val="24"/>
                <w:szCs w:val="24"/>
              </w:rPr>
            </w:pPr>
            <w:r>
              <w:rPr>
                <w:rFonts w:hint="eastAsia" w:ascii="宋体" w:hAnsi="宋体" w:cs="宋体"/>
                <w:color w:val="0000FF"/>
                <w:sz w:val="24"/>
                <w:szCs w:val="24"/>
              </w:rPr>
              <w:t>2020年</w:t>
            </w:r>
            <w:r>
              <w:rPr>
                <w:rFonts w:hint="eastAsia" w:ascii="宋体" w:hAnsi="宋体" w:cs="宋体"/>
                <w:color w:val="0000FF"/>
                <w:sz w:val="24"/>
                <w:szCs w:val="24"/>
                <w:lang w:val="en-US" w:eastAsia="zh-CN"/>
              </w:rPr>
              <w:t>4</w:t>
            </w:r>
            <w:r>
              <w:rPr>
                <w:rFonts w:hint="eastAsia" w:ascii="宋体" w:hAnsi="宋体" w:cs="宋体"/>
                <w:color w:val="0000FF"/>
                <w:sz w:val="24"/>
                <w:szCs w:val="24"/>
              </w:rPr>
              <w:t>月</w:t>
            </w:r>
            <w:r>
              <w:rPr>
                <w:rFonts w:hint="eastAsia" w:ascii="宋体" w:hAnsi="宋体" w:cs="宋体"/>
                <w:color w:val="0000FF"/>
                <w:sz w:val="24"/>
                <w:szCs w:val="24"/>
                <w:lang w:val="en-US" w:eastAsia="zh-CN"/>
              </w:rPr>
              <w:t>14</w:t>
            </w:r>
            <w:r>
              <w:rPr>
                <w:rFonts w:hint="eastAsia" w:ascii="宋体" w:hAnsi="宋体" w:cs="宋体"/>
                <w:color w:val="0000FF"/>
                <w:sz w:val="24"/>
                <w:szCs w:val="24"/>
              </w:rPr>
              <w:t>日9 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2.2.3</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投标人确认收到招标文件澄清的时间</w:t>
            </w:r>
          </w:p>
        </w:tc>
        <w:tc>
          <w:tcPr>
            <w:tcW w:w="6780" w:type="dxa"/>
            <w:gridSpan w:val="3"/>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2.3.1</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投标人确认收到招标文件修改的时间</w:t>
            </w:r>
          </w:p>
        </w:tc>
        <w:tc>
          <w:tcPr>
            <w:tcW w:w="6780" w:type="dxa"/>
            <w:gridSpan w:val="3"/>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3.1.1</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构成投标文件的其他材料</w:t>
            </w:r>
          </w:p>
        </w:tc>
        <w:tc>
          <w:tcPr>
            <w:tcW w:w="6780" w:type="dxa"/>
            <w:gridSpan w:val="3"/>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3.3.1</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投标有效期</w:t>
            </w:r>
          </w:p>
        </w:tc>
        <w:tc>
          <w:tcPr>
            <w:tcW w:w="6780" w:type="dxa"/>
            <w:gridSpan w:val="3"/>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bookmarkStart w:id="6" w:name="OLE_LINK4" w:colFirst="0" w:colLast="2"/>
            <w:bookmarkStart w:id="7" w:name="OLE_LINK3" w:colFirst="0" w:colLast="2"/>
            <w:bookmarkStart w:id="8" w:name="_Hlk424659721"/>
            <w:r>
              <w:rPr>
                <w:rFonts w:hint="eastAsia" w:ascii="宋体" w:hAnsi="宋体" w:cs="宋体"/>
                <w:sz w:val="24"/>
                <w:szCs w:val="24"/>
              </w:rPr>
              <w:t>3.4.1</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投标保证金须知</w:t>
            </w:r>
          </w:p>
        </w:tc>
        <w:tc>
          <w:tcPr>
            <w:tcW w:w="6780" w:type="dxa"/>
            <w:gridSpan w:val="3"/>
            <w:vAlign w:val="center"/>
          </w:tcPr>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1、因投标人的原因无法及时退还投标（竞买）保证金、滞留三年以上的，投标（竞买）保证金上缴财政。</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3、基本户备案流程： </w:t>
            </w:r>
          </w:p>
          <w:p>
            <w:pPr>
              <w:autoSpaceDE w:val="0"/>
              <w:autoSpaceDN w:val="0"/>
              <w:adjustRightInd w:val="0"/>
              <w:spacing w:line="360" w:lineRule="auto"/>
              <w:ind w:left="120" w:firstLine="480" w:firstLineChars="200"/>
              <w:jc w:val="left"/>
              <w:rPr>
                <w:rFonts w:ascii="宋体" w:hAnsi="宋体" w:cs="宋体"/>
                <w:sz w:val="24"/>
                <w:szCs w:val="24"/>
              </w:rPr>
            </w:pPr>
            <w:r>
              <w:rPr>
                <w:rFonts w:hint="eastAsia" w:ascii="宋体" w:hAnsi="宋体" w:cs="宋体"/>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4、特殊情况处理</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  投标人投标过程中因账户开户银行、银行账号发生变化，不能按照来款途径原路返还投标保证金的，投标人须提供原账户开户银行相关证明及新开账户开户许可证，到襄城县公共资源交易中心1209室工程股办理退款手续（0374-3998022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3.4.2</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投标保证金</w:t>
            </w:r>
          </w:p>
        </w:tc>
        <w:tc>
          <w:tcPr>
            <w:tcW w:w="6780" w:type="dxa"/>
            <w:gridSpan w:val="3"/>
            <w:vAlign w:val="center"/>
          </w:tcPr>
          <w:p>
            <w:pPr>
              <w:autoSpaceDE w:val="0"/>
              <w:autoSpaceDN w:val="0"/>
              <w:adjustRightInd w:val="0"/>
              <w:spacing w:line="360" w:lineRule="auto"/>
              <w:ind w:firstLine="480" w:firstLineChars="200"/>
              <w:jc w:val="left"/>
              <w:rPr>
                <w:rFonts w:ascii="宋体" w:hAnsi="宋体" w:cs="宋体"/>
                <w:b/>
                <w:bCs/>
                <w:color w:val="auto"/>
                <w:sz w:val="24"/>
                <w:szCs w:val="24"/>
              </w:rPr>
            </w:pPr>
            <w:r>
              <w:rPr>
                <w:rFonts w:hint="eastAsia" w:ascii="宋体" w:hAnsi="宋体" w:cs="宋体"/>
                <w:b/>
                <w:bCs/>
                <w:color w:val="auto"/>
                <w:sz w:val="24"/>
                <w:szCs w:val="24"/>
              </w:rPr>
              <w:t>投标保证金递交截止时间：2020年</w:t>
            </w: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 xml:space="preserve"> 月 </w:t>
            </w:r>
            <w:r>
              <w:rPr>
                <w:rFonts w:hint="eastAsia" w:ascii="宋体" w:hAnsi="宋体" w:cs="宋体"/>
                <w:b/>
                <w:bCs/>
                <w:color w:val="auto"/>
                <w:sz w:val="24"/>
                <w:szCs w:val="24"/>
                <w:lang w:val="en-US" w:eastAsia="zh-CN"/>
              </w:rPr>
              <w:t>14</w:t>
            </w:r>
            <w:r>
              <w:rPr>
                <w:rFonts w:hint="eastAsia" w:ascii="宋体" w:hAnsi="宋体" w:cs="宋体"/>
                <w:b/>
                <w:bCs/>
                <w:color w:val="auto"/>
                <w:sz w:val="24"/>
                <w:szCs w:val="24"/>
              </w:rPr>
              <w:t>日9时00分。</w:t>
            </w:r>
          </w:p>
          <w:p>
            <w:pPr>
              <w:autoSpaceDE w:val="0"/>
              <w:autoSpaceDN w:val="0"/>
              <w:adjustRightInd w:val="0"/>
              <w:spacing w:line="360" w:lineRule="auto"/>
              <w:ind w:left="478" w:leftChars="228"/>
              <w:jc w:val="left"/>
              <w:rPr>
                <w:rFonts w:ascii="宋体" w:hAnsi="宋体" w:cs="宋体"/>
                <w:b/>
                <w:bCs/>
                <w:color w:val="auto"/>
                <w:sz w:val="24"/>
                <w:szCs w:val="24"/>
              </w:rPr>
            </w:pPr>
            <w:r>
              <w:rPr>
                <w:rFonts w:hint="eastAsia" w:ascii="宋体" w:hAnsi="宋体" w:cs="宋体"/>
                <w:b/>
                <w:bCs/>
                <w:color w:val="auto"/>
                <w:sz w:val="24"/>
                <w:szCs w:val="24"/>
              </w:rPr>
              <w:t>金额：小写：</w:t>
            </w:r>
            <w:r>
              <w:rPr>
                <w:rFonts w:hint="eastAsia" w:ascii="宋体" w:hAnsi="宋体" w:cs="宋体"/>
                <w:b/>
                <w:bCs/>
                <w:color w:val="auto"/>
                <w:sz w:val="24"/>
                <w:szCs w:val="24"/>
                <w:lang w:val="en-US" w:eastAsia="zh-CN"/>
              </w:rPr>
              <w:t>50000</w:t>
            </w:r>
            <w:r>
              <w:rPr>
                <w:rFonts w:hint="eastAsia" w:ascii="宋体" w:hAnsi="宋体" w:cs="宋体"/>
                <w:b/>
                <w:bCs/>
                <w:color w:val="auto"/>
                <w:sz w:val="24"/>
                <w:szCs w:val="24"/>
              </w:rPr>
              <w:t>元；大写：</w:t>
            </w:r>
            <w:r>
              <w:rPr>
                <w:rFonts w:hint="eastAsia" w:ascii="宋体" w:hAnsi="宋体" w:cs="宋体"/>
                <w:b/>
                <w:bCs/>
                <w:color w:val="auto"/>
                <w:sz w:val="24"/>
                <w:szCs w:val="24"/>
                <w:lang w:eastAsia="zh-CN"/>
              </w:rPr>
              <w:t>伍万元整</w:t>
            </w:r>
            <w:r>
              <w:rPr>
                <w:rFonts w:hint="eastAsia" w:ascii="宋体" w:hAnsi="宋体" w:cs="宋体"/>
                <w:b/>
                <w:bCs/>
                <w:color w:val="auto"/>
                <w:sz w:val="24"/>
                <w:szCs w:val="24"/>
              </w:rPr>
              <w:t>；</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color w:val="auto"/>
                <w:sz w:val="24"/>
                <w:szCs w:val="24"/>
                <w:lang w:val="zh-CN"/>
              </w:rPr>
              <w:t>1、投标保证金的递交方式：银行转帐、银行电汇（均需从投标人的基本账户汇出），不接受以现金方式缴纳的投标</w:t>
            </w:r>
            <w:r>
              <w:rPr>
                <w:rFonts w:hint="eastAsia" w:ascii="宋体" w:hAnsi="宋体" w:cs="宋体"/>
                <w:sz w:val="24"/>
                <w:szCs w:val="24"/>
                <w:lang w:val="zh-CN"/>
              </w:rPr>
              <w:t>保证金。凡以现金方式缴纳投标保证金而影响其投标结果的，由投标人自行负责。</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2、投标保证金缴纳方式：</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2.1投标人网上报名后，登录http://ggzy.xuchang.gov.cn系统，依次点击“会员向导”→“参与投标”→“费用缴纳说明”→“保证金缴纳说明单”，获取缴费说明单，根据每个标段的缴纳说明单在缴纳截止时间前缴纳；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2.2成功缴纳后重新登录前述系统，依次点击“会员向导”→“参与投标”→“保证金绑定”→“绑定”进行投标保证金绑定。</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2.3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2.4每个投标人每个项目每个标段只有唯一缴纳账号，切勿重复缴纳或错误缴纳。</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3、未按上述规定操作引起的无效投标，由投标人自行负责。</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4、汇款凭证无须备注项目编号和项目名称。</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5、出现以下情形造成的投标保证金无效，由投标人自行负责。</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(1)投标保证金未从投标人的基本账户转出；</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(2)投标保证金未按照招标文件划分的标段转账。</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6、《保证金缴纳绑定操作指南》获取方法：</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登录许昌公共资源交易系统-组件下载-《保证金缴纳绑定操作指南》。</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lang w:val="zh-CN"/>
              </w:rPr>
              <w:t>7、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bookmarkEnd w:id="6"/>
          <w:bookmarkEnd w:id="7"/>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3.5.2</w:t>
            </w:r>
          </w:p>
        </w:tc>
        <w:tc>
          <w:tcPr>
            <w:tcW w:w="2437" w:type="dxa"/>
            <w:gridSpan w:val="4"/>
            <w:vAlign w:val="center"/>
          </w:tcPr>
          <w:p>
            <w:pPr>
              <w:spacing w:line="360" w:lineRule="auto"/>
              <w:jc w:val="center"/>
              <w:rPr>
                <w:rFonts w:ascii="宋体" w:hAnsi="宋体" w:cs="宋体"/>
                <w:sz w:val="24"/>
                <w:szCs w:val="24"/>
              </w:rPr>
            </w:pPr>
            <w:r>
              <w:rPr>
                <w:rFonts w:hint="eastAsia" w:ascii="宋体" w:hAnsi="宋体" w:cs="宋体"/>
                <w:sz w:val="24"/>
                <w:szCs w:val="24"/>
              </w:rPr>
              <w:t>近年财务状况要求</w:t>
            </w:r>
          </w:p>
        </w:tc>
        <w:tc>
          <w:tcPr>
            <w:tcW w:w="6780" w:type="dxa"/>
            <w:gridSpan w:val="3"/>
            <w:vAlign w:val="center"/>
          </w:tcPr>
          <w:p>
            <w:pPr>
              <w:autoSpaceDE w:val="0"/>
              <w:autoSpaceDN w:val="0"/>
              <w:adjustRightInd w:val="0"/>
              <w:spacing w:line="360" w:lineRule="auto"/>
              <w:jc w:val="left"/>
              <w:rPr>
                <w:rFonts w:ascii="宋体" w:hAnsi="宋体" w:cs="宋体"/>
                <w:b/>
                <w:sz w:val="24"/>
                <w:szCs w:val="24"/>
              </w:rPr>
            </w:pPr>
            <w:r>
              <w:rPr>
                <w:rFonts w:hint="eastAsia" w:ascii="宋体" w:hAnsi="宋体" w:cs="宋体"/>
                <w:sz w:val="24"/>
                <w:szCs w:val="24"/>
              </w:rPr>
              <w:t>近年，指2016、2017、2018年度（对于成立不足三年的投标单位，从成立当年算起；）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3.5.3</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近年完成的类似项目</w:t>
            </w:r>
          </w:p>
        </w:tc>
        <w:tc>
          <w:tcPr>
            <w:tcW w:w="6780" w:type="dxa"/>
            <w:gridSpan w:val="3"/>
            <w:vAlign w:val="center"/>
          </w:tcPr>
          <w:p>
            <w:pPr>
              <w:autoSpaceDE w:val="0"/>
              <w:autoSpaceDN w:val="0"/>
              <w:adjustRightInd w:val="0"/>
              <w:spacing w:line="360" w:lineRule="auto"/>
              <w:rPr>
                <w:rFonts w:ascii="宋体" w:hAnsi="宋体" w:cs="宋体"/>
                <w:sz w:val="24"/>
                <w:szCs w:val="24"/>
              </w:rPr>
            </w:pPr>
            <w:r>
              <w:rPr>
                <w:rFonts w:ascii="宋体" w:hAnsi="宋体" w:cs="宋体"/>
                <w:sz w:val="24"/>
                <w:szCs w:val="24"/>
              </w:rPr>
              <w:t>近年，指201</w:t>
            </w:r>
            <w:r>
              <w:rPr>
                <w:rFonts w:hint="eastAsia" w:ascii="宋体" w:hAnsi="宋体" w:cs="宋体"/>
                <w:sz w:val="24"/>
                <w:szCs w:val="24"/>
              </w:rPr>
              <w:t>7</w:t>
            </w:r>
            <w:r>
              <w:rPr>
                <w:rFonts w:ascii="宋体" w:hAnsi="宋体" w:cs="宋体"/>
                <w:sz w:val="24"/>
                <w:szCs w:val="24"/>
              </w:rPr>
              <w:t>年</w:t>
            </w:r>
            <w:r>
              <w:rPr>
                <w:rFonts w:hint="eastAsia" w:ascii="宋体" w:hAnsi="宋体" w:cs="宋体"/>
                <w:sz w:val="24"/>
                <w:szCs w:val="24"/>
                <w:lang w:val="en-US" w:eastAsia="zh-CN"/>
              </w:rPr>
              <w:t>3</w:t>
            </w:r>
            <w:r>
              <w:rPr>
                <w:rFonts w:ascii="宋体" w:hAnsi="宋体" w:cs="宋体"/>
                <w:sz w:val="24"/>
                <w:szCs w:val="24"/>
              </w:rPr>
              <w:t>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3.5.5</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近年发生的诉讼及仲裁</w:t>
            </w:r>
          </w:p>
        </w:tc>
        <w:tc>
          <w:tcPr>
            <w:tcW w:w="6780" w:type="dxa"/>
            <w:gridSpan w:val="3"/>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（1）有效时间以提交投标文件截止时间前36个月为准。</w:t>
            </w:r>
          </w:p>
          <w:p>
            <w:pPr>
              <w:pStyle w:val="2"/>
              <w:spacing w:after="0" w:line="360" w:lineRule="auto"/>
              <w:ind w:firstLine="0" w:firstLineChars="0"/>
              <w:rPr>
                <w:rFonts w:hAnsi="宋体" w:cs="宋体"/>
                <w:sz w:val="24"/>
                <w:szCs w:val="24"/>
              </w:rPr>
            </w:pPr>
            <w:r>
              <w:rPr>
                <w:rFonts w:hint="eastAsia" w:hAnsi="宋体" w:cs="宋体"/>
                <w:sz w:val="24"/>
                <w:szCs w:val="24"/>
              </w:rPr>
              <w:t>（2）近年发生的诉讼和仲裁情况仅限于认定投标人有违法行为的，且与履行施工承包合同有关的案件。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3.6</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是否允许递交备选投标方案</w:t>
            </w:r>
          </w:p>
        </w:tc>
        <w:tc>
          <w:tcPr>
            <w:tcW w:w="6780" w:type="dxa"/>
            <w:gridSpan w:val="3"/>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3.7.3</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签字或盖章要求</w:t>
            </w:r>
          </w:p>
        </w:tc>
        <w:tc>
          <w:tcPr>
            <w:tcW w:w="6780" w:type="dxa"/>
            <w:gridSpan w:val="3"/>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3.7.4</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投标文件份数</w:t>
            </w:r>
          </w:p>
        </w:tc>
        <w:tc>
          <w:tcPr>
            <w:tcW w:w="6780" w:type="dxa"/>
            <w:gridSpan w:val="3"/>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1、电子投标文件</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（1）成功上传至《全国公共资源交易平台（河南省·许昌市）》公共资源交易系统电子投标文件1份（文件格式为：XX公司XXX项目编号XXX标段.file）。</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（2）使用电子介质存储的投标文件3份文件格式为：xxx公司XXX（项目编号）.bin）（所提交的电子介质储存的投标文件需分开密封且每份电子介质储存的投标文件需包括本次投标文件的全部内容）。</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3.7.5</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密封要求</w:t>
            </w:r>
          </w:p>
        </w:tc>
        <w:tc>
          <w:tcPr>
            <w:tcW w:w="6780" w:type="dxa"/>
            <w:gridSpan w:val="3"/>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使用电子介质存储的投标文件单独密封、盖章，并在开标前递交开标现场。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4.1.2</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封套上写明</w:t>
            </w:r>
          </w:p>
        </w:tc>
        <w:tc>
          <w:tcPr>
            <w:tcW w:w="6780" w:type="dxa"/>
            <w:gridSpan w:val="3"/>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投标人名称：</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招标人名称：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u w:val="single"/>
              </w:rPr>
              <w:t xml:space="preserve">        （工程名称）     </w:t>
            </w:r>
            <w:r>
              <w:rPr>
                <w:rFonts w:hint="eastAsia" w:ascii="宋体" w:hAnsi="宋体" w:cs="宋体"/>
                <w:sz w:val="24"/>
                <w:szCs w:val="24"/>
              </w:rPr>
              <w:t>投标文件</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4.2.2</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递交投标文件地点</w:t>
            </w:r>
          </w:p>
        </w:tc>
        <w:tc>
          <w:tcPr>
            <w:tcW w:w="6780" w:type="dxa"/>
            <w:gridSpan w:val="3"/>
            <w:vAlign w:val="center"/>
          </w:tcPr>
          <w:p>
            <w:pPr>
              <w:numPr>
                <w:ilvl w:val="0"/>
                <w:numId w:val="1"/>
              </w:numPr>
              <w:tabs>
                <w:tab w:val="clear" w:pos="360"/>
              </w:tabs>
              <w:spacing w:line="360" w:lineRule="auto"/>
              <w:ind w:left="0" w:hanging="648"/>
              <w:rPr>
                <w:rFonts w:ascii="宋体" w:hAnsi="宋体" w:cs="宋体"/>
                <w:sz w:val="24"/>
                <w:szCs w:val="24"/>
                <w:u w:val="single"/>
              </w:rPr>
            </w:pPr>
            <w:r>
              <w:rPr>
                <w:rFonts w:hint="eastAsia" w:ascii="宋体" w:hAnsi="宋体" w:cs="宋体"/>
                <w:sz w:val="24"/>
                <w:szCs w:val="24"/>
              </w:rPr>
              <w:t>襄城县公共资源交易中心（襄城县八七路东电子产业园12楼</w:t>
            </w:r>
            <w:r>
              <w:rPr>
                <w:rFonts w:hint="eastAsia" w:ascii="宋体" w:hAnsi="宋体" w:cs="宋体"/>
                <w:bCs/>
                <w:sz w:val="24"/>
                <w:szCs w:val="24"/>
              </w:rPr>
              <w:t>开标二</w:t>
            </w:r>
            <w:r>
              <w:rPr>
                <w:rFonts w:hint="eastAsia" w:ascii="宋体" w:hAnsi="宋体" w:cs="宋体"/>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4.2.3</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是否退还投标文件</w:t>
            </w:r>
          </w:p>
        </w:tc>
        <w:tc>
          <w:tcPr>
            <w:tcW w:w="6780" w:type="dxa"/>
            <w:gridSpan w:val="3"/>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5.1</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开标时间和地点</w:t>
            </w:r>
          </w:p>
        </w:tc>
        <w:tc>
          <w:tcPr>
            <w:tcW w:w="6780" w:type="dxa"/>
            <w:gridSpan w:val="3"/>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开标时间：同投标截止时间</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开标地点：襄城县公共资源交易中心（襄城县八七路东电子产业园12楼</w:t>
            </w:r>
            <w:r>
              <w:rPr>
                <w:rFonts w:hint="eastAsia" w:ascii="宋体" w:hAnsi="宋体" w:cs="宋体"/>
                <w:bCs/>
                <w:sz w:val="24"/>
                <w:szCs w:val="24"/>
              </w:rPr>
              <w:t>开标二室</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 xml:space="preserve">5.2 </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开标程序</w:t>
            </w:r>
          </w:p>
        </w:tc>
        <w:tc>
          <w:tcPr>
            <w:tcW w:w="6780" w:type="dxa"/>
            <w:gridSpan w:val="3"/>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 xml:space="preserve">6.1.1 </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评标委员会的组建</w:t>
            </w:r>
          </w:p>
        </w:tc>
        <w:tc>
          <w:tcPr>
            <w:tcW w:w="6780" w:type="dxa"/>
            <w:gridSpan w:val="3"/>
            <w:vAlign w:val="center"/>
          </w:tcPr>
          <w:p>
            <w:pPr>
              <w:spacing w:line="360" w:lineRule="auto"/>
              <w:rPr>
                <w:rFonts w:ascii="宋体" w:hAnsi="宋体" w:cs="宋体"/>
                <w:sz w:val="24"/>
                <w:szCs w:val="24"/>
              </w:rPr>
            </w:pPr>
            <w:r>
              <w:rPr>
                <w:rFonts w:hint="eastAsia" w:ascii="宋体" w:hAnsi="宋体" w:cs="宋体"/>
                <w:sz w:val="24"/>
                <w:szCs w:val="24"/>
                <w:highlight w:val="none"/>
              </w:rPr>
              <w:t>评标委员会构成：</w:t>
            </w:r>
            <w:r>
              <w:rPr>
                <w:rFonts w:hint="eastAsia" w:ascii="宋体" w:hAnsi="宋体" w:cs="宋体"/>
                <w:sz w:val="24"/>
                <w:szCs w:val="24"/>
                <w:highlight w:val="none"/>
                <w:lang w:val="en-US" w:eastAsia="zh-CN"/>
              </w:rPr>
              <w:t>5人，（招标人代表1人，</w:t>
            </w:r>
            <w:r>
              <w:rPr>
                <w:rFonts w:hint="eastAsia" w:ascii="宋体" w:hAnsi="宋体" w:cs="宋体"/>
                <w:sz w:val="24"/>
                <w:szCs w:val="24"/>
                <w:highlight w:val="none"/>
              </w:rPr>
              <w:t>从河南省综合评标专家库中随机抽取</w:t>
            </w:r>
            <w:r>
              <w:rPr>
                <w:rFonts w:hint="eastAsia" w:ascii="宋体" w:hAnsi="宋体" w:cs="宋体"/>
                <w:sz w:val="24"/>
                <w:szCs w:val="24"/>
                <w:highlight w:val="none"/>
                <w:lang w:val="en-US" w:eastAsia="zh-CN"/>
              </w:rPr>
              <w:t>4</w:t>
            </w:r>
            <w:r>
              <w:rPr>
                <w:rFonts w:hint="eastAsia" w:ascii="宋体" w:hAnsi="宋体" w:cs="宋体"/>
                <w:sz w:val="24"/>
                <w:szCs w:val="24"/>
                <w:highlight w:val="none"/>
              </w:rPr>
              <w:t>人</w:t>
            </w:r>
            <w:r>
              <w:rPr>
                <w:rFonts w:hint="eastAsia" w:ascii="宋体" w:hAnsi="宋体" w:cs="宋体"/>
                <w:sz w:val="24"/>
                <w:szCs w:val="24"/>
                <w:highlight w:val="none"/>
                <w:lang w:val="en-US" w:eastAsia="zh-CN"/>
              </w:rPr>
              <w:t>）</w:t>
            </w:r>
            <w:r>
              <w:rPr>
                <w:rFonts w:hint="eastAsia" w:ascii="宋体" w:hAnsi="宋体" w:cs="宋体"/>
                <w:sz w:val="24"/>
                <w:szCs w:val="24"/>
                <w:highlight w:val="none"/>
              </w:rPr>
              <w:t>，其中评</w:t>
            </w:r>
            <w:bookmarkStart w:id="117" w:name="_GoBack"/>
            <w:bookmarkEnd w:id="117"/>
            <w:r>
              <w:rPr>
                <w:rFonts w:hint="eastAsia" w:ascii="宋体" w:hAnsi="宋体" w:cs="宋体"/>
                <w:sz w:val="24"/>
                <w:szCs w:val="24"/>
                <w:highlight w:val="none"/>
              </w:rPr>
              <w:t>标委员会的组成人员中工程造价专家应不少于五分之二</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招标单位委派代表参加评审委员会的，需向招标代理机构出具授权委托书</w:t>
            </w:r>
            <w:r>
              <w:rPr>
                <w:rFonts w:hint="eastAsia"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7.1</w:t>
            </w:r>
          </w:p>
        </w:tc>
        <w:tc>
          <w:tcPr>
            <w:tcW w:w="2437" w:type="dxa"/>
            <w:gridSpan w:val="4"/>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是否授权评标委员会确定中标人</w:t>
            </w:r>
          </w:p>
        </w:tc>
        <w:tc>
          <w:tcPr>
            <w:tcW w:w="6780" w:type="dxa"/>
            <w:gridSpan w:val="3"/>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0" w:type="dxa"/>
            <w:gridSpan w:val="2"/>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7.3</w:t>
            </w:r>
          </w:p>
        </w:tc>
        <w:tc>
          <w:tcPr>
            <w:tcW w:w="2430" w:type="dxa"/>
            <w:gridSpan w:val="3"/>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履约保证金</w:t>
            </w:r>
          </w:p>
        </w:tc>
        <w:tc>
          <w:tcPr>
            <w:tcW w:w="6780" w:type="dxa"/>
            <w:gridSpan w:val="3"/>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是否要求中标人提交履约保证金：</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■要求，履约保证金的形式：现金、保函或转账形式；</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履约保证金的金额：签约合同价的5%；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10.1.1</w:t>
            </w:r>
          </w:p>
        </w:tc>
        <w:tc>
          <w:tcPr>
            <w:tcW w:w="1571"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类似项目</w:t>
            </w:r>
          </w:p>
        </w:tc>
        <w:tc>
          <w:tcPr>
            <w:tcW w:w="7572" w:type="dxa"/>
            <w:gridSpan w:val="4"/>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类似项目是指承建过单项合同金额不少于</w:t>
            </w:r>
            <w:r>
              <w:rPr>
                <w:rFonts w:hint="eastAsia" w:ascii="宋体" w:hAnsi="宋体" w:cs="宋体"/>
                <w:sz w:val="24"/>
                <w:szCs w:val="24"/>
                <w:lang w:eastAsia="zh-CN"/>
              </w:rPr>
              <w:t>本项目投资额</w:t>
            </w:r>
            <w:r>
              <w:rPr>
                <w:rFonts w:hint="eastAsia" w:ascii="宋体" w:hAnsi="宋体" w:cs="宋体"/>
                <w:sz w:val="24"/>
                <w:szCs w:val="24"/>
              </w:rPr>
              <w:t>的</w:t>
            </w:r>
            <w:r>
              <w:rPr>
                <w:rFonts w:hint="eastAsia" w:ascii="宋体" w:hAnsi="宋体" w:cs="宋体"/>
                <w:sz w:val="24"/>
                <w:szCs w:val="24"/>
                <w:lang w:eastAsia="zh-CN"/>
              </w:rPr>
              <w:t>类似</w:t>
            </w:r>
            <w:r>
              <w:rPr>
                <w:rFonts w:hint="eastAsia" w:ascii="宋体" w:hAnsi="宋体" w:cs="宋体"/>
                <w:sz w:val="24"/>
                <w:szCs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10.2.1</w:t>
            </w:r>
          </w:p>
        </w:tc>
        <w:tc>
          <w:tcPr>
            <w:tcW w:w="2437" w:type="dxa"/>
            <w:gridSpan w:val="3"/>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rPr>
              <w:t>招标控制价</w:t>
            </w:r>
          </w:p>
        </w:tc>
        <w:tc>
          <w:tcPr>
            <w:tcW w:w="6706" w:type="dxa"/>
            <w:gridSpan w:val="2"/>
            <w:vAlign w:val="center"/>
          </w:tcPr>
          <w:p>
            <w:pPr>
              <w:keepNext/>
              <w:spacing w:line="360" w:lineRule="auto"/>
              <w:rPr>
                <w:rFonts w:ascii="宋体" w:hAnsi="宋体" w:cs="宋体"/>
                <w:sz w:val="24"/>
                <w:szCs w:val="24"/>
              </w:rPr>
            </w:pPr>
            <w:r>
              <w:rPr>
                <w:rFonts w:hint="eastAsia" w:ascii="宋体" w:hAnsi="宋体" w:cs="宋体"/>
                <w:sz w:val="24"/>
                <w:szCs w:val="24"/>
              </w:rPr>
              <w:t>本工程设招标控制价：</w:t>
            </w:r>
          </w:p>
          <w:p>
            <w:pPr>
              <w:keepNext/>
              <w:spacing w:line="360" w:lineRule="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rPr>
              <w:t>大写：</w:t>
            </w:r>
            <w:r>
              <w:rPr>
                <w:rFonts w:hint="eastAsia" w:ascii="宋体" w:hAnsi="宋体" w:cs="宋体"/>
                <w:b/>
                <w:bCs/>
                <w:color w:val="auto"/>
                <w:sz w:val="24"/>
                <w:szCs w:val="24"/>
                <w:lang w:eastAsia="zh-CN"/>
              </w:rPr>
              <w:t>贰佰陆拾万零壹仟伍佰柒拾贰元伍角柒分</w:t>
            </w:r>
          </w:p>
          <w:p>
            <w:pPr>
              <w:keepNext/>
              <w:spacing w:line="360" w:lineRule="auto"/>
              <w:rPr>
                <w:rFonts w:hAnsi="宋体" w:cs="宋体"/>
                <w:b/>
                <w:bCs/>
                <w:color w:val="auto"/>
                <w:sz w:val="24"/>
                <w:szCs w:val="24"/>
              </w:rPr>
            </w:pPr>
            <w:r>
              <w:rPr>
                <w:rFonts w:hint="eastAsia" w:hAnsi="宋体" w:cs="宋体"/>
                <w:b/>
                <w:bCs/>
                <w:color w:val="auto"/>
                <w:sz w:val="24"/>
                <w:szCs w:val="24"/>
              </w:rPr>
              <w:t>小写：</w:t>
            </w:r>
            <w:r>
              <w:rPr>
                <w:rFonts w:hint="eastAsia" w:ascii="宋体" w:hAnsi="宋体" w:cs="宋体"/>
                <w:b/>
                <w:bCs/>
                <w:color w:val="auto"/>
                <w:sz w:val="24"/>
                <w:szCs w:val="24"/>
                <w:lang w:val="en-US" w:eastAsia="zh-CN"/>
              </w:rPr>
              <w:t>2601572.57</w:t>
            </w:r>
            <w:r>
              <w:rPr>
                <w:rFonts w:hint="eastAsia" w:hAnsi="宋体" w:cs="宋体"/>
                <w:b/>
                <w:bCs/>
                <w:color w:val="auto"/>
                <w:sz w:val="24"/>
                <w:szCs w:val="24"/>
              </w:rPr>
              <w:t>元</w:t>
            </w:r>
          </w:p>
          <w:p>
            <w:pPr>
              <w:autoSpaceDE w:val="0"/>
              <w:autoSpaceDN w:val="0"/>
              <w:adjustRightInd w:val="0"/>
              <w:spacing w:line="360" w:lineRule="auto"/>
              <w:rPr>
                <w:rFonts w:ascii="宋体" w:hAnsi="宋体" w:cs="宋体"/>
                <w:b/>
                <w:sz w:val="24"/>
                <w:szCs w:val="24"/>
              </w:rPr>
            </w:pPr>
            <w:r>
              <w:rPr>
                <w:rFonts w:hint="eastAsia" w:ascii="宋体" w:hAnsi="宋体" w:cs="宋体"/>
                <w:b/>
                <w:color w:val="auto"/>
                <w:sz w:val="24"/>
                <w:szCs w:val="24"/>
              </w:rPr>
              <w:t>招标控制价：包括安全文明施工</w:t>
            </w:r>
            <w:r>
              <w:rPr>
                <w:rFonts w:hint="eastAsia" w:ascii="宋体" w:hAnsi="宋体" w:cs="宋体"/>
                <w:b/>
                <w:sz w:val="24"/>
                <w:szCs w:val="24"/>
              </w:rPr>
              <w:t>措施费、规费、税金。</w:t>
            </w:r>
          </w:p>
          <w:p>
            <w:pPr>
              <w:autoSpaceDE w:val="0"/>
              <w:autoSpaceDN w:val="0"/>
              <w:adjustRightInd w:val="0"/>
              <w:spacing w:line="360" w:lineRule="auto"/>
              <w:rPr>
                <w:rFonts w:ascii="宋体" w:hAnsi="宋体" w:cs="宋体"/>
                <w:sz w:val="24"/>
                <w:szCs w:val="24"/>
              </w:rPr>
            </w:pPr>
            <w:r>
              <w:rPr>
                <w:rFonts w:hint="eastAsia" w:ascii="宋体" w:hAnsi="宋体" w:cs="宋体"/>
                <w:b/>
                <w:sz w:val="24"/>
                <w:szCs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vAlign w:val="center"/>
          </w:tcPr>
          <w:p>
            <w:pPr>
              <w:spacing w:line="360" w:lineRule="auto"/>
              <w:rPr>
                <w:rFonts w:ascii="宋体" w:hAnsi="宋体" w:cs="宋体"/>
                <w:sz w:val="24"/>
                <w:szCs w:val="24"/>
              </w:rPr>
            </w:pPr>
            <w:r>
              <w:rPr>
                <w:rFonts w:hint="eastAsia" w:ascii="宋体" w:hAnsi="宋体" w:cs="宋体"/>
                <w:sz w:val="24"/>
                <w:szCs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77" w:type="dxa"/>
            <w:gridSpan w:val="3"/>
            <w:vAlign w:val="center"/>
          </w:tcPr>
          <w:p>
            <w:pPr>
              <w:spacing w:line="360" w:lineRule="auto"/>
              <w:rPr>
                <w:rFonts w:ascii="宋体" w:hAnsi="宋体" w:cs="宋体"/>
                <w:sz w:val="24"/>
                <w:szCs w:val="24"/>
              </w:rPr>
            </w:pPr>
          </w:p>
        </w:tc>
        <w:tc>
          <w:tcPr>
            <w:tcW w:w="3830" w:type="dxa"/>
            <w:gridSpan w:val="4"/>
            <w:vAlign w:val="center"/>
          </w:tcPr>
          <w:p>
            <w:pPr>
              <w:spacing w:line="360" w:lineRule="auto"/>
              <w:jc w:val="center"/>
              <w:rPr>
                <w:rFonts w:ascii="宋体" w:hAnsi="宋体" w:cs="宋体"/>
                <w:sz w:val="24"/>
                <w:szCs w:val="24"/>
              </w:rPr>
            </w:pPr>
            <w:r>
              <w:rPr>
                <w:rFonts w:hint="eastAsia" w:ascii="宋体" w:hAnsi="宋体" w:cs="宋体"/>
                <w:sz w:val="24"/>
                <w:szCs w:val="24"/>
              </w:rPr>
              <w:t>技术标是否采用“暗标”评审方式</w:t>
            </w:r>
          </w:p>
        </w:tc>
        <w:tc>
          <w:tcPr>
            <w:tcW w:w="5313" w:type="dxa"/>
            <w:vAlign w:val="center"/>
          </w:tcPr>
          <w:p>
            <w:pPr>
              <w:spacing w:line="360" w:lineRule="auto"/>
              <w:rPr>
                <w:rFonts w:ascii="宋体" w:hAnsi="宋体" w:cs="宋体"/>
                <w:sz w:val="24"/>
                <w:szCs w:val="24"/>
              </w:rPr>
            </w:pPr>
            <w:r>
              <w:rPr>
                <w:rFonts w:hint="eastAsia" w:ascii="宋体" w:hAnsi="宋体" w:cs="宋体"/>
                <w:sz w:val="24"/>
                <w:szCs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vAlign w:val="center"/>
          </w:tcPr>
          <w:p>
            <w:pPr>
              <w:spacing w:line="360" w:lineRule="auto"/>
              <w:ind w:left="240" w:hanging="240" w:hangingChars="100"/>
              <w:rPr>
                <w:rFonts w:ascii="宋体" w:hAnsi="宋体" w:cs="宋体"/>
                <w:sz w:val="24"/>
                <w:szCs w:val="24"/>
              </w:rPr>
            </w:pPr>
            <w:r>
              <w:rPr>
                <w:rFonts w:hint="eastAsia" w:ascii="宋体" w:hAnsi="宋体" w:cs="宋体"/>
                <w:sz w:val="24"/>
                <w:szCs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vAlign w:val="center"/>
          </w:tcPr>
          <w:p>
            <w:pPr>
              <w:spacing w:line="360" w:lineRule="auto"/>
              <w:rPr>
                <w:rFonts w:ascii="宋体" w:hAnsi="宋体" w:cs="宋体"/>
                <w:sz w:val="24"/>
                <w:szCs w:val="24"/>
              </w:rPr>
            </w:pPr>
          </w:p>
        </w:tc>
        <w:tc>
          <w:tcPr>
            <w:tcW w:w="9143" w:type="dxa"/>
            <w:gridSpan w:val="5"/>
            <w:vAlign w:val="center"/>
          </w:tcPr>
          <w:p>
            <w:pPr>
              <w:spacing w:line="360" w:lineRule="auto"/>
              <w:rPr>
                <w:rFonts w:ascii="宋体" w:hAnsi="宋体" w:cs="宋体"/>
                <w:sz w:val="24"/>
                <w:szCs w:val="24"/>
              </w:rPr>
            </w:pPr>
            <w:r>
              <w:rPr>
                <w:rFonts w:hint="eastAsia" w:ascii="宋体" w:hAnsi="宋体" w:cs="宋体"/>
                <w:b/>
                <w:sz w:val="24"/>
                <w:szCs w:val="24"/>
              </w:rPr>
              <w:t xml:space="preserve">开标时各投标人的法定代表人或授权委托人持身份证原件及授权委托书，到开标现场签到，缺席或逾期不到者视为放弃。各投标单位参加会议人数不得多于三人。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vAlign w:val="center"/>
          </w:tcPr>
          <w:p>
            <w:pPr>
              <w:spacing w:line="360" w:lineRule="auto"/>
              <w:rPr>
                <w:rFonts w:ascii="宋体" w:hAnsi="宋体" w:cs="宋体"/>
                <w:sz w:val="24"/>
                <w:szCs w:val="24"/>
              </w:rPr>
            </w:pPr>
            <w:r>
              <w:rPr>
                <w:rFonts w:hint="eastAsia" w:ascii="宋体" w:hAnsi="宋体" w:cs="宋体"/>
                <w:sz w:val="24"/>
                <w:szCs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vAlign w:val="center"/>
          </w:tcPr>
          <w:p>
            <w:pPr>
              <w:spacing w:line="360" w:lineRule="auto"/>
              <w:rPr>
                <w:rFonts w:ascii="宋体" w:hAnsi="宋体" w:cs="宋体"/>
                <w:sz w:val="24"/>
                <w:szCs w:val="24"/>
              </w:rPr>
            </w:pPr>
          </w:p>
        </w:tc>
        <w:tc>
          <w:tcPr>
            <w:tcW w:w="9143" w:type="dxa"/>
            <w:gridSpan w:val="5"/>
            <w:vAlign w:val="center"/>
          </w:tcPr>
          <w:p>
            <w:pPr>
              <w:spacing w:line="360" w:lineRule="auto"/>
              <w:rPr>
                <w:rFonts w:ascii="宋体" w:hAnsi="宋体" w:cs="宋体"/>
                <w:b/>
                <w:sz w:val="24"/>
                <w:szCs w:val="24"/>
              </w:rPr>
            </w:pPr>
            <w:r>
              <w:rPr>
                <w:rFonts w:hint="eastAsia" w:ascii="宋体" w:hAnsi="宋体" w:cs="宋体"/>
                <w:sz w:val="24"/>
                <w:szCs w:val="24"/>
              </w:rPr>
              <w:t>1、在中标通知书发出前，招标人将中标候选人的情况在《全国公共资源交易平台（河南省·许昌市）》、《河南省电子招标投标公共服务平台》予以公示，公示期不少于3日。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vAlign w:val="center"/>
          </w:tcPr>
          <w:p>
            <w:pPr>
              <w:spacing w:line="360" w:lineRule="auto"/>
              <w:rPr>
                <w:rFonts w:ascii="宋体" w:hAnsi="宋体" w:cs="宋体"/>
                <w:sz w:val="24"/>
                <w:szCs w:val="24"/>
              </w:rPr>
            </w:pPr>
            <w:r>
              <w:rPr>
                <w:rFonts w:hint="eastAsia" w:ascii="宋体" w:hAnsi="宋体" w:cs="宋体"/>
                <w:sz w:val="24"/>
                <w:szCs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vAlign w:val="center"/>
          </w:tcPr>
          <w:p>
            <w:pPr>
              <w:spacing w:line="360" w:lineRule="auto"/>
              <w:rPr>
                <w:rFonts w:ascii="宋体" w:hAnsi="宋体" w:cs="宋体"/>
                <w:sz w:val="24"/>
                <w:szCs w:val="24"/>
              </w:rPr>
            </w:pPr>
          </w:p>
        </w:tc>
        <w:tc>
          <w:tcPr>
            <w:tcW w:w="9143" w:type="dxa"/>
            <w:gridSpan w:val="5"/>
            <w:vAlign w:val="center"/>
          </w:tcPr>
          <w:p>
            <w:pPr>
              <w:spacing w:line="360" w:lineRule="auto"/>
              <w:rPr>
                <w:rFonts w:ascii="宋体" w:hAnsi="宋体" w:cs="宋体"/>
                <w:sz w:val="24"/>
                <w:szCs w:val="24"/>
              </w:rPr>
            </w:pPr>
            <w:r>
              <w:rPr>
                <w:rFonts w:hint="eastAsia" w:ascii="宋体" w:hAnsi="宋体" w:cs="宋体"/>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vAlign w:val="center"/>
          </w:tcPr>
          <w:p>
            <w:pPr>
              <w:spacing w:line="360" w:lineRule="auto"/>
              <w:rPr>
                <w:rFonts w:ascii="宋体" w:hAnsi="宋体" w:cs="宋体"/>
                <w:sz w:val="24"/>
                <w:szCs w:val="24"/>
              </w:rPr>
            </w:pPr>
            <w:r>
              <w:rPr>
                <w:rFonts w:hint="eastAsia" w:ascii="宋体" w:hAnsi="宋体" w:cs="宋体"/>
                <w:sz w:val="24"/>
                <w:szCs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vAlign w:val="center"/>
          </w:tcPr>
          <w:p>
            <w:pPr>
              <w:spacing w:line="360" w:lineRule="auto"/>
              <w:rPr>
                <w:rFonts w:ascii="宋体" w:hAnsi="宋体" w:cs="宋体"/>
                <w:sz w:val="24"/>
                <w:szCs w:val="24"/>
              </w:rPr>
            </w:pPr>
          </w:p>
        </w:tc>
        <w:tc>
          <w:tcPr>
            <w:tcW w:w="9143" w:type="dxa"/>
            <w:gridSpan w:val="5"/>
            <w:vAlign w:val="center"/>
          </w:tcPr>
          <w:p>
            <w:pPr>
              <w:spacing w:line="360" w:lineRule="auto"/>
              <w:rPr>
                <w:rFonts w:ascii="宋体" w:hAnsi="宋体" w:cs="宋体"/>
                <w:sz w:val="24"/>
                <w:szCs w:val="24"/>
              </w:rPr>
            </w:pPr>
            <w:r>
              <w:rPr>
                <w:rFonts w:hint="eastAsia" w:ascii="宋体" w:hAnsi="宋体" w:cs="宋体"/>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vAlign w:val="center"/>
          </w:tcPr>
          <w:p>
            <w:pPr>
              <w:spacing w:line="360" w:lineRule="auto"/>
              <w:rPr>
                <w:rFonts w:ascii="宋体" w:hAnsi="宋体" w:cs="宋体"/>
                <w:sz w:val="24"/>
                <w:szCs w:val="24"/>
              </w:rPr>
            </w:pPr>
            <w:r>
              <w:rPr>
                <w:rFonts w:hint="eastAsia" w:ascii="宋体" w:hAnsi="宋体" w:cs="宋体"/>
                <w:sz w:val="24"/>
                <w:szCs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vAlign w:val="center"/>
          </w:tcPr>
          <w:p>
            <w:pPr>
              <w:spacing w:line="360" w:lineRule="auto"/>
              <w:rPr>
                <w:rFonts w:ascii="宋体" w:hAnsi="宋体" w:cs="宋体"/>
                <w:sz w:val="24"/>
                <w:szCs w:val="24"/>
              </w:rPr>
            </w:pPr>
          </w:p>
        </w:tc>
        <w:tc>
          <w:tcPr>
            <w:tcW w:w="9143" w:type="dxa"/>
            <w:gridSpan w:val="5"/>
            <w:vAlign w:val="center"/>
          </w:tcPr>
          <w:p>
            <w:pPr>
              <w:spacing w:line="360" w:lineRule="auto"/>
              <w:rPr>
                <w:rFonts w:ascii="宋体" w:hAnsi="宋体" w:cs="宋体"/>
                <w:sz w:val="24"/>
                <w:szCs w:val="24"/>
              </w:rPr>
            </w:pPr>
            <w:r>
              <w:rPr>
                <w:rFonts w:hint="eastAsia" w:ascii="宋体" w:hAnsi="宋体" w:cs="宋体"/>
                <w:sz w:val="24"/>
                <w:szCs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vAlign w:val="center"/>
          </w:tcPr>
          <w:p>
            <w:pPr>
              <w:spacing w:line="360" w:lineRule="auto"/>
              <w:rPr>
                <w:rFonts w:ascii="宋体" w:hAnsi="宋体" w:cs="宋体"/>
                <w:sz w:val="24"/>
                <w:szCs w:val="24"/>
              </w:rPr>
            </w:pPr>
            <w:r>
              <w:rPr>
                <w:rFonts w:hint="eastAsia" w:ascii="宋体" w:hAnsi="宋体" w:cs="宋体"/>
                <w:sz w:val="24"/>
                <w:szCs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vAlign w:val="center"/>
          </w:tcPr>
          <w:p>
            <w:pPr>
              <w:spacing w:line="360" w:lineRule="auto"/>
              <w:rPr>
                <w:rFonts w:ascii="宋体" w:hAnsi="宋体" w:cs="宋体"/>
                <w:sz w:val="24"/>
                <w:szCs w:val="24"/>
              </w:rPr>
            </w:pPr>
          </w:p>
        </w:tc>
        <w:tc>
          <w:tcPr>
            <w:tcW w:w="9143" w:type="dxa"/>
            <w:gridSpan w:val="5"/>
            <w:vAlign w:val="center"/>
          </w:tcPr>
          <w:p>
            <w:pPr>
              <w:spacing w:line="360" w:lineRule="auto"/>
              <w:rPr>
                <w:rFonts w:ascii="宋体" w:hAnsi="宋体" w:cs="宋体"/>
                <w:sz w:val="24"/>
                <w:szCs w:val="24"/>
              </w:rPr>
            </w:pPr>
            <w:r>
              <w:rPr>
                <w:rFonts w:hint="eastAsia" w:ascii="宋体" w:hAnsi="宋体" w:cs="宋体"/>
                <w:sz w:val="24"/>
                <w:szCs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vAlign w:val="center"/>
          </w:tcPr>
          <w:p>
            <w:pPr>
              <w:spacing w:line="360" w:lineRule="auto"/>
              <w:rPr>
                <w:rFonts w:ascii="宋体" w:hAnsi="宋体" w:cs="宋体"/>
                <w:sz w:val="24"/>
                <w:szCs w:val="24"/>
              </w:rPr>
            </w:pPr>
            <w:r>
              <w:rPr>
                <w:rFonts w:hint="eastAsia" w:ascii="宋体" w:hAnsi="宋体" w:cs="宋体"/>
                <w:sz w:val="24"/>
                <w:szCs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vAlign w:val="center"/>
          </w:tcPr>
          <w:p>
            <w:pPr>
              <w:spacing w:line="360" w:lineRule="auto"/>
              <w:rPr>
                <w:rFonts w:ascii="宋体" w:hAnsi="宋体" w:cs="宋体"/>
                <w:sz w:val="24"/>
                <w:szCs w:val="24"/>
              </w:rPr>
            </w:pPr>
          </w:p>
        </w:tc>
        <w:tc>
          <w:tcPr>
            <w:tcW w:w="9143" w:type="dxa"/>
            <w:gridSpan w:val="5"/>
            <w:vAlign w:val="center"/>
          </w:tcPr>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构成本招标文件的各个组成文件应互为解释，互为说明；</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1、如有不明确或不一致，构成合同文件组成内容，以合同文件约定内容为准，且以专用合同条款约定的合同文件优先顺序解释；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2、除招标文件中有特别规定外，仅适用于招标投标阶段的规定，按招标公告（投标邀请书）、投标人须知、评标办法、投标文件格式的先后顺序解释；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3、同一组成文件中就同一事项的规定或约定不一致的，以编排顺序在后者为准；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4、同一组成文件不同版本之间有不一致的，以形成时间在后者为准。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vAlign w:val="center"/>
          </w:tcPr>
          <w:p>
            <w:pPr>
              <w:adjustRightInd w:val="0"/>
              <w:snapToGrid w:val="0"/>
              <w:spacing w:line="360" w:lineRule="auto"/>
              <w:rPr>
                <w:rFonts w:ascii="宋体" w:hAnsi="宋体" w:cs="宋体"/>
                <w:b/>
                <w:sz w:val="24"/>
                <w:szCs w:val="24"/>
              </w:rPr>
            </w:pPr>
            <w:r>
              <w:rPr>
                <w:rFonts w:hint="eastAsia" w:ascii="宋体" w:hAnsi="宋体" w:cs="宋体"/>
                <w:b/>
                <w:sz w:val="24"/>
                <w:szCs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vAlign w:val="center"/>
          </w:tcPr>
          <w:p>
            <w:pPr>
              <w:adjustRightInd w:val="0"/>
              <w:snapToGrid w:val="0"/>
              <w:spacing w:line="360" w:lineRule="auto"/>
              <w:rPr>
                <w:rFonts w:ascii="宋体" w:hAnsi="宋体" w:cs="宋体"/>
                <w:sz w:val="24"/>
                <w:szCs w:val="24"/>
              </w:rPr>
            </w:pPr>
            <w:bookmarkStart w:id="9" w:name="_Toc283559965"/>
            <w:bookmarkStart w:id="10" w:name="_Toc225243456"/>
            <w:r>
              <w:rPr>
                <w:rFonts w:hint="eastAsia" w:ascii="宋体" w:hAnsi="宋体" w:cs="宋体"/>
                <w:sz w:val="24"/>
                <w:szCs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vAlign w:val="center"/>
          </w:tcPr>
          <w:p>
            <w:pPr>
              <w:spacing w:line="360" w:lineRule="auto"/>
              <w:rPr>
                <w:rFonts w:ascii="宋体" w:hAnsi="宋体" w:cs="宋体"/>
                <w:sz w:val="24"/>
                <w:szCs w:val="24"/>
              </w:rPr>
            </w:pPr>
          </w:p>
        </w:tc>
        <w:tc>
          <w:tcPr>
            <w:tcW w:w="9143" w:type="dxa"/>
            <w:gridSpan w:val="5"/>
            <w:vAlign w:val="center"/>
          </w:tcPr>
          <w:p>
            <w:pPr>
              <w:autoSpaceDE w:val="0"/>
              <w:autoSpaceDN w:val="0"/>
              <w:adjustRightInd w:val="0"/>
              <w:snapToGrid w:val="0"/>
              <w:spacing w:line="360" w:lineRule="auto"/>
              <w:ind w:firstLine="480" w:firstLineChars="200"/>
              <w:jc w:val="left"/>
              <w:outlineLvl w:val="0"/>
              <w:rPr>
                <w:rFonts w:ascii="宋体" w:hAnsi="宋体" w:cs="宋体"/>
                <w:sz w:val="24"/>
                <w:szCs w:val="24"/>
              </w:rPr>
            </w:pPr>
            <w:bookmarkStart w:id="11" w:name="_Toc28556"/>
            <w:r>
              <w:rPr>
                <w:rFonts w:hint="eastAsia" w:ascii="宋体" w:hAnsi="宋体" w:cs="宋体"/>
                <w:sz w:val="24"/>
                <w:szCs w:val="24"/>
              </w:rPr>
              <w:t>1、逾期送达的或者未送达指定地点的投标文件；</w:t>
            </w:r>
            <w:bookmarkEnd w:id="11"/>
          </w:p>
          <w:p>
            <w:pPr>
              <w:autoSpaceDE w:val="0"/>
              <w:autoSpaceDN w:val="0"/>
              <w:adjustRightInd w:val="0"/>
              <w:snapToGrid w:val="0"/>
              <w:spacing w:line="360" w:lineRule="auto"/>
              <w:ind w:firstLine="480" w:firstLineChars="200"/>
              <w:jc w:val="left"/>
              <w:outlineLvl w:val="0"/>
              <w:rPr>
                <w:rFonts w:ascii="宋体" w:hAnsi="宋体" w:cs="宋体"/>
                <w:sz w:val="24"/>
                <w:szCs w:val="24"/>
              </w:rPr>
            </w:pPr>
            <w:bookmarkStart w:id="12" w:name="_Toc2922"/>
            <w:r>
              <w:rPr>
                <w:rFonts w:hint="eastAsia" w:ascii="宋体" w:hAnsi="宋体" w:cs="宋体"/>
                <w:sz w:val="24"/>
                <w:szCs w:val="24"/>
              </w:rPr>
              <w:t>2、投标文件未按招标文件要求密封的；</w:t>
            </w:r>
            <w:bookmarkEnd w:id="12"/>
          </w:p>
          <w:p>
            <w:pPr>
              <w:autoSpaceDE w:val="0"/>
              <w:autoSpaceDN w:val="0"/>
              <w:adjustRightInd w:val="0"/>
              <w:snapToGrid w:val="0"/>
              <w:spacing w:line="360" w:lineRule="auto"/>
              <w:ind w:firstLine="480" w:firstLineChars="200"/>
              <w:jc w:val="left"/>
              <w:outlineLvl w:val="0"/>
              <w:rPr>
                <w:rFonts w:ascii="宋体" w:hAnsi="宋体" w:cs="宋体"/>
                <w:sz w:val="24"/>
                <w:szCs w:val="24"/>
              </w:rPr>
            </w:pPr>
            <w:bookmarkStart w:id="13" w:name="_Toc9790"/>
            <w:r>
              <w:rPr>
                <w:rFonts w:hint="eastAsia" w:ascii="宋体" w:hAnsi="宋体" w:cs="宋体"/>
                <w:sz w:val="24"/>
                <w:szCs w:val="24"/>
              </w:rPr>
              <w:t>3、未按招标文件要求缴纳投标保证金的；</w:t>
            </w:r>
            <w:bookmarkEnd w:id="13"/>
          </w:p>
          <w:p>
            <w:pPr>
              <w:autoSpaceDE w:val="0"/>
              <w:autoSpaceDN w:val="0"/>
              <w:spacing w:line="360" w:lineRule="auto"/>
              <w:ind w:firstLine="480" w:firstLineChars="200"/>
              <w:jc w:val="left"/>
              <w:outlineLvl w:val="0"/>
              <w:rPr>
                <w:rFonts w:ascii="宋体" w:hAnsi="宋体" w:cs="宋体"/>
                <w:sz w:val="24"/>
                <w:szCs w:val="24"/>
              </w:rPr>
            </w:pPr>
            <w:bookmarkStart w:id="14" w:name="_Toc5670"/>
            <w:r>
              <w:rPr>
                <w:rFonts w:hint="eastAsia" w:ascii="宋体" w:hAnsi="宋体" w:cs="宋体"/>
                <w:sz w:val="24"/>
                <w:szCs w:val="24"/>
              </w:rPr>
              <w:t>4、开标时法定代表人或授权委托人（持有效的授权委托书）未携带本人身份证到开标现场并签到的；</w:t>
            </w:r>
            <w:bookmarkEnd w:id="14"/>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5、未通过《全国公共资源交易平台（河南省▪许昌市）》系统下载招标文件的。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0" w:type="dxa"/>
            <w:gridSpan w:val="8"/>
            <w:vAlign w:val="center"/>
          </w:tcPr>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gridSpan w:val="3"/>
            <w:vAlign w:val="center"/>
          </w:tcPr>
          <w:p>
            <w:pPr>
              <w:spacing w:line="360" w:lineRule="auto"/>
              <w:rPr>
                <w:rFonts w:ascii="宋体" w:hAnsi="宋体" w:cs="宋体"/>
                <w:sz w:val="24"/>
                <w:szCs w:val="24"/>
              </w:rPr>
            </w:pPr>
          </w:p>
        </w:tc>
        <w:tc>
          <w:tcPr>
            <w:tcW w:w="9143" w:type="dxa"/>
            <w:gridSpan w:val="5"/>
            <w:vAlign w:val="center"/>
          </w:tcPr>
          <w:p>
            <w:pPr>
              <w:autoSpaceDE w:val="0"/>
              <w:autoSpaceDN w:val="0"/>
              <w:spacing w:line="360" w:lineRule="auto"/>
              <w:ind w:firstLine="480" w:firstLineChars="200"/>
              <w:jc w:val="left"/>
              <w:rPr>
                <w:rFonts w:ascii="宋体" w:hAnsi="宋体" w:cs="宋体"/>
                <w:sz w:val="24"/>
                <w:szCs w:val="24"/>
              </w:rPr>
            </w:pPr>
            <w:r>
              <w:rPr>
                <w:rFonts w:hint="eastAsia" w:ascii="宋体" w:hAnsi="宋体" w:cs="宋体"/>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480" w:firstLineChars="200"/>
              <w:jc w:val="left"/>
              <w:rPr>
                <w:rFonts w:ascii="宋体" w:hAnsi="宋体" w:cs="宋体"/>
                <w:sz w:val="24"/>
                <w:szCs w:val="24"/>
              </w:rPr>
            </w:pPr>
            <w:r>
              <w:rPr>
                <w:rFonts w:hint="eastAsia" w:ascii="宋体" w:hAnsi="宋体" w:cs="宋体"/>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ind w:firstLine="480" w:firstLineChars="200"/>
              <w:jc w:val="left"/>
              <w:rPr>
                <w:rFonts w:ascii="宋体" w:hAnsi="宋体" w:cs="宋体"/>
                <w:sz w:val="24"/>
                <w:szCs w:val="24"/>
              </w:rPr>
            </w:pPr>
            <w:r>
              <w:rPr>
                <w:rFonts w:hint="eastAsia" w:ascii="宋体" w:hAnsi="宋体" w:cs="宋体"/>
                <w:sz w:val="24"/>
                <w:szCs w:val="24"/>
              </w:rPr>
              <w:t>3、投标人在投标截止时间前应随时关注《全国公共资源交易平台（河南省·许昌市）》公共资源交易系统发出的有关本项目的答疑、修改等相关内容。</w:t>
            </w:r>
          </w:p>
          <w:p>
            <w:pPr>
              <w:autoSpaceDE w:val="0"/>
              <w:autoSpaceDN w:val="0"/>
              <w:spacing w:line="360" w:lineRule="auto"/>
              <w:ind w:firstLine="480" w:firstLineChars="200"/>
              <w:jc w:val="left"/>
              <w:rPr>
                <w:rFonts w:ascii="宋体" w:hAnsi="宋体" w:cs="宋体"/>
                <w:sz w:val="24"/>
                <w:szCs w:val="24"/>
              </w:rPr>
            </w:pPr>
            <w:r>
              <w:rPr>
                <w:rFonts w:hint="eastAsia" w:ascii="宋体" w:hAnsi="宋体" w:cs="宋体"/>
                <w:sz w:val="24"/>
                <w:szCs w:val="24"/>
              </w:rPr>
              <w:t>4、本项目试行全流程电子化交易，如因系统异常情况无法完成，将以人工方式进行。</w:t>
            </w:r>
          </w:p>
          <w:p>
            <w:pPr>
              <w:autoSpaceDE w:val="0"/>
              <w:autoSpaceDN w:val="0"/>
              <w:spacing w:line="360" w:lineRule="auto"/>
              <w:ind w:firstLine="480" w:firstLineChars="200"/>
              <w:jc w:val="left"/>
              <w:rPr>
                <w:rFonts w:ascii="宋体" w:hAnsi="宋体" w:cs="宋体"/>
                <w:sz w:val="24"/>
                <w:szCs w:val="24"/>
              </w:rPr>
            </w:pPr>
            <w:r>
              <w:rPr>
                <w:rFonts w:hint="eastAsia" w:ascii="宋体" w:hAnsi="宋体" w:cs="宋体"/>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6、投标人电子投标文件成功提交后，应打印“投标文件提交回执单”，供开标现场备查。</w:t>
            </w:r>
          </w:p>
          <w:p>
            <w:pPr>
              <w:autoSpaceDE w:val="0"/>
              <w:autoSpaceDN w:val="0"/>
              <w:spacing w:line="360" w:lineRule="auto"/>
              <w:ind w:firstLine="480" w:firstLineChars="200"/>
              <w:jc w:val="left"/>
              <w:rPr>
                <w:rFonts w:ascii="宋体" w:hAnsi="宋体" w:cs="宋体"/>
                <w:sz w:val="24"/>
                <w:szCs w:val="24"/>
              </w:rPr>
            </w:pPr>
            <w:r>
              <w:rPr>
                <w:rFonts w:hint="eastAsia" w:ascii="宋体" w:hAnsi="宋体" w:cs="宋体"/>
                <w:sz w:val="24"/>
                <w:szCs w:val="24"/>
              </w:rPr>
              <w:t>7、商务标投标文件制作注意事项：</w:t>
            </w:r>
          </w:p>
          <w:p>
            <w:pPr>
              <w:autoSpaceDE w:val="0"/>
              <w:autoSpaceDN w:val="0"/>
              <w:spacing w:line="360" w:lineRule="auto"/>
              <w:ind w:firstLine="480" w:firstLineChars="200"/>
              <w:jc w:val="left"/>
              <w:rPr>
                <w:rFonts w:ascii="宋体" w:hAnsi="宋体" w:cs="宋体"/>
                <w:sz w:val="24"/>
                <w:szCs w:val="24"/>
              </w:rPr>
            </w:pPr>
            <w:r>
              <w:rPr>
                <w:rFonts w:hint="eastAsia" w:ascii="宋体" w:hAnsi="宋体" w:cs="宋体"/>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7.2 商务标投标文件制作技术咨询：0374-2961598。</w:t>
            </w:r>
          </w:p>
        </w:tc>
      </w:tr>
    </w:tbl>
    <w:p>
      <w:pPr>
        <w:pStyle w:val="2"/>
        <w:ind w:left="0" w:leftChars="0" w:firstLine="0" w:firstLineChars="0"/>
      </w:pPr>
      <w:bookmarkStart w:id="15" w:name="_Toc283559947"/>
      <w:bookmarkStart w:id="16" w:name="_Toc283559990"/>
    </w:p>
    <w:p>
      <w:pPr>
        <w:autoSpaceDE w:val="0"/>
        <w:autoSpaceDN w:val="0"/>
        <w:spacing w:line="440" w:lineRule="exact"/>
        <w:ind w:firstLine="480" w:firstLineChars="200"/>
        <w:jc w:val="left"/>
        <w:rPr>
          <w:rFonts w:hAnsi="宋体" w:cs="宋体"/>
          <w:b/>
          <w:bCs/>
          <w:sz w:val="24"/>
        </w:rPr>
      </w:pPr>
      <w:r>
        <w:rPr>
          <w:rFonts w:hint="eastAsia" w:hAnsi="宋体" w:cs="宋体"/>
          <w:b/>
          <w:bCs/>
          <w:sz w:val="24"/>
        </w:rPr>
        <w:t>1. 总则</w:t>
      </w:r>
    </w:p>
    <w:p>
      <w:pPr>
        <w:autoSpaceDE w:val="0"/>
        <w:autoSpaceDN w:val="0"/>
        <w:spacing w:line="440" w:lineRule="exact"/>
        <w:ind w:firstLine="480" w:firstLineChars="200"/>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ind w:firstLine="480" w:firstLineChars="200"/>
        <w:jc w:val="left"/>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ind w:firstLine="480" w:firstLineChars="200"/>
        <w:jc w:val="left"/>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1.4.1投标人、项目经理资格要求：见投标人须知前附表。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ind w:firstLine="480" w:firstLineChars="200"/>
        <w:jc w:val="left"/>
        <w:rPr>
          <w:rFonts w:hAnsi="宋体" w:cs="宋体"/>
          <w:b/>
          <w:sz w:val="24"/>
        </w:rPr>
      </w:pPr>
      <w:bookmarkStart w:id="17" w:name="_Toc152042311"/>
      <w:bookmarkStart w:id="18" w:name="_Toc179632552"/>
      <w:bookmarkStart w:id="19" w:name="_Toc144974503"/>
      <w:bookmarkStart w:id="20" w:name="_Toc152045535"/>
      <w:r>
        <w:rPr>
          <w:rFonts w:hint="eastAsia" w:hAnsi="宋体" w:cs="宋体"/>
          <w:b/>
          <w:sz w:val="24"/>
        </w:rPr>
        <w:t>1.5 费用承担</w:t>
      </w:r>
      <w:bookmarkEnd w:id="17"/>
      <w:bookmarkEnd w:id="18"/>
      <w:bookmarkEnd w:id="19"/>
      <w:bookmarkEnd w:id="20"/>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投标人准备和参加投标活动发生的费用自理，招标代理服务费计取办法参考原国家</w:t>
      </w:r>
      <w:r>
        <w:rPr>
          <w:rFonts w:hint="eastAsia" w:ascii="新宋体" w:eastAsia="新宋体"/>
          <w:sz w:val="24"/>
        </w:rPr>
        <w:t>发改委【2011】534号文和发改价格[2015]299号文件规定，</w:t>
      </w:r>
      <w:r>
        <w:rPr>
          <w:rFonts w:hint="eastAsia" w:hAnsi="宋体" w:cs="宋体"/>
          <w:sz w:val="24"/>
        </w:rPr>
        <w:t>由中标人支付。</w:t>
      </w:r>
    </w:p>
    <w:p>
      <w:pPr>
        <w:autoSpaceDE w:val="0"/>
        <w:autoSpaceDN w:val="0"/>
        <w:spacing w:line="440" w:lineRule="exact"/>
        <w:ind w:firstLine="480" w:firstLineChars="200"/>
        <w:jc w:val="left"/>
        <w:rPr>
          <w:rFonts w:hAnsi="宋体" w:cs="宋体"/>
          <w:b/>
          <w:sz w:val="24"/>
        </w:rPr>
      </w:pPr>
      <w:bookmarkStart w:id="21" w:name="_Toc144974504"/>
      <w:bookmarkStart w:id="22" w:name="_Toc152042312"/>
      <w:bookmarkStart w:id="23" w:name="_Toc152045536"/>
      <w:bookmarkStart w:id="24" w:name="_Toc179632553"/>
      <w:r>
        <w:rPr>
          <w:rFonts w:hint="eastAsia" w:hAnsi="宋体" w:cs="宋体"/>
          <w:b/>
          <w:sz w:val="24"/>
        </w:rPr>
        <w:t>1.6 保密</w:t>
      </w:r>
      <w:bookmarkEnd w:id="21"/>
      <w:bookmarkEnd w:id="22"/>
      <w:bookmarkEnd w:id="23"/>
      <w:bookmarkEnd w:id="24"/>
    </w:p>
    <w:p>
      <w:pPr>
        <w:autoSpaceDE w:val="0"/>
        <w:autoSpaceDN w:val="0"/>
        <w:spacing w:line="440" w:lineRule="exact"/>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ind w:firstLine="480" w:firstLineChars="200"/>
        <w:jc w:val="left"/>
        <w:rPr>
          <w:rFonts w:hAnsi="宋体" w:cs="宋体"/>
          <w:b/>
          <w:sz w:val="24"/>
        </w:rPr>
      </w:pPr>
      <w:bookmarkStart w:id="25" w:name="_Toc144974505"/>
      <w:bookmarkStart w:id="26" w:name="_Toc179632554"/>
      <w:bookmarkStart w:id="27" w:name="_Toc152045537"/>
      <w:bookmarkStart w:id="28" w:name="_Toc152042313"/>
      <w:r>
        <w:rPr>
          <w:rFonts w:hint="eastAsia" w:hAnsi="宋体" w:cs="宋体"/>
          <w:b/>
          <w:sz w:val="24"/>
        </w:rPr>
        <w:t>1.7 语言</w:t>
      </w:r>
      <w:bookmarkEnd w:id="25"/>
      <w:r>
        <w:rPr>
          <w:rFonts w:hint="eastAsia" w:hAnsi="宋体" w:cs="宋体"/>
          <w:b/>
          <w:sz w:val="24"/>
        </w:rPr>
        <w:t>文字</w:t>
      </w:r>
      <w:bookmarkEnd w:id="26"/>
      <w:bookmarkEnd w:id="27"/>
      <w:bookmarkEnd w:id="28"/>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ind w:firstLine="480" w:firstLineChars="200"/>
        <w:jc w:val="left"/>
        <w:rPr>
          <w:rFonts w:hAnsi="宋体" w:cs="宋体"/>
          <w:b/>
          <w:sz w:val="24"/>
        </w:rPr>
      </w:pPr>
      <w:bookmarkStart w:id="29" w:name="_Toc152045538"/>
      <w:bookmarkStart w:id="30" w:name="_Toc179632555"/>
      <w:bookmarkStart w:id="31" w:name="_Toc144974506"/>
      <w:bookmarkStart w:id="32" w:name="_Toc152042314"/>
      <w:r>
        <w:rPr>
          <w:rFonts w:hint="eastAsia" w:hAnsi="宋体" w:cs="宋体"/>
          <w:b/>
          <w:sz w:val="24"/>
        </w:rPr>
        <w:t>1.8 计量单位</w:t>
      </w:r>
      <w:bookmarkEnd w:id="29"/>
      <w:bookmarkEnd w:id="30"/>
      <w:bookmarkEnd w:id="31"/>
      <w:bookmarkEnd w:id="32"/>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ind w:firstLine="480" w:firstLineChars="200"/>
        <w:jc w:val="left"/>
        <w:rPr>
          <w:rFonts w:hAnsi="宋体" w:cs="宋体"/>
          <w:b/>
          <w:sz w:val="24"/>
        </w:rPr>
      </w:pPr>
      <w:r>
        <w:rPr>
          <w:rFonts w:hint="eastAsia" w:hAnsi="宋体" w:cs="宋体"/>
          <w:b/>
          <w:sz w:val="24"/>
        </w:rPr>
        <w:t>1.9 踏勘现场</w:t>
      </w:r>
      <w:bookmarkEnd w:id="15"/>
    </w:p>
    <w:p>
      <w:pPr>
        <w:autoSpaceDE w:val="0"/>
        <w:autoSpaceDN w:val="0"/>
        <w:spacing w:line="440" w:lineRule="exact"/>
        <w:ind w:firstLine="480" w:firstLineChars="200"/>
        <w:jc w:val="left"/>
        <w:rPr>
          <w:rFonts w:hAnsi="宋体" w:cs="宋体"/>
          <w:sz w:val="24"/>
        </w:rPr>
      </w:pPr>
      <w:r>
        <w:rPr>
          <w:rFonts w:hint="eastAsia" w:hAnsi="宋体" w:cs="宋体"/>
          <w:sz w:val="24"/>
        </w:rPr>
        <w:t xml:space="preserve">1.9.1 不组织。          </w:t>
      </w:r>
    </w:p>
    <w:p>
      <w:pPr>
        <w:autoSpaceDE w:val="0"/>
        <w:autoSpaceDN w:val="0"/>
        <w:spacing w:line="440" w:lineRule="exact"/>
        <w:ind w:firstLine="480" w:firstLineChars="200"/>
        <w:jc w:val="left"/>
        <w:rPr>
          <w:rFonts w:hAnsi="宋体" w:cs="宋体"/>
          <w:sz w:val="24"/>
        </w:rPr>
      </w:pPr>
      <w:r>
        <w:rPr>
          <w:rFonts w:hint="eastAsia" w:hAnsi="宋体" w:cs="宋体"/>
          <w:sz w:val="24"/>
        </w:rPr>
        <w:t>1.9.2 投标人踏勘现场发生的费用自理。</w:t>
      </w:r>
    </w:p>
    <w:p>
      <w:pPr>
        <w:autoSpaceDE w:val="0"/>
        <w:autoSpaceDN w:val="0"/>
        <w:spacing w:line="440" w:lineRule="exact"/>
        <w:ind w:firstLine="480" w:firstLineChars="200"/>
        <w:jc w:val="left"/>
        <w:rPr>
          <w:rFonts w:hAnsi="宋体" w:cs="宋体"/>
          <w:sz w:val="24"/>
        </w:rPr>
      </w:pPr>
      <w:r>
        <w:rPr>
          <w:rFonts w:hint="eastAsia" w:hAnsi="宋体" w:cs="宋体"/>
          <w:sz w:val="24"/>
        </w:rPr>
        <w:t>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ind w:firstLine="480" w:firstLineChars="200"/>
        <w:jc w:val="left"/>
        <w:rPr>
          <w:rFonts w:hAnsi="宋体" w:cs="宋体"/>
          <w:b/>
          <w:sz w:val="24"/>
        </w:rPr>
      </w:pPr>
      <w:bookmarkStart w:id="33" w:name="_Toc283559948"/>
      <w:r>
        <w:rPr>
          <w:rFonts w:hint="eastAsia" w:hAnsi="宋体" w:cs="宋体"/>
          <w:b/>
          <w:sz w:val="24"/>
        </w:rPr>
        <w:t>1.10 投标预备会</w:t>
      </w:r>
      <w:bookmarkEnd w:id="33"/>
    </w:p>
    <w:p>
      <w:pPr>
        <w:autoSpaceDE w:val="0"/>
        <w:autoSpaceDN w:val="0"/>
        <w:spacing w:line="450" w:lineRule="exact"/>
        <w:ind w:firstLine="480" w:firstLineChars="200"/>
        <w:jc w:val="left"/>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ind w:firstLine="480" w:firstLineChars="200"/>
        <w:jc w:val="left"/>
        <w:rPr>
          <w:rFonts w:hAnsi="宋体" w:cs="宋体"/>
          <w:b/>
          <w:sz w:val="24"/>
        </w:rPr>
      </w:pPr>
      <w:bookmarkStart w:id="34" w:name="_Toc283559949"/>
      <w:r>
        <w:rPr>
          <w:rFonts w:hint="eastAsia" w:hAnsi="宋体" w:cs="宋体"/>
          <w:b/>
          <w:sz w:val="24"/>
        </w:rPr>
        <w:t>1.11 分包</w:t>
      </w:r>
      <w:bookmarkEnd w:id="34"/>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ind w:firstLine="480" w:firstLineChars="200"/>
        <w:jc w:val="left"/>
        <w:rPr>
          <w:rFonts w:hAnsi="宋体" w:cs="宋体"/>
          <w:b/>
          <w:sz w:val="24"/>
        </w:rPr>
      </w:pPr>
      <w:bookmarkStart w:id="35" w:name="_Toc283559950"/>
      <w:r>
        <w:rPr>
          <w:rFonts w:hint="eastAsia" w:hAnsi="宋体" w:cs="宋体"/>
          <w:b/>
          <w:sz w:val="24"/>
        </w:rPr>
        <w:t>1.12 偏离</w:t>
      </w:r>
      <w:bookmarkEnd w:id="35"/>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7"/>
        <w:spacing w:line="450" w:lineRule="exact"/>
        <w:ind w:firstLine="480" w:firstLineChars="200"/>
        <w:jc w:val="both"/>
        <w:rPr>
          <w:rFonts w:hAnsi="宋体"/>
          <w:b/>
          <w:color w:val="auto"/>
        </w:rPr>
      </w:pPr>
      <w:bookmarkStart w:id="36" w:name="_Toc283559951"/>
      <w:r>
        <w:rPr>
          <w:rFonts w:hint="eastAsia" w:hAnsi="宋体"/>
          <w:b/>
          <w:color w:val="auto"/>
        </w:rPr>
        <w:t>2. 招标文件</w:t>
      </w:r>
      <w:bookmarkEnd w:id="36"/>
    </w:p>
    <w:p>
      <w:pPr>
        <w:autoSpaceDE w:val="0"/>
        <w:autoSpaceDN w:val="0"/>
        <w:spacing w:line="450" w:lineRule="exact"/>
        <w:ind w:firstLine="480" w:firstLineChars="200"/>
        <w:jc w:val="left"/>
        <w:rPr>
          <w:rFonts w:hAnsi="宋体" w:cs="宋体"/>
          <w:b/>
          <w:sz w:val="24"/>
        </w:rPr>
      </w:pPr>
      <w:bookmarkStart w:id="37" w:name="_Toc283559952"/>
      <w:r>
        <w:rPr>
          <w:rFonts w:hint="eastAsia" w:hAnsi="宋体" w:cs="宋体"/>
          <w:b/>
          <w:sz w:val="24"/>
        </w:rPr>
        <w:t>2.1 招标文件的组成</w:t>
      </w:r>
      <w:bookmarkEnd w:id="37"/>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80" w:firstLineChars="200"/>
        <w:rPr>
          <w:rFonts w:hAnsi="宋体" w:cs="宋体"/>
          <w:sz w:val="24"/>
        </w:rPr>
      </w:pPr>
      <w:r>
        <w:rPr>
          <w:rFonts w:hint="eastAsia" w:hAnsi="宋体" w:cs="宋体"/>
          <w:sz w:val="24"/>
        </w:rPr>
        <w:t>（1）招标公告；</w:t>
      </w:r>
    </w:p>
    <w:p>
      <w:pPr>
        <w:spacing w:line="450" w:lineRule="exact"/>
        <w:ind w:firstLine="480" w:firstLineChars="200"/>
        <w:rPr>
          <w:rFonts w:hAnsi="宋体" w:cs="宋体"/>
          <w:sz w:val="24"/>
        </w:rPr>
      </w:pPr>
      <w:r>
        <w:rPr>
          <w:rFonts w:hint="eastAsia" w:hAnsi="宋体" w:cs="宋体"/>
          <w:sz w:val="24"/>
        </w:rPr>
        <w:t>（2）投标人须知；</w:t>
      </w:r>
    </w:p>
    <w:p>
      <w:pPr>
        <w:spacing w:line="450" w:lineRule="exact"/>
        <w:ind w:firstLine="480" w:firstLineChars="200"/>
        <w:rPr>
          <w:rFonts w:hAnsi="宋体" w:cs="宋体"/>
          <w:sz w:val="24"/>
        </w:rPr>
      </w:pPr>
      <w:r>
        <w:rPr>
          <w:rFonts w:hint="eastAsia" w:hAnsi="宋体" w:cs="宋体"/>
          <w:sz w:val="24"/>
        </w:rPr>
        <w:t>（3）评标办法；</w:t>
      </w:r>
    </w:p>
    <w:p>
      <w:pPr>
        <w:spacing w:line="450" w:lineRule="exact"/>
        <w:ind w:firstLine="480" w:firstLineChars="200"/>
        <w:rPr>
          <w:rFonts w:hAnsi="宋体" w:cs="宋体"/>
          <w:sz w:val="24"/>
        </w:rPr>
      </w:pPr>
      <w:r>
        <w:rPr>
          <w:rFonts w:hint="eastAsia" w:hAnsi="宋体" w:cs="宋体"/>
          <w:sz w:val="24"/>
        </w:rPr>
        <w:t>（4）合同条款及格式；</w:t>
      </w:r>
    </w:p>
    <w:p>
      <w:pPr>
        <w:spacing w:line="450" w:lineRule="exact"/>
        <w:ind w:firstLine="480" w:firstLineChars="200"/>
        <w:rPr>
          <w:rFonts w:hAnsi="宋体" w:cs="宋体"/>
          <w:sz w:val="24"/>
        </w:rPr>
      </w:pPr>
      <w:r>
        <w:rPr>
          <w:rFonts w:hint="eastAsia" w:hAnsi="宋体" w:cs="宋体"/>
          <w:sz w:val="24"/>
        </w:rPr>
        <w:t xml:space="preserve">（5）工程量清单； </w:t>
      </w:r>
    </w:p>
    <w:p>
      <w:pPr>
        <w:spacing w:line="450" w:lineRule="exact"/>
        <w:ind w:firstLine="480" w:firstLineChars="200"/>
        <w:rPr>
          <w:rFonts w:hAnsi="宋体" w:cs="宋体"/>
          <w:sz w:val="24"/>
        </w:rPr>
      </w:pPr>
      <w:r>
        <w:rPr>
          <w:rFonts w:hint="eastAsia" w:hAnsi="宋体" w:cs="宋体"/>
          <w:sz w:val="24"/>
        </w:rPr>
        <w:t xml:space="preserve">（6）图纸； </w:t>
      </w:r>
    </w:p>
    <w:p>
      <w:pPr>
        <w:spacing w:line="450" w:lineRule="exact"/>
        <w:ind w:firstLine="480" w:firstLineChars="200"/>
        <w:rPr>
          <w:rFonts w:hAnsi="宋体" w:cs="宋体"/>
          <w:sz w:val="24"/>
        </w:rPr>
      </w:pPr>
      <w:r>
        <w:rPr>
          <w:rFonts w:hint="eastAsia" w:hAnsi="宋体" w:cs="宋体"/>
          <w:sz w:val="24"/>
        </w:rPr>
        <w:t>（7）技术标准和要求；</w:t>
      </w:r>
    </w:p>
    <w:p>
      <w:pPr>
        <w:spacing w:line="450" w:lineRule="exact"/>
        <w:ind w:firstLine="480" w:firstLineChars="200"/>
        <w:rPr>
          <w:rFonts w:hAnsi="宋体" w:cs="宋体"/>
          <w:sz w:val="24"/>
        </w:rPr>
      </w:pPr>
      <w:r>
        <w:rPr>
          <w:rFonts w:hint="eastAsia" w:hAnsi="宋体" w:cs="宋体"/>
          <w:sz w:val="24"/>
        </w:rPr>
        <w:t>（8）投标文件格式；</w:t>
      </w:r>
    </w:p>
    <w:p>
      <w:pPr>
        <w:spacing w:line="450" w:lineRule="exact"/>
        <w:ind w:firstLine="480" w:firstLineChars="200"/>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ind w:firstLine="480" w:firstLineChars="200"/>
        <w:jc w:val="left"/>
        <w:rPr>
          <w:rFonts w:hAnsi="宋体" w:cs="宋体"/>
          <w:b/>
          <w:sz w:val="24"/>
        </w:rPr>
      </w:pPr>
      <w:bookmarkStart w:id="38" w:name="_Toc283559953"/>
      <w:r>
        <w:rPr>
          <w:rFonts w:hint="eastAsia" w:hAnsi="宋体" w:cs="宋体"/>
          <w:b/>
          <w:sz w:val="24"/>
        </w:rPr>
        <w:t>2.2 招标文件的澄清</w:t>
      </w:r>
      <w:bookmarkEnd w:id="38"/>
    </w:p>
    <w:p>
      <w:pPr>
        <w:autoSpaceDE w:val="0"/>
        <w:autoSpaceDN w:val="0"/>
        <w:adjustRightInd w:val="0"/>
        <w:spacing w:line="450" w:lineRule="exact"/>
        <w:ind w:firstLine="480" w:firstLineChars="200"/>
        <w:jc w:val="left"/>
        <w:rPr>
          <w:rFonts w:hAnsi="宋体" w:cs="宋体"/>
          <w:sz w:val="24"/>
        </w:rPr>
      </w:pPr>
      <w:bookmarkStart w:id="39"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480" w:firstLineChars="200"/>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480" w:firstLineChars="200"/>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ind w:firstLine="480" w:firstLineChars="200"/>
        <w:jc w:val="left"/>
        <w:rPr>
          <w:rFonts w:hAnsi="宋体" w:cs="宋体"/>
          <w:b/>
          <w:sz w:val="24"/>
        </w:rPr>
      </w:pPr>
      <w:r>
        <w:rPr>
          <w:rFonts w:hint="eastAsia" w:hAnsi="宋体" w:cs="宋体"/>
          <w:b/>
          <w:sz w:val="24"/>
        </w:rPr>
        <w:t>2.3 招标文件的修改</w:t>
      </w:r>
      <w:bookmarkEnd w:id="39"/>
    </w:p>
    <w:p>
      <w:pPr>
        <w:autoSpaceDE w:val="0"/>
        <w:autoSpaceDN w:val="0"/>
        <w:spacing w:line="420" w:lineRule="exact"/>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ind w:firstLine="480" w:firstLineChars="200"/>
        <w:jc w:val="left"/>
        <w:rPr>
          <w:rFonts w:hAnsi="宋体" w:cs="宋体"/>
          <w:b/>
          <w:sz w:val="24"/>
        </w:rPr>
      </w:pPr>
      <w:bookmarkStart w:id="40" w:name="_Toc179632564"/>
      <w:bookmarkStart w:id="41" w:name="_Toc152045546"/>
      <w:bookmarkStart w:id="42" w:name="_Toc144974514"/>
      <w:bookmarkStart w:id="43" w:name="_Toc152042322"/>
      <w:r>
        <w:rPr>
          <w:rFonts w:hint="eastAsia" w:hAnsi="宋体" w:cs="宋体"/>
          <w:b/>
          <w:sz w:val="24"/>
        </w:rPr>
        <w:t>3. 投标文件</w:t>
      </w:r>
      <w:bookmarkEnd w:id="40"/>
      <w:bookmarkEnd w:id="41"/>
      <w:bookmarkEnd w:id="42"/>
      <w:bookmarkEnd w:id="43"/>
    </w:p>
    <w:p>
      <w:pPr>
        <w:autoSpaceDE w:val="0"/>
        <w:autoSpaceDN w:val="0"/>
        <w:spacing w:line="420" w:lineRule="exact"/>
        <w:ind w:firstLine="480" w:firstLineChars="200"/>
        <w:jc w:val="left"/>
        <w:rPr>
          <w:rFonts w:hAnsi="宋体" w:cs="宋体"/>
          <w:b/>
          <w:sz w:val="24"/>
        </w:rPr>
      </w:pPr>
      <w:bookmarkStart w:id="44"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bookmarkStart w:id="45" w:name="_Toc8758"/>
      <w:r>
        <w:rPr>
          <w:rFonts w:hint="eastAsia" w:hAnsi="宋体" w:cs="宋体"/>
          <w:sz w:val="24"/>
        </w:rPr>
        <w:t>3.1.2综合（信用）标组成：</w:t>
      </w:r>
      <w:bookmarkEnd w:id="45"/>
    </w:p>
    <w:p>
      <w:pPr>
        <w:autoSpaceDE w:val="0"/>
        <w:autoSpaceDN w:val="0"/>
        <w:spacing w:line="420" w:lineRule="exact"/>
        <w:ind w:firstLine="480" w:firstLineChars="200"/>
        <w:jc w:val="left"/>
        <w:outlineLvl w:val="0"/>
        <w:rPr>
          <w:rFonts w:hAnsi="宋体" w:cs="宋体"/>
          <w:sz w:val="24"/>
        </w:rPr>
      </w:pPr>
      <w:bookmarkStart w:id="46" w:name="_Toc21470"/>
      <w:r>
        <w:rPr>
          <w:rFonts w:hint="eastAsia" w:hAnsi="宋体" w:cs="宋体"/>
          <w:sz w:val="24"/>
        </w:rPr>
        <w:t>（1）投标函及投标函附录；</w:t>
      </w:r>
      <w:bookmarkEnd w:id="46"/>
    </w:p>
    <w:p>
      <w:pPr>
        <w:autoSpaceDE w:val="0"/>
        <w:autoSpaceDN w:val="0"/>
        <w:spacing w:line="420" w:lineRule="exact"/>
        <w:ind w:firstLine="480" w:firstLineChars="200"/>
        <w:jc w:val="left"/>
        <w:outlineLvl w:val="0"/>
        <w:rPr>
          <w:rFonts w:hAnsi="宋体" w:cs="宋体"/>
          <w:sz w:val="24"/>
        </w:rPr>
      </w:pPr>
      <w:bookmarkStart w:id="47" w:name="_Toc16850"/>
      <w:r>
        <w:rPr>
          <w:rFonts w:hint="eastAsia" w:hAnsi="宋体" w:cs="宋体"/>
          <w:sz w:val="24"/>
        </w:rPr>
        <w:t>（2）法定代表人身份证明、授权委托书及项目负责人承诺书；</w:t>
      </w:r>
      <w:bookmarkEnd w:id="47"/>
    </w:p>
    <w:p>
      <w:pPr>
        <w:autoSpaceDE w:val="0"/>
        <w:autoSpaceDN w:val="0"/>
        <w:spacing w:line="420" w:lineRule="exact"/>
        <w:ind w:firstLine="480" w:firstLineChars="200"/>
        <w:jc w:val="left"/>
        <w:outlineLvl w:val="0"/>
        <w:rPr>
          <w:rFonts w:hAnsi="宋体" w:cs="宋体"/>
          <w:sz w:val="24"/>
        </w:rPr>
      </w:pPr>
      <w:bookmarkStart w:id="48" w:name="_Toc8670"/>
      <w:r>
        <w:rPr>
          <w:rFonts w:hint="eastAsia" w:hAnsi="宋体" w:cs="宋体"/>
          <w:sz w:val="24"/>
        </w:rPr>
        <w:t>（3）投标保证金；</w:t>
      </w:r>
      <w:bookmarkEnd w:id="48"/>
    </w:p>
    <w:p>
      <w:pPr>
        <w:autoSpaceDE w:val="0"/>
        <w:autoSpaceDN w:val="0"/>
        <w:spacing w:line="440" w:lineRule="exact"/>
        <w:ind w:firstLine="480" w:firstLineChars="200"/>
        <w:jc w:val="left"/>
        <w:outlineLvl w:val="0"/>
        <w:rPr>
          <w:rFonts w:hAnsi="宋体" w:cs="宋体"/>
          <w:sz w:val="24"/>
        </w:rPr>
      </w:pPr>
      <w:bookmarkStart w:id="49" w:name="_Toc11248"/>
      <w:r>
        <w:rPr>
          <w:rFonts w:hint="eastAsia" w:hAnsi="宋体" w:cs="宋体"/>
          <w:sz w:val="24"/>
        </w:rPr>
        <w:t>（4）项目管理机构配备情况；</w:t>
      </w:r>
      <w:bookmarkEnd w:id="49"/>
      <w:r>
        <w:rPr>
          <w:rFonts w:hint="eastAsia" w:hAnsi="宋体" w:cs="宋体"/>
          <w:sz w:val="24"/>
        </w:rPr>
        <w:t xml:space="preserve"> </w:t>
      </w:r>
    </w:p>
    <w:p>
      <w:pPr>
        <w:autoSpaceDE w:val="0"/>
        <w:autoSpaceDN w:val="0"/>
        <w:spacing w:line="440" w:lineRule="exact"/>
        <w:ind w:firstLine="480" w:firstLineChars="200"/>
        <w:jc w:val="left"/>
        <w:outlineLvl w:val="0"/>
        <w:rPr>
          <w:rFonts w:hAnsi="宋体" w:cs="宋体"/>
          <w:sz w:val="24"/>
        </w:rPr>
      </w:pPr>
      <w:bookmarkStart w:id="50" w:name="_Toc22350"/>
      <w:r>
        <w:rPr>
          <w:rFonts w:hint="eastAsia" w:hAnsi="宋体" w:cs="宋体"/>
          <w:sz w:val="24"/>
        </w:rPr>
        <w:t>（5）投标单位基本信息表；</w:t>
      </w:r>
      <w:bookmarkEnd w:id="50"/>
    </w:p>
    <w:p>
      <w:pPr>
        <w:autoSpaceDE w:val="0"/>
        <w:autoSpaceDN w:val="0"/>
        <w:spacing w:line="440" w:lineRule="exact"/>
        <w:ind w:firstLine="480" w:firstLineChars="200"/>
        <w:jc w:val="left"/>
        <w:outlineLvl w:val="0"/>
        <w:rPr>
          <w:rFonts w:hAnsi="宋体" w:cs="宋体"/>
          <w:sz w:val="24"/>
        </w:rPr>
      </w:pPr>
      <w:bookmarkStart w:id="51" w:name="_Toc24554"/>
      <w:r>
        <w:rPr>
          <w:rFonts w:hint="eastAsia" w:hAnsi="宋体" w:cs="宋体"/>
          <w:sz w:val="24"/>
        </w:rPr>
        <w:t>（6）资格证明文件；</w:t>
      </w:r>
      <w:bookmarkEnd w:id="51"/>
    </w:p>
    <w:p>
      <w:pPr>
        <w:autoSpaceDE w:val="0"/>
        <w:autoSpaceDN w:val="0"/>
        <w:spacing w:line="440" w:lineRule="exact"/>
        <w:ind w:firstLine="480" w:firstLineChars="200"/>
        <w:jc w:val="left"/>
        <w:outlineLvl w:val="0"/>
        <w:rPr>
          <w:rFonts w:hAnsi="宋体" w:cs="宋体"/>
          <w:sz w:val="24"/>
        </w:rPr>
      </w:pPr>
      <w:bookmarkStart w:id="52" w:name="_Toc12192"/>
      <w:r>
        <w:rPr>
          <w:rFonts w:hint="eastAsia" w:hAnsi="宋体" w:cs="宋体"/>
          <w:sz w:val="24"/>
        </w:rPr>
        <w:t>（7）</w:t>
      </w:r>
      <w:bookmarkEnd w:id="52"/>
      <w:r>
        <w:rPr>
          <w:rFonts w:hint="eastAsia" w:hAnsi="宋体" w:cs="宋体"/>
          <w:sz w:val="24"/>
        </w:rPr>
        <w:t>近年完成的类似项目情况；</w:t>
      </w:r>
    </w:p>
    <w:p>
      <w:pPr>
        <w:autoSpaceDE w:val="0"/>
        <w:autoSpaceDN w:val="0"/>
        <w:spacing w:line="440" w:lineRule="exact"/>
        <w:ind w:firstLine="480" w:firstLineChars="200"/>
        <w:jc w:val="left"/>
        <w:outlineLvl w:val="0"/>
        <w:rPr>
          <w:rFonts w:hAnsi="宋体" w:cs="宋体"/>
          <w:sz w:val="24"/>
        </w:rPr>
      </w:pPr>
      <w:bookmarkStart w:id="53" w:name="_Toc9930"/>
      <w:r>
        <w:rPr>
          <w:rFonts w:hint="eastAsia" w:hAnsi="宋体" w:cs="宋体"/>
          <w:sz w:val="24"/>
        </w:rPr>
        <w:t>（8）</w:t>
      </w:r>
      <w:bookmarkEnd w:id="53"/>
      <w:r>
        <w:rPr>
          <w:rFonts w:hint="eastAsia" w:hAnsi="宋体" w:cs="宋体"/>
          <w:sz w:val="24"/>
        </w:rPr>
        <w:t>正在施工的和新承接的项目情况；</w:t>
      </w:r>
    </w:p>
    <w:p>
      <w:pPr>
        <w:autoSpaceDE w:val="0"/>
        <w:autoSpaceDN w:val="0"/>
        <w:spacing w:line="440" w:lineRule="exact"/>
        <w:ind w:firstLine="480" w:firstLineChars="200"/>
        <w:jc w:val="left"/>
        <w:outlineLvl w:val="0"/>
        <w:rPr>
          <w:rFonts w:hAnsi="宋体" w:cs="宋体"/>
          <w:sz w:val="24"/>
        </w:rPr>
      </w:pPr>
      <w:bookmarkStart w:id="54" w:name="_Toc26009"/>
      <w:r>
        <w:rPr>
          <w:rFonts w:hint="eastAsia" w:hAnsi="宋体" w:cs="宋体"/>
          <w:sz w:val="24"/>
        </w:rPr>
        <w:t>（9）</w:t>
      </w:r>
      <w:bookmarkEnd w:id="54"/>
      <w:r>
        <w:rPr>
          <w:rFonts w:hint="eastAsia" w:hAnsi="宋体" w:cs="宋体"/>
          <w:sz w:val="24"/>
        </w:rPr>
        <w:t>近年发生的诉讼及仲裁；</w:t>
      </w:r>
    </w:p>
    <w:p>
      <w:pPr>
        <w:autoSpaceDE w:val="0"/>
        <w:autoSpaceDN w:val="0"/>
        <w:spacing w:line="440" w:lineRule="exact"/>
        <w:ind w:firstLine="480" w:firstLineChars="200"/>
        <w:jc w:val="left"/>
        <w:outlineLvl w:val="0"/>
        <w:rPr>
          <w:rFonts w:hAnsi="宋体" w:cs="宋体"/>
          <w:sz w:val="24"/>
        </w:rPr>
      </w:pPr>
      <w:bookmarkStart w:id="55" w:name="_Toc30392"/>
      <w:r>
        <w:rPr>
          <w:rFonts w:hint="eastAsia" w:hAnsi="宋体" w:cs="宋体"/>
          <w:sz w:val="24"/>
        </w:rPr>
        <w:t>（10）</w:t>
      </w:r>
      <w:bookmarkEnd w:id="55"/>
      <w:r>
        <w:rPr>
          <w:rFonts w:hint="eastAsia" w:hAnsi="宋体" w:cs="宋体"/>
          <w:sz w:val="24"/>
        </w:rPr>
        <w:t>其它材料；</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rPr>
          <w:rFonts w:hAnsi="宋体" w:cs="宋体"/>
          <w:sz w:val="24"/>
        </w:rPr>
      </w:pPr>
      <w:r>
        <w:rPr>
          <w:rFonts w:hint="eastAsia" w:hAnsi="宋体" w:cs="宋体"/>
          <w:sz w:val="24"/>
        </w:rPr>
        <w:t>（2）主要施工方案与技术措施；</w:t>
      </w:r>
    </w:p>
    <w:p>
      <w:pPr>
        <w:autoSpaceDE w:val="0"/>
        <w:autoSpaceDN w:val="0"/>
        <w:spacing w:line="420" w:lineRule="exact"/>
        <w:ind w:firstLine="480" w:firstLineChars="200"/>
        <w:jc w:val="left"/>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rPr>
          <w:rFonts w:hAnsi="宋体" w:cs="宋体"/>
          <w:sz w:val="24"/>
        </w:rPr>
      </w:pPr>
      <w:r>
        <w:rPr>
          <w:rFonts w:hint="eastAsia" w:hAnsi="宋体" w:cs="宋体"/>
          <w:sz w:val="24"/>
        </w:rPr>
        <w:t>（5）文明施工、环境保护管理体系及施工现场扬尘治理措施；</w:t>
      </w:r>
    </w:p>
    <w:p>
      <w:pPr>
        <w:autoSpaceDE w:val="0"/>
        <w:autoSpaceDN w:val="0"/>
        <w:spacing w:line="420" w:lineRule="exact"/>
        <w:ind w:firstLine="480" w:firstLineChars="200"/>
        <w:jc w:val="left"/>
        <w:rPr>
          <w:rFonts w:hAnsi="宋体" w:cs="宋体"/>
          <w:sz w:val="24"/>
        </w:rPr>
      </w:pPr>
      <w:r>
        <w:rPr>
          <w:rFonts w:hint="eastAsia" w:hAnsi="宋体" w:cs="宋体"/>
          <w:sz w:val="24"/>
        </w:rPr>
        <w:t>（6）工期保证措施；</w:t>
      </w:r>
    </w:p>
    <w:p>
      <w:pPr>
        <w:autoSpaceDE w:val="0"/>
        <w:autoSpaceDN w:val="0"/>
        <w:spacing w:line="420" w:lineRule="exact"/>
        <w:ind w:firstLine="480" w:firstLineChars="200"/>
        <w:jc w:val="left"/>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rPr>
          <w:rFonts w:hAnsi="宋体" w:cs="宋体"/>
          <w:sz w:val="24"/>
        </w:rPr>
      </w:pPr>
      <w:r>
        <w:rPr>
          <w:rFonts w:hint="eastAsia" w:hAnsi="宋体" w:cs="宋体"/>
          <w:sz w:val="24"/>
        </w:rPr>
        <w:t>（8）施工进度表与网络计划图；</w:t>
      </w:r>
    </w:p>
    <w:p>
      <w:pPr>
        <w:autoSpaceDE w:val="0"/>
        <w:autoSpaceDN w:val="0"/>
        <w:spacing w:line="420" w:lineRule="exact"/>
        <w:ind w:firstLine="480" w:firstLineChars="200"/>
        <w:jc w:val="left"/>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rPr>
          <w:rFonts w:hAnsi="宋体" w:cs="宋体"/>
          <w:sz w:val="24"/>
        </w:rPr>
      </w:pPr>
      <w:r>
        <w:rPr>
          <w:rFonts w:hint="eastAsia" w:hAnsi="宋体" w:cs="宋体"/>
          <w:sz w:val="24"/>
        </w:rPr>
        <w:t>（10）技术创新的应用实施措施；</w:t>
      </w:r>
    </w:p>
    <w:p>
      <w:pPr>
        <w:autoSpaceDE w:val="0"/>
        <w:autoSpaceDN w:val="0"/>
        <w:spacing w:line="420" w:lineRule="exact"/>
        <w:ind w:firstLine="480" w:firstLineChars="200"/>
        <w:jc w:val="left"/>
        <w:rPr>
          <w:rFonts w:hAnsi="宋体" w:cs="宋体"/>
          <w:sz w:val="24"/>
        </w:rPr>
      </w:pPr>
      <w:r>
        <w:rPr>
          <w:rFonts w:hint="eastAsia" w:hAnsi="宋体" w:cs="宋体"/>
          <w:sz w:val="24"/>
        </w:rPr>
        <w:t>（11）采用新工艺、新技术、新设备、新材料、BIM等的程度；</w:t>
      </w:r>
    </w:p>
    <w:p>
      <w:pPr>
        <w:autoSpaceDE w:val="0"/>
        <w:autoSpaceDN w:val="0"/>
        <w:spacing w:line="420" w:lineRule="exact"/>
        <w:ind w:firstLine="480" w:firstLineChars="200"/>
        <w:jc w:val="left"/>
        <w:rPr>
          <w:rFonts w:hAnsi="宋体" w:cs="宋体"/>
          <w:sz w:val="24"/>
        </w:rPr>
      </w:pPr>
      <w:r>
        <w:rPr>
          <w:rFonts w:hint="eastAsia" w:hAnsi="宋体" w:cs="宋体"/>
          <w:sz w:val="24"/>
        </w:rPr>
        <w:t>（12）施工现场实施信息化监控和数据处理；</w:t>
      </w:r>
    </w:p>
    <w:p>
      <w:pPr>
        <w:autoSpaceDE w:val="0"/>
        <w:autoSpaceDN w:val="0"/>
        <w:spacing w:line="420" w:lineRule="exact"/>
        <w:ind w:firstLine="480" w:firstLineChars="200"/>
        <w:jc w:val="left"/>
        <w:rPr>
          <w:rFonts w:hAnsi="宋体" w:cs="宋体"/>
          <w:sz w:val="24"/>
        </w:rPr>
      </w:pPr>
      <w:r>
        <w:rPr>
          <w:rFonts w:hint="eastAsia" w:hAnsi="宋体" w:cs="宋体"/>
          <w:sz w:val="24"/>
        </w:rPr>
        <w:t>（13）风险管理措施；</w:t>
      </w:r>
    </w:p>
    <w:p>
      <w:pPr>
        <w:autoSpaceDE w:val="0"/>
        <w:autoSpaceDN w:val="0"/>
        <w:spacing w:line="420" w:lineRule="exact"/>
        <w:ind w:firstLine="480" w:firstLineChars="200"/>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5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bookmarkEnd w:id="56"/>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3060"/>
        </w:tabs>
        <w:autoSpaceDE w:val="0"/>
        <w:autoSpaceDN w:val="0"/>
        <w:spacing w:line="440" w:lineRule="exact"/>
        <w:ind w:firstLine="480" w:firstLineChars="200"/>
        <w:jc w:val="left"/>
        <w:rPr>
          <w:rFonts w:hAnsi="宋体" w:cs="宋体"/>
          <w:b/>
          <w:bCs/>
          <w:sz w:val="24"/>
        </w:rPr>
      </w:pPr>
      <w:r>
        <w:rPr>
          <w:rFonts w:hint="eastAsia" w:hAnsi="宋体" w:cs="宋体"/>
          <w:b/>
          <w:bCs/>
          <w:sz w:val="24"/>
        </w:rPr>
        <w:t>3.3 投标有效期</w:t>
      </w:r>
      <w:bookmarkEnd w:id="44"/>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ind w:firstLine="480" w:firstLineChars="200"/>
        <w:jc w:val="left"/>
        <w:rPr>
          <w:rFonts w:hAnsi="宋体" w:cs="宋体"/>
          <w:b/>
          <w:bCs/>
          <w:sz w:val="24"/>
        </w:rPr>
      </w:pPr>
      <w:bookmarkStart w:id="57" w:name="_Toc282436964"/>
      <w:bookmarkStart w:id="58" w:name="_Toc283559960"/>
      <w:r>
        <w:rPr>
          <w:rFonts w:hint="eastAsia" w:hAnsi="宋体" w:cs="宋体"/>
          <w:b/>
          <w:bCs/>
          <w:sz w:val="24"/>
        </w:rPr>
        <w:t xml:space="preserve">3.4 </w:t>
      </w:r>
      <w:bookmarkEnd w:id="57"/>
      <w:r>
        <w:rPr>
          <w:rFonts w:hint="eastAsia" w:hAnsi="宋体" w:cs="宋体"/>
          <w:b/>
          <w:bCs/>
          <w:sz w:val="24"/>
        </w:rPr>
        <w:t>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工程建设项目的投标人登录注册网址：</w:t>
      </w:r>
      <w:r>
        <w:rPr>
          <w:rFonts w:hint="eastAsia" w:hAnsi="宋体"/>
          <w:sz w:val="24"/>
          <w:szCs w:val="24"/>
        </w:rPr>
        <w:t>http://ggzy.xuchang.gov.cn</w:t>
      </w:r>
      <w:r>
        <w:rPr>
          <w:rFonts w:hint="eastAsia" w:hAnsi="宋体" w:cs="宋体"/>
          <w:sz w:val="24"/>
        </w:rPr>
        <w:t>，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rPr>
          <w:rFonts w:hint="eastAsia" w:hAnsi="宋体"/>
          <w:sz w:val="24"/>
          <w:szCs w:val="24"/>
        </w:rPr>
        <w:t>http://ggzy.xuchang.gov.cn</w:t>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w:t>
      </w:r>
      <w:r>
        <w:rPr>
          <w:rFonts w:hint="eastAsia" w:ascii="宋体" w:hAnsi="宋体" w:cs="宋体"/>
          <w:sz w:val="24"/>
          <w:szCs w:val="24"/>
        </w:rPr>
        <w:t>到襄城县公共资源交易中心1209室工程股</w:t>
      </w:r>
      <w:r>
        <w:rPr>
          <w:rFonts w:hint="eastAsia" w:ascii="新宋体" w:hAnsi="新宋体" w:eastAsia="新宋体" w:cs="仿宋_GB2312"/>
          <w:sz w:val="24"/>
        </w:rPr>
        <w:t>办理退款手续。</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420" w:lineRule="exact"/>
        <w:ind w:firstLine="480" w:firstLineChars="200"/>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“投标人基本情况表”应附投标人营业执照副本、资质证书副本和安全生产许可证等材料的原件扫描件或图片。</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“近年财务状况表”应附经会计师事务所或审计机构审计的财务会计报表，包括资产负债表、现金流量表、利润表和财务情况说明书的原件扫描件或图片，具体年份要求见投标人须知前附表。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3.5.3 “近年完成的类似项目情况表”应附提供施工合同的原件扫描件或图片，具体年份要求见投标人须知前附表。 </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3.5.4 “正在施工和新承接的项目情况表”应附中标通知书和合同协议书的原件扫描件或图片。 </w:t>
      </w:r>
    </w:p>
    <w:p>
      <w:pPr>
        <w:autoSpaceDE w:val="0"/>
        <w:autoSpaceDN w:val="0"/>
        <w:spacing w:line="440" w:lineRule="exact"/>
        <w:ind w:firstLine="480" w:firstLineChars="200"/>
        <w:jc w:val="left"/>
        <w:rPr>
          <w:rFonts w:hAnsi="宋体" w:cs="宋体"/>
          <w:sz w:val="24"/>
        </w:rPr>
      </w:pPr>
      <w:r>
        <w:rPr>
          <w:rFonts w:hint="eastAsia" w:hAnsi="宋体" w:cs="宋体"/>
          <w:sz w:val="24"/>
        </w:rPr>
        <w:t>3.5.5 “近年发生的诉讼及仲裁情况”应说明相关情况，并附法院或仲裁机构作出的判决、裁决等有关法律文书原件扫描件或图片，具体年份要求见投标人须知前附表。</w:t>
      </w:r>
    </w:p>
    <w:p>
      <w:pPr>
        <w:autoSpaceDE w:val="0"/>
        <w:autoSpaceDN w:val="0"/>
        <w:spacing w:line="440" w:lineRule="exact"/>
        <w:ind w:firstLine="480" w:firstLineChars="200"/>
        <w:jc w:val="left"/>
        <w:rPr>
          <w:rFonts w:hAnsi="宋体" w:cs="宋体"/>
          <w:b/>
          <w:sz w:val="24"/>
        </w:rPr>
      </w:pPr>
      <w:r>
        <w:rPr>
          <w:rFonts w:hint="eastAsia" w:hAnsi="宋体" w:cs="宋体"/>
          <w:b/>
          <w:sz w:val="24"/>
        </w:rPr>
        <w:t xml:space="preserve">3.6 </w:t>
      </w:r>
      <w:bookmarkStart w:id="59" w:name="_Toc179632571"/>
      <w:bookmarkStart w:id="60" w:name="_Toc152042329"/>
      <w:bookmarkStart w:id="61" w:name="_Toc144974521"/>
      <w:bookmarkStart w:id="62" w:name="_Toc152045553"/>
      <w:r>
        <w:rPr>
          <w:rFonts w:hint="eastAsia" w:hAnsi="宋体" w:cs="宋体"/>
          <w:b/>
          <w:sz w:val="24"/>
        </w:rPr>
        <w:t>备选投标方案</w:t>
      </w:r>
    </w:p>
    <w:bookmarkEnd w:id="59"/>
    <w:bookmarkEnd w:id="60"/>
    <w:bookmarkEnd w:id="61"/>
    <w:bookmarkEnd w:id="62"/>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ind w:firstLine="480" w:firstLineChars="200"/>
        <w:jc w:val="left"/>
        <w:rPr>
          <w:rFonts w:hAnsi="宋体" w:cs="宋体"/>
          <w:b/>
          <w:sz w:val="24"/>
        </w:rPr>
      </w:pPr>
      <w:r>
        <w:rPr>
          <w:rFonts w:hint="eastAsia" w:hAnsi="宋体" w:cs="宋体"/>
          <w:b/>
          <w:sz w:val="24"/>
        </w:rPr>
        <w:t>3.7 投标文件的编制</w:t>
      </w:r>
      <w:bookmarkEnd w:id="5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投标文件应当对招标文件有关工期、投标有效期、质量要求、招标范围作出响应，否则按无效标处理。</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3.7.5 使用电子介质存储的备份文件3份。</w:t>
      </w:r>
    </w:p>
    <w:p>
      <w:pPr>
        <w:autoSpaceDE w:val="0"/>
        <w:autoSpaceDN w:val="0"/>
        <w:spacing w:line="440" w:lineRule="exact"/>
        <w:ind w:firstLine="480" w:firstLineChars="200"/>
        <w:jc w:val="left"/>
        <w:rPr>
          <w:rFonts w:hAnsi="宋体" w:cs="宋体"/>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w:t>
      </w:r>
      <w:bookmarkStart w:id="63" w:name="_Toc283559961"/>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w:t>
      </w:r>
      <w:r>
        <w:rPr>
          <w:rFonts w:hint="eastAsia" w:hAnsi="宋体" w:cs="宋体"/>
          <w:b/>
          <w:bCs/>
          <w:sz w:val="24"/>
        </w:rPr>
        <w:t>3.7.9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3.7.9.2 商务标投标文件制作技术咨询：0374-2961598。</w:t>
      </w:r>
    </w:p>
    <w:p>
      <w:pPr>
        <w:autoSpaceDE w:val="0"/>
        <w:autoSpaceDN w:val="0"/>
        <w:adjustRightInd w:val="0"/>
        <w:spacing w:line="440" w:lineRule="exact"/>
        <w:ind w:firstLine="480" w:firstLineChars="200"/>
        <w:jc w:val="left"/>
        <w:rPr>
          <w:rFonts w:hAnsi="宋体" w:cs="宋体"/>
          <w:b/>
          <w:sz w:val="24"/>
        </w:rPr>
      </w:pPr>
      <w:r>
        <w:rPr>
          <w:rFonts w:hint="eastAsia" w:hAnsi="宋体" w:cs="宋体"/>
          <w:b/>
          <w:sz w:val="24"/>
        </w:rPr>
        <w:t>4. 投标</w:t>
      </w:r>
      <w:bookmarkEnd w:id="63"/>
    </w:p>
    <w:p>
      <w:pPr>
        <w:autoSpaceDE w:val="0"/>
        <w:autoSpaceDN w:val="0"/>
        <w:adjustRightInd w:val="0"/>
        <w:spacing w:line="440" w:lineRule="exact"/>
        <w:ind w:firstLine="480" w:firstLineChars="200"/>
        <w:jc w:val="left"/>
        <w:rPr>
          <w:rFonts w:hAnsi="宋体" w:cs="宋体"/>
          <w:b/>
          <w:sz w:val="24"/>
        </w:rPr>
      </w:pPr>
      <w:bookmarkStart w:id="64" w:name="_Toc283559962"/>
      <w:r>
        <w:rPr>
          <w:rFonts w:hint="eastAsia" w:hAnsi="宋体" w:cs="宋体"/>
          <w:b/>
          <w:sz w:val="24"/>
        </w:rPr>
        <w:t>4.1 投标文件的密封和标记</w:t>
      </w:r>
      <w:bookmarkEnd w:id="6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使用电子介质存储的投标文件应分开单独密封，并加盖单位公章，法定代表人或委托代理人签名，在投标截止时间前递交。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440" w:lineRule="exact"/>
        <w:ind w:firstLine="480" w:firstLineChars="200"/>
        <w:jc w:val="left"/>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ind w:firstLine="480" w:firstLineChars="200"/>
        <w:jc w:val="left"/>
        <w:rPr>
          <w:rFonts w:hAnsi="宋体" w:cs="宋体"/>
          <w:b/>
          <w:sz w:val="24"/>
        </w:rPr>
      </w:pPr>
      <w:bookmarkStart w:id="65" w:name="_Toc283559964"/>
      <w:r>
        <w:rPr>
          <w:rFonts w:hint="eastAsia" w:hAnsi="宋体" w:cs="宋体"/>
          <w:b/>
          <w:sz w:val="24"/>
        </w:rPr>
        <w:t>4.3 投标文件的修改与撤回</w:t>
      </w:r>
      <w:bookmarkEnd w:id="65"/>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7"/>
        <w:spacing w:line="440" w:lineRule="exact"/>
        <w:ind w:firstLine="480" w:firstLineChars="200"/>
        <w:jc w:val="both"/>
        <w:rPr>
          <w:rFonts w:hAnsi="宋体"/>
          <w:b/>
          <w:color w:val="auto"/>
        </w:rPr>
      </w:pPr>
      <w:bookmarkStart w:id="66" w:name="_Toc283559967"/>
      <w:r>
        <w:rPr>
          <w:rFonts w:hint="eastAsia" w:hAnsi="宋体"/>
          <w:b/>
          <w:color w:val="auto"/>
        </w:rPr>
        <w:t>5. 开标</w:t>
      </w:r>
      <w:bookmarkEnd w:id="66"/>
    </w:p>
    <w:p>
      <w:pPr>
        <w:autoSpaceDE w:val="0"/>
        <w:autoSpaceDN w:val="0"/>
        <w:adjustRightInd w:val="0"/>
        <w:spacing w:line="440" w:lineRule="exact"/>
        <w:ind w:firstLine="480" w:firstLineChars="200"/>
        <w:jc w:val="left"/>
        <w:rPr>
          <w:rFonts w:hAnsi="宋体" w:cs="宋体"/>
          <w:b/>
          <w:sz w:val="24"/>
        </w:rPr>
      </w:pPr>
      <w:bookmarkStart w:id="67" w:name="_Toc283559968"/>
      <w:r>
        <w:rPr>
          <w:rFonts w:hint="eastAsia" w:hAnsi="宋体" w:cs="宋体"/>
          <w:b/>
          <w:sz w:val="24"/>
        </w:rPr>
        <w:t>5.1 开标时间和地点</w:t>
      </w:r>
      <w:bookmarkEnd w:id="6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ind w:firstLine="480" w:firstLineChars="200"/>
        <w:jc w:val="left"/>
        <w:rPr>
          <w:rFonts w:hAnsi="宋体" w:cs="宋体"/>
          <w:b/>
          <w:sz w:val="24"/>
        </w:rPr>
      </w:pPr>
      <w:bookmarkStart w:id="6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（5）宣布唱标顺序，按已定顺序唱标，唱标内容为：投标人名称、投标报价、质量目标、工期及其他内容，并记录；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7"/>
        <w:spacing w:line="440" w:lineRule="exact"/>
        <w:ind w:firstLine="480" w:firstLineChars="200"/>
        <w:jc w:val="both"/>
        <w:rPr>
          <w:rFonts w:hAnsi="宋体"/>
          <w:b/>
          <w:color w:val="auto"/>
        </w:rPr>
      </w:pPr>
      <w:r>
        <w:rPr>
          <w:rFonts w:hint="eastAsia" w:hAnsi="宋体"/>
          <w:b/>
          <w:color w:val="auto"/>
        </w:rPr>
        <w:t>6. 评标</w:t>
      </w:r>
      <w:bookmarkEnd w:id="68"/>
    </w:p>
    <w:p>
      <w:pPr>
        <w:autoSpaceDE w:val="0"/>
        <w:autoSpaceDN w:val="0"/>
        <w:adjustRightInd w:val="0"/>
        <w:spacing w:line="440" w:lineRule="exact"/>
        <w:ind w:firstLine="480" w:firstLineChars="200"/>
        <w:jc w:val="left"/>
        <w:rPr>
          <w:rFonts w:hAnsi="宋体" w:cs="宋体"/>
          <w:b/>
          <w:sz w:val="24"/>
        </w:rPr>
      </w:pPr>
      <w:bookmarkStart w:id="69" w:name="_Toc283559971"/>
      <w:r>
        <w:rPr>
          <w:rFonts w:hint="eastAsia" w:hAnsi="宋体" w:cs="宋体"/>
          <w:b/>
          <w:sz w:val="24"/>
        </w:rPr>
        <w:t>6.1 评标委员会</w:t>
      </w:r>
      <w:bookmarkEnd w:id="69"/>
    </w:p>
    <w:p>
      <w:pPr>
        <w:autoSpaceDE w:val="0"/>
        <w:autoSpaceDN w:val="0"/>
        <w:spacing w:line="440" w:lineRule="exact"/>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ind w:firstLine="480" w:firstLineChars="200"/>
        <w:jc w:val="left"/>
        <w:rPr>
          <w:rFonts w:hAnsi="宋体" w:cs="宋体"/>
          <w:b/>
          <w:sz w:val="24"/>
        </w:rPr>
      </w:pPr>
      <w:bookmarkStart w:id="70" w:name="_Toc283559972"/>
      <w:r>
        <w:rPr>
          <w:rFonts w:hint="eastAsia" w:hAnsi="宋体" w:cs="宋体"/>
          <w:b/>
          <w:sz w:val="24"/>
        </w:rPr>
        <w:t>6.2 评标原则</w:t>
      </w:r>
      <w:bookmarkEnd w:id="70"/>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ind w:firstLine="480" w:firstLineChars="200"/>
        <w:jc w:val="left"/>
        <w:rPr>
          <w:rFonts w:hAnsi="宋体" w:cs="宋体"/>
          <w:b/>
          <w:sz w:val="24"/>
        </w:rPr>
      </w:pPr>
      <w:bookmarkStart w:id="71" w:name="_Toc283559973"/>
      <w:r>
        <w:rPr>
          <w:rFonts w:hint="eastAsia" w:hAnsi="宋体" w:cs="宋体"/>
          <w:b/>
          <w:sz w:val="24"/>
        </w:rPr>
        <w:t>6.3 评标</w:t>
      </w:r>
      <w:bookmarkEnd w:id="71"/>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7"/>
        <w:spacing w:line="440" w:lineRule="exact"/>
        <w:ind w:firstLine="480" w:firstLineChars="200"/>
        <w:jc w:val="both"/>
        <w:rPr>
          <w:rFonts w:hAnsi="宋体"/>
          <w:b/>
          <w:color w:val="auto"/>
        </w:rPr>
      </w:pPr>
      <w:bookmarkStart w:id="72" w:name="_Toc283559974"/>
      <w:r>
        <w:rPr>
          <w:rFonts w:hint="eastAsia" w:hAnsi="宋体"/>
          <w:b/>
          <w:color w:val="auto"/>
        </w:rPr>
        <w:t>7. 合同授予</w:t>
      </w:r>
      <w:bookmarkEnd w:id="72"/>
    </w:p>
    <w:p>
      <w:pPr>
        <w:autoSpaceDE w:val="0"/>
        <w:autoSpaceDN w:val="0"/>
        <w:spacing w:line="440" w:lineRule="exact"/>
        <w:ind w:firstLine="480" w:firstLineChars="200"/>
        <w:jc w:val="left"/>
        <w:rPr>
          <w:rFonts w:hAnsi="宋体" w:cs="宋体"/>
          <w:b/>
          <w:sz w:val="24"/>
        </w:rPr>
      </w:pPr>
      <w:bookmarkStart w:id="73" w:name="_Toc283559975"/>
      <w:r>
        <w:rPr>
          <w:rFonts w:hint="eastAsia" w:hAnsi="宋体" w:cs="宋体"/>
          <w:b/>
          <w:sz w:val="24"/>
        </w:rPr>
        <w:t>7.1 定标方式</w:t>
      </w:r>
      <w:bookmarkEnd w:id="7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ind w:firstLine="480" w:firstLineChars="200"/>
        <w:jc w:val="left"/>
        <w:rPr>
          <w:rFonts w:hAnsi="宋体" w:cs="宋体"/>
          <w:b/>
          <w:sz w:val="24"/>
        </w:rPr>
      </w:pPr>
      <w:bookmarkStart w:id="74" w:name="_Toc283559976"/>
      <w:r>
        <w:rPr>
          <w:rFonts w:hint="eastAsia" w:hAnsi="宋体" w:cs="宋体"/>
          <w:b/>
          <w:sz w:val="24"/>
        </w:rPr>
        <w:t>7.2 中标通知</w:t>
      </w:r>
      <w:bookmarkEnd w:id="74"/>
    </w:p>
    <w:p>
      <w:pPr>
        <w:autoSpaceDE w:val="0"/>
        <w:autoSpaceDN w:val="0"/>
        <w:spacing w:line="440" w:lineRule="exact"/>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75" w:name="_Toc152042345"/>
      <w:bookmarkStart w:id="76" w:name="_Toc144974537"/>
      <w:bookmarkStart w:id="77" w:name="_Toc179632587"/>
      <w:bookmarkStart w:id="78" w:name="_Toc152045569"/>
    </w:p>
    <w:p>
      <w:pPr>
        <w:autoSpaceDE w:val="0"/>
        <w:autoSpaceDN w:val="0"/>
        <w:spacing w:line="360" w:lineRule="auto"/>
        <w:ind w:firstLine="480" w:firstLineChars="200"/>
        <w:jc w:val="left"/>
        <w:rPr>
          <w:sz w:val="24"/>
        </w:rPr>
      </w:pPr>
      <w:r>
        <w:rPr>
          <w:b/>
          <w:sz w:val="24"/>
        </w:rPr>
        <w:t>7.3 履约担保</w:t>
      </w:r>
    </w:p>
    <w:p>
      <w:pPr>
        <w:autoSpaceDE w:val="0"/>
        <w:autoSpaceDN w:val="0"/>
        <w:spacing w:line="360" w:lineRule="auto"/>
        <w:ind w:firstLine="480" w:firstLineChars="200"/>
        <w:jc w:val="left"/>
        <w:rPr>
          <w:sz w:val="24"/>
        </w:rPr>
      </w:pPr>
      <w:r>
        <w:rPr>
          <w:sz w:val="24"/>
        </w:rPr>
        <w:t>7.3.1 在签订合同前，中标人应按投标人须知前附表规定的金额、担保形式和招标文件第四章“合同条款及格式”规定的履约担保格式向招标人提交履约担保。</w:t>
      </w:r>
    </w:p>
    <w:p>
      <w:pPr>
        <w:autoSpaceDE w:val="0"/>
        <w:autoSpaceDN w:val="0"/>
        <w:spacing w:line="360" w:lineRule="auto"/>
        <w:ind w:firstLine="480" w:firstLineChars="200"/>
        <w:jc w:val="left"/>
        <w:rPr>
          <w:sz w:val="24"/>
        </w:rPr>
      </w:pPr>
      <w:r>
        <w:rPr>
          <w:sz w:val="24"/>
        </w:rPr>
        <w:t>7.3.2 中标人不能按本章第7.3.1 项要求提交履约担保的，视为放弃中标，其投标保证金不予退还，给招标人造成的损失超过投标保证金数额的，中标人还应当对超过部分予以赔偿。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b/>
          <w:sz w:val="24"/>
        </w:rPr>
      </w:pPr>
      <w:r>
        <w:rPr>
          <w:rFonts w:hint="eastAsia" w:hAnsi="宋体" w:cs="宋体"/>
          <w:b/>
          <w:sz w:val="24"/>
        </w:rPr>
        <w:t>7.</w:t>
      </w:r>
      <w:bookmarkEnd w:id="75"/>
      <w:bookmarkEnd w:id="76"/>
      <w:bookmarkEnd w:id="77"/>
      <w:bookmarkEnd w:id="78"/>
      <w:bookmarkStart w:id="79" w:name="_Toc283559977"/>
      <w:r>
        <w:rPr>
          <w:rFonts w:hint="eastAsia" w:hAnsi="宋体" w:cs="宋体"/>
          <w:b/>
          <w:sz w:val="24"/>
        </w:rPr>
        <w:t>4签订合同</w:t>
      </w:r>
      <w:bookmarkEnd w:id="79"/>
    </w:p>
    <w:p>
      <w:pPr>
        <w:autoSpaceDE w:val="0"/>
        <w:autoSpaceDN w:val="0"/>
        <w:spacing w:line="440" w:lineRule="exact"/>
        <w:ind w:firstLine="480" w:firstLineChars="200"/>
        <w:jc w:val="left"/>
        <w:rPr>
          <w:rFonts w:hAnsi="宋体" w:cs="宋体"/>
          <w:sz w:val="24"/>
        </w:rPr>
      </w:pPr>
      <w:r>
        <w:rPr>
          <w:rFonts w:hint="eastAsia" w:hAnsi="宋体" w:cs="宋体"/>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int="eastAsia" w:hAnsi="宋体" w:cs="宋体"/>
          <w:sz w:val="24"/>
        </w:rPr>
        <w:t>7.4.2 发出中标通知书后，招标人无正当理由拒签合同的，招标人向中标人退还投标保证金；给中标人造成损失的，还应当赔偿损失。</w:t>
      </w:r>
    </w:p>
    <w:p>
      <w:pPr>
        <w:autoSpaceDE w:val="0"/>
        <w:autoSpaceDN w:val="0"/>
        <w:spacing w:line="440" w:lineRule="exact"/>
        <w:ind w:firstLine="480" w:firstLineChars="200"/>
        <w:jc w:val="left"/>
        <w:rPr>
          <w:rFonts w:hAnsi="宋体" w:cs="宋体"/>
          <w:b/>
          <w:sz w:val="24"/>
        </w:rPr>
      </w:pPr>
      <w:bookmarkStart w:id="80" w:name="_Toc283559978"/>
      <w:r>
        <w:rPr>
          <w:rFonts w:hint="eastAsia" w:hAnsi="宋体" w:cs="宋体"/>
          <w:b/>
          <w:sz w:val="24"/>
        </w:rPr>
        <w:t>8. 重新招标和不再招标</w:t>
      </w:r>
      <w:bookmarkEnd w:id="80"/>
    </w:p>
    <w:p>
      <w:pPr>
        <w:autoSpaceDE w:val="0"/>
        <w:autoSpaceDN w:val="0"/>
        <w:adjustRightInd w:val="0"/>
        <w:spacing w:line="440" w:lineRule="exact"/>
        <w:ind w:firstLine="480" w:firstLineChars="200"/>
        <w:jc w:val="left"/>
        <w:rPr>
          <w:rFonts w:hAnsi="宋体" w:cs="宋体"/>
          <w:b/>
          <w:sz w:val="24"/>
        </w:rPr>
      </w:pPr>
      <w:bookmarkStart w:id="81" w:name="_Toc283559979"/>
      <w:r>
        <w:rPr>
          <w:rFonts w:hint="eastAsia" w:hAnsi="宋体" w:cs="宋体"/>
          <w:b/>
          <w:sz w:val="24"/>
        </w:rPr>
        <w:t>8.1 重新招标</w:t>
      </w:r>
      <w:bookmarkEnd w:id="8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ind w:firstLine="480" w:firstLineChars="200"/>
        <w:jc w:val="left"/>
        <w:rPr>
          <w:rFonts w:hAnsi="宋体" w:cs="宋体"/>
          <w:b/>
          <w:sz w:val="24"/>
        </w:rPr>
      </w:pPr>
      <w:bookmarkStart w:id="82" w:name="_Toc283559980"/>
      <w:r>
        <w:rPr>
          <w:rFonts w:hint="eastAsia" w:hAnsi="宋体" w:cs="宋体"/>
          <w:b/>
          <w:sz w:val="24"/>
        </w:rPr>
        <w:t>8.2 不再招标</w:t>
      </w:r>
      <w:bookmarkEnd w:id="8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7"/>
        <w:spacing w:line="440" w:lineRule="exact"/>
        <w:ind w:firstLine="480" w:firstLineChars="200"/>
        <w:jc w:val="both"/>
        <w:rPr>
          <w:rFonts w:hAnsi="宋体"/>
          <w:b/>
          <w:color w:val="auto"/>
        </w:rPr>
      </w:pPr>
      <w:bookmarkStart w:id="83" w:name="_Toc283559981"/>
      <w:r>
        <w:rPr>
          <w:rFonts w:hint="eastAsia" w:hAnsi="宋体"/>
          <w:b/>
          <w:color w:val="auto"/>
        </w:rPr>
        <w:t>9. 纪律和监督</w:t>
      </w:r>
      <w:bookmarkEnd w:id="83"/>
    </w:p>
    <w:p>
      <w:pPr>
        <w:autoSpaceDE w:val="0"/>
        <w:autoSpaceDN w:val="0"/>
        <w:adjustRightInd w:val="0"/>
        <w:spacing w:line="440" w:lineRule="exact"/>
        <w:ind w:firstLine="480" w:firstLineChars="200"/>
        <w:jc w:val="left"/>
        <w:rPr>
          <w:rFonts w:hAnsi="宋体" w:cs="宋体"/>
          <w:b/>
          <w:sz w:val="24"/>
        </w:rPr>
      </w:pPr>
      <w:bookmarkStart w:id="84" w:name="_Toc283559982"/>
      <w:r>
        <w:rPr>
          <w:rFonts w:hint="eastAsia" w:hAnsi="宋体" w:cs="宋体"/>
          <w:b/>
          <w:sz w:val="24"/>
        </w:rPr>
        <w:t>9.1 对招标人的纪律要求</w:t>
      </w:r>
      <w:bookmarkEnd w:id="8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ind w:firstLine="480" w:firstLineChars="200"/>
        <w:jc w:val="left"/>
        <w:rPr>
          <w:rFonts w:hAnsi="宋体" w:cs="宋体"/>
          <w:b/>
          <w:sz w:val="24"/>
        </w:rPr>
      </w:pPr>
      <w:bookmarkStart w:id="85" w:name="_Toc283559983"/>
      <w:r>
        <w:rPr>
          <w:rFonts w:hint="eastAsia" w:hAnsi="宋体" w:cs="宋体"/>
          <w:b/>
          <w:sz w:val="24"/>
        </w:rPr>
        <w:t>9.2 对投标人的纪律要求</w:t>
      </w:r>
      <w:bookmarkEnd w:id="8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ind w:firstLine="480" w:firstLineChars="200"/>
        <w:jc w:val="left"/>
        <w:rPr>
          <w:rFonts w:hAnsi="宋体" w:cs="宋体"/>
          <w:b/>
          <w:sz w:val="24"/>
        </w:rPr>
      </w:pPr>
      <w:bookmarkStart w:id="86" w:name="_Toc283559984"/>
      <w:r>
        <w:rPr>
          <w:rFonts w:hint="eastAsia" w:hAnsi="宋体" w:cs="宋体"/>
          <w:b/>
          <w:sz w:val="24"/>
        </w:rPr>
        <w:t>9.3 对评标委员会成员的纪律要求</w:t>
      </w:r>
      <w:bookmarkEnd w:id="8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ind w:firstLine="480" w:firstLineChars="200"/>
        <w:jc w:val="left"/>
        <w:rPr>
          <w:rFonts w:hAnsi="宋体" w:cs="宋体"/>
          <w:b/>
          <w:sz w:val="24"/>
        </w:rPr>
      </w:pPr>
      <w:bookmarkStart w:id="87" w:name="_Toc283559985"/>
      <w:r>
        <w:rPr>
          <w:rFonts w:hint="eastAsia" w:hAnsi="宋体" w:cs="宋体"/>
          <w:b/>
          <w:sz w:val="24"/>
        </w:rPr>
        <w:t>9.4 对与评标活动有关的工作人员的纪律要求</w:t>
      </w:r>
      <w:bookmarkEnd w:id="8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ind w:firstLine="480" w:firstLineChars="200"/>
        <w:jc w:val="left"/>
        <w:rPr>
          <w:rFonts w:hAnsi="宋体" w:cs="宋体"/>
          <w:b/>
          <w:sz w:val="24"/>
        </w:rPr>
      </w:pPr>
      <w:bookmarkStart w:id="88" w:name="_Toc283559986"/>
      <w:r>
        <w:rPr>
          <w:rFonts w:hint="eastAsia" w:hAnsi="宋体" w:cs="宋体"/>
          <w:b/>
          <w:sz w:val="24"/>
        </w:rPr>
        <w:t>9.5 投诉</w:t>
      </w:r>
      <w:bookmarkEnd w:id="8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7"/>
        <w:spacing w:line="440" w:lineRule="exact"/>
        <w:ind w:firstLine="480" w:firstLineChars="200"/>
        <w:jc w:val="both"/>
        <w:rPr>
          <w:rFonts w:hAnsi="宋体"/>
          <w:b/>
          <w:color w:val="auto"/>
        </w:rPr>
      </w:pPr>
      <w:bookmarkStart w:id="89" w:name="_Toc283559987"/>
      <w:r>
        <w:rPr>
          <w:rFonts w:hint="eastAsia" w:hAnsi="宋体"/>
          <w:b/>
          <w:color w:val="auto"/>
        </w:rPr>
        <w:t>10. 需要补充的其他内容</w:t>
      </w:r>
      <w:bookmarkEnd w:id="8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312" w:beforeLines="100" w:after="312" w:afterLines="100" w:line="400" w:lineRule="exact"/>
        <w:ind w:firstLine="480" w:firstLineChars="200"/>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312" w:beforeLines="100" w:after="312" w:afterLines="100" w:line="400" w:lineRule="exact"/>
        <w:ind w:firstLine="560" w:firstLineChars="200"/>
        <w:jc w:val="center"/>
        <w:rPr>
          <w:rFonts w:hAnsi="宋体" w:cs="宋体"/>
          <w:sz w:val="28"/>
          <w:szCs w:val="28"/>
        </w:rPr>
      </w:pPr>
      <w:r>
        <w:rPr>
          <w:rFonts w:hint="eastAsia" w:hAnsi="宋体" w:cs="宋体"/>
          <w:sz w:val="28"/>
          <w:szCs w:val="28"/>
        </w:rPr>
        <w:t>问题澄清通知</w:t>
      </w:r>
    </w:p>
    <w:p>
      <w:pPr>
        <w:spacing w:line="400" w:lineRule="exact"/>
        <w:ind w:firstLine="480" w:firstLineChars="20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ind w:firstLine="480" w:firstLineChars="200"/>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80" w:firstLineChars="2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480" w:firstLineChars="200"/>
        <w:rPr>
          <w:sz w:val="24"/>
        </w:rPr>
      </w:pPr>
      <w:r>
        <w:rPr>
          <w:rFonts w:hint="eastAsia"/>
          <w:sz w:val="24"/>
        </w:rPr>
        <w:t>（经评标委员会授权的招标人代表签字或招标人加盖单位章）</w:t>
      </w:r>
    </w:p>
    <w:p>
      <w:pPr>
        <w:spacing w:line="480" w:lineRule="exact"/>
        <w:ind w:firstLine="480" w:firstLineChars="20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312" w:beforeLines="100" w:after="312" w:afterLines="100" w:line="480" w:lineRule="exact"/>
        <w:ind w:firstLine="560" w:firstLineChars="200"/>
        <w:jc w:val="center"/>
        <w:rPr>
          <w:rFonts w:hAnsi="宋体" w:cs="宋体"/>
          <w:sz w:val="28"/>
          <w:szCs w:val="28"/>
        </w:rPr>
      </w:pPr>
      <w:r>
        <w:rPr>
          <w:rFonts w:hint="eastAsia" w:hAnsi="宋体" w:cs="宋体"/>
          <w:sz w:val="28"/>
          <w:szCs w:val="28"/>
        </w:rPr>
        <w:t>问题的澄清、说明或补正</w:t>
      </w:r>
    </w:p>
    <w:p>
      <w:pPr>
        <w:spacing w:line="400" w:lineRule="exact"/>
        <w:ind w:firstLine="480" w:firstLineChars="20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firstLine="480" w:firstLineChars="20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ind w:firstLine="480" w:firstLineChars="200"/>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napToGrid w:val="0"/>
        <w:spacing w:line="360" w:lineRule="auto"/>
        <w:jc w:val="center"/>
        <w:rPr>
          <w:rFonts w:hAnsi="宋体" w:cs="宋体"/>
          <w:b/>
          <w:bCs/>
          <w:sz w:val="36"/>
          <w:szCs w:val="36"/>
        </w:rPr>
      </w:pPr>
    </w:p>
    <w:p>
      <w:pPr>
        <w:pStyle w:val="6"/>
        <w:rPr>
          <w:rFonts w:ascii="新宋体" w:hAnsi="新宋体" w:eastAsia="新宋体"/>
          <w:sz w:val="24"/>
        </w:rPr>
      </w:pPr>
      <w:r>
        <w:rPr>
          <w:rFonts w:hint="eastAsia"/>
          <w:b w:val="0"/>
          <w:sz w:val="36"/>
          <w:szCs w:val="36"/>
        </w:rPr>
        <w:br w:type="page"/>
      </w:r>
      <w:bookmarkStart w:id="90" w:name="_Toc20990"/>
      <w:bookmarkStart w:id="91" w:name="_Toc1109"/>
      <w:r>
        <w:rPr>
          <w:rFonts w:hint="eastAsia"/>
        </w:rPr>
        <w:t>第三章 评标办法（综合计分法）</w:t>
      </w:r>
      <w:bookmarkEnd w:id="90"/>
      <w:bookmarkEnd w:id="91"/>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highlight w:val="none"/>
        </w:rPr>
      </w:pPr>
      <w:r>
        <w:rPr>
          <w:rFonts w:hint="eastAsia" w:ascii="新宋体" w:hAnsi="新宋体" w:eastAsia="新宋体"/>
          <w:sz w:val="24"/>
          <w:highlight w:val="none"/>
        </w:rPr>
        <w:t>二、评标由招标人依法组建的评标委员会负责</w:t>
      </w:r>
      <w:r>
        <w:rPr>
          <w:rFonts w:hint="eastAsia" w:ascii="宋体" w:hAnsi="宋体" w:cs="宋体"/>
          <w:sz w:val="24"/>
          <w:szCs w:val="24"/>
          <w:highlight w:val="none"/>
        </w:rPr>
        <w:t>评标委员会构成：</w:t>
      </w:r>
      <w:r>
        <w:rPr>
          <w:rFonts w:hint="eastAsia" w:ascii="宋体" w:hAnsi="宋体" w:cs="宋体"/>
          <w:sz w:val="24"/>
          <w:szCs w:val="24"/>
          <w:highlight w:val="none"/>
          <w:lang w:val="en-US" w:eastAsia="zh-CN"/>
        </w:rPr>
        <w:t>5人，（招标人代表1人，</w:t>
      </w:r>
      <w:r>
        <w:rPr>
          <w:rFonts w:hint="eastAsia" w:ascii="宋体" w:hAnsi="宋体" w:cs="宋体"/>
          <w:sz w:val="24"/>
          <w:szCs w:val="24"/>
          <w:highlight w:val="none"/>
        </w:rPr>
        <w:t>从河南省综合评标专家库中随机抽取</w:t>
      </w:r>
      <w:r>
        <w:rPr>
          <w:rFonts w:hint="eastAsia" w:ascii="宋体" w:hAnsi="宋体" w:cs="宋体"/>
          <w:sz w:val="24"/>
          <w:szCs w:val="24"/>
          <w:highlight w:val="none"/>
          <w:lang w:val="en-US" w:eastAsia="zh-CN"/>
        </w:rPr>
        <w:t>4</w:t>
      </w:r>
      <w:r>
        <w:rPr>
          <w:rFonts w:hint="eastAsia" w:ascii="宋体" w:hAnsi="宋体" w:cs="宋体"/>
          <w:sz w:val="24"/>
          <w:szCs w:val="24"/>
          <w:highlight w:val="none"/>
        </w:rPr>
        <w:t>人</w:t>
      </w:r>
      <w:r>
        <w:rPr>
          <w:rFonts w:hint="eastAsia" w:ascii="宋体" w:hAnsi="宋体" w:cs="宋体"/>
          <w:sz w:val="24"/>
          <w:szCs w:val="24"/>
          <w:highlight w:val="none"/>
          <w:lang w:val="en-US" w:eastAsia="zh-CN"/>
        </w:rPr>
        <w:t>）</w:t>
      </w:r>
      <w:r>
        <w:rPr>
          <w:rFonts w:hint="eastAsia" w:ascii="宋体" w:hAnsi="宋体" w:cs="宋体"/>
          <w:sz w:val="24"/>
          <w:szCs w:val="24"/>
          <w:highlight w:val="none"/>
        </w:rPr>
        <w:t>，其中评标委员会的组成人员中工程造价专家应不少于五分之二</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招标单位委派代表参加评审委员会的，需向招标代理机构出具授权委托书，</w:t>
      </w:r>
      <w:r>
        <w:rPr>
          <w:rFonts w:hint="eastAsia" w:ascii="新宋体" w:hAnsi="新宋体" w:eastAsia="新宋体"/>
          <w:sz w:val="24"/>
          <w:highlight w:val="none"/>
        </w:rPr>
        <w:t>与投标人有利害关系的专家不得进入评标委员会。</w:t>
      </w:r>
    </w:p>
    <w:p>
      <w:pPr>
        <w:adjustRightInd w:val="0"/>
        <w:snapToGrid w:val="0"/>
        <w:spacing w:line="430" w:lineRule="exact"/>
        <w:ind w:firstLine="480" w:firstLineChars="200"/>
        <w:rPr>
          <w:rFonts w:hAnsi="宋体" w:cs="宋体"/>
          <w:sz w:val="24"/>
        </w:rPr>
      </w:pPr>
      <w:bookmarkStart w:id="92" w:name="_Toc270931534"/>
      <w:bookmarkStart w:id="93" w:name="_Toc272833453"/>
      <w:bookmarkStart w:id="94" w:name="_Toc295572535"/>
      <w:bookmarkStart w:id="95" w:name="_Toc273546398"/>
      <w:r>
        <w:rPr>
          <w:rFonts w:hint="eastAsia" w:hAnsi="宋体" w:cs="宋体"/>
          <w:sz w:val="24"/>
        </w:rPr>
        <w:t>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ascii="新宋体" w:hAnsi="新宋体" w:eastAsia="新宋体"/>
          <w:b/>
          <w:sz w:val="24"/>
        </w:rPr>
      </w:pPr>
      <w:r>
        <w:rPr>
          <w:rFonts w:hint="eastAsia" w:hAnsi="宋体" w:cs="宋体"/>
          <w:sz w:val="24"/>
        </w:rPr>
        <w:t>五、清标</w:t>
      </w:r>
    </w:p>
    <w:p>
      <w:pPr>
        <w:autoSpaceDE w:val="0"/>
        <w:autoSpaceDN w:val="0"/>
        <w:adjustRightInd w:val="0"/>
        <w:snapToGrid w:val="0"/>
        <w:spacing w:line="348" w:lineRule="auto"/>
        <w:ind w:firstLine="480" w:firstLineChars="200"/>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snapToGrid w:val="0"/>
        <w:spacing w:line="348" w:lineRule="auto"/>
        <w:ind w:firstLine="480" w:firstLineChars="200"/>
        <w:rPr>
          <w:rFonts w:hAnsi="宋体" w:cs="宋体"/>
          <w:sz w:val="24"/>
        </w:rPr>
      </w:pPr>
      <w:r>
        <w:rPr>
          <w:rFonts w:hint="eastAsia" w:hAnsi="宋体" w:cs="宋体"/>
          <w:sz w:val="24"/>
        </w:rPr>
        <w:t>5.未按照暂列金额或者暂估价编制投标报价的。</w:t>
      </w:r>
    </w:p>
    <w:p>
      <w:pPr>
        <w:snapToGrid w:val="0"/>
        <w:spacing w:line="348" w:lineRule="auto"/>
        <w:ind w:firstLine="480" w:firstLineChars="200"/>
        <w:rPr>
          <w:rFonts w:hAnsi="宋体" w:cs="宋体"/>
          <w:sz w:val="24"/>
        </w:rPr>
      </w:pPr>
      <w:r>
        <w:rPr>
          <w:rFonts w:hint="eastAsia" w:hAnsi="宋体" w:cs="宋体"/>
          <w:sz w:val="24"/>
        </w:rPr>
        <w:t>6.住房和城乡建设部《标准施工招标文件》规定的其他否决投标条件。</w:t>
      </w:r>
    </w:p>
    <w:p>
      <w:pPr>
        <w:spacing w:line="440" w:lineRule="exact"/>
        <w:ind w:firstLine="480" w:firstLineChars="200"/>
        <w:rPr>
          <w:rFonts w:hAnsi="宋体" w:cs="宋体"/>
          <w:b/>
          <w:sz w:val="24"/>
        </w:rPr>
      </w:pPr>
      <w:r>
        <w:rPr>
          <w:rFonts w:hint="eastAsia" w:hAnsi="宋体" w:cs="宋体"/>
          <w:b/>
          <w:sz w:val="24"/>
        </w:rPr>
        <w:t>清标内容：</w:t>
      </w:r>
    </w:p>
    <w:tbl>
      <w:tblPr>
        <w:tblStyle w:val="15"/>
        <w:tblW w:w="9802" w:type="dxa"/>
        <w:jc w:val="center"/>
        <w:tblLayout w:type="fixed"/>
        <w:tblCellMar>
          <w:top w:w="0" w:type="dxa"/>
          <w:left w:w="108" w:type="dxa"/>
          <w:bottom w:w="0" w:type="dxa"/>
          <w:right w:w="108" w:type="dxa"/>
        </w:tblCellMar>
      </w:tblPr>
      <w:tblGrid>
        <w:gridCol w:w="254"/>
        <w:gridCol w:w="548"/>
        <w:gridCol w:w="3429"/>
        <w:gridCol w:w="4442"/>
        <w:gridCol w:w="604"/>
        <w:gridCol w:w="525"/>
      </w:tblGrid>
      <w:tr>
        <w:tblPrEx>
          <w:tblCellMar>
            <w:top w:w="0" w:type="dxa"/>
            <w:left w:w="108" w:type="dxa"/>
            <w:bottom w:w="0" w:type="dxa"/>
            <w:right w:w="108" w:type="dxa"/>
          </w:tblCellMar>
        </w:tblPrEx>
        <w:trPr>
          <w:trHeight w:val="282" w:hRule="atLeast"/>
          <w:jc w:val="center"/>
        </w:trPr>
        <w:tc>
          <w:tcPr>
            <w:tcW w:w="80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kern w:val="0"/>
                <w:szCs w:val="21"/>
              </w:rPr>
            </w:pPr>
            <w:r>
              <w:rPr>
                <w:rFonts w:hint="eastAsia"/>
                <w:b/>
                <w:bCs/>
                <w:kern w:val="0"/>
                <w:szCs w:val="21"/>
              </w:rPr>
              <w:t>序号</w:t>
            </w:r>
          </w:p>
        </w:tc>
        <w:tc>
          <w:tcPr>
            <w:tcW w:w="3429" w:type="dxa"/>
            <w:vMerge w:val="restart"/>
            <w:tcBorders>
              <w:top w:val="single" w:color="auto" w:sz="4" w:space="0"/>
              <w:left w:val="nil"/>
              <w:bottom w:val="single" w:color="auto" w:sz="4" w:space="0"/>
              <w:right w:val="single" w:color="auto" w:sz="4" w:space="0"/>
            </w:tcBorders>
            <w:vAlign w:val="center"/>
          </w:tcPr>
          <w:p>
            <w:pPr>
              <w:spacing w:line="300" w:lineRule="exact"/>
              <w:jc w:val="center"/>
              <w:rPr>
                <w:b/>
                <w:bCs/>
                <w:kern w:val="0"/>
                <w:szCs w:val="21"/>
              </w:rPr>
            </w:pPr>
            <w:r>
              <w:rPr>
                <w:rFonts w:hint="eastAsia"/>
                <w:b/>
                <w:bCs/>
                <w:kern w:val="0"/>
                <w:szCs w:val="21"/>
              </w:rPr>
              <w:t>清标项目</w:t>
            </w:r>
          </w:p>
        </w:tc>
        <w:tc>
          <w:tcPr>
            <w:tcW w:w="4442" w:type="dxa"/>
            <w:vMerge w:val="restart"/>
            <w:tcBorders>
              <w:top w:val="single" w:color="auto" w:sz="4" w:space="0"/>
              <w:left w:val="nil"/>
              <w:bottom w:val="single" w:color="auto" w:sz="4" w:space="0"/>
              <w:right w:val="single" w:color="auto" w:sz="4" w:space="0"/>
            </w:tcBorders>
            <w:vAlign w:val="center"/>
          </w:tcPr>
          <w:p>
            <w:pPr>
              <w:spacing w:line="300" w:lineRule="exact"/>
              <w:jc w:val="center"/>
              <w:rPr>
                <w:b/>
                <w:bCs/>
                <w:kern w:val="0"/>
                <w:szCs w:val="21"/>
              </w:rPr>
            </w:pPr>
            <w:r>
              <w:rPr>
                <w:rFonts w:hint="eastAsia"/>
                <w:b/>
                <w:bCs/>
                <w:kern w:val="0"/>
                <w:szCs w:val="21"/>
              </w:rPr>
              <w:t>清标内容</w:t>
            </w:r>
          </w:p>
        </w:tc>
        <w:tc>
          <w:tcPr>
            <w:tcW w:w="1129" w:type="dxa"/>
            <w:gridSpan w:val="2"/>
            <w:tcBorders>
              <w:top w:val="single" w:color="auto" w:sz="4" w:space="0"/>
              <w:left w:val="nil"/>
              <w:bottom w:val="single" w:color="auto" w:sz="4" w:space="0"/>
              <w:right w:val="single" w:color="auto" w:sz="4" w:space="0"/>
            </w:tcBorders>
            <w:vAlign w:val="center"/>
          </w:tcPr>
          <w:p>
            <w:pPr>
              <w:spacing w:line="300" w:lineRule="exact"/>
              <w:jc w:val="center"/>
              <w:rPr>
                <w:b/>
                <w:bCs/>
                <w:kern w:val="0"/>
                <w:szCs w:val="21"/>
              </w:rPr>
            </w:pPr>
            <w:r>
              <w:rPr>
                <w:rFonts w:hint="eastAsia"/>
                <w:b/>
                <w:bCs/>
                <w:kern w:val="0"/>
                <w:szCs w:val="21"/>
              </w:rPr>
              <w:t>清标结果</w:t>
            </w:r>
          </w:p>
        </w:tc>
      </w:tr>
      <w:tr>
        <w:tblPrEx>
          <w:tblCellMar>
            <w:top w:w="0" w:type="dxa"/>
            <w:left w:w="108" w:type="dxa"/>
            <w:bottom w:w="0" w:type="dxa"/>
            <w:right w:w="108" w:type="dxa"/>
          </w:tblCellMar>
        </w:tblPrEx>
        <w:trPr>
          <w:trHeight w:val="204" w:hRule="atLeast"/>
          <w:jc w:val="center"/>
        </w:trPr>
        <w:tc>
          <w:tcPr>
            <w:tcW w:w="80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b/>
                <w:bCs/>
                <w:kern w:val="0"/>
                <w:szCs w:val="21"/>
              </w:rPr>
            </w:pPr>
          </w:p>
        </w:tc>
        <w:tc>
          <w:tcPr>
            <w:tcW w:w="3429" w:type="dxa"/>
            <w:vMerge w:val="continue"/>
            <w:tcBorders>
              <w:top w:val="single" w:color="auto" w:sz="4" w:space="0"/>
              <w:left w:val="nil"/>
              <w:bottom w:val="single" w:color="auto" w:sz="4" w:space="0"/>
              <w:right w:val="single" w:color="auto" w:sz="4" w:space="0"/>
            </w:tcBorders>
            <w:vAlign w:val="center"/>
          </w:tcPr>
          <w:p>
            <w:pPr>
              <w:spacing w:line="240" w:lineRule="exact"/>
              <w:jc w:val="left"/>
              <w:rPr>
                <w:b/>
                <w:bCs/>
                <w:kern w:val="0"/>
                <w:szCs w:val="21"/>
              </w:rPr>
            </w:pPr>
          </w:p>
        </w:tc>
        <w:tc>
          <w:tcPr>
            <w:tcW w:w="4442" w:type="dxa"/>
            <w:vMerge w:val="continue"/>
            <w:tcBorders>
              <w:top w:val="single" w:color="auto" w:sz="4" w:space="0"/>
              <w:left w:val="nil"/>
              <w:bottom w:val="single" w:color="auto" w:sz="4" w:space="0"/>
              <w:right w:val="single" w:color="auto" w:sz="4" w:space="0"/>
            </w:tcBorders>
            <w:vAlign w:val="center"/>
          </w:tcPr>
          <w:p>
            <w:pPr>
              <w:spacing w:line="240" w:lineRule="exact"/>
              <w:jc w:val="left"/>
              <w:rPr>
                <w:b/>
                <w:bCs/>
                <w:kern w:val="0"/>
                <w:szCs w:val="21"/>
              </w:rPr>
            </w:pP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b/>
                <w:bCs/>
                <w:kern w:val="0"/>
                <w:szCs w:val="21"/>
              </w:rPr>
            </w:pPr>
            <w:r>
              <w:rPr>
                <w:rFonts w:hint="eastAsia"/>
                <w:b/>
                <w:bCs/>
                <w:kern w:val="0"/>
                <w:szCs w:val="21"/>
              </w:rPr>
              <w:t>是</w:t>
            </w: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b/>
                <w:bCs/>
                <w:kern w:val="0"/>
                <w:szCs w:val="21"/>
              </w:rPr>
            </w:pPr>
            <w:r>
              <w:rPr>
                <w:rFonts w:hint="eastAsia"/>
                <w:b/>
                <w:bCs/>
                <w:kern w:val="0"/>
                <w:szCs w:val="21"/>
              </w:rPr>
              <w:t>否</w:t>
            </w:r>
          </w:p>
        </w:tc>
      </w:tr>
      <w:tr>
        <w:tblPrEx>
          <w:tblCellMar>
            <w:top w:w="0" w:type="dxa"/>
            <w:left w:w="108" w:type="dxa"/>
            <w:bottom w:w="0" w:type="dxa"/>
            <w:right w:w="108" w:type="dxa"/>
          </w:tblCellMar>
        </w:tblPrEx>
        <w:trPr>
          <w:trHeight w:val="539" w:hRule="atLeast"/>
          <w:jc w:val="center"/>
        </w:trPr>
        <w:tc>
          <w:tcPr>
            <w:tcW w:w="254" w:type="dxa"/>
            <w:vMerge w:val="restart"/>
            <w:tcBorders>
              <w:top w:val="nil"/>
              <w:left w:val="single" w:color="auto" w:sz="4" w:space="0"/>
              <w:bottom w:val="single" w:color="auto" w:sz="4" w:space="0"/>
              <w:right w:val="single" w:color="auto" w:sz="4" w:space="0"/>
            </w:tcBorders>
            <w:vAlign w:val="center"/>
          </w:tcPr>
          <w:p>
            <w:pPr>
              <w:spacing w:line="240" w:lineRule="exact"/>
              <w:jc w:val="center"/>
              <w:rPr>
                <w:kern w:val="0"/>
                <w:szCs w:val="21"/>
              </w:rPr>
            </w:pPr>
            <w:r>
              <w:rPr>
                <w:kern w:val="0"/>
                <w:szCs w:val="21"/>
              </w:rPr>
              <w:t>1</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1.1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项目总报价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是否等于各单项工程造价之和</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CellMar>
            <w:top w:w="0" w:type="dxa"/>
            <w:left w:w="108" w:type="dxa"/>
            <w:bottom w:w="0" w:type="dxa"/>
            <w:right w:w="108" w:type="dxa"/>
          </w:tblCellMar>
        </w:tblPrEx>
        <w:trPr>
          <w:trHeight w:val="539" w:hRule="atLeas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1.2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单项工程费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是否等于各单位工程造价之和</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CellMar>
            <w:top w:w="0" w:type="dxa"/>
            <w:left w:w="108" w:type="dxa"/>
            <w:bottom w:w="0" w:type="dxa"/>
            <w:right w:w="108" w:type="dxa"/>
          </w:tblCellMar>
        </w:tblPrEx>
        <w:trPr>
          <w:trHeight w:val="539" w:hRule="atLeas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1.3</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单位工程费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是否等于分部分项工程费</w:t>
            </w:r>
            <w:r>
              <w:rPr>
                <w:kern w:val="0"/>
                <w:szCs w:val="21"/>
              </w:rPr>
              <w:t>+</w:t>
            </w:r>
            <w:r>
              <w:rPr>
                <w:rFonts w:hint="eastAsia"/>
                <w:kern w:val="0"/>
                <w:szCs w:val="21"/>
              </w:rPr>
              <w:t>措施项目费</w:t>
            </w:r>
            <w:r>
              <w:rPr>
                <w:kern w:val="0"/>
                <w:szCs w:val="21"/>
              </w:rPr>
              <w:t>+</w:t>
            </w:r>
            <w:r>
              <w:rPr>
                <w:rFonts w:hint="eastAsia"/>
                <w:kern w:val="0"/>
                <w:szCs w:val="21"/>
              </w:rPr>
              <w:t>其它项目费</w:t>
            </w:r>
            <w:r>
              <w:rPr>
                <w:kern w:val="0"/>
                <w:szCs w:val="21"/>
              </w:rPr>
              <w:t>+</w:t>
            </w:r>
            <w:r>
              <w:rPr>
                <w:rFonts w:hint="eastAsia"/>
                <w:kern w:val="0"/>
                <w:szCs w:val="21"/>
              </w:rPr>
              <w:t>规费</w:t>
            </w:r>
            <w:r>
              <w:rPr>
                <w:kern w:val="0"/>
                <w:szCs w:val="21"/>
              </w:rPr>
              <w:t>+</w:t>
            </w:r>
            <w:r>
              <w:rPr>
                <w:rFonts w:hint="eastAsia"/>
                <w:kern w:val="0"/>
                <w:szCs w:val="21"/>
              </w:rPr>
              <w:t>税金之和</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CellMar>
            <w:top w:w="0" w:type="dxa"/>
            <w:left w:w="108" w:type="dxa"/>
            <w:bottom w:w="0" w:type="dxa"/>
            <w:right w:w="108" w:type="dxa"/>
          </w:tblCellMar>
        </w:tblPrEx>
        <w:trPr>
          <w:trHeight w:val="539" w:hRule="atLeast"/>
          <w:jc w:val="center"/>
        </w:trPr>
        <w:tc>
          <w:tcPr>
            <w:tcW w:w="254" w:type="dxa"/>
            <w:vMerge w:val="restart"/>
            <w:tcBorders>
              <w:top w:val="nil"/>
              <w:left w:val="single" w:color="auto" w:sz="4" w:space="0"/>
              <w:bottom w:val="single" w:color="auto" w:sz="4" w:space="0"/>
              <w:right w:val="single" w:color="auto" w:sz="4" w:space="0"/>
            </w:tcBorders>
            <w:vAlign w:val="center"/>
          </w:tcPr>
          <w:p>
            <w:pPr>
              <w:spacing w:line="240" w:lineRule="exact"/>
              <w:jc w:val="center"/>
              <w:rPr>
                <w:kern w:val="0"/>
                <w:szCs w:val="21"/>
              </w:rPr>
            </w:pPr>
            <w:r>
              <w:rPr>
                <w:kern w:val="0"/>
                <w:szCs w:val="21"/>
              </w:rPr>
              <w:t>2</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分部分项工程费及单价措施费</w:t>
            </w:r>
          </w:p>
        </w:tc>
        <w:tc>
          <w:tcPr>
            <w:tcW w:w="4442" w:type="dxa"/>
            <w:tcBorders>
              <w:top w:val="single" w:color="auto" w:sz="4" w:space="0"/>
              <w:left w:val="nil"/>
              <w:bottom w:val="single" w:color="auto" w:sz="4" w:space="0"/>
              <w:right w:val="single" w:color="auto" w:sz="4" w:space="0"/>
            </w:tcBorders>
            <w:vAlign w:val="center"/>
          </w:tcPr>
          <w:p>
            <w:pPr>
              <w:spacing w:line="240" w:lineRule="exact"/>
              <w:ind w:left="186" w:hanging="186" w:hangingChars="100"/>
              <w:rPr>
                <w:spacing w:val="-12"/>
                <w:kern w:val="0"/>
                <w:szCs w:val="21"/>
              </w:rPr>
            </w:pPr>
            <w:r>
              <w:rPr>
                <w:rFonts w:hint="eastAsia"/>
                <w:spacing w:val="-12"/>
                <w:kern w:val="0"/>
                <w:szCs w:val="21"/>
              </w:rPr>
              <w:t>是否等于各分部分项清单（含单价措施项目）费之和</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CellMar>
            <w:top w:w="0" w:type="dxa"/>
            <w:left w:w="108" w:type="dxa"/>
            <w:bottom w:w="0" w:type="dxa"/>
            <w:right w:w="108" w:type="dxa"/>
          </w:tblCellMar>
        </w:tblPrEx>
        <w:trPr>
          <w:trHeight w:val="454" w:hRule="exac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分部分项及单价措施项目编码</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不得修改招标人清单</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CellMar>
            <w:top w:w="0" w:type="dxa"/>
            <w:left w:w="108" w:type="dxa"/>
            <w:bottom w:w="0" w:type="dxa"/>
            <w:right w:w="108" w:type="dxa"/>
          </w:tblCellMar>
        </w:tblPrEx>
        <w:trPr>
          <w:trHeight w:val="454" w:hRule="exac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2.3</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分部分项及单价措施项目名称</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不得修改招标人清单</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CellMar>
            <w:top w:w="0" w:type="dxa"/>
            <w:left w:w="108" w:type="dxa"/>
            <w:bottom w:w="0" w:type="dxa"/>
            <w:right w:w="108" w:type="dxa"/>
          </w:tblCellMar>
        </w:tblPrEx>
        <w:trPr>
          <w:trHeight w:val="454" w:hRule="exac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2.4</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分部分项及单价措施项目特征</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不得修改招标人清单</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CellMar>
            <w:top w:w="0" w:type="dxa"/>
            <w:left w:w="108" w:type="dxa"/>
            <w:bottom w:w="0" w:type="dxa"/>
            <w:right w:w="108" w:type="dxa"/>
          </w:tblCellMar>
        </w:tblPrEx>
        <w:trPr>
          <w:trHeight w:val="454" w:hRule="exac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2.5</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分部分项及单价措施项目计量单位</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不得修改招标人清单</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CellMar>
            <w:top w:w="0" w:type="dxa"/>
            <w:left w:w="108" w:type="dxa"/>
            <w:bottom w:w="0" w:type="dxa"/>
            <w:right w:w="108" w:type="dxa"/>
          </w:tblCellMar>
        </w:tblPrEx>
        <w:trPr>
          <w:trHeight w:val="454" w:hRule="exac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2.6</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分部分项及单价措施项目工程量</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不得修改招标人清单</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CellMar>
            <w:top w:w="0" w:type="dxa"/>
            <w:left w:w="108" w:type="dxa"/>
            <w:bottom w:w="0" w:type="dxa"/>
            <w:right w:w="108" w:type="dxa"/>
          </w:tblCellMar>
        </w:tblPrEx>
        <w:trPr>
          <w:trHeight w:val="539" w:hRule="atLeas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2.7</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spacing w:val="-4"/>
                <w:kern w:val="0"/>
                <w:szCs w:val="21"/>
              </w:rPr>
            </w:pPr>
            <w:r>
              <w:rPr>
                <w:rFonts w:hint="eastAsia"/>
                <w:spacing w:val="-4"/>
                <w:kern w:val="0"/>
                <w:szCs w:val="21"/>
              </w:rPr>
              <w:t>分部分项工程费及单价措施费清单综合单价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综合单价＝人工费</w:t>
            </w:r>
            <w:r>
              <w:rPr>
                <w:kern w:val="0"/>
                <w:szCs w:val="21"/>
              </w:rPr>
              <w:t>+</w:t>
            </w:r>
            <w:r>
              <w:rPr>
                <w:rFonts w:hint="eastAsia"/>
                <w:kern w:val="0"/>
                <w:szCs w:val="21"/>
              </w:rPr>
              <w:t>材料费</w:t>
            </w:r>
            <w:r>
              <w:rPr>
                <w:kern w:val="0"/>
                <w:szCs w:val="21"/>
              </w:rPr>
              <w:t>+</w:t>
            </w:r>
            <w:r>
              <w:rPr>
                <w:rFonts w:hint="eastAsia"/>
                <w:kern w:val="0"/>
                <w:szCs w:val="21"/>
              </w:rPr>
              <w:t>机械费</w:t>
            </w:r>
            <w:r>
              <w:rPr>
                <w:kern w:val="0"/>
                <w:szCs w:val="21"/>
              </w:rPr>
              <w:t>+</w:t>
            </w:r>
            <w:r>
              <w:rPr>
                <w:rFonts w:hint="eastAsia"/>
                <w:kern w:val="0"/>
                <w:szCs w:val="21"/>
              </w:rPr>
              <w:t>管理费</w:t>
            </w:r>
            <w:r>
              <w:rPr>
                <w:kern w:val="0"/>
                <w:szCs w:val="21"/>
              </w:rPr>
              <w:t>+</w:t>
            </w:r>
            <w:r>
              <w:rPr>
                <w:rFonts w:hint="eastAsia"/>
                <w:kern w:val="0"/>
                <w:szCs w:val="21"/>
              </w:rPr>
              <w:t>利润之和</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CellMar>
            <w:top w:w="0" w:type="dxa"/>
            <w:left w:w="108" w:type="dxa"/>
            <w:bottom w:w="0" w:type="dxa"/>
            <w:right w:w="108" w:type="dxa"/>
          </w:tblCellMar>
        </w:tblPrEx>
        <w:trPr>
          <w:trHeight w:val="539" w:hRule="atLeas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2.8</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材料单价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spacing w:val="-12"/>
                <w:kern w:val="0"/>
                <w:szCs w:val="21"/>
              </w:rPr>
            </w:pPr>
            <w:r>
              <w:rPr>
                <w:rFonts w:hint="eastAsia"/>
                <w:spacing w:val="-12"/>
                <w:kern w:val="0"/>
                <w:szCs w:val="21"/>
              </w:rPr>
              <w:t>材料表中的单价与组成清单单价中的综合单价必须一致</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CellMar>
            <w:top w:w="0" w:type="dxa"/>
            <w:left w:w="108" w:type="dxa"/>
            <w:bottom w:w="0" w:type="dxa"/>
            <w:right w:w="108" w:type="dxa"/>
          </w:tblCellMar>
        </w:tblPrEx>
        <w:trPr>
          <w:trHeight w:val="539" w:hRule="atLeast"/>
          <w:jc w:val="center"/>
        </w:trPr>
        <w:tc>
          <w:tcPr>
            <w:tcW w:w="254" w:type="dxa"/>
            <w:vMerge w:val="restart"/>
            <w:tcBorders>
              <w:top w:val="nil"/>
              <w:left w:val="single" w:color="auto" w:sz="4" w:space="0"/>
              <w:bottom w:val="single" w:color="auto" w:sz="4" w:space="0"/>
              <w:right w:val="single" w:color="auto" w:sz="4" w:space="0"/>
            </w:tcBorders>
            <w:vAlign w:val="center"/>
          </w:tcPr>
          <w:p>
            <w:pPr>
              <w:spacing w:line="240" w:lineRule="exact"/>
              <w:jc w:val="center"/>
              <w:rPr>
                <w:kern w:val="0"/>
                <w:szCs w:val="21"/>
              </w:rPr>
            </w:pPr>
            <w:r>
              <w:rPr>
                <w:kern w:val="0"/>
                <w:szCs w:val="21"/>
              </w:rPr>
              <w:t>3</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3.1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安全文明施工费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根据河南省计价依据规定计算</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CellMar>
            <w:top w:w="0" w:type="dxa"/>
            <w:left w:w="108" w:type="dxa"/>
            <w:bottom w:w="0" w:type="dxa"/>
            <w:right w:w="108" w:type="dxa"/>
          </w:tblCellMar>
        </w:tblPrEx>
        <w:trPr>
          <w:trHeight w:val="539" w:hRule="atLeas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3.2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其他措施费（费率类）项目</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根据招标文件要求自主报价</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CellMar>
            <w:top w:w="0" w:type="dxa"/>
            <w:left w:w="108" w:type="dxa"/>
            <w:bottom w:w="0" w:type="dxa"/>
            <w:right w:w="108" w:type="dxa"/>
          </w:tblCellMar>
        </w:tblPrEx>
        <w:trPr>
          <w:trHeight w:val="539" w:hRule="atLeast"/>
          <w:jc w:val="center"/>
        </w:trPr>
        <w:tc>
          <w:tcPr>
            <w:tcW w:w="254" w:type="dxa"/>
            <w:vMerge w:val="restart"/>
            <w:tcBorders>
              <w:top w:val="nil"/>
              <w:left w:val="single" w:color="auto" w:sz="4" w:space="0"/>
              <w:bottom w:val="single" w:color="auto" w:sz="4" w:space="0"/>
              <w:right w:val="single" w:color="auto" w:sz="4" w:space="0"/>
            </w:tcBorders>
            <w:vAlign w:val="center"/>
          </w:tcPr>
          <w:p>
            <w:pPr>
              <w:spacing w:line="240" w:lineRule="exact"/>
              <w:jc w:val="center"/>
              <w:rPr>
                <w:kern w:val="0"/>
                <w:szCs w:val="21"/>
              </w:rPr>
            </w:pPr>
            <w:r>
              <w:rPr>
                <w:kern w:val="0"/>
                <w:szCs w:val="21"/>
              </w:rPr>
              <w:t>4</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4.1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其它项目费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各组成部分之和（暂列金额</w:t>
            </w:r>
            <w:r>
              <w:rPr>
                <w:kern w:val="0"/>
                <w:szCs w:val="21"/>
              </w:rPr>
              <w:t>+</w:t>
            </w:r>
            <w:r>
              <w:rPr>
                <w:rFonts w:hint="eastAsia"/>
                <w:kern w:val="0"/>
                <w:szCs w:val="21"/>
              </w:rPr>
              <w:t>专业暂估价</w:t>
            </w:r>
            <w:r>
              <w:rPr>
                <w:kern w:val="0"/>
                <w:szCs w:val="21"/>
              </w:rPr>
              <w:t>+</w:t>
            </w:r>
            <w:r>
              <w:rPr>
                <w:rFonts w:hint="eastAsia"/>
                <w:kern w:val="0"/>
                <w:szCs w:val="21"/>
              </w:rPr>
              <w:t>计日工费</w:t>
            </w:r>
            <w:r>
              <w:rPr>
                <w:kern w:val="0"/>
                <w:szCs w:val="21"/>
              </w:rPr>
              <w:t>+</w:t>
            </w:r>
            <w:r>
              <w:rPr>
                <w:rFonts w:hint="eastAsia"/>
                <w:kern w:val="0"/>
                <w:szCs w:val="21"/>
              </w:rPr>
              <w:t>总承包服务费）</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CellMar>
            <w:top w:w="0" w:type="dxa"/>
            <w:left w:w="108" w:type="dxa"/>
            <w:bottom w:w="0" w:type="dxa"/>
            <w:right w:w="108" w:type="dxa"/>
          </w:tblCellMar>
        </w:tblPrEx>
        <w:trPr>
          <w:trHeight w:val="454" w:hRule="exac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4.2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暂列金额</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应与招标人价格一致</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CellMar>
            <w:top w:w="0" w:type="dxa"/>
            <w:left w:w="108" w:type="dxa"/>
            <w:bottom w:w="0" w:type="dxa"/>
            <w:right w:w="108" w:type="dxa"/>
          </w:tblCellMar>
        </w:tblPrEx>
        <w:trPr>
          <w:trHeight w:val="454" w:hRule="exac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4.3</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专业工程暂估价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应与招标人价格一致</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CellMar>
            <w:top w:w="0" w:type="dxa"/>
            <w:left w:w="108" w:type="dxa"/>
            <w:bottom w:w="0" w:type="dxa"/>
            <w:right w:w="108" w:type="dxa"/>
          </w:tblCellMar>
        </w:tblPrEx>
        <w:trPr>
          <w:trHeight w:val="454" w:hRule="exac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4.4</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计日工</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应与招标人数量一致</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CellMar>
            <w:top w:w="0" w:type="dxa"/>
            <w:left w:w="108" w:type="dxa"/>
            <w:bottom w:w="0" w:type="dxa"/>
            <w:right w:w="108" w:type="dxa"/>
          </w:tblCellMar>
        </w:tblPrEx>
        <w:trPr>
          <w:trHeight w:val="454" w:hRule="exact"/>
          <w:jc w:val="center"/>
        </w:trPr>
        <w:tc>
          <w:tcPr>
            <w:tcW w:w="254"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4.5</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总承包服务费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是否按招标文件要求计算</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CellMar>
            <w:top w:w="0" w:type="dxa"/>
            <w:left w:w="108" w:type="dxa"/>
            <w:bottom w:w="0" w:type="dxa"/>
            <w:right w:w="108" w:type="dxa"/>
          </w:tblCellMar>
        </w:tblPrEx>
        <w:trPr>
          <w:trHeight w:val="454" w:hRule="exact"/>
          <w:jc w:val="center"/>
        </w:trPr>
        <w:tc>
          <w:tcPr>
            <w:tcW w:w="2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kern w:val="0"/>
                <w:szCs w:val="21"/>
              </w:rPr>
            </w:pPr>
            <w:r>
              <w:rPr>
                <w:kern w:val="0"/>
                <w:szCs w:val="21"/>
              </w:rPr>
              <w:t>5</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规费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根据河南省计价依据规定计算</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CellMar>
            <w:top w:w="0" w:type="dxa"/>
            <w:left w:w="108" w:type="dxa"/>
            <w:bottom w:w="0" w:type="dxa"/>
            <w:right w:w="108" w:type="dxa"/>
          </w:tblCellMar>
        </w:tblPrEx>
        <w:trPr>
          <w:trHeight w:val="454" w:hRule="exact"/>
          <w:jc w:val="center"/>
        </w:trPr>
        <w:tc>
          <w:tcPr>
            <w:tcW w:w="2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kern w:val="0"/>
                <w:szCs w:val="21"/>
              </w:rPr>
            </w:pPr>
            <w:r>
              <w:rPr>
                <w:kern w:val="0"/>
                <w:szCs w:val="21"/>
              </w:rPr>
              <w:t>6</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增值税</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根据河南省计价依据规定计算</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CellMar>
            <w:top w:w="0" w:type="dxa"/>
            <w:left w:w="108" w:type="dxa"/>
            <w:bottom w:w="0" w:type="dxa"/>
            <w:right w:w="108" w:type="dxa"/>
          </w:tblCellMar>
        </w:tblPrEx>
        <w:trPr>
          <w:trHeight w:val="471" w:hRule="exact"/>
          <w:jc w:val="center"/>
        </w:trPr>
        <w:tc>
          <w:tcPr>
            <w:tcW w:w="2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kern w:val="0"/>
                <w:szCs w:val="21"/>
              </w:rPr>
            </w:pPr>
            <w:r>
              <w:rPr>
                <w:kern w:val="0"/>
                <w:szCs w:val="21"/>
              </w:rPr>
              <w:t>7</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7871" w:type="dxa"/>
            <w:gridSpan w:val="2"/>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rFonts w:hint="eastAsia"/>
                <w:kern w:val="0"/>
                <w:szCs w:val="21"/>
              </w:rPr>
              <w:t>不违反法律、法规、规章、规范性文件规定的其它情况</w:t>
            </w:r>
          </w:p>
        </w:tc>
        <w:tc>
          <w:tcPr>
            <w:tcW w:w="604"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25"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bl>
    <w:p>
      <w:pPr>
        <w:tabs>
          <w:tab w:val="left" w:pos="1260"/>
        </w:tabs>
        <w:autoSpaceDE w:val="0"/>
        <w:autoSpaceDN w:val="0"/>
        <w:adjustRightInd w:val="0"/>
        <w:spacing w:line="336" w:lineRule="auto"/>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36" w:lineRule="auto"/>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36" w:lineRule="auto"/>
        <w:ind w:firstLine="480" w:firstLineChars="200"/>
        <w:jc w:val="left"/>
        <w:rPr>
          <w:rFonts w:hAnsi="宋体" w:cs="宋体"/>
          <w:b/>
          <w:sz w:val="24"/>
          <w:szCs w:val="24"/>
        </w:rPr>
      </w:pPr>
      <w:r>
        <w:rPr>
          <w:rFonts w:hint="eastAsia" w:hAnsi="宋体" w:cs="宋体"/>
          <w:b/>
          <w:sz w:val="24"/>
          <w:szCs w:val="24"/>
        </w:rPr>
        <w:t>（2）投标人编制投标报价时，同一投标文件综合工日应前后保持一致。</w:t>
      </w:r>
    </w:p>
    <w:p>
      <w:pPr>
        <w:spacing w:line="336" w:lineRule="auto"/>
        <w:ind w:firstLine="480" w:firstLineChars="200"/>
        <w:rPr>
          <w:rFonts w:hAnsi="宋体" w:cs="宋体"/>
          <w:b/>
          <w:sz w:val="24"/>
        </w:rPr>
      </w:pPr>
      <w:r>
        <w:rPr>
          <w:rFonts w:hint="eastAsia" w:hAnsi="宋体" w:cs="宋体"/>
          <w:b/>
          <w:sz w:val="24"/>
        </w:rPr>
        <w:t>六、初步评审</w:t>
      </w:r>
    </w:p>
    <w:p>
      <w:pPr>
        <w:spacing w:line="336" w:lineRule="auto"/>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36" w:lineRule="auto"/>
        <w:ind w:firstLine="480" w:firstLineChars="200"/>
        <w:rPr>
          <w:rFonts w:ascii="新宋体" w:hAnsi="新宋体" w:eastAsia="新宋体"/>
          <w:sz w:val="24"/>
        </w:rPr>
      </w:pPr>
      <w:r>
        <w:rPr>
          <w:rFonts w:hint="eastAsia" w:ascii="新宋体" w:hAnsi="新宋体" w:eastAsia="新宋体"/>
          <w:sz w:val="24"/>
        </w:rPr>
        <w:t>（1）是否按招标文件要求签字盖章（无需逐页签字盖章）；</w:t>
      </w:r>
    </w:p>
    <w:p>
      <w:pPr>
        <w:spacing w:line="336" w:lineRule="auto"/>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336" w:lineRule="auto"/>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（3）投标人是否符合国家或者招标文件规定的资格条件，注册建造师注册单位与投标人是否一致；</w:t>
      </w:r>
    </w:p>
    <w:p>
      <w:pPr>
        <w:spacing w:line="336" w:lineRule="auto"/>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36"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36"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（6）投标范围、工期、工程质量、投标有效期是否符合招标文件规定；</w:t>
      </w:r>
    </w:p>
    <w:p>
      <w:pPr>
        <w:spacing w:line="336" w:lineRule="auto"/>
        <w:ind w:firstLine="480" w:firstLineChars="200"/>
        <w:rPr>
          <w:rFonts w:ascii="新宋体" w:hAnsi="新宋体" w:eastAsia="新宋体"/>
          <w:sz w:val="24"/>
        </w:rPr>
      </w:pPr>
      <w:r>
        <w:rPr>
          <w:rFonts w:hint="eastAsia" w:ascii="新宋体" w:hAnsi="新宋体" w:eastAsia="新宋体"/>
          <w:sz w:val="24"/>
        </w:rPr>
        <w:t>（7）投标人是否有串通投标、弄虚作假、行贿等违法行为。</w:t>
      </w:r>
    </w:p>
    <w:p>
      <w:pPr>
        <w:spacing w:line="336" w:lineRule="auto"/>
        <w:ind w:firstLine="480" w:firstLineChars="200"/>
        <w:rPr>
          <w:rFonts w:ascii="新宋体" w:hAnsi="新宋体" w:eastAsia="新宋体"/>
          <w:sz w:val="24"/>
        </w:rPr>
      </w:pPr>
      <w:r>
        <w:rPr>
          <w:rFonts w:hint="eastAsia" w:ascii="新宋体" w:hAnsi="新宋体" w:eastAsia="新宋体"/>
          <w:sz w:val="24"/>
        </w:rPr>
        <w:t>（8）“不同投标人电子投标文件制作硬件特征码（网卡MAC地址、CPU序号、硬盘序列号）均一致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pPr>
        <w:spacing w:line="336" w:lineRule="auto"/>
        <w:ind w:firstLine="480" w:firstLineChars="200"/>
        <w:rPr>
          <w:rFonts w:hAnsi="宋体" w:cs="宋体"/>
          <w:sz w:val="24"/>
        </w:rPr>
      </w:pPr>
      <w:r>
        <w:rPr>
          <w:rFonts w:hint="eastAsia" w:ascii="新宋体" w:hAnsi="新宋体" w:eastAsia="新宋体"/>
          <w:sz w:val="24"/>
        </w:rPr>
        <w:t>（9）投标人是否</w:t>
      </w:r>
      <w:r>
        <w:rPr>
          <w:rFonts w:hint="eastAsia" w:hAnsi="宋体" w:cs="宋体"/>
          <w:sz w:val="24"/>
        </w:rPr>
        <w:t>符合招标文件规定的其他实质性内容。</w:t>
      </w:r>
    </w:p>
    <w:p>
      <w:pPr>
        <w:snapToGrid w:val="0"/>
        <w:spacing w:line="336" w:lineRule="auto"/>
        <w:ind w:firstLine="480" w:firstLineChars="200"/>
        <w:rPr>
          <w:rFonts w:hAnsi="宋体" w:cs="宋体"/>
          <w:sz w:val="24"/>
        </w:rPr>
      </w:pPr>
      <w:r>
        <w:rPr>
          <w:rFonts w:hint="eastAsia" w:hAnsi="宋体" w:cs="宋体"/>
          <w:sz w:val="24"/>
        </w:rPr>
        <w:t>初步评审经审查后应写出评审意见。</w:t>
      </w:r>
    </w:p>
    <w:p>
      <w:pPr>
        <w:snapToGrid w:val="0"/>
        <w:spacing w:line="336" w:lineRule="auto"/>
        <w:ind w:firstLine="480" w:firstLineChars="200"/>
        <w:rPr>
          <w:rFonts w:hAnsi="宋体" w:cs="宋体"/>
          <w:b/>
          <w:sz w:val="24"/>
        </w:rPr>
      </w:pPr>
    </w:p>
    <w:p>
      <w:pPr>
        <w:snapToGrid w:val="0"/>
        <w:spacing w:line="336" w:lineRule="auto"/>
        <w:ind w:firstLine="480" w:firstLineChars="200"/>
        <w:rPr>
          <w:rFonts w:hAnsi="宋体" w:cs="宋体"/>
          <w:b/>
          <w:sz w:val="24"/>
        </w:rPr>
      </w:pPr>
      <w:r>
        <w:rPr>
          <w:rFonts w:hint="eastAsia" w:hAnsi="宋体" w:cs="宋体"/>
          <w:b/>
          <w:sz w:val="24"/>
        </w:rPr>
        <w:t>七、详细评审</w:t>
      </w:r>
    </w:p>
    <w:bookmarkEnd w:id="92"/>
    <w:bookmarkEnd w:id="93"/>
    <w:bookmarkEnd w:id="94"/>
    <w:bookmarkEnd w:id="95"/>
    <w:tbl>
      <w:tblPr>
        <w:tblStyle w:val="15"/>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986"/>
        <w:gridCol w:w="1168"/>
        <w:gridCol w:w="520"/>
        <w:gridCol w:w="553"/>
        <w:gridCol w:w="8"/>
        <w:gridCol w:w="4256"/>
        <w:gridCol w:w="469"/>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jc w:val="center"/>
        </w:trPr>
        <w:tc>
          <w:tcPr>
            <w:tcW w:w="2066" w:type="dxa"/>
            <w:gridSpan w:val="2"/>
          </w:tcPr>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1</w:t>
            </w:r>
          </w:p>
        </w:tc>
        <w:tc>
          <w:tcPr>
            <w:tcW w:w="2249" w:type="dxa"/>
            <w:gridSpan w:val="4"/>
          </w:tcPr>
          <w:p>
            <w:pPr>
              <w:spacing w:line="360" w:lineRule="auto"/>
              <w:ind w:firstLine="420" w:firstLineChars="200"/>
              <w:rPr>
                <w:rFonts w:ascii="宋体" w:hAnsi="宋体" w:cs="宋体"/>
                <w:szCs w:val="21"/>
                <w:lang w:val="zh-CN" w:bidi="zh-CN"/>
              </w:rPr>
            </w:pPr>
          </w:p>
          <w:p>
            <w:pPr>
              <w:spacing w:line="360" w:lineRule="auto"/>
              <w:rPr>
                <w:rFonts w:ascii="宋体" w:hAnsi="宋体" w:cs="宋体"/>
                <w:szCs w:val="21"/>
                <w:lang w:val="zh-CN" w:bidi="zh-CN"/>
              </w:rPr>
            </w:pPr>
            <w:r>
              <w:rPr>
                <w:rFonts w:hint="eastAsia" w:ascii="宋体" w:hAnsi="宋体" w:cs="宋体"/>
                <w:szCs w:val="21"/>
                <w:lang w:val="zh-CN" w:bidi="zh-CN"/>
              </w:rPr>
              <w:t>分 值 构 成 总分 100 分</w:t>
            </w:r>
          </w:p>
        </w:tc>
        <w:tc>
          <w:tcPr>
            <w:tcW w:w="5744" w:type="dxa"/>
            <w:gridSpan w:val="3"/>
          </w:tcPr>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技术标：</w:t>
            </w:r>
            <w:r>
              <w:rPr>
                <w:rFonts w:hint="eastAsia" w:ascii="宋体" w:hAnsi="宋体" w:cs="宋体"/>
                <w:szCs w:val="21"/>
                <w:lang w:bidi="zh-CN"/>
              </w:rPr>
              <w:t>25</w:t>
            </w:r>
            <w:r>
              <w:rPr>
                <w:rFonts w:hint="eastAsia" w:ascii="宋体" w:hAnsi="宋体" w:cs="宋体"/>
                <w:szCs w:val="21"/>
                <w:lang w:val="zh-CN" w:bidi="zh-CN"/>
              </w:rPr>
              <w:t>分</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商务标： 50 分</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 xml:space="preserve">综合标： </w:t>
            </w:r>
            <w:r>
              <w:rPr>
                <w:rFonts w:hint="eastAsia" w:ascii="宋体" w:hAnsi="宋体" w:cs="宋体"/>
                <w:szCs w:val="21"/>
                <w:lang w:bidi="zh-CN"/>
              </w:rPr>
              <w:t>25</w:t>
            </w:r>
            <w:r>
              <w:rPr>
                <w:rFonts w:hint="eastAsia" w:ascii="宋体" w:hAnsi="宋体" w:cs="宋体"/>
                <w:szCs w:val="21"/>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jc w:val="center"/>
        </w:trPr>
        <w:tc>
          <w:tcPr>
            <w:tcW w:w="2066" w:type="dxa"/>
            <w:gridSpan w:val="2"/>
          </w:tcPr>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2</w:t>
            </w:r>
          </w:p>
        </w:tc>
        <w:tc>
          <w:tcPr>
            <w:tcW w:w="2241" w:type="dxa"/>
            <w:gridSpan w:val="3"/>
          </w:tcPr>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rPr>
                <w:rFonts w:ascii="宋体" w:hAnsi="宋体" w:cs="宋体"/>
                <w:szCs w:val="21"/>
                <w:lang w:val="zh-CN" w:bidi="zh-CN"/>
              </w:rPr>
            </w:pPr>
            <w:r>
              <w:rPr>
                <w:rFonts w:hint="eastAsia" w:ascii="宋体" w:hAnsi="宋体" w:cs="宋体"/>
                <w:szCs w:val="21"/>
                <w:lang w:val="zh-CN" w:bidi="zh-CN"/>
              </w:rPr>
              <w:t>评标基准价计算方法</w:t>
            </w:r>
          </w:p>
        </w:tc>
        <w:tc>
          <w:tcPr>
            <w:tcW w:w="5752" w:type="dxa"/>
            <w:gridSpan w:val="4"/>
          </w:tcPr>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评标基准价计算：评标基准价＝最高投标限价×K+投标报价×（1－K）</w:t>
            </w:r>
          </w:p>
          <w:p>
            <w:pPr>
              <w:numPr>
                <w:ilvl w:val="0"/>
                <w:numId w:val="2"/>
              </w:num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K 为招标控制价权重系数 ，0.3≤K≤0.5，K值在取值区间内间隔为 0.1，在开标现场随机抽取。</w:t>
            </w:r>
          </w:p>
          <w:p>
            <w:pPr>
              <w:numPr>
                <w:ilvl w:val="0"/>
                <w:numId w:val="2"/>
              </w:num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当有效投标大于5家时（含5家）去掉一个最高和一个最低报价后的算术平均值。</w:t>
            </w:r>
          </w:p>
          <w:p>
            <w:pPr>
              <w:numPr>
                <w:ilvl w:val="0"/>
                <w:numId w:val="2"/>
              </w:num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当有效投标少于5家时（不含5家），则以所有有效投标总报价的算术平均值作为投标总报价。</w:t>
            </w:r>
          </w:p>
          <w:p>
            <w:pPr>
              <w:spacing w:line="360" w:lineRule="auto"/>
              <w:rPr>
                <w:rFonts w:ascii="宋体" w:hAnsi="宋体" w:cs="宋体"/>
                <w:szCs w:val="21"/>
                <w:lang w:val="zh-CN" w:bidi="zh-CN"/>
              </w:rPr>
            </w:pPr>
            <w:r>
              <w:rPr>
                <w:rFonts w:hint="eastAsia" w:ascii="宋体" w:hAnsi="宋体" w:cs="宋体"/>
                <w:szCs w:val="21"/>
                <w:lang w:val="zh-CN" w:bidi="zh-CN"/>
              </w:rPr>
              <w:t>备注：本项目仅抽取一次将作为每个标段的调整系数。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2066" w:type="dxa"/>
            <w:gridSpan w:val="2"/>
          </w:tcPr>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3</w:t>
            </w:r>
          </w:p>
        </w:tc>
        <w:tc>
          <w:tcPr>
            <w:tcW w:w="2241" w:type="dxa"/>
            <w:gridSpan w:val="3"/>
          </w:tcPr>
          <w:p>
            <w:pPr>
              <w:spacing w:line="360" w:lineRule="auto"/>
              <w:rPr>
                <w:rFonts w:ascii="宋体" w:hAnsi="宋体" w:cs="宋体"/>
                <w:szCs w:val="21"/>
                <w:lang w:val="zh-CN" w:bidi="zh-CN"/>
              </w:rPr>
            </w:pPr>
            <w:r>
              <w:rPr>
                <w:rFonts w:hint="eastAsia" w:ascii="宋体" w:hAnsi="宋体" w:cs="宋体"/>
                <w:szCs w:val="21"/>
                <w:lang w:val="zh-CN" w:bidi="zh-CN"/>
              </w:rPr>
              <w:t>偏差率计算公式</w:t>
            </w:r>
          </w:p>
        </w:tc>
        <w:tc>
          <w:tcPr>
            <w:tcW w:w="5752" w:type="dxa"/>
            <w:gridSpan w:val="4"/>
          </w:tcPr>
          <w:p>
            <w:pPr>
              <w:spacing w:line="360" w:lineRule="auto"/>
              <w:rPr>
                <w:rFonts w:ascii="宋体" w:hAnsi="宋体" w:cs="宋体"/>
                <w:szCs w:val="21"/>
                <w:lang w:val="zh-CN" w:bidi="zh-CN"/>
              </w:rPr>
            </w:pPr>
            <w:r>
              <w:rPr>
                <w:rFonts w:hint="eastAsia" w:ascii="宋体" w:hAnsi="宋体" w:cs="宋体"/>
                <w:szCs w:val="21"/>
                <w:lang w:val="zh-CN" w:bidi="zh-CN"/>
              </w:rPr>
              <w:t>偏差率=100%×（投标报价－评标基准价）/评标基准价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066" w:type="dxa"/>
            <w:gridSpan w:val="2"/>
          </w:tcPr>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条款号</w:t>
            </w:r>
          </w:p>
        </w:tc>
        <w:tc>
          <w:tcPr>
            <w:tcW w:w="1168" w:type="dxa"/>
            <w:vAlign w:val="center"/>
          </w:tcPr>
          <w:p>
            <w:pPr>
              <w:jc w:val="center"/>
              <w:rPr>
                <w:rFonts w:ascii="宋体" w:hAnsi="宋体" w:cs="宋体"/>
                <w:szCs w:val="21"/>
                <w:lang w:val="zh-CN" w:bidi="zh-CN"/>
              </w:rPr>
            </w:pPr>
            <w:r>
              <w:rPr>
                <w:rFonts w:hint="eastAsia"/>
                <w:szCs w:val="21"/>
              </w:rPr>
              <w:t>评审内容</w:t>
            </w:r>
          </w:p>
        </w:tc>
        <w:tc>
          <w:tcPr>
            <w:tcW w:w="1073" w:type="dxa"/>
            <w:gridSpan w:val="2"/>
            <w:vAlign w:val="center"/>
          </w:tcPr>
          <w:p>
            <w:pPr>
              <w:jc w:val="center"/>
              <w:rPr>
                <w:rFonts w:ascii="宋体" w:hAnsi="宋体" w:cs="宋体"/>
                <w:szCs w:val="21"/>
                <w:lang w:val="zh-CN" w:bidi="zh-CN"/>
              </w:rPr>
            </w:pPr>
            <w:r>
              <w:rPr>
                <w:rFonts w:hint="eastAsia"/>
                <w:szCs w:val="21"/>
              </w:rPr>
              <w:t>分值</w:t>
            </w:r>
          </w:p>
        </w:tc>
        <w:tc>
          <w:tcPr>
            <w:tcW w:w="4733" w:type="dxa"/>
            <w:gridSpan w:val="3"/>
            <w:vAlign w:val="center"/>
          </w:tcPr>
          <w:p>
            <w:pPr>
              <w:jc w:val="center"/>
              <w:rPr>
                <w:rFonts w:ascii="宋体" w:hAnsi="宋体" w:cs="宋体"/>
                <w:szCs w:val="21"/>
                <w:lang w:val="zh-CN" w:bidi="zh-CN"/>
              </w:rPr>
            </w:pPr>
            <w:r>
              <w:rPr>
                <w:rFonts w:hint="eastAsia"/>
                <w:szCs w:val="21"/>
              </w:rPr>
              <w:t>评审标准</w:t>
            </w:r>
          </w:p>
        </w:tc>
        <w:tc>
          <w:tcPr>
            <w:tcW w:w="1019" w:type="dxa"/>
            <w:vAlign w:val="center"/>
          </w:tcPr>
          <w:p>
            <w:pPr>
              <w:jc w:val="center"/>
              <w:rPr>
                <w:rFonts w:ascii="宋体" w:hAnsi="宋体" w:cs="宋体"/>
                <w:szCs w:val="21"/>
                <w:lang w:val="zh-CN" w:bidi="zh-CN"/>
              </w:rPr>
            </w:pPr>
            <w:r>
              <w:rPr>
                <w:rFonts w:hint="eastAsia"/>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restart"/>
            <w:vAlign w:val="center"/>
          </w:tcPr>
          <w:p>
            <w:pPr>
              <w:spacing w:line="360" w:lineRule="auto"/>
              <w:jc w:val="center"/>
              <w:rPr>
                <w:rFonts w:ascii="宋体" w:hAnsi="宋体" w:cs="宋体"/>
                <w:szCs w:val="21"/>
                <w:lang w:bidi="zh-CN"/>
              </w:rPr>
            </w:pPr>
            <w:r>
              <w:rPr>
                <w:rFonts w:hint="eastAsia" w:ascii="宋体" w:hAnsi="宋体" w:cs="宋体"/>
                <w:szCs w:val="21"/>
                <w:lang w:val="zh-CN" w:bidi="zh-CN"/>
              </w:rPr>
              <w:t>4（</w:t>
            </w:r>
            <w:r>
              <w:rPr>
                <w:rFonts w:hint="eastAsia" w:ascii="宋体" w:hAnsi="宋体" w:cs="宋体"/>
                <w:szCs w:val="21"/>
                <w:lang w:bidi="zh-CN"/>
              </w:rPr>
              <w:t>1）</w:t>
            </w:r>
          </w:p>
        </w:tc>
        <w:tc>
          <w:tcPr>
            <w:tcW w:w="986" w:type="dxa"/>
            <w:vMerge w:val="restart"/>
            <w:vAlign w:val="center"/>
          </w:tcPr>
          <w:p>
            <w:pPr>
              <w:spacing w:line="360" w:lineRule="auto"/>
              <w:jc w:val="center"/>
              <w:rPr>
                <w:rFonts w:ascii="宋体" w:hAnsi="宋体" w:cs="宋体"/>
                <w:szCs w:val="21"/>
                <w:lang w:val="zh-CN" w:bidi="zh-CN"/>
              </w:rPr>
            </w:pPr>
            <w:r>
              <w:rPr>
                <w:rFonts w:hint="eastAsia" w:ascii="宋体" w:hAnsi="宋体" w:cs="宋体"/>
                <w:szCs w:val="21"/>
                <w:lang w:val="zh-CN" w:bidi="zh-CN"/>
              </w:rPr>
              <w:t>技术标评分标准</w:t>
            </w:r>
          </w:p>
          <w:p>
            <w:pPr>
              <w:spacing w:line="360" w:lineRule="auto"/>
              <w:jc w:val="center"/>
              <w:rPr>
                <w:rFonts w:ascii="宋体" w:hAnsi="宋体" w:cs="宋体"/>
                <w:szCs w:val="21"/>
                <w:lang w:val="zh-CN" w:bidi="zh-CN"/>
              </w:rPr>
            </w:pPr>
            <w:r>
              <w:rPr>
                <w:rFonts w:hint="eastAsia" w:ascii="宋体" w:hAnsi="宋体" w:cs="宋体"/>
                <w:szCs w:val="21"/>
                <w:lang w:val="zh-CN" w:bidi="zh-CN"/>
              </w:rPr>
              <w:t>（</w:t>
            </w:r>
            <w:r>
              <w:rPr>
                <w:rFonts w:hint="eastAsia" w:ascii="宋体" w:hAnsi="宋体" w:cs="宋体"/>
                <w:szCs w:val="21"/>
                <w:lang w:bidi="zh-CN"/>
              </w:rPr>
              <w:t>25</w:t>
            </w:r>
            <w:r>
              <w:rPr>
                <w:rFonts w:hint="eastAsia" w:ascii="宋体" w:hAnsi="宋体" w:cs="宋体"/>
                <w:szCs w:val="21"/>
                <w:lang w:val="zh-CN" w:bidi="zh-CN"/>
              </w:rPr>
              <w:t>分）</w:t>
            </w:r>
          </w:p>
        </w:tc>
        <w:tc>
          <w:tcPr>
            <w:tcW w:w="1168" w:type="dxa"/>
            <w:vMerge w:val="restart"/>
            <w:vAlign w:val="center"/>
          </w:tcPr>
          <w:p>
            <w:pPr>
              <w:jc w:val="center"/>
              <w:rPr>
                <w:rFonts w:ascii="宋体" w:hAnsi="宋体" w:cs="宋体"/>
                <w:szCs w:val="21"/>
                <w:lang w:val="zh-CN" w:bidi="zh-CN"/>
              </w:rPr>
            </w:pPr>
            <w:r>
              <w:rPr>
                <w:rFonts w:hint="eastAsia"/>
                <w:szCs w:val="21"/>
              </w:rPr>
              <w:t>内容完整性</w:t>
            </w:r>
          </w:p>
        </w:tc>
        <w:tc>
          <w:tcPr>
            <w:tcW w:w="1073" w:type="dxa"/>
            <w:gridSpan w:val="2"/>
            <w:vMerge w:val="restart"/>
            <w:vAlign w:val="center"/>
          </w:tcPr>
          <w:p>
            <w:pPr>
              <w:jc w:val="center"/>
              <w:rPr>
                <w:rFonts w:ascii="宋体" w:hAnsi="宋体" w:cs="宋体"/>
                <w:szCs w:val="21"/>
                <w:lang w:val="zh-CN" w:bidi="zh-CN"/>
              </w:rPr>
            </w:pPr>
            <w:r>
              <w:rPr>
                <w:szCs w:val="21"/>
              </w:rPr>
              <w:t>0-0.5</w:t>
            </w:r>
            <w:r>
              <w:rPr>
                <w:rFonts w:hint="eastAsia"/>
                <w:szCs w:val="21"/>
              </w:rPr>
              <w:t>分</w:t>
            </w:r>
          </w:p>
        </w:tc>
        <w:tc>
          <w:tcPr>
            <w:tcW w:w="4733" w:type="dxa"/>
            <w:gridSpan w:val="3"/>
            <w:vAlign w:val="center"/>
          </w:tcPr>
          <w:p>
            <w:pPr>
              <w:jc w:val="center"/>
              <w:rPr>
                <w:rFonts w:ascii="宋体" w:hAnsi="宋体" w:cs="宋体"/>
                <w:szCs w:val="21"/>
                <w:lang w:val="zh-CN" w:bidi="zh-CN"/>
              </w:rPr>
            </w:pPr>
            <w:r>
              <w:rPr>
                <w:rFonts w:hint="eastAsia"/>
                <w:szCs w:val="21"/>
              </w:rPr>
              <w:t>技术标的主要内容具有完整性，符合招标文件的要求。</w:t>
            </w:r>
          </w:p>
        </w:tc>
        <w:tc>
          <w:tcPr>
            <w:tcW w:w="1019" w:type="dxa"/>
            <w:vAlign w:val="center"/>
          </w:tcPr>
          <w:p>
            <w:pPr>
              <w:jc w:val="center"/>
              <w:rPr>
                <w:rFonts w:ascii="宋体" w:hAnsi="宋体" w:cs="宋体"/>
                <w:szCs w:val="21"/>
                <w:lang w:val="zh-CN" w:bidi="zh-CN"/>
              </w:rPr>
            </w:pPr>
            <w:r>
              <w:rPr>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continue"/>
          </w:tcPr>
          <w:p>
            <w:pPr>
              <w:spacing w:line="360" w:lineRule="auto"/>
              <w:ind w:firstLine="420" w:firstLineChars="200"/>
              <w:rPr>
                <w:rFonts w:ascii="宋体" w:hAnsi="宋体" w:cs="宋体"/>
                <w:szCs w:val="21"/>
                <w:lang w:val="zh-CN" w:bidi="zh-CN"/>
              </w:rPr>
            </w:pPr>
          </w:p>
        </w:tc>
        <w:tc>
          <w:tcPr>
            <w:tcW w:w="1073" w:type="dxa"/>
            <w:gridSpan w:val="2"/>
            <w:vMerge w:val="continue"/>
          </w:tcPr>
          <w:p>
            <w:pPr>
              <w:spacing w:line="360" w:lineRule="auto"/>
              <w:ind w:firstLine="420" w:firstLineChars="200"/>
              <w:rPr>
                <w:rFonts w:ascii="宋体" w:hAnsi="宋体" w:cs="宋体"/>
                <w:szCs w:val="21"/>
                <w:lang w:val="zh-CN" w:bidi="zh-CN"/>
              </w:rPr>
            </w:pPr>
          </w:p>
        </w:tc>
        <w:tc>
          <w:tcPr>
            <w:tcW w:w="4733" w:type="dxa"/>
            <w:gridSpan w:val="3"/>
            <w:vAlign w:val="center"/>
          </w:tcPr>
          <w:p>
            <w:pPr>
              <w:jc w:val="center"/>
              <w:rPr>
                <w:rFonts w:ascii="宋体" w:hAnsi="宋体" w:cs="宋体"/>
                <w:szCs w:val="21"/>
                <w:lang w:val="zh-CN" w:bidi="zh-CN"/>
              </w:rPr>
            </w:pPr>
            <w:r>
              <w:rPr>
                <w:rFonts w:hint="eastAsia"/>
                <w:szCs w:val="21"/>
              </w:rPr>
              <w:t>技术标不符合招标文件要求。</w:t>
            </w:r>
          </w:p>
        </w:tc>
        <w:tc>
          <w:tcPr>
            <w:tcW w:w="1019" w:type="dxa"/>
            <w:vAlign w:val="center"/>
          </w:tcPr>
          <w:p>
            <w:pPr>
              <w:jc w:val="center"/>
              <w:rPr>
                <w:rFonts w:ascii="宋体" w:hAnsi="宋体" w:cs="宋体"/>
                <w:szCs w:val="21"/>
                <w:lang w:val="zh-CN" w:bidi="zh-CN"/>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restart"/>
            <w:vAlign w:val="center"/>
          </w:tcPr>
          <w:p>
            <w:pPr>
              <w:jc w:val="left"/>
              <w:rPr>
                <w:rFonts w:ascii="宋体" w:hAnsi="宋体" w:cs="宋体"/>
                <w:szCs w:val="21"/>
                <w:lang w:val="zh-CN" w:bidi="zh-CN"/>
              </w:rPr>
            </w:pPr>
            <w:r>
              <w:rPr>
                <w:rFonts w:hint="eastAsia"/>
                <w:szCs w:val="21"/>
              </w:rPr>
              <w:t>主要施工方案与技术措施</w:t>
            </w:r>
          </w:p>
        </w:tc>
        <w:tc>
          <w:tcPr>
            <w:tcW w:w="1073" w:type="dxa"/>
            <w:gridSpan w:val="2"/>
            <w:vMerge w:val="restart"/>
            <w:vAlign w:val="center"/>
          </w:tcPr>
          <w:p>
            <w:pPr>
              <w:jc w:val="center"/>
              <w:rPr>
                <w:rFonts w:ascii="宋体" w:hAnsi="宋体" w:cs="宋体"/>
                <w:szCs w:val="21"/>
                <w:lang w:val="zh-CN" w:bidi="zh-CN"/>
              </w:rPr>
            </w:pPr>
            <w:r>
              <w:rPr>
                <w:szCs w:val="21"/>
              </w:rPr>
              <w:t xml:space="preserve"> 1-</w:t>
            </w:r>
            <w:r>
              <w:rPr>
                <w:rFonts w:hint="eastAsia"/>
                <w:szCs w:val="21"/>
              </w:rPr>
              <w:t>3分</w:t>
            </w:r>
          </w:p>
        </w:tc>
        <w:tc>
          <w:tcPr>
            <w:tcW w:w="4733" w:type="dxa"/>
            <w:gridSpan w:val="3"/>
            <w:vAlign w:val="center"/>
          </w:tcPr>
          <w:p>
            <w:pPr>
              <w:rPr>
                <w:rFonts w:ascii="宋体" w:hAnsi="宋体" w:cs="宋体"/>
                <w:szCs w:val="21"/>
                <w:lang w:val="zh-CN" w:bidi="zh-CN"/>
              </w:rPr>
            </w:pPr>
            <w:r>
              <w:rPr>
                <w:rFonts w:hint="eastAsia"/>
                <w:szCs w:val="21"/>
              </w:rPr>
              <w:t>施工方案（含工程特点、施工重点与难点及绿色施工）总体安排合理，运用先进、合理的施工工艺、施工机械；对施工难点有先进和合理的建议。</w:t>
            </w:r>
          </w:p>
        </w:tc>
        <w:tc>
          <w:tcPr>
            <w:tcW w:w="1019" w:type="dxa"/>
            <w:vAlign w:val="center"/>
          </w:tcPr>
          <w:p>
            <w:pPr>
              <w:jc w:val="center"/>
              <w:rPr>
                <w:rFonts w:ascii="宋体" w:hAnsi="宋体" w:cs="宋体"/>
                <w:szCs w:val="21"/>
                <w:lang w:bidi="zh-CN"/>
              </w:rPr>
            </w:pPr>
            <w:r>
              <w:rPr>
                <w:szCs w:val="21"/>
              </w:rPr>
              <w:t>2</w:t>
            </w:r>
            <w:r>
              <w:rPr>
                <w:rFonts w:hint="eastAsia"/>
                <w:szCs w:val="21"/>
              </w:rPr>
              <w:t>＜得分</w:t>
            </w:r>
            <w:r>
              <w:rPr>
                <w:szCs w:val="21"/>
              </w:rPr>
              <w:t>≤</w:t>
            </w: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continue"/>
          </w:tcPr>
          <w:p>
            <w:pPr>
              <w:spacing w:line="360" w:lineRule="auto"/>
              <w:ind w:firstLine="420" w:firstLineChars="200"/>
              <w:rPr>
                <w:rFonts w:ascii="宋体" w:hAnsi="宋体" w:cs="宋体"/>
                <w:szCs w:val="21"/>
                <w:lang w:val="zh-CN" w:bidi="zh-CN"/>
              </w:rPr>
            </w:pPr>
          </w:p>
        </w:tc>
        <w:tc>
          <w:tcPr>
            <w:tcW w:w="1073" w:type="dxa"/>
            <w:gridSpan w:val="2"/>
            <w:vMerge w:val="continue"/>
          </w:tcPr>
          <w:p>
            <w:pPr>
              <w:spacing w:line="360" w:lineRule="auto"/>
              <w:ind w:firstLine="420" w:firstLineChars="200"/>
              <w:rPr>
                <w:rFonts w:ascii="宋体" w:hAnsi="宋体" w:cs="宋体"/>
                <w:szCs w:val="21"/>
                <w:lang w:val="zh-CN" w:bidi="zh-CN"/>
              </w:rPr>
            </w:pPr>
          </w:p>
        </w:tc>
        <w:tc>
          <w:tcPr>
            <w:tcW w:w="4733" w:type="dxa"/>
            <w:gridSpan w:val="3"/>
            <w:vAlign w:val="center"/>
          </w:tcPr>
          <w:p>
            <w:pPr>
              <w:rPr>
                <w:rFonts w:ascii="宋体" w:hAnsi="宋体" w:cs="宋体"/>
                <w:szCs w:val="21"/>
                <w:lang w:val="zh-CN" w:bidi="zh-CN"/>
              </w:rPr>
            </w:pPr>
            <w:r>
              <w:rPr>
                <w:rFonts w:hint="eastAsia"/>
                <w:szCs w:val="21"/>
              </w:rPr>
              <w:t>施工方案（含工程特点、施工重点与难点及绿色施工）总体安排合理，施工工艺、施工机械合理、可行；对施工难点有合理的建议。</w:t>
            </w:r>
          </w:p>
        </w:tc>
        <w:tc>
          <w:tcPr>
            <w:tcW w:w="1019" w:type="dxa"/>
            <w:vAlign w:val="center"/>
          </w:tcPr>
          <w:p>
            <w:pPr>
              <w:jc w:val="center"/>
              <w:rPr>
                <w:rFonts w:ascii="宋体" w:hAnsi="宋体" w:cs="宋体"/>
                <w:szCs w:val="21"/>
                <w:lang w:val="zh-CN" w:bidi="zh-CN"/>
              </w:rPr>
            </w:pPr>
            <w:r>
              <w:rPr>
                <w:szCs w:val="21"/>
              </w:rPr>
              <w:t xml:space="preserve"> 1≤</w:t>
            </w:r>
            <w:r>
              <w:rPr>
                <w:rFonts w:hint="eastAsia"/>
                <w:szCs w:val="21"/>
              </w:rPr>
              <w:t>得分</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restart"/>
            <w:vAlign w:val="center"/>
          </w:tcPr>
          <w:p>
            <w:pPr>
              <w:jc w:val="left"/>
              <w:rPr>
                <w:rFonts w:ascii="宋体" w:hAnsi="宋体" w:cs="宋体"/>
                <w:szCs w:val="21"/>
                <w:lang w:val="zh-CN" w:bidi="zh-CN"/>
              </w:rPr>
            </w:pPr>
            <w:r>
              <w:rPr>
                <w:rFonts w:hint="eastAsia"/>
                <w:szCs w:val="21"/>
              </w:rPr>
              <w:t>质量管理体系与措施</w:t>
            </w:r>
          </w:p>
        </w:tc>
        <w:tc>
          <w:tcPr>
            <w:tcW w:w="1073" w:type="dxa"/>
            <w:gridSpan w:val="2"/>
            <w:vMerge w:val="restart"/>
            <w:vAlign w:val="center"/>
          </w:tcPr>
          <w:p>
            <w:pPr>
              <w:jc w:val="center"/>
              <w:rPr>
                <w:rFonts w:ascii="宋体" w:hAnsi="宋体" w:cs="宋体"/>
                <w:szCs w:val="21"/>
                <w:lang w:val="zh-CN" w:bidi="zh-CN"/>
              </w:rPr>
            </w:pPr>
            <w:r>
              <w:rPr>
                <w:szCs w:val="21"/>
              </w:rPr>
              <w:t>1-2</w:t>
            </w:r>
            <w:r>
              <w:rPr>
                <w:rFonts w:hint="eastAsia"/>
                <w:szCs w:val="21"/>
              </w:rPr>
              <w:t>分</w:t>
            </w:r>
          </w:p>
        </w:tc>
        <w:tc>
          <w:tcPr>
            <w:tcW w:w="4733" w:type="dxa"/>
            <w:gridSpan w:val="3"/>
            <w:vAlign w:val="center"/>
          </w:tcPr>
          <w:p>
            <w:pPr>
              <w:spacing w:line="360" w:lineRule="exact"/>
              <w:rPr>
                <w:rFonts w:ascii="宋体" w:hAnsi="宋体" w:cs="宋体"/>
                <w:szCs w:val="21"/>
                <w:lang w:val="zh-CN" w:bidi="zh-CN"/>
              </w:rPr>
            </w:pPr>
            <w:r>
              <w:rPr>
                <w:rFonts w:hint="eastAsia"/>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019" w:type="dxa"/>
            <w:vAlign w:val="center"/>
          </w:tcPr>
          <w:p>
            <w:pPr>
              <w:jc w:val="center"/>
              <w:rPr>
                <w:rFonts w:ascii="宋体" w:hAnsi="宋体" w:cs="宋体"/>
                <w:szCs w:val="21"/>
                <w:lang w:val="zh-CN" w:bidi="zh-CN"/>
              </w:rPr>
            </w:pPr>
            <w:r>
              <w:rPr>
                <w:szCs w:val="21"/>
              </w:rPr>
              <w:t>1.5</w:t>
            </w:r>
            <w:r>
              <w:rPr>
                <w:rFonts w:hint="eastAsia"/>
                <w:szCs w:val="21"/>
              </w:rPr>
              <w:t>＜得分</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continue"/>
          </w:tcPr>
          <w:p>
            <w:pPr>
              <w:spacing w:line="360" w:lineRule="auto"/>
              <w:ind w:firstLine="420" w:firstLineChars="200"/>
              <w:rPr>
                <w:rFonts w:ascii="宋体" w:hAnsi="宋体" w:cs="宋体"/>
                <w:szCs w:val="21"/>
                <w:lang w:val="zh-CN" w:bidi="zh-CN"/>
              </w:rPr>
            </w:pPr>
          </w:p>
        </w:tc>
        <w:tc>
          <w:tcPr>
            <w:tcW w:w="1073" w:type="dxa"/>
            <w:gridSpan w:val="2"/>
            <w:vMerge w:val="continue"/>
          </w:tcPr>
          <w:p>
            <w:pPr>
              <w:spacing w:line="360" w:lineRule="auto"/>
              <w:ind w:firstLine="420" w:firstLineChars="200"/>
              <w:rPr>
                <w:rFonts w:ascii="宋体" w:hAnsi="宋体" w:cs="宋体"/>
                <w:szCs w:val="21"/>
                <w:lang w:val="zh-CN" w:bidi="zh-CN"/>
              </w:rPr>
            </w:pPr>
          </w:p>
        </w:tc>
        <w:tc>
          <w:tcPr>
            <w:tcW w:w="4733" w:type="dxa"/>
            <w:gridSpan w:val="3"/>
            <w:vAlign w:val="center"/>
          </w:tcPr>
          <w:p>
            <w:pPr>
              <w:spacing w:line="360" w:lineRule="exact"/>
              <w:rPr>
                <w:rFonts w:ascii="宋体" w:hAnsi="宋体" w:cs="宋体"/>
                <w:szCs w:val="21"/>
                <w:lang w:val="zh-CN" w:bidi="zh-CN"/>
              </w:rPr>
            </w:pPr>
            <w:r>
              <w:rPr>
                <w:rFonts w:hint="eastAsia"/>
                <w:szCs w:val="21"/>
              </w:rPr>
              <w:t>组织机构形式基本合理，指挥系统、质量监控系统、联络协调系统，具体措施可行。主体结构质量保证措施经济、安全、基本可行。主体结构、装饰装修符合工程建设强制性标准，不得偷工减料。</w:t>
            </w:r>
          </w:p>
        </w:tc>
        <w:tc>
          <w:tcPr>
            <w:tcW w:w="1019" w:type="dxa"/>
            <w:vAlign w:val="center"/>
          </w:tcPr>
          <w:p>
            <w:pPr>
              <w:jc w:val="center"/>
              <w:rPr>
                <w:rFonts w:ascii="宋体" w:hAnsi="宋体" w:cs="宋体"/>
                <w:szCs w:val="21"/>
                <w:lang w:val="zh-CN" w:bidi="zh-CN"/>
              </w:rPr>
            </w:pPr>
            <w:r>
              <w:rPr>
                <w:szCs w:val="21"/>
              </w:rPr>
              <w:t>1≤</w:t>
            </w:r>
            <w:r>
              <w:rPr>
                <w:rFonts w:hint="eastAsia"/>
                <w:szCs w:val="21"/>
              </w:rPr>
              <w:t>得分</w:t>
            </w: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restart"/>
            <w:vAlign w:val="center"/>
          </w:tcPr>
          <w:p>
            <w:pPr>
              <w:jc w:val="left"/>
              <w:rPr>
                <w:rFonts w:ascii="宋体" w:hAnsi="宋体" w:cs="宋体"/>
                <w:szCs w:val="21"/>
                <w:lang w:val="zh-CN" w:bidi="zh-CN"/>
              </w:rPr>
            </w:pPr>
            <w:r>
              <w:rPr>
                <w:rFonts w:hint="eastAsia"/>
                <w:szCs w:val="21"/>
              </w:rPr>
              <w:t>安全管理体系与措施</w:t>
            </w:r>
          </w:p>
        </w:tc>
        <w:tc>
          <w:tcPr>
            <w:tcW w:w="1073" w:type="dxa"/>
            <w:gridSpan w:val="2"/>
            <w:vMerge w:val="restart"/>
            <w:vAlign w:val="center"/>
          </w:tcPr>
          <w:p>
            <w:pPr>
              <w:jc w:val="center"/>
              <w:rPr>
                <w:rFonts w:ascii="宋体" w:hAnsi="宋体" w:cs="宋体"/>
                <w:szCs w:val="21"/>
                <w:lang w:val="zh-CN" w:bidi="zh-CN"/>
              </w:rPr>
            </w:pPr>
            <w:r>
              <w:rPr>
                <w:szCs w:val="21"/>
              </w:rPr>
              <w:t xml:space="preserve"> 1-</w:t>
            </w:r>
            <w:r>
              <w:rPr>
                <w:rFonts w:hint="eastAsia"/>
                <w:szCs w:val="21"/>
              </w:rPr>
              <w:t>2分</w:t>
            </w:r>
          </w:p>
        </w:tc>
        <w:tc>
          <w:tcPr>
            <w:tcW w:w="4733" w:type="dxa"/>
            <w:gridSpan w:val="3"/>
            <w:vAlign w:val="center"/>
          </w:tcPr>
          <w:p>
            <w:pPr>
              <w:spacing w:line="360" w:lineRule="exact"/>
              <w:rPr>
                <w:rFonts w:ascii="宋体" w:hAnsi="宋体" w:cs="宋体"/>
                <w:szCs w:val="21"/>
                <w:lang w:val="zh-CN" w:bidi="zh-CN"/>
              </w:rPr>
            </w:pPr>
            <w:r>
              <w:rPr>
                <w:rFonts w:hint="eastAsia"/>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019" w:type="dxa"/>
            <w:vAlign w:val="center"/>
          </w:tcPr>
          <w:p>
            <w:pPr>
              <w:jc w:val="center"/>
              <w:rPr>
                <w:rFonts w:ascii="宋体" w:hAnsi="宋体" w:cs="宋体"/>
                <w:szCs w:val="21"/>
                <w:lang w:bidi="zh-CN"/>
              </w:rPr>
            </w:pPr>
            <w:r>
              <w:rPr>
                <w:szCs w:val="21"/>
              </w:rPr>
              <w:t>1.5</w:t>
            </w:r>
            <w:r>
              <w:rPr>
                <w:rFonts w:hint="eastAsia"/>
                <w:szCs w:val="21"/>
              </w:rPr>
              <w:t>＜得分</w:t>
            </w:r>
            <w:r>
              <w:rPr>
                <w:szCs w:val="21"/>
              </w:rPr>
              <w:t>≤</w:t>
            </w: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continue"/>
          </w:tcPr>
          <w:p>
            <w:pPr>
              <w:spacing w:line="360" w:lineRule="auto"/>
              <w:ind w:firstLine="420" w:firstLineChars="200"/>
              <w:rPr>
                <w:rFonts w:ascii="宋体" w:hAnsi="宋体" w:cs="宋体"/>
                <w:szCs w:val="21"/>
                <w:lang w:val="zh-CN" w:bidi="zh-CN"/>
              </w:rPr>
            </w:pPr>
          </w:p>
        </w:tc>
        <w:tc>
          <w:tcPr>
            <w:tcW w:w="1073" w:type="dxa"/>
            <w:gridSpan w:val="2"/>
            <w:vMerge w:val="continue"/>
          </w:tcPr>
          <w:p>
            <w:pPr>
              <w:spacing w:line="360" w:lineRule="auto"/>
              <w:ind w:firstLine="420" w:firstLineChars="200"/>
              <w:rPr>
                <w:rFonts w:ascii="宋体" w:hAnsi="宋体" w:cs="宋体"/>
                <w:szCs w:val="21"/>
                <w:lang w:val="zh-CN" w:bidi="zh-CN"/>
              </w:rPr>
            </w:pPr>
          </w:p>
        </w:tc>
        <w:tc>
          <w:tcPr>
            <w:tcW w:w="4733" w:type="dxa"/>
            <w:gridSpan w:val="3"/>
            <w:vAlign w:val="center"/>
          </w:tcPr>
          <w:p>
            <w:pPr>
              <w:spacing w:line="340" w:lineRule="exact"/>
              <w:rPr>
                <w:rFonts w:ascii="宋体" w:hAnsi="宋体" w:cs="宋体"/>
                <w:szCs w:val="21"/>
                <w:lang w:val="zh-CN" w:bidi="zh-CN"/>
              </w:rPr>
            </w:pPr>
            <w:r>
              <w:rPr>
                <w:rFonts w:hint="eastAsia"/>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019" w:type="dxa"/>
            <w:vAlign w:val="center"/>
          </w:tcPr>
          <w:p>
            <w:pPr>
              <w:jc w:val="center"/>
              <w:rPr>
                <w:rFonts w:ascii="宋体" w:hAnsi="宋体" w:cs="宋体"/>
                <w:szCs w:val="21"/>
                <w:lang w:val="zh-CN" w:bidi="zh-CN"/>
              </w:rPr>
            </w:pPr>
            <w:r>
              <w:rPr>
                <w:szCs w:val="21"/>
              </w:rPr>
              <w:t>1≤</w:t>
            </w:r>
            <w:r>
              <w:rPr>
                <w:rFonts w:hint="eastAsia"/>
                <w:szCs w:val="21"/>
              </w:rPr>
              <w:t>得分</w:t>
            </w: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restart"/>
            <w:vAlign w:val="center"/>
          </w:tcPr>
          <w:p>
            <w:pPr>
              <w:spacing w:line="400" w:lineRule="exact"/>
              <w:jc w:val="left"/>
              <w:rPr>
                <w:rFonts w:ascii="宋体" w:hAnsi="宋体" w:cs="宋体"/>
                <w:szCs w:val="21"/>
                <w:lang w:val="zh-CN" w:bidi="zh-CN"/>
              </w:rPr>
            </w:pPr>
            <w:r>
              <w:rPr>
                <w:rFonts w:hint="eastAsia"/>
                <w:szCs w:val="21"/>
              </w:rPr>
              <w:t>文明施工、环境保护管理体系及施工现场扬尘治理措施</w:t>
            </w:r>
            <w:r>
              <w:rPr>
                <w:kern w:val="0"/>
                <w:szCs w:val="21"/>
              </w:rPr>
              <w:t xml:space="preserve">  </w:t>
            </w:r>
          </w:p>
        </w:tc>
        <w:tc>
          <w:tcPr>
            <w:tcW w:w="1073" w:type="dxa"/>
            <w:gridSpan w:val="2"/>
            <w:vMerge w:val="restart"/>
            <w:vAlign w:val="center"/>
          </w:tcPr>
          <w:p>
            <w:pPr>
              <w:spacing w:line="400" w:lineRule="exact"/>
              <w:jc w:val="center"/>
              <w:rPr>
                <w:rFonts w:ascii="宋体" w:hAnsi="宋体" w:cs="宋体"/>
                <w:szCs w:val="21"/>
                <w:lang w:val="zh-CN" w:bidi="zh-CN"/>
              </w:rPr>
            </w:pPr>
            <w:r>
              <w:rPr>
                <w:szCs w:val="21"/>
              </w:rPr>
              <w:t>1-</w:t>
            </w:r>
            <w:r>
              <w:rPr>
                <w:rFonts w:hint="eastAsia"/>
                <w:szCs w:val="21"/>
              </w:rPr>
              <w:t>3分</w:t>
            </w:r>
          </w:p>
        </w:tc>
        <w:tc>
          <w:tcPr>
            <w:tcW w:w="4733" w:type="dxa"/>
            <w:gridSpan w:val="3"/>
            <w:vAlign w:val="center"/>
          </w:tcPr>
          <w:p>
            <w:pPr>
              <w:spacing w:line="400" w:lineRule="exact"/>
              <w:rPr>
                <w:rFonts w:ascii="宋体" w:hAnsi="宋体" w:cs="宋体"/>
                <w:szCs w:val="21"/>
                <w:lang w:val="zh-CN" w:bidi="zh-CN"/>
              </w:rPr>
            </w:pPr>
            <w:r>
              <w:rPr>
                <w:rFonts w:hint="eastAsia"/>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Cs w:val="21"/>
              </w:rPr>
              <w:t>DBJ41/174</w:t>
            </w:r>
            <w:r>
              <w:rPr>
                <w:rFonts w:hint="eastAsia"/>
                <w:szCs w:val="21"/>
              </w:rPr>
              <w:t>）的规定，防治方案科学、先进。</w:t>
            </w:r>
          </w:p>
        </w:tc>
        <w:tc>
          <w:tcPr>
            <w:tcW w:w="1019" w:type="dxa"/>
            <w:vAlign w:val="center"/>
          </w:tcPr>
          <w:p>
            <w:pPr>
              <w:spacing w:line="400" w:lineRule="exact"/>
              <w:jc w:val="center"/>
              <w:rPr>
                <w:rFonts w:ascii="宋体" w:hAnsi="宋体" w:cs="宋体"/>
                <w:szCs w:val="21"/>
                <w:lang w:bidi="zh-CN"/>
              </w:rPr>
            </w:pPr>
            <w:r>
              <w:rPr>
                <w:szCs w:val="21"/>
              </w:rPr>
              <w:t>2</w:t>
            </w:r>
            <w:r>
              <w:rPr>
                <w:rFonts w:hint="eastAsia"/>
                <w:szCs w:val="21"/>
              </w:rPr>
              <w:t>＜得分</w:t>
            </w:r>
            <w:r>
              <w:rPr>
                <w:szCs w:val="21"/>
              </w:rPr>
              <w:t>≤</w:t>
            </w: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continue"/>
          </w:tcPr>
          <w:p>
            <w:pPr>
              <w:spacing w:line="360" w:lineRule="auto"/>
              <w:ind w:firstLine="420" w:firstLineChars="200"/>
              <w:rPr>
                <w:rFonts w:ascii="宋体" w:hAnsi="宋体" w:cs="宋体"/>
                <w:szCs w:val="21"/>
                <w:lang w:val="zh-CN" w:bidi="zh-CN"/>
              </w:rPr>
            </w:pPr>
          </w:p>
        </w:tc>
        <w:tc>
          <w:tcPr>
            <w:tcW w:w="1073" w:type="dxa"/>
            <w:gridSpan w:val="2"/>
            <w:vMerge w:val="continue"/>
          </w:tcPr>
          <w:p>
            <w:pPr>
              <w:spacing w:line="360" w:lineRule="auto"/>
              <w:ind w:firstLine="420" w:firstLineChars="200"/>
              <w:rPr>
                <w:rFonts w:ascii="宋体" w:hAnsi="宋体" w:cs="宋体"/>
                <w:szCs w:val="21"/>
                <w:lang w:val="zh-CN" w:bidi="zh-CN"/>
              </w:rPr>
            </w:pPr>
          </w:p>
        </w:tc>
        <w:tc>
          <w:tcPr>
            <w:tcW w:w="4733" w:type="dxa"/>
            <w:gridSpan w:val="3"/>
            <w:vAlign w:val="center"/>
          </w:tcPr>
          <w:p>
            <w:pPr>
              <w:spacing w:line="400" w:lineRule="exact"/>
              <w:rPr>
                <w:rFonts w:ascii="宋体" w:hAnsi="宋体" w:cs="宋体"/>
                <w:szCs w:val="21"/>
                <w:lang w:val="zh-CN" w:bidi="zh-CN"/>
              </w:rPr>
            </w:pPr>
            <w:r>
              <w:rPr>
                <w:rFonts w:hint="eastAsia"/>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Cs w:val="21"/>
              </w:rPr>
              <w:t>DBJ41/174</w:t>
            </w:r>
            <w:r>
              <w:rPr>
                <w:rFonts w:hint="eastAsia"/>
                <w:szCs w:val="21"/>
              </w:rPr>
              <w:t>）的规定，有防治方案。</w:t>
            </w:r>
          </w:p>
        </w:tc>
        <w:tc>
          <w:tcPr>
            <w:tcW w:w="1019" w:type="dxa"/>
            <w:vAlign w:val="center"/>
          </w:tcPr>
          <w:p>
            <w:pPr>
              <w:spacing w:line="400" w:lineRule="exact"/>
              <w:jc w:val="center"/>
              <w:rPr>
                <w:rFonts w:ascii="宋体" w:hAnsi="宋体" w:cs="宋体"/>
                <w:szCs w:val="21"/>
                <w:lang w:val="zh-CN" w:bidi="zh-CN"/>
              </w:rPr>
            </w:pPr>
            <w:r>
              <w:rPr>
                <w:szCs w:val="21"/>
              </w:rPr>
              <w:t>1≤</w:t>
            </w:r>
            <w:r>
              <w:rPr>
                <w:rFonts w:hint="eastAsia"/>
                <w:szCs w:val="21"/>
              </w:rPr>
              <w:t>得分</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restart"/>
            <w:vAlign w:val="center"/>
          </w:tcPr>
          <w:p>
            <w:pPr>
              <w:spacing w:line="400" w:lineRule="exact"/>
              <w:jc w:val="left"/>
              <w:rPr>
                <w:rFonts w:ascii="宋体" w:hAnsi="宋体" w:cs="宋体"/>
                <w:szCs w:val="21"/>
                <w:lang w:val="zh-CN" w:bidi="zh-CN"/>
              </w:rPr>
            </w:pPr>
            <w:r>
              <w:rPr>
                <w:rFonts w:hint="eastAsia"/>
                <w:szCs w:val="21"/>
              </w:rPr>
              <w:t>工期保证措施</w:t>
            </w:r>
          </w:p>
        </w:tc>
        <w:tc>
          <w:tcPr>
            <w:tcW w:w="1073" w:type="dxa"/>
            <w:gridSpan w:val="2"/>
            <w:vMerge w:val="restart"/>
            <w:vAlign w:val="center"/>
          </w:tcPr>
          <w:p>
            <w:pPr>
              <w:spacing w:line="400" w:lineRule="exact"/>
              <w:jc w:val="center"/>
              <w:rPr>
                <w:rFonts w:ascii="宋体" w:hAnsi="宋体" w:cs="宋体"/>
                <w:szCs w:val="21"/>
                <w:lang w:val="zh-CN" w:bidi="zh-CN"/>
              </w:rPr>
            </w:pPr>
            <w:r>
              <w:rPr>
                <w:szCs w:val="21"/>
              </w:rPr>
              <w:t>1-2</w:t>
            </w:r>
            <w:r>
              <w:rPr>
                <w:rFonts w:hint="eastAsia"/>
                <w:szCs w:val="21"/>
              </w:rPr>
              <w:t>分</w:t>
            </w:r>
          </w:p>
        </w:tc>
        <w:tc>
          <w:tcPr>
            <w:tcW w:w="4733" w:type="dxa"/>
            <w:gridSpan w:val="3"/>
            <w:vAlign w:val="center"/>
          </w:tcPr>
          <w:p>
            <w:pPr>
              <w:spacing w:line="400" w:lineRule="exact"/>
              <w:rPr>
                <w:rFonts w:ascii="宋体" w:hAnsi="宋体" w:cs="宋体"/>
                <w:szCs w:val="21"/>
                <w:lang w:val="zh-CN" w:bidi="zh-CN"/>
              </w:rPr>
            </w:pPr>
            <w:r>
              <w:rPr>
                <w:rFonts w:hint="eastAsia"/>
                <w:szCs w:val="21"/>
              </w:rPr>
              <w:t>工期承诺满足招标文件要求，工期保证措施合理且有针对性，有具体的违约责任承诺。</w:t>
            </w:r>
          </w:p>
        </w:tc>
        <w:tc>
          <w:tcPr>
            <w:tcW w:w="1019" w:type="dxa"/>
            <w:vAlign w:val="center"/>
          </w:tcPr>
          <w:p>
            <w:pPr>
              <w:spacing w:line="400" w:lineRule="exact"/>
              <w:jc w:val="center"/>
              <w:rPr>
                <w:rFonts w:ascii="宋体" w:hAnsi="宋体" w:cs="宋体"/>
                <w:szCs w:val="21"/>
                <w:lang w:val="zh-CN" w:bidi="zh-CN"/>
              </w:rPr>
            </w:pPr>
            <w:r>
              <w:rPr>
                <w:szCs w:val="21"/>
              </w:rPr>
              <w:t>1.5</w:t>
            </w:r>
            <w:r>
              <w:rPr>
                <w:rFonts w:hint="eastAsia"/>
                <w:szCs w:val="21"/>
              </w:rPr>
              <w:t>＜得分</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continue"/>
          </w:tcPr>
          <w:p>
            <w:pPr>
              <w:spacing w:line="360" w:lineRule="auto"/>
              <w:ind w:firstLine="420" w:firstLineChars="200"/>
              <w:rPr>
                <w:rFonts w:ascii="宋体" w:hAnsi="宋体" w:cs="宋体"/>
                <w:szCs w:val="21"/>
                <w:lang w:val="zh-CN" w:bidi="zh-CN"/>
              </w:rPr>
            </w:pPr>
          </w:p>
        </w:tc>
        <w:tc>
          <w:tcPr>
            <w:tcW w:w="1073" w:type="dxa"/>
            <w:gridSpan w:val="2"/>
            <w:vMerge w:val="continue"/>
          </w:tcPr>
          <w:p>
            <w:pPr>
              <w:spacing w:line="360" w:lineRule="auto"/>
              <w:ind w:firstLine="420" w:firstLineChars="200"/>
              <w:rPr>
                <w:rFonts w:ascii="宋体" w:hAnsi="宋体" w:cs="宋体"/>
                <w:szCs w:val="21"/>
                <w:lang w:val="zh-CN" w:bidi="zh-CN"/>
              </w:rPr>
            </w:pPr>
          </w:p>
        </w:tc>
        <w:tc>
          <w:tcPr>
            <w:tcW w:w="4733" w:type="dxa"/>
            <w:gridSpan w:val="3"/>
            <w:vAlign w:val="center"/>
          </w:tcPr>
          <w:p>
            <w:pPr>
              <w:spacing w:line="400" w:lineRule="exact"/>
              <w:rPr>
                <w:rFonts w:ascii="宋体" w:hAnsi="宋体" w:cs="宋体"/>
                <w:szCs w:val="21"/>
                <w:lang w:val="zh-CN" w:bidi="zh-CN"/>
              </w:rPr>
            </w:pPr>
            <w:r>
              <w:rPr>
                <w:rFonts w:hint="eastAsia"/>
                <w:szCs w:val="21"/>
              </w:rPr>
              <w:t>工期承诺满足招标文件要求，工期保证措施基本合理，有具体的违约责任承诺。</w:t>
            </w:r>
          </w:p>
        </w:tc>
        <w:tc>
          <w:tcPr>
            <w:tcW w:w="1019" w:type="dxa"/>
            <w:vAlign w:val="center"/>
          </w:tcPr>
          <w:p>
            <w:pPr>
              <w:spacing w:line="400" w:lineRule="exact"/>
              <w:jc w:val="center"/>
              <w:rPr>
                <w:rFonts w:ascii="宋体" w:hAnsi="宋体" w:cs="宋体"/>
                <w:szCs w:val="21"/>
                <w:lang w:val="zh-CN" w:bidi="zh-CN"/>
              </w:rPr>
            </w:pPr>
            <w:r>
              <w:rPr>
                <w:szCs w:val="21"/>
              </w:rPr>
              <w:t>1≤</w:t>
            </w:r>
            <w:r>
              <w:rPr>
                <w:rFonts w:hint="eastAsia"/>
                <w:szCs w:val="21"/>
              </w:rPr>
              <w:t>得分</w:t>
            </w: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restart"/>
            <w:vAlign w:val="center"/>
          </w:tcPr>
          <w:p>
            <w:pPr>
              <w:spacing w:line="400" w:lineRule="exact"/>
              <w:jc w:val="center"/>
              <w:rPr>
                <w:rFonts w:ascii="宋体" w:hAnsi="宋体" w:cs="宋体"/>
                <w:szCs w:val="21"/>
                <w:lang w:val="zh-CN" w:bidi="zh-CN"/>
              </w:rPr>
            </w:pPr>
            <w:r>
              <w:rPr>
                <w:rFonts w:hint="eastAsia"/>
                <w:szCs w:val="21"/>
              </w:rPr>
              <w:t>拟投入资源配备计划</w:t>
            </w:r>
          </w:p>
        </w:tc>
        <w:tc>
          <w:tcPr>
            <w:tcW w:w="1073" w:type="dxa"/>
            <w:gridSpan w:val="2"/>
            <w:vMerge w:val="restart"/>
            <w:vAlign w:val="center"/>
          </w:tcPr>
          <w:p>
            <w:pPr>
              <w:spacing w:line="400" w:lineRule="exact"/>
              <w:jc w:val="center"/>
              <w:rPr>
                <w:rFonts w:ascii="宋体" w:hAnsi="宋体" w:cs="宋体"/>
                <w:szCs w:val="21"/>
                <w:lang w:val="zh-CN" w:bidi="zh-CN"/>
              </w:rPr>
            </w:pPr>
            <w:r>
              <w:rPr>
                <w:szCs w:val="21"/>
              </w:rPr>
              <w:t>0.5-2</w:t>
            </w:r>
            <w:r>
              <w:rPr>
                <w:rFonts w:hint="eastAsia"/>
                <w:szCs w:val="21"/>
              </w:rPr>
              <w:t>分</w:t>
            </w:r>
          </w:p>
        </w:tc>
        <w:tc>
          <w:tcPr>
            <w:tcW w:w="4733" w:type="dxa"/>
            <w:gridSpan w:val="3"/>
            <w:vAlign w:val="center"/>
          </w:tcPr>
          <w:p>
            <w:pPr>
              <w:spacing w:line="400" w:lineRule="exact"/>
              <w:rPr>
                <w:szCs w:val="21"/>
              </w:rPr>
            </w:pPr>
            <w:r>
              <w:rPr>
                <w:szCs w:val="21"/>
              </w:rPr>
              <w:t>1.</w:t>
            </w:r>
            <w:r>
              <w:rPr>
                <w:rFonts w:hint="eastAsia"/>
                <w:szCs w:val="21"/>
              </w:rPr>
              <w:t>机械：投入计划与进度计划呼应，采用先进机械设备且配置合理、先进，满足安全技术规范和施工进度需要；</w:t>
            </w:r>
            <w:r>
              <w:rPr>
                <w:szCs w:val="21"/>
              </w:rPr>
              <w:t>PC</w:t>
            </w:r>
            <w:r>
              <w:rPr>
                <w:rFonts w:hint="eastAsia"/>
                <w:szCs w:val="21"/>
              </w:rPr>
              <w:t>构件运输、安装设备满足施工要求；</w:t>
            </w:r>
          </w:p>
          <w:p>
            <w:pPr>
              <w:spacing w:line="400" w:lineRule="exact"/>
              <w:rPr>
                <w:szCs w:val="21"/>
              </w:rPr>
            </w:pPr>
            <w:r>
              <w:rPr>
                <w:szCs w:val="21"/>
              </w:rPr>
              <w:t>2.</w:t>
            </w:r>
            <w:r>
              <w:rPr>
                <w:rFonts w:hint="eastAsia"/>
                <w:szCs w:val="21"/>
              </w:rPr>
              <w:t>劳动力：投入计划与进度计划呼应，较好满足施工需要，调配投入计划合理、准确；</w:t>
            </w:r>
          </w:p>
          <w:p>
            <w:pPr>
              <w:spacing w:line="400" w:lineRule="exact"/>
              <w:rPr>
                <w:rFonts w:ascii="宋体" w:hAnsi="宋体" w:cs="宋体"/>
                <w:szCs w:val="21"/>
                <w:lang w:val="zh-CN" w:bidi="zh-CN"/>
              </w:rPr>
            </w:pPr>
            <w:r>
              <w:rPr>
                <w:szCs w:val="21"/>
              </w:rPr>
              <w:t>3.</w:t>
            </w:r>
            <w:r>
              <w:rPr>
                <w:rFonts w:hint="eastAsia"/>
                <w:szCs w:val="21"/>
              </w:rPr>
              <w:t>主要物资计划：主要物资（含</w:t>
            </w:r>
            <w:r>
              <w:rPr>
                <w:szCs w:val="21"/>
              </w:rPr>
              <w:t>PC</w:t>
            </w:r>
            <w:r>
              <w:rPr>
                <w:rFonts w:hint="eastAsia"/>
                <w:szCs w:val="21"/>
              </w:rPr>
              <w:t>构件的供应需求）投入计划与进度计划呼应，较好满足施工需要，调配投入计划合理、准确。</w:t>
            </w:r>
          </w:p>
        </w:tc>
        <w:tc>
          <w:tcPr>
            <w:tcW w:w="1019" w:type="dxa"/>
            <w:vAlign w:val="center"/>
          </w:tcPr>
          <w:p>
            <w:pPr>
              <w:spacing w:line="400" w:lineRule="exact"/>
              <w:jc w:val="center"/>
              <w:rPr>
                <w:rFonts w:ascii="宋体" w:hAnsi="宋体" w:cs="宋体"/>
                <w:szCs w:val="21"/>
                <w:lang w:val="zh-CN" w:bidi="zh-CN"/>
              </w:rPr>
            </w:pPr>
            <w:r>
              <w:rPr>
                <w:szCs w:val="21"/>
              </w:rPr>
              <w:t>1</w:t>
            </w:r>
            <w:r>
              <w:rPr>
                <w:rFonts w:hint="eastAsia"/>
                <w:szCs w:val="21"/>
              </w:rPr>
              <w:t>＜得分</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continue"/>
          </w:tcPr>
          <w:p>
            <w:pPr>
              <w:spacing w:line="360" w:lineRule="auto"/>
              <w:ind w:firstLine="420" w:firstLineChars="200"/>
              <w:rPr>
                <w:rFonts w:ascii="宋体" w:hAnsi="宋体" w:cs="宋体"/>
                <w:szCs w:val="21"/>
                <w:lang w:val="zh-CN" w:bidi="zh-CN"/>
              </w:rPr>
            </w:pPr>
          </w:p>
        </w:tc>
        <w:tc>
          <w:tcPr>
            <w:tcW w:w="1073" w:type="dxa"/>
            <w:gridSpan w:val="2"/>
            <w:vMerge w:val="continue"/>
          </w:tcPr>
          <w:p>
            <w:pPr>
              <w:spacing w:line="360" w:lineRule="auto"/>
              <w:ind w:firstLine="420" w:firstLineChars="200"/>
              <w:rPr>
                <w:rFonts w:ascii="宋体" w:hAnsi="宋体" w:cs="宋体"/>
                <w:szCs w:val="21"/>
                <w:lang w:val="zh-CN" w:bidi="zh-CN"/>
              </w:rPr>
            </w:pPr>
          </w:p>
        </w:tc>
        <w:tc>
          <w:tcPr>
            <w:tcW w:w="4733" w:type="dxa"/>
            <w:gridSpan w:val="3"/>
            <w:vAlign w:val="center"/>
          </w:tcPr>
          <w:p>
            <w:pPr>
              <w:spacing w:line="400" w:lineRule="exact"/>
              <w:rPr>
                <w:szCs w:val="21"/>
              </w:rPr>
            </w:pPr>
            <w:r>
              <w:rPr>
                <w:szCs w:val="21"/>
              </w:rPr>
              <w:t>1.</w:t>
            </w:r>
            <w:r>
              <w:rPr>
                <w:rFonts w:hint="eastAsia"/>
                <w:szCs w:val="21"/>
              </w:rPr>
              <w:t>机械：投入计划与进度计划呼应，机械设备配置基本合理，满足安全技术规范和施工进度需要；</w:t>
            </w:r>
          </w:p>
          <w:p>
            <w:pPr>
              <w:spacing w:line="400" w:lineRule="exact"/>
              <w:rPr>
                <w:szCs w:val="21"/>
              </w:rPr>
            </w:pPr>
            <w:r>
              <w:rPr>
                <w:szCs w:val="21"/>
              </w:rPr>
              <w:t>2.</w:t>
            </w:r>
            <w:r>
              <w:rPr>
                <w:rFonts w:hint="eastAsia"/>
                <w:szCs w:val="21"/>
              </w:rPr>
              <w:t>劳动力：投入计划与进度计划呼应，基本满足施工需要，调配投入计划基本合理；</w:t>
            </w:r>
          </w:p>
          <w:p>
            <w:pPr>
              <w:spacing w:line="400" w:lineRule="exact"/>
              <w:rPr>
                <w:rFonts w:ascii="宋体" w:hAnsi="宋体" w:cs="宋体"/>
                <w:szCs w:val="21"/>
                <w:lang w:val="zh-CN" w:bidi="zh-CN"/>
              </w:rPr>
            </w:pPr>
            <w:r>
              <w:rPr>
                <w:spacing w:val="-4"/>
                <w:szCs w:val="21"/>
              </w:rPr>
              <w:t>3.</w:t>
            </w:r>
            <w:r>
              <w:rPr>
                <w:rFonts w:hint="eastAsia"/>
                <w:spacing w:val="-4"/>
                <w:szCs w:val="21"/>
              </w:rPr>
              <w:t>主要物资计划：主要物资（含</w:t>
            </w:r>
            <w:r>
              <w:rPr>
                <w:spacing w:val="-4"/>
                <w:szCs w:val="21"/>
              </w:rPr>
              <w:t>PC</w:t>
            </w:r>
            <w:r>
              <w:rPr>
                <w:rFonts w:hint="eastAsia"/>
                <w:spacing w:val="-4"/>
                <w:szCs w:val="21"/>
              </w:rPr>
              <w:t>构件的供应需求）投入计划与进度计划呼应，基本满足施工需要，调配投入计划基本合理。</w:t>
            </w:r>
          </w:p>
        </w:tc>
        <w:tc>
          <w:tcPr>
            <w:tcW w:w="1019" w:type="dxa"/>
            <w:vAlign w:val="center"/>
          </w:tcPr>
          <w:p>
            <w:pPr>
              <w:spacing w:line="400" w:lineRule="exact"/>
              <w:jc w:val="center"/>
              <w:rPr>
                <w:rFonts w:ascii="宋体" w:hAnsi="宋体" w:cs="宋体"/>
                <w:szCs w:val="21"/>
                <w:lang w:val="zh-CN" w:bidi="zh-CN"/>
              </w:rPr>
            </w:pPr>
            <w:r>
              <w:rPr>
                <w:szCs w:val="21"/>
              </w:rPr>
              <w:t>0.5≤</w:t>
            </w:r>
            <w:r>
              <w:rPr>
                <w:rFonts w:hint="eastAsia"/>
                <w:szCs w:val="21"/>
              </w:rPr>
              <w:t>得分</w:t>
            </w: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restart"/>
            <w:vAlign w:val="center"/>
          </w:tcPr>
          <w:p>
            <w:pPr>
              <w:spacing w:line="400" w:lineRule="exact"/>
              <w:jc w:val="left"/>
              <w:rPr>
                <w:rFonts w:ascii="宋体" w:hAnsi="宋体" w:cs="宋体"/>
                <w:szCs w:val="21"/>
                <w:lang w:val="zh-CN" w:bidi="zh-CN"/>
              </w:rPr>
            </w:pPr>
            <w:r>
              <w:rPr>
                <w:rFonts w:hint="eastAsia"/>
                <w:szCs w:val="21"/>
              </w:rPr>
              <w:t>施工进度表与网络计划图</w:t>
            </w:r>
          </w:p>
        </w:tc>
        <w:tc>
          <w:tcPr>
            <w:tcW w:w="1073" w:type="dxa"/>
            <w:gridSpan w:val="2"/>
            <w:vMerge w:val="restart"/>
            <w:vAlign w:val="center"/>
          </w:tcPr>
          <w:p>
            <w:pPr>
              <w:spacing w:line="400" w:lineRule="exact"/>
              <w:jc w:val="center"/>
              <w:rPr>
                <w:rFonts w:ascii="宋体" w:hAnsi="宋体" w:cs="宋体"/>
                <w:szCs w:val="21"/>
                <w:lang w:val="zh-CN" w:bidi="zh-CN"/>
              </w:rPr>
            </w:pPr>
            <w:r>
              <w:rPr>
                <w:szCs w:val="21"/>
              </w:rPr>
              <w:t>0.5-2</w:t>
            </w:r>
            <w:r>
              <w:rPr>
                <w:rFonts w:hint="eastAsia"/>
                <w:szCs w:val="21"/>
              </w:rPr>
              <w:t>分</w:t>
            </w:r>
          </w:p>
        </w:tc>
        <w:tc>
          <w:tcPr>
            <w:tcW w:w="4733" w:type="dxa"/>
            <w:gridSpan w:val="3"/>
            <w:vAlign w:val="center"/>
          </w:tcPr>
          <w:p>
            <w:pPr>
              <w:spacing w:line="400" w:lineRule="exact"/>
              <w:rPr>
                <w:rFonts w:ascii="宋体" w:hAnsi="宋体" w:cs="宋体"/>
                <w:szCs w:val="21"/>
                <w:lang w:val="zh-CN" w:bidi="zh-CN"/>
              </w:rPr>
            </w:pPr>
            <w:r>
              <w:rPr>
                <w:rFonts w:hint="eastAsia"/>
                <w:szCs w:val="21"/>
              </w:rPr>
              <w:t>关键线路清晰、准确、完整、计划编制合理、可行、满足招标文件对工期的要求。</w:t>
            </w:r>
          </w:p>
        </w:tc>
        <w:tc>
          <w:tcPr>
            <w:tcW w:w="1019" w:type="dxa"/>
            <w:vAlign w:val="center"/>
          </w:tcPr>
          <w:p>
            <w:pPr>
              <w:spacing w:line="400" w:lineRule="exact"/>
              <w:jc w:val="center"/>
              <w:rPr>
                <w:rFonts w:ascii="宋体" w:hAnsi="宋体" w:cs="宋体"/>
                <w:szCs w:val="21"/>
                <w:lang w:val="zh-CN" w:bidi="zh-CN"/>
              </w:rPr>
            </w:pPr>
            <w:r>
              <w:rPr>
                <w:szCs w:val="21"/>
              </w:rPr>
              <w:t>1</w:t>
            </w:r>
            <w:r>
              <w:rPr>
                <w:rFonts w:hint="eastAsia"/>
                <w:szCs w:val="21"/>
              </w:rPr>
              <w:t>＜得分</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continue"/>
          </w:tcPr>
          <w:p>
            <w:pPr>
              <w:spacing w:line="360" w:lineRule="auto"/>
              <w:ind w:firstLine="420" w:firstLineChars="200"/>
              <w:rPr>
                <w:rFonts w:ascii="宋体" w:hAnsi="宋体" w:cs="宋体"/>
                <w:szCs w:val="21"/>
                <w:lang w:val="zh-CN" w:bidi="zh-CN"/>
              </w:rPr>
            </w:pPr>
          </w:p>
        </w:tc>
        <w:tc>
          <w:tcPr>
            <w:tcW w:w="1073" w:type="dxa"/>
            <w:gridSpan w:val="2"/>
            <w:vMerge w:val="continue"/>
          </w:tcPr>
          <w:p>
            <w:pPr>
              <w:spacing w:line="360" w:lineRule="auto"/>
              <w:ind w:firstLine="420" w:firstLineChars="200"/>
              <w:rPr>
                <w:rFonts w:ascii="宋体" w:hAnsi="宋体" w:cs="宋体"/>
                <w:szCs w:val="21"/>
                <w:lang w:val="zh-CN" w:bidi="zh-CN"/>
              </w:rPr>
            </w:pPr>
          </w:p>
        </w:tc>
        <w:tc>
          <w:tcPr>
            <w:tcW w:w="4733" w:type="dxa"/>
            <w:gridSpan w:val="3"/>
            <w:vAlign w:val="center"/>
          </w:tcPr>
          <w:p>
            <w:pPr>
              <w:spacing w:line="400" w:lineRule="exact"/>
              <w:rPr>
                <w:rFonts w:ascii="宋体" w:hAnsi="宋体" w:cs="宋体"/>
                <w:szCs w:val="21"/>
                <w:lang w:val="zh-CN" w:bidi="zh-CN"/>
              </w:rPr>
            </w:pPr>
            <w:r>
              <w:rPr>
                <w:rFonts w:hint="eastAsia"/>
                <w:szCs w:val="21"/>
              </w:rPr>
              <w:t>关键线路基本准确，计划编制基本可行。</w:t>
            </w:r>
          </w:p>
        </w:tc>
        <w:tc>
          <w:tcPr>
            <w:tcW w:w="1019" w:type="dxa"/>
            <w:vAlign w:val="center"/>
          </w:tcPr>
          <w:p>
            <w:pPr>
              <w:spacing w:line="400" w:lineRule="exact"/>
              <w:jc w:val="center"/>
              <w:rPr>
                <w:rFonts w:ascii="宋体" w:hAnsi="宋体" w:cs="宋体"/>
                <w:szCs w:val="21"/>
                <w:lang w:val="zh-CN" w:bidi="zh-CN"/>
              </w:rPr>
            </w:pPr>
            <w:r>
              <w:rPr>
                <w:szCs w:val="21"/>
              </w:rPr>
              <w:t>0.5≤</w:t>
            </w:r>
            <w:r>
              <w:rPr>
                <w:rFonts w:hint="eastAsia"/>
                <w:szCs w:val="21"/>
              </w:rPr>
              <w:t>得分</w:t>
            </w: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restart"/>
            <w:vAlign w:val="center"/>
          </w:tcPr>
          <w:p>
            <w:pPr>
              <w:spacing w:line="400" w:lineRule="exact"/>
              <w:jc w:val="left"/>
              <w:rPr>
                <w:rFonts w:ascii="宋体" w:hAnsi="宋体" w:cs="宋体"/>
                <w:szCs w:val="21"/>
                <w:lang w:val="zh-CN" w:bidi="zh-CN"/>
              </w:rPr>
            </w:pPr>
            <w:r>
              <w:rPr>
                <w:rFonts w:hint="eastAsia"/>
                <w:szCs w:val="21"/>
              </w:rPr>
              <w:t>施工总平面图布置</w:t>
            </w:r>
          </w:p>
        </w:tc>
        <w:tc>
          <w:tcPr>
            <w:tcW w:w="1073" w:type="dxa"/>
            <w:gridSpan w:val="2"/>
            <w:vMerge w:val="restart"/>
            <w:vAlign w:val="center"/>
          </w:tcPr>
          <w:p>
            <w:pPr>
              <w:spacing w:line="400" w:lineRule="exact"/>
              <w:jc w:val="center"/>
              <w:rPr>
                <w:rFonts w:ascii="宋体" w:hAnsi="宋体" w:cs="宋体"/>
                <w:szCs w:val="21"/>
                <w:lang w:val="zh-CN" w:bidi="zh-CN"/>
              </w:rPr>
            </w:pPr>
            <w:r>
              <w:rPr>
                <w:szCs w:val="21"/>
              </w:rPr>
              <w:t>0.5-1</w:t>
            </w:r>
            <w:r>
              <w:rPr>
                <w:rFonts w:hint="eastAsia"/>
                <w:szCs w:val="21"/>
              </w:rPr>
              <w:t>分</w:t>
            </w:r>
          </w:p>
        </w:tc>
        <w:tc>
          <w:tcPr>
            <w:tcW w:w="4733" w:type="dxa"/>
            <w:gridSpan w:val="3"/>
            <w:vAlign w:val="center"/>
          </w:tcPr>
          <w:p>
            <w:pPr>
              <w:spacing w:line="400" w:lineRule="exact"/>
              <w:rPr>
                <w:rFonts w:ascii="宋体" w:hAnsi="宋体" w:cs="宋体"/>
                <w:szCs w:val="21"/>
                <w:lang w:val="zh-CN" w:bidi="zh-CN"/>
              </w:rPr>
            </w:pPr>
            <w:r>
              <w:rPr>
                <w:rFonts w:hint="eastAsia"/>
                <w:szCs w:val="21"/>
              </w:rPr>
              <w:t>总体布置有针对性、合理、能较好满足施工需要，符合安全、文明施工要求；材料堆放有序。</w:t>
            </w:r>
          </w:p>
        </w:tc>
        <w:tc>
          <w:tcPr>
            <w:tcW w:w="1019" w:type="dxa"/>
            <w:vAlign w:val="center"/>
          </w:tcPr>
          <w:p>
            <w:pPr>
              <w:spacing w:line="400" w:lineRule="exact"/>
              <w:jc w:val="center"/>
              <w:rPr>
                <w:rFonts w:ascii="宋体" w:hAnsi="宋体" w:cs="宋体"/>
                <w:szCs w:val="21"/>
                <w:lang w:val="zh-CN" w:bidi="zh-CN"/>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continue"/>
          </w:tcPr>
          <w:p>
            <w:pPr>
              <w:spacing w:line="360" w:lineRule="auto"/>
              <w:ind w:firstLine="420" w:firstLineChars="200"/>
              <w:rPr>
                <w:rFonts w:ascii="宋体" w:hAnsi="宋体" w:cs="宋体"/>
                <w:szCs w:val="21"/>
                <w:lang w:val="zh-CN" w:bidi="zh-CN"/>
              </w:rPr>
            </w:pPr>
          </w:p>
        </w:tc>
        <w:tc>
          <w:tcPr>
            <w:tcW w:w="1073" w:type="dxa"/>
            <w:gridSpan w:val="2"/>
            <w:vMerge w:val="continue"/>
          </w:tcPr>
          <w:p>
            <w:pPr>
              <w:spacing w:line="360" w:lineRule="auto"/>
              <w:ind w:firstLine="420" w:firstLineChars="200"/>
              <w:rPr>
                <w:rFonts w:ascii="宋体" w:hAnsi="宋体" w:cs="宋体"/>
                <w:szCs w:val="21"/>
                <w:lang w:val="zh-CN" w:bidi="zh-CN"/>
              </w:rPr>
            </w:pPr>
          </w:p>
        </w:tc>
        <w:tc>
          <w:tcPr>
            <w:tcW w:w="4733" w:type="dxa"/>
            <w:gridSpan w:val="3"/>
            <w:vAlign w:val="center"/>
          </w:tcPr>
          <w:p>
            <w:pPr>
              <w:spacing w:line="400" w:lineRule="exact"/>
              <w:rPr>
                <w:rFonts w:ascii="宋体" w:hAnsi="宋体" w:cs="宋体"/>
                <w:szCs w:val="21"/>
                <w:lang w:val="zh-CN" w:bidi="zh-CN"/>
              </w:rPr>
            </w:pPr>
            <w:r>
              <w:rPr>
                <w:rFonts w:hint="eastAsia"/>
                <w:szCs w:val="21"/>
              </w:rPr>
              <w:t>总体布置基本合理、基本满足施工需要。</w:t>
            </w:r>
          </w:p>
        </w:tc>
        <w:tc>
          <w:tcPr>
            <w:tcW w:w="1019" w:type="dxa"/>
            <w:vAlign w:val="center"/>
          </w:tcPr>
          <w:p>
            <w:pPr>
              <w:spacing w:line="400" w:lineRule="exact"/>
              <w:jc w:val="center"/>
              <w:rPr>
                <w:rFonts w:ascii="宋体" w:hAnsi="宋体" w:cs="宋体"/>
                <w:szCs w:val="21"/>
                <w:lang w:val="zh-CN" w:bidi="zh-CN"/>
              </w:rPr>
            </w:pPr>
            <w:r>
              <w:rPr>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restart"/>
            <w:vAlign w:val="center"/>
          </w:tcPr>
          <w:p>
            <w:pPr>
              <w:spacing w:line="400" w:lineRule="exact"/>
              <w:jc w:val="left"/>
              <w:rPr>
                <w:rFonts w:ascii="宋体" w:hAnsi="宋体" w:cs="宋体"/>
                <w:szCs w:val="21"/>
                <w:lang w:val="zh-CN" w:bidi="zh-CN"/>
              </w:rPr>
            </w:pPr>
            <w:r>
              <w:rPr>
                <w:rFonts w:hint="eastAsia"/>
                <w:szCs w:val="21"/>
              </w:rPr>
              <w:t>技术创新的应用实施措施</w:t>
            </w:r>
          </w:p>
        </w:tc>
        <w:tc>
          <w:tcPr>
            <w:tcW w:w="1073" w:type="dxa"/>
            <w:gridSpan w:val="2"/>
            <w:vMerge w:val="restart"/>
            <w:vAlign w:val="center"/>
          </w:tcPr>
          <w:p>
            <w:pPr>
              <w:spacing w:line="400" w:lineRule="exact"/>
              <w:jc w:val="center"/>
              <w:rPr>
                <w:rFonts w:ascii="宋体" w:hAnsi="宋体" w:cs="宋体"/>
                <w:szCs w:val="21"/>
                <w:lang w:val="zh-CN" w:bidi="zh-CN"/>
              </w:rPr>
            </w:pPr>
            <w:r>
              <w:rPr>
                <w:szCs w:val="21"/>
              </w:rPr>
              <w:t>1-2</w:t>
            </w:r>
            <w:r>
              <w:rPr>
                <w:rFonts w:hint="eastAsia"/>
                <w:szCs w:val="21"/>
              </w:rPr>
              <w:t>分</w:t>
            </w:r>
          </w:p>
        </w:tc>
        <w:tc>
          <w:tcPr>
            <w:tcW w:w="4733" w:type="dxa"/>
            <w:gridSpan w:val="3"/>
            <w:vAlign w:val="center"/>
          </w:tcPr>
          <w:p>
            <w:pPr>
              <w:spacing w:line="400" w:lineRule="exact"/>
              <w:rPr>
                <w:rFonts w:ascii="宋体" w:hAnsi="宋体" w:cs="宋体"/>
                <w:szCs w:val="21"/>
                <w:lang w:val="zh-CN" w:bidi="zh-CN"/>
              </w:rPr>
            </w:pPr>
            <w:r>
              <w:rPr>
                <w:rFonts w:hint="eastAsia"/>
                <w:szCs w:val="21"/>
              </w:rPr>
              <w:t>（</w:t>
            </w:r>
            <w:r>
              <w:rPr>
                <w:szCs w:val="21"/>
              </w:rPr>
              <w:t>1</w:t>
            </w:r>
            <w:r>
              <w:rPr>
                <w:rFonts w:hint="eastAsia"/>
                <w:szCs w:val="21"/>
              </w:rPr>
              <w:t>）节能减排、（</w:t>
            </w:r>
            <w:r>
              <w:rPr>
                <w:szCs w:val="21"/>
              </w:rPr>
              <w:t>2</w:t>
            </w:r>
            <w:r>
              <w:rPr>
                <w:rFonts w:hint="eastAsia"/>
                <w:szCs w:val="21"/>
              </w:rPr>
              <w:t>）绿色施工、（</w:t>
            </w:r>
            <w:r>
              <w:rPr>
                <w:szCs w:val="21"/>
              </w:rPr>
              <w:t>3</w:t>
            </w:r>
            <w:r>
              <w:rPr>
                <w:rFonts w:hint="eastAsia"/>
                <w:szCs w:val="21"/>
              </w:rPr>
              <w:t>）工艺创新、（</w:t>
            </w:r>
            <w:r>
              <w:rPr>
                <w:szCs w:val="21"/>
              </w:rPr>
              <w:t>4</w:t>
            </w:r>
            <w:r>
              <w:rPr>
                <w:rFonts w:hint="eastAsia"/>
                <w:szCs w:val="21"/>
              </w:rPr>
              <w:t>）装配式建筑等技术创新的应用实施措施符合工程情况，具有针对性、可行性、经济适用性。</w:t>
            </w:r>
          </w:p>
        </w:tc>
        <w:tc>
          <w:tcPr>
            <w:tcW w:w="1019" w:type="dxa"/>
            <w:vAlign w:val="center"/>
          </w:tcPr>
          <w:p>
            <w:pPr>
              <w:spacing w:line="400" w:lineRule="exact"/>
              <w:jc w:val="center"/>
              <w:rPr>
                <w:rFonts w:ascii="宋体" w:hAnsi="宋体" w:cs="宋体"/>
                <w:szCs w:val="21"/>
                <w:lang w:val="zh-CN" w:bidi="zh-CN"/>
              </w:rPr>
            </w:pPr>
            <w:r>
              <w:rPr>
                <w:szCs w:val="21"/>
              </w:rPr>
              <w:t>1.5</w:t>
            </w:r>
            <w:r>
              <w:rPr>
                <w:rFonts w:hint="eastAsia"/>
                <w:szCs w:val="21"/>
              </w:rPr>
              <w:t>＜得分</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continue"/>
          </w:tcPr>
          <w:p>
            <w:pPr>
              <w:spacing w:line="360" w:lineRule="auto"/>
              <w:ind w:firstLine="420" w:firstLineChars="200"/>
              <w:rPr>
                <w:rFonts w:ascii="宋体" w:hAnsi="宋体" w:cs="宋体"/>
                <w:szCs w:val="21"/>
                <w:lang w:val="zh-CN" w:bidi="zh-CN"/>
              </w:rPr>
            </w:pPr>
          </w:p>
        </w:tc>
        <w:tc>
          <w:tcPr>
            <w:tcW w:w="1073" w:type="dxa"/>
            <w:gridSpan w:val="2"/>
            <w:vMerge w:val="continue"/>
          </w:tcPr>
          <w:p>
            <w:pPr>
              <w:spacing w:line="360" w:lineRule="auto"/>
              <w:ind w:firstLine="420" w:firstLineChars="200"/>
              <w:rPr>
                <w:rFonts w:ascii="宋体" w:hAnsi="宋体" w:cs="宋体"/>
                <w:szCs w:val="21"/>
                <w:lang w:val="zh-CN" w:bidi="zh-CN"/>
              </w:rPr>
            </w:pPr>
          </w:p>
        </w:tc>
        <w:tc>
          <w:tcPr>
            <w:tcW w:w="4733" w:type="dxa"/>
            <w:gridSpan w:val="3"/>
            <w:vAlign w:val="center"/>
          </w:tcPr>
          <w:p>
            <w:pPr>
              <w:spacing w:line="400" w:lineRule="exact"/>
              <w:rPr>
                <w:rFonts w:ascii="宋体" w:hAnsi="宋体" w:cs="宋体"/>
                <w:szCs w:val="21"/>
                <w:lang w:val="zh-CN" w:bidi="zh-CN"/>
              </w:rPr>
            </w:pPr>
            <w:r>
              <w:rPr>
                <w:rFonts w:hint="eastAsia"/>
                <w:spacing w:val="-8"/>
                <w:szCs w:val="21"/>
              </w:rPr>
              <w:t>（</w:t>
            </w:r>
            <w:r>
              <w:rPr>
                <w:spacing w:val="-8"/>
                <w:szCs w:val="21"/>
              </w:rPr>
              <w:t>1</w:t>
            </w:r>
            <w:r>
              <w:rPr>
                <w:rFonts w:hint="eastAsia"/>
                <w:spacing w:val="-8"/>
                <w:szCs w:val="21"/>
              </w:rPr>
              <w:t>）节能减排、（</w:t>
            </w:r>
            <w:r>
              <w:rPr>
                <w:spacing w:val="-8"/>
                <w:szCs w:val="21"/>
              </w:rPr>
              <w:t>2</w:t>
            </w:r>
            <w:r>
              <w:rPr>
                <w:rFonts w:hint="eastAsia"/>
                <w:spacing w:val="-8"/>
                <w:szCs w:val="21"/>
              </w:rPr>
              <w:t>）绿色施工、（</w:t>
            </w:r>
            <w:r>
              <w:rPr>
                <w:spacing w:val="-8"/>
                <w:szCs w:val="21"/>
              </w:rPr>
              <w:t>3</w:t>
            </w:r>
            <w:r>
              <w:rPr>
                <w:rFonts w:hint="eastAsia"/>
                <w:spacing w:val="-8"/>
                <w:szCs w:val="21"/>
              </w:rPr>
              <w:t>）工艺创新、（</w:t>
            </w:r>
            <w:r>
              <w:rPr>
                <w:spacing w:val="-8"/>
                <w:szCs w:val="21"/>
              </w:rPr>
              <w:t>4</w:t>
            </w:r>
            <w:r>
              <w:rPr>
                <w:rFonts w:hint="eastAsia"/>
                <w:spacing w:val="-8"/>
                <w:szCs w:val="21"/>
              </w:rPr>
              <w:t>）装配式建筑等技术创新的应用实施措施基本符合工程情况，具有针</w:t>
            </w:r>
            <w:r>
              <w:rPr>
                <w:rFonts w:hint="eastAsia"/>
                <w:szCs w:val="21"/>
              </w:rPr>
              <w:t>对性。</w:t>
            </w:r>
          </w:p>
        </w:tc>
        <w:tc>
          <w:tcPr>
            <w:tcW w:w="1019" w:type="dxa"/>
            <w:vAlign w:val="center"/>
          </w:tcPr>
          <w:p>
            <w:pPr>
              <w:spacing w:line="400" w:lineRule="exact"/>
              <w:jc w:val="center"/>
              <w:rPr>
                <w:rFonts w:ascii="宋体" w:hAnsi="宋体" w:cs="宋体"/>
                <w:szCs w:val="21"/>
                <w:lang w:val="zh-CN" w:bidi="zh-CN"/>
              </w:rPr>
            </w:pPr>
            <w:r>
              <w:rPr>
                <w:szCs w:val="21"/>
              </w:rPr>
              <w:t>1≤</w:t>
            </w:r>
            <w:r>
              <w:rPr>
                <w:rFonts w:hint="eastAsia"/>
                <w:szCs w:val="21"/>
              </w:rPr>
              <w:t>得分</w:t>
            </w: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restart"/>
            <w:vAlign w:val="center"/>
          </w:tcPr>
          <w:p>
            <w:pPr>
              <w:spacing w:line="400" w:lineRule="exact"/>
              <w:jc w:val="center"/>
              <w:rPr>
                <w:rFonts w:ascii="宋体" w:hAnsi="宋体" w:cs="宋体"/>
                <w:szCs w:val="21"/>
                <w:lang w:val="zh-CN" w:bidi="zh-CN"/>
              </w:rPr>
            </w:pPr>
            <w:r>
              <w:rPr>
                <w:rFonts w:hint="eastAsia"/>
                <w:szCs w:val="21"/>
              </w:rPr>
              <w:t>采用新工艺、新技术、新设备、新材料、</w:t>
            </w:r>
            <w:r>
              <w:rPr>
                <w:szCs w:val="21"/>
              </w:rPr>
              <w:t>BIM</w:t>
            </w:r>
            <w:r>
              <w:rPr>
                <w:rFonts w:hint="eastAsia"/>
                <w:szCs w:val="21"/>
              </w:rPr>
              <w:t>等的程度</w:t>
            </w:r>
          </w:p>
        </w:tc>
        <w:tc>
          <w:tcPr>
            <w:tcW w:w="1073" w:type="dxa"/>
            <w:gridSpan w:val="2"/>
            <w:vMerge w:val="restart"/>
            <w:vAlign w:val="center"/>
          </w:tcPr>
          <w:p>
            <w:pPr>
              <w:spacing w:line="400" w:lineRule="exact"/>
              <w:jc w:val="center"/>
              <w:rPr>
                <w:rFonts w:ascii="宋体" w:hAnsi="宋体" w:cs="宋体"/>
                <w:szCs w:val="21"/>
                <w:lang w:val="zh-CN" w:bidi="zh-CN"/>
              </w:rPr>
            </w:pPr>
            <w:r>
              <w:rPr>
                <w:szCs w:val="21"/>
              </w:rPr>
              <w:t>1-2</w:t>
            </w:r>
            <w:r>
              <w:rPr>
                <w:rFonts w:hint="eastAsia"/>
                <w:szCs w:val="21"/>
              </w:rPr>
              <w:t>分</w:t>
            </w:r>
          </w:p>
        </w:tc>
        <w:tc>
          <w:tcPr>
            <w:tcW w:w="4733" w:type="dxa"/>
            <w:gridSpan w:val="3"/>
            <w:vAlign w:val="center"/>
          </w:tcPr>
          <w:p>
            <w:pPr>
              <w:spacing w:line="400" w:lineRule="exact"/>
              <w:rPr>
                <w:rFonts w:ascii="宋体" w:hAnsi="宋体" w:cs="宋体"/>
                <w:szCs w:val="21"/>
                <w:lang w:val="zh-CN" w:bidi="zh-CN"/>
              </w:rPr>
            </w:pPr>
            <w:r>
              <w:rPr>
                <w:rFonts w:hint="eastAsia"/>
                <w:szCs w:val="21"/>
              </w:rPr>
              <w:t>采用新工艺、新技术、新设备、新材料、</w:t>
            </w:r>
            <w:r>
              <w:rPr>
                <w:szCs w:val="21"/>
              </w:rPr>
              <w:t>BIM</w:t>
            </w:r>
            <w:r>
              <w:rPr>
                <w:rFonts w:hint="eastAsia"/>
                <w:szCs w:val="21"/>
              </w:rPr>
              <w:t>等的程度满足设计要求，符合施工需要和相应技术标准等规定，经济适用。</w:t>
            </w:r>
          </w:p>
        </w:tc>
        <w:tc>
          <w:tcPr>
            <w:tcW w:w="1019" w:type="dxa"/>
            <w:vAlign w:val="center"/>
          </w:tcPr>
          <w:p>
            <w:pPr>
              <w:spacing w:line="400" w:lineRule="exact"/>
              <w:jc w:val="center"/>
              <w:rPr>
                <w:rFonts w:ascii="宋体" w:hAnsi="宋体" w:cs="宋体"/>
                <w:szCs w:val="21"/>
                <w:lang w:val="zh-CN" w:bidi="zh-CN"/>
              </w:rPr>
            </w:pPr>
            <w:r>
              <w:rPr>
                <w:szCs w:val="21"/>
              </w:rPr>
              <w:t>1.5≤</w:t>
            </w:r>
            <w:r>
              <w:rPr>
                <w:rFonts w:hint="eastAsia"/>
                <w:szCs w:val="21"/>
              </w:rPr>
              <w:t>得分</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continue"/>
          </w:tcPr>
          <w:p>
            <w:pPr>
              <w:spacing w:line="360" w:lineRule="auto"/>
              <w:ind w:firstLine="420" w:firstLineChars="200"/>
              <w:rPr>
                <w:rFonts w:ascii="宋体" w:hAnsi="宋体" w:cs="宋体"/>
                <w:szCs w:val="21"/>
                <w:lang w:val="zh-CN" w:bidi="zh-CN"/>
              </w:rPr>
            </w:pPr>
          </w:p>
        </w:tc>
        <w:tc>
          <w:tcPr>
            <w:tcW w:w="1073" w:type="dxa"/>
            <w:gridSpan w:val="2"/>
            <w:vMerge w:val="continue"/>
          </w:tcPr>
          <w:p>
            <w:pPr>
              <w:spacing w:line="360" w:lineRule="auto"/>
              <w:ind w:firstLine="420" w:firstLineChars="200"/>
              <w:rPr>
                <w:rFonts w:ascii="宋体" w:hAnsi="宋体" w:cs="宋体"/>
                <w:szCs w:val="21"/>
                <w:lang w:val="zh-CN" w:bidi="zh-CN"/>
              </w:rPr>
            </w:pPr>
          </w:p>
        </w:tc>
        <w:tc>
          <w:tcPr>
            <w:tcW w:w="4733" w:type="dxa"/>
            <w:gridSpan w:val="3"/>
            <w:vAlign w:val="center"/>
          </w:tcPr>
          <w:p>
            <w:pPr>
              <w:spacing w:line="400" w:lineRule="exact"/>
              <w:rPr>
                <w:rFonts w:ascii="宋体" w:hAnsi="宋体" w:cs="宋体"/>
                <w:szCs w:val="21"/>
                <w:lang w:val="zh-CN" w:bidi="zh-CN"/>
              </w:rPr>
            </w:pPr>
            <w:r>
              <w:rPr>
                <w:rFonts w:hint="eastAsia"/>
                <w:szCs w:val="21"/>
              </w:rPr>
              <w:t>采用新工艺、新技术、新设备、新材料、</w:t>
            </w:r>
            <w:r>
              <w:rPr>
                <w:szCs w:val="21"/>
              </w:rPr>
              <w:t>BIM</w:t>
            </w:r>
            <w:r>
              <w:rPr>
                <w:rFonts w:hint="eastAsia"/>
                <w:szCs w:val="21"/>
              </w:rPr>
              <w:t>等的程度满足设计要求，</w:t>
            </w:r>
            <w:r>
              <w:rPr>
                <w:szCs w:val="21"/>
              </w:rPr>
              <w:t xml:space="preserve"> </w:t>
            </w:r>
            <w:r>
              <w:rPr>
                <w:rFonts w:hint="eastAsia"/>
                <w:szCs w:val="21"/>
              </w:rPr>
              <w:t>基本符合施工要求和相应技术标准等规定。</w:t>
            </w:r>
          </w:p>
        </w:tc>
        <w:tc>
          <w:tcPr>
            <w:tcW w:w="1019" w:type="dxa"/>
            <w:vAlign w:val="center"/>
          </w:tcPr>
          <w:p>
            <w:pPr>
              <w:spacing w:line="400" w:lineRule="exact"/>
              <w:jc w:val="center"/>
              <w:rPr>
                <w:rFonts w:ascii="宋体" w:hAnsi="宋体" w:cs="宋体"/>
                <w:szCs w:val="21"/>
                <w:lang w:val="zh-CN" w:bidi="zh-CN"/>
              </w:rPr>
            </w:pPr>
            <w:r>
              <w:rPr>
                <w:szCs w:val="21"/>
              </w:rPr>
              <w:t>1</w:t>
            </w:r>
            <w:r>
              <w:rPr>
                <w:rFonts w:hint="eastAsia"/>
                <w:szCs w:val="21"/>
              </w:rPr>
              <w:t>＜得分</w:t>
            </w: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restart"/>
            <w:vAlign w:val="center"/>
          </w:tcPr>
          <w:p>
            <w:pPr>
              <w:spacing w:line="400" w:lineRule="exact"/>
              <w:jc w:val="center"/>
              <w:rPr>
                <w:rFonts w:ascii="宋体" w:hAnsi="宋体" w:cs="宋体"/>
                <w:szCs w:val="21"/>
                <w:lang w:val="zh-CN" w:bidi="zh-CN"/>
              </w:rPr>
            </w:pPr>
            <w:r>
              <w:rPr>
                <w:rFonts w:hint="eastAsia"/>
                <w:szCs w:val="21"/>
              </w:rPr>
              <w:t>施工现场实施信息化监控和数据处理</w:t>
            </w:r>
          </w:p>
        </w:tc>
        <w:tc>
          <w:tcPr>
            <w:tcW w:w="1073" w:type="dxa"/>
            <w:gridSpan w:val="2"/>
            <w:vMerge w:val="restart"/>
            <w:vAlign w:val="center"/>
          </w:tcPr>
          <w:p>
            <w:pPr>
              <w:spacing w:line="400" w:lineRule="exact"/>
              <w:jc w:val="center"/>
              <w:rPr>
                <w:rFonts w:ascii="宋体" w:hAnsi="宋体" w:cs="宋体"/>
                <w:szCs w:val="21"/>
                <w:lang w:val="zh-CN" w:bidi="zh-CN"/>
              </w:rPr>
            </w:pPr>
            <w:r>
              <w:rPr>
                <w:szCs w:val="21"/>
              </w:rPr>
              <w:t>0.5-1.5</w:t>
            </w:r>
            <w:r>
              <w:rPr>
                <w:rFonts w:hint="eastAsia"/>
                <w:szCs w:val="21"/>
              </w:rPr>
              <w:t>分</w:t>
            </w:r>
          </w:p>
        </w:tc>
        <w:tc>
          <w:tcPr>
            <w:tcW w:w="4733" w:type="dxa"/>
            <w:gridSpan w:val="3"/>
            <w:vAlign w:val="center"/>
          </w:tcPr>
          <w:p>
            <w:pPr>
              <w:spacing w:line="400" w:lineRule="exact"/>
              <w:rPr>
                <w:szCs w:val="21"/>
              </w:rPr>
            </w:pPr>
            <w:r>
              <w:rPr>
                <w:rFonts w:hint="eastAsia"/>
                <w:szCs w:val="21"/>
              </w:rPr>
              <w:t>施工现场实施信息化监控和数据处理系统布置合理，满足需要。</w:t>
            </w:r>
          </w:p>
        </w:tc>
        <w:tc>
          <w:tcPr>
            <w:tcW w:w="1019" w:type="dxa"/>
            <w:vAlign w:val="center"/>
          </w:tcPr>
          <w:p>
            <w:pPr>
              <w:spacing w:line="400" w:lineRule="exact"/>
              <w:jc w:val="center"/>
              <w:rPr>
                <w:szCs w:val="21"/>
              </w:rPr>
            </w:pPr>
            <w:r>
              <w:rPr>
                <w:szCs w:val="21"/>
              </w:rPr>
              <w:t>1≤</w:t>
            </w:r>
            <w:r>
              <w:rPr>
                <w:rFonts w:hint="eastAsia"/>
                <w:szCs w:val="21"/>
              </w:rPr>
              <w:t>得分</w:t>
            </w: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continue"/>
          </w:tcPr>
          <w:p>
            <w:pPr>
              <w:spacing w:line="360" w:lineRule="auto"/>
              <w:ind w:firstLine="420" w:firstLineChars="200"/>
              <w:rPr>
                <w:rFonts w:ascii="宋体" w:hAnsi="宋体" w:cs="宋体"/>
                <w:szCs w:val="21"/>
                <w:lang w:val="zh-CN" w:bidi="zh-CN"/>
              </w:rPr>
            </w:pPr>
          </w:p>
        </w:tc>
        <w:tc>
          <w:tcPr>
            <w:tcW w:w="1073" w:type="dxa"/>
            <w:gridSpan w:val="2"/>
            <w:vMerge w:val="continue"/>
          </w:tcPr>
          <w:p>
            <w:pPr>
              <w:spacing w:line="360" w:lineRule="auto"/>
              <w:ind w:firstLine="420" w:firstLineChars="200"/>
              <w:rPr>
                <w:rFonts w:ascii="宋体" w:hAnsi="宋体" w:cs="宋体"/>
                <w:szCs w:val="21"/>
                <w:lang w:val="zh-CN" w:bidi="zh-CN"/>
              </w:rPr>
            </w:pPr>
          </w:p>
        </w:tc>
        <w:tc>
          <w:tcPr>
            <w:tcW w:w="4733" w:type="dxa"/>
            <w:gridSpan w:val="3"/>
            <w:vAlign w:val="center"/>
          </w:tcPr>
          <w:p>
            <w:pPr>
              <w:spacing w:line="400" w:lineRule="exact"/>
              <w:rPr>
                <w:szCs w:val="21"/>
              </w:rPr>
            </w:pPr>
            <w:r>
              <w:rPr>
                <w:rFonts w:hint="eastAsia"/>
                <w:szCs w:val="21"/>
              </w:rPr>
              <w:t>施工现场实施信息化监控和数据处理系统布置基本符合需要。</w:t>
            </w:r>
          </w:p>
        </w:tc>
        <w:tc>
          <w:tcPr>
            <w:tcW w:w="1019" w:type="dxa"/>
            <w:vAlign w:val="center"/>
          </w:tcPr>
          <w:p>
            <w:pPr>
              <w:spacing w:line="400" w:lineRule="exact"/>
              <w:jc w:val="center"/>
              <w:rPr>
                <w:szCs w:val="21"/>
              </w:rPr>
            </w:pPr>
            <w:r>
              <w:rPr>
                <w:szCs w:val="21"/>
              </w:rPr>
              <w:t>0.5</w:t>
            </w:r>
            <w:r>
              <w:rPr>
                <w:rFonts w:hint="eastAsia"/>
                <w:szCs w:val="21"/>
              </w:rPr>
              <w:t>＜得分</w:t>
            </w:r>
            <w:r>
              <w:rPr>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restart"/>
            <w:vAlign w:val="center"/>
          </w:tcPr>
          <w:p>
            <w:pPr>
              <w:spacing w:line="400" w:lineRule="exact"/>
              <w:jc w:val="center"/>
              <w:rPr>
                <w:rFonts w:ascii="宋体" w:hAnsi="宋体" w:cs="宋体"/>
                <w:szCs w:val="21"/>
                <w:lang w:val="zh-CN" w:bidi="zh-CN"/>
              </w:rPr>
            </w:pPr>
            <w:r>
              <w:rPr>
                <w:rFonts w:hint="eastAsia"/>
                <w:szCs w:val="21"/>
              </w:rPr>
              <w:t>风险管理措施</w:t>
            </w:r>
          </w:p>
        </w:tc>
        <w:tc>
          <w:tcPr>
            <w:tcW w:w="1073" w:type="dxa"/>
            <w:gridSpan w:val="2"/>
            <w:vMerge w:val="restart"/>
            <w:vAlign w:val="center"/>
          </w:tcPr>
          <w:p>
            <w:pPr>
              <w:spacing w:line="400" w:lineRule="exact"/>
              <w:jc w:val="center"/>
              <w:rPr>
                <w:rFonts w:ascii="宋体" w:hAnsi="宋体" w:cs="宋体"/>
                <w:szCs w:val="21"/>
                <w:lang w:val="zh-CN" w:bidi="zh-CN"/>
              </w:rPr>
            </w:pPr>
            <w:r>
              <w:rPr>
                <w:szCs w:val="21"/>
              </w:rPr>
              <w:t>1-2</w:t>
            </w:r>
            <w:r>
              <w:rPr>
                <w:rFonts w:hint="eastAsia"/>
                <w:szCs w:val="21"/>
              </w:rPr>
              <w:t>分</w:t>
            </w:r>
          </w:p>
        </w:tc>
        <w:tc>
          <w:tcPr>
            <w:tcW w:w="4733" w:type="dxa"/>
            <w:gridSpan w:val="3"/>
            <w:vAlign w:val="center"/>
          </w:tcPr>
          <w:p>
            <w:pPr>
              <w:spacing w:line="400" w:lineRule="exact"/>
              <w:rPr>
                <w:szCs w:val="21"/>
              </w:rPr>
            </w:pPr>
            <w:r>
              <w:rPr>
                <w:rFonts w:hint="eastAsia"/>
                <w:szCs w:val="21"/>
              </w:rPr>
              <w:t>风险防控管理措施齐全，风险预控符合规范要求，风险控制要点定位准确，各阶段风险控制及应急措施得力。</w:t>
            </w:r>
          </w:p>
        </w:tc>
        <w:tc>
          <w:tcPr>
            <w:tcW w:w="1019" w:type="dxa"/>
            <w:vAlign w:val="center"/>
          </w:tcPr>
          <w:p>
            <w:pPr>
              <w:spacing w:line="400" w:lineRule="exact"/>
              <w:jc w:val="center"/>
              <w:rPr>
                <w:szCs w:val="21"/>
              </w:rPr>
            </w:pPr>
            <w:r>
              <w:rPr>
                <w:szCs w:val="21"/>
              </w:rPr>
              <w:t>1.5</w:t>
            </w:r>
            <w:r>
              <w:rPr>
                <w:rFonts w:hint="eastAsia"/>
                <w:szCs w:val="21"/>
              </w:rPr>
              <w:t>＜得分</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168" w:type="dxa"/>
            <w:vMerge w:val="continue"/>
          </w:tcPr>
          <w:p>
            <w:pPr>
              <w:spacing w:line="360" w:lineRule="auto"/>
              <w:ind w:firstLine="420" w:firstLineChars="200"/>
              <w:rPr>
                <w:rFonts w:ascii="宋体" w:hAnsi="宋体" w:cs="宋体"/>
                <w:szCs w:val="21"/>
                <w:lang w:val="zh-CN" w:bidi="zh-CN"/>
              </w:rPr>
            </w:pPr>
          </w:p>
        </w:tc>
        <w:tc>
          <w:tcPr>
            <w:tcW w:w="1073" w:type="dxa"/>
            <w:gridSpan w:val="2"/>
            <w:vMerge w:val="continue"/>
          </w:tcPr>
          <w:p>
            <w:pPr>
              <w:spacing w:line="360" w:lineRule="auto"/>
              <w:ind w:firstLine="420" w:firstLineChars="200"/>
              <w:rPr>
                <w:rFonts w:ascii="宋体" w:hAnsi="宋体" w:cs="宋体"/>
                <w:szCs w:val="21"/>
                <w:lang w:val="zh-CN" w:bidi="zh-CN"/>
              </w:rPr>
            </w:pPr>
          </w:p>
        </w:tc>
        <w:tc>
          <w:tcPr>
            <w:tcW w:w="4733" w:type="dxa"/>
            <w:gridSpan w:val="3"/>
            <w:vAlign w:val="center"/>
          </w:tcPr>
          <w:p>
            <w:pPr>
              <w:spacing w:line="400" w:lineRule="exact"/>
              <w:rPr>
                <w:szCs w:val="21"/>
              </w:rPr>
            </w:pPr>
            <w:r>
              <w:rPr>
                <w:rFonts w:hint="eastAsia"/>
                <w:szCs w:val="21"/>
              </w:rPr>
              <w:t>风险防控管理措施基本齐全，风险预控符合规范要求，风险控制要点定位基本准确，有各阶段风险控制及应急措施。</w:t>
            </w:r>
          </w:p>
        </w:tc>
        <w:tc>
          <w:tcPr>
            <w:tcW w:w="1019" w:type="dxa"/>
            <w:vAlign w:val="center"/>
          </w:tcPr>
          <w:p>
            <w:pPr>
              <w:spacing w:line="400" w:lineRule="exact"/>
              <w:jc w:val="center"/>
              <w:rPr>
                <w:szCs w:val="21"/>
              </w:rPr>
            </w:pPr>
            <w:r>
              <w:rPr>
                <w:szCs w:val="21"/>
              </w:rPr>
              <w:t>1≤</w:t>
            </w:r>
            <w:r>
              <w:rPr>
                <w:rFonts w:hint="eastAsia"/>
                <w:szCs w:val="21"/>
              </w:rPr>
              <w:t>得分</w:t>
            </w: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7993" w:type="dxa"/>
            <w:gridSpan w:val="7"/>
          </w:tcPr>
          <w:p>
            <w:pPr>
              <w:spacing w:line="400" w:lineRule="exact"/>
              <w:jc w:val="left"/>
              <w:rPr>
                <w:szCs w:val="21"/>
              </w:rPr>
            </w:pPr>
            <w:r>
              <w:rPr>
                <w:rFonts w:hint="eastAsia"/>
                <w:szCs w:val="21"/>
              </w:rPr>
              <w:t>说明：既简明扼要，又抓住主要特征，能切实指导现场施工。各评委可结合本工程实际，根据其科学、合理、可行性程度（要有针对性、不能简单地照抄照搬规范），每项可在给定分值间给分，缺项时计为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9" w:hRule="atLeast"/>
          <w:jc w:val="center"/>
        </w:trPr>
        <w:tc>
          <w:tcPr>
            <w:tcW w:w="1080" w:type="dxa"/>
            <w:vMerge w:val="restart"/>
          </w:tcPr>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rPr>
                <w:rFonts w:ascii="宋体" w:hAnsi="宋体" w:cs="宋体"/>
                <w:szCs w:val="21"/>
                <w:lang w:val="zh-CN" w:bidi="zh-CN"/>
              </w:rPr>
            </w:pPr>
            <w:r>
              <w:rPr>
                <w:rFonts w:hint="eastAsia" w:ascii="宋体" w:hAnsi="宋体" w:cs="宋体"/>
                <w:szCs w:val="21"/>
                <w:lang w:val="zh-CN" w:bidi="zh-CN"/>
              </w:rPr>
              <w:t>4(</w:t>
            </w:r>
            <w:r>
              <w:rPr>
                <w:rFonts w:hint="eastAsia" w:ascii="宋体" w:hAnsi="宋体" w:cs="宋体"/>
                <w:szCs w:val="21"/>
                <w:lang w:bidi="zh-CN"/>
              </w:rPr>
              <w:t>2</w:t>
            </w:r>
            <w:r>
              <w:rPr>
                <w:rFonts w:hint="eastAsia" w:ascii="宋体" w:hAnsi="宋体" w:cs="宋体"/>
                <w:szCs w:val="21"/>
                <w:lang w:val="zh-CN" w:bidi="zh-CN"/>
              </w:rPr>
              <w:t>)</w:t>
            </w:r>
          </w:p>
        </w:tc>
        <w:tc>
          <w:tcPr>
            <w:tcW w:w="986" w:type="dxa"/>
            <w:vMerge w:val="restart"/>
          </w:tcPr>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jc w:val="center"/>
              <w:rPr>
                <w:rFonts w:ascii="宋体" w:hAnsi="宋体" w:cs="宋体"/>
                <w:szCs w:val="21"/>
                <w:lang w:val="zh-CN" w:bidi="zh-CN"/>
              </w:rPr>
            </w:pPr>
            <w:r>
              <w:rPr>
                <w:rFonts w:hint="eastAsia" w:ascii="宋体" w:hAnsi="宋体" w:cs="宋体"/>
                <w:szCs w:val="21"/>
                <w:lang w:val="zh-CN" w:bidi="zh-CN"/>
              </w:rPr>
              <w:t>商务标评分标准</w:t>
            </w:r>
          </w:p>
          <w:p>
            <w:pPr>
              <w:spacing w:line="360" w:lineRule="auto"/>
              <w:jc w:val="center"/>
              <w:rPr>
                <w:rFonts w:ascii="宋体" w:hAnsi="宋体" w:cs="宋体"/>
                <w:szCs w:val="21"/>
                <w:lang w:val="zh-CN" w:bidi="zh-CN"/>
              </w:rPr>
            </w:pPr>
            <w:r>
              <w:rPr>
                <w:rFonts w:hint="eastAsia" w:ascii="宋体" w:hAnsi="宋体" w:cs="宋体"/>
                <w:szCs w:val="21"/>
                <w:lang w:val="zh-CN" w:bidi="zh-CN"/>
              </w:rPr>
              <w:t>（</w:t>
            </w:r>
            <w:r>
              <w:rPr>
                <w:rFonts w:hint="eastAsia" w:ascii="宋体" w:hAnsi="宋体" w:cs="宋体"/>
                <w:szCs w:val="21"/>
                <w:lang w:bidi="zh-CN"/>
              </w:rPr>
              <w:t>50</w:t>
            </w:r>
            <w:r>
              <w:rPr>
                <w:rFonts w:hint="eastAsia" w:ascii="宋体" w:hAnsi="宋体" w:cs="宋体"/>
                <w:szCs w:val="21"/>
                <w:lang w:val="zh-CN" w:bidi="zh-CN"/>
              </w:rPr>
              <w:t xml:space="preserve"> 分）</w:t>
            </w:r>
          </w:p>
        </w:tc>
        <w:tc>
          <w:tcPr>
            <w:tcW w:w="2241" w:type="dxa"/>
            <w:gridSpan w:val="3"/>
          </w:tcPr>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jc w:val="center"/>
              <w:rPr>
                <w:rFonts w:ascii="宋体" w:hAnsi="宋体" w:cs="宋体"/>
                <w:szCs w:val="21"/>
                <w:lang w:val="zh-CN" w:bidi="zh-CN"/>
              </w:rPr>
            </w:pPr>
            <w:r>
              <w:rPr>
                <w:rFonts w:hint="eastAsia" w:ascii="宋体" w:hAnsi="宋体" w:cs="宋体"/>
                <w:szCs w:val="21"/>
                <w:lang w:val="zh-CN" w:bidi="zh-CN"/>
              </w:rPr>
              <w:t>投标报价</w:t>
            </w:r>
          </w:p>
          <w:p>
            <w:pPr>
              <w:spacing w:line="360" w:lineRule="auto"/>
              <w:jc w:val="center"/>
              <w:rPr>
                <w:rFonts w:ascii="宋体" w:hAnsi="宋体" w:cs="宋体"/>
                <w:szCs w:val="21"/>
                <w:lang w:val="zh-CN" w:bidi="zh-CN"/>
              </w:rPr>
            </w:pPr>
            <w:r>
              <w:rPr>
                <w:rFonts w:hint="eastAsia" w:ascii="宋体" w:hAnsi="宋体" w:cs="宋体"/>
                <w:szCs w:val="21"/>
                <w:lang w:val="zh-CN" w:bidi="zh-CN"/>
              </w:rPr>
              <w:t>（30分）</w:t>
            </w:r>
          </w:p>
        </w:tc>
        <w:tc>
          <w:tcPr>
            <w:tcW w:w="5752" w:type="dxa"/>
            <w:gridSpan w:val="4"/>
          </w:tcPr>
          <w:p>
            <w:pPr>
              <w:spacing w:line="360" w:lineRule="auto"/>
              <w:ind w:firstLine="420" w:firstLineChars="200"/>
              <w:rPr>
                <w:rFonts w:ascii="宋体" w:hAnsi="宋体" w:cs="宋体"/>
                <w:szCs w:val="21"/>
                <w:lang w:val="zh-CN" w:bidi="zh-CN"/>
              </w:rPr>
            </w:pPr>
            <w:r>
              <w:rPr>
                <w:szCs w:val="21"/>
                <w:lang w:val="zh-CN"/>
              </w:rPr>
              <w:t>①</w:t>
            </w:r>
            <w:r>
              <w:rPr>
                <w:rFonts w:hint="eastAsia" w:ascii="宋体" w:hAnsi="宋体" w:cs="宋体"/>
                <w:szCs w:val="21"/>
                <w:lang w:val="zh-CN" w:bidi="zh-CN"/>
              </w:rPr>
              <w:t>评标报价与评标基准价相等得基本分20分。</w:t>
            </w:r>
          </w:p>
          <w:p>
            <w:pPr>
              <w:spacing w:line="360" w:lineRule="auto"/>
              <w:ind w:firstLine="420" w:firstLineChars="200"/>
              <w:rPr>
                <w:rFonts w:ascii="宋体" w:hAnsi="宋体" w:cs="宋体"/>
                <w:szCs w:val="21"/>
                <w:lang w:val="zh-CN" w:bidi="zh-CN"/>
              </w:rPr>
            </w:pPr>
            <w:r>
              <w:rPr>
                <w:rFonts w:ascii="宋体" w:hAnsi="宋体" w:cs="宋体"/>
                <w:szCs w:val="21"/>
                <w:lang w:val="zh-CN" w:bidi="zh-CN"/>
              </w:rPr>
              <w:t>②</w:t>
            </w:r>
            <w:r>
              <w:rPr>
                <w:rFonts w:hint="eastAsia" w:ascii="宋体" w:hAnsi="宋体" w:cs="宋体"/>
                <w:szCs w:val="21"/>
                <w:lang w:val="zh-CN" w:bidi="zh-CN"/>
              </w:rPr>
              <w:t>当评标报价高于评标基准价时，每高1%在基本分20分的基础上扣2分，扣完为止。</w:t>
            </w:r>
          </w:p>
          <w:p>
            <w:pPr>
              <w:spacing w:line="360" w:lineRule="auto"/>
              <w:ind w:firstLine="420" w:firstLineChars="200"/>
              <w:rPr>
                <w:rFonts w:ascii="宋体" w:hAnsi="宋体" w:cs="宋体"/>
                <w:szCs w:val="21"/>
                <w:lang w:val="zh-CN" w:bidi="zh-CN"/>
              </w:rPr>
            </w:pPr>
            <w:r>
              <w:rPr>
                <w:rFonts w:ascii="宋体" w:hAnsi="宋体" w:cs="宋体"/>
                <w:szCs w:val="21"/>
                <w:lang w:val="zh-CN" w:bidi="zh-CN"/>
              </w:rPr>
              <w:t>③</w:t>
            </w:r>
            <w:r>
              <w:rPr>
                <w:rFonts w:hint="eastAsia" w:ascii="宋体" w:hAnsi="宋体" w:cs="宋体"/>
                <w:szCs w:val="21"/>
                <w:lang w:val="zh-CN" w:bidi="zh-CN"/>
              </w:rPr>
              <w:t>当评标报价低于评标基准价时，每低1%在基本分20分的基础上加2分，最多加10分。</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 xml:space="preserve">④当评标报价低于评标基准价5%以上（不含5%）时，每再低1%在满分30分的基础上扣3分，扣完为止。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2241" w:type="dxa"/>
            <w:gridSpan w:val="3"/>
          </w:tcPr>
          <w:p>
            <w:pPr>
              <w:spacing w:line="360" w:lineRule="auto"/>
              <w:ind w:firstLine="420" w:firstLineChars="200"/>
              <w:rPr>
                <w:rFonts w:ascii="宋体" w:hAnsi="宋体" w:cs="宋体"/>
                <w:szCs w:val="21"/>
                <w:lang w:val="zh-CN" w:bidi="zh-CN"/>
              </w:rPr>
            </w:pPr>
          </w:p>
          <w:p>
            <w:pPr>
              <w:spacing w:line="360" w:lineRule="auto"/>
              <w:ind w:firstLine="420" w:firstLineChars="200"/>
              <w:rPr>
                <w:rFonts w:ascii="宋体" w:hAnsi="宋体" w:cs="宋体"/>
                <w:szCs w:val="21"/>
                <w:lang w:val="zh-CN" w:bidi="zh-CN"/>
              </w:rPr>
            </w:pPr>
          </w:p>
          <w:p>
            <w:pPr>
              <w:spacing w:line="360" w:lineRule="auto"/>
              <w:jc w:val="center"/>
              <w:rPr>
                <w:rFonts w:ascii="宋体" w:hAnsi="宋体" w:cs="宋体"/>
                <w:szCs w:val="21"/>
                <w:lang w:val="zh-CN" w:bidi="zh-CN"/>
              </w:rPr>
            </w:pPr>
            <w:r>
              <w:rPr>
                <w:rFonts w:hint="eastAsia" w:ascii="宋体" w:hAnsi="宋体" w:cs="宋体"/>
                <w:szCs w:val="21"/>
                <w:lang w:val="zh-CN" w:bidi="zh-CN"/>
              </w:rPr>
              <w:t>分部分项工程量清单项目综合单价（10分）</w:t>
            </w:r>
          </w:p>
        </w:tc>
        <w:tc>
          <w:tcPr>
            <w:tcW w:w="5752" w:type="dxa"/>
            <w:gridSpan w:val="4"/>
          </w:tcPr>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从最高投标限价中分部分项工程项目权重最大的前10-30项清单项目中抽取15项，在剩余的分部分项工程项目清单项目中抽取5项。</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 xml:space="preserve">清单项目综合单价基准值以各有效投标报价的（当有效投标人个数≥5名及以上时，去掉1个最高、1个最低值）清单项目综合单价的算术平均值作为综合单价基准值。在综合单价基准值95%–103%范围内（不含95%和103%）每项得0.5分，在评标基准值90%–95%范围内（含90%和95%）每项得0.25分，满分共计10分。超出该范围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2241" w:type="dxa"/>
            <w:gridSpan w:val="3"/>
            <w:vAlign w:val="center"/>
          </w:tcPr>
          <w:p>
            <w:pPr>
              <w:pStyle w:val="17"/>
              <w:spacing w:line="276" w:lineRule="auto"/>
              <w:jc w:val="center"/>
              <w:rPr>
                <w:rFonts w:hAnsi="宋体"/>
                <w:color w:val="auto"/>
                <w:sz w:val="21"/>
                <w:szCs w:val="21"/>
                <w:lang w:val="zh-CN" w:bidi="zh-CN"/>
              </w:rPr>
            </w:pPr>
            <w:r>
              <w:rPr>
                <w:rFonts w:hint="eastAsia" w:hAnsi="宋体"/>
                <w:color w:val="auto"/>
                <w:sz w:val="21"/>
                <w:szCs w:val="21"/>
                <w:lang w:val="zh-CN" w:bidi="zh-CN"/>
              </w:rPr>
              <w:t>主要材料项目单价</w:t>
            </w:r>
          </w:p>
          <w:p>
            <w:pPr>
              <w:pStyle w:val="17"/>
              <w:spacing w:line="276" w:lineRule="auto"/>
              <w:jc w:val="center"/>
              <w:rPr>
                <w:rFonts w:hAnsi="宋体"/>
                <w:color w:val="auto"/>
                <w:sz w:val="21"/>
                <w:szCs w:val="21"/>
                <w:lang w:val="zh-CN" w:bidi="zh-CN"/>
              </w:rPr>
            </w:pPr>
            <w:r>
              <w:rPr>
                <w:rFonts w:hint="eastAsia" w:hAnsi="宋体"/>
                <w:color w:val="auto"/>
                <w:sz w:val="21"/>
                <w:szCs w:val="21"/>
                <w:lang w:val="zh-CN" w:bidi="zh-CN"/>
              </w:rPr>
              <w:t>（5分）</w:t>
            </w:r>
          </w:p>
        </w:tc>
        <w:tc>
          <w:tcPr>
            <w:tcW w:w="5752" w:type="dxa"/>
            <w:gridSpan w:val="4"/>
            <w:vAlign w:val="center"/>
          </w:tcPr>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从最高投标限价中材料总价权重最大的前10-20项材料中抽取6项，在剩余材料中抽取4项。</w:t>
            </w:r>
          </w:p>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主要材料单价基准值以各有效投标报价（当有效投标人个数≥5名及以上时，去掉1个最高、1个最低值）材料单价的算术平均值作为材料单价基准值。在材料单价基准值95%–103%范围内（不含95%和103%）每项得0.5分，在材料单价基准值90%–95%范围内（含90%和95%）每项得0.25分。超出该范围的不得分。材料单价与综合单价组成中价格不一致时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2241" w:type="dxa"/>
            <w:gridSpan w:val="3"/>
            <w:vAlign w:val="center"/>
          </w:tcPr>
          <w:p>
            <w:pPr>
              <w:spacing w:line="360" w:lineRule="auto"/>
              <w:jc w:val="center"/>
              <w:rPr>
                <w:rFonts w:ascii="宋体" w:hAnsi="宋体" w:cs="宋体"/>
                <w:szCs w:val="21"/>
                <w:lang w:val="zh-CN" w:bidi="zh-CN"/>
              </w:rPr>
            </w:pPr>
            <w:r>
              <w:rPr>
                <w:rFonts w:hint="eastAsia" w:ascii="宋体" w:hAnsi="宋体" w:cs="宋体"/>
                <w:szCs w:val="21"/>
                <w:lang w:val="zh-CN" w:bidi="zh-CN"/>
              </w:rPr>
              <w:t>措施项目费报价</w:t>
            </w:r>
          </w:p>
          <w:p>
            <w:pPr>
              <w:spacing w:line="360" w:lineRule="auto"/>
              <w:jc w:val="center"/>
              <w:rPr>
                <w:rFonts w:ascii="宋体" w:hAnsi="宋体" w:cs="宋体"/>
                <w:szCs w:val="21"/>
                <w:lang w:val="zh-CN" w:bidi="zh-CN"/>
              </w:rPr>
            </w:pPr>
            <w:r>
              <w:rPr>
                <w:rFonts w:hint="eastAsia" w:ascii="宋体" w:hAnsi="宋体" w:cs="宋体"/>
                <w:szCs w:val="21"/>
                <w:lang w:val="zh-CN" w:bidi="zh-CN"/>
              </w:rPr>
              <w:t>（不含安全文明施工费）</w:t>
            </w:r>
          </w:p>
          <w:p>
            <w:pPr>
              <w:spacing w:line="360" w:lineRule="auto"/>
              <w:jc w:val="center"/>
              <w:rPr>
                <w:rFonts w:hAnsi="宋体"/>
                <w:szCs w:val="21"/>
                <w:lang w:val="zh-CN" w:bidi="zh-CN"/>
              </w:rPr>
            </w:pPr>
            <w:r>
              <w:rPr>
                <w:rFonts w:hint="eastAsia" w:ascii="宋体" w:hAnsi="宋体" w:cs="宋体"/>
                <w:szCs w:val="21"/>
                <w:lang w:val="zh-CN" w:bidi="zh-CN"/>
              </w:rPr>
              <w:t>（5 分）</w:t>
            </w:r>
          </w:p>
        </w:tc>
        <w:tc>
          <w:tcPr>
            <w:tcW w:w="5752" w:type="dxa"/>
            <w:gridSpan w:val="4"/>
          </w:tcPr>
          <w:p>
            <w:pPr>
              <w:spacing w:line="360" w:lineRule="auto"/>
              <w:ind w:firstLine="420" w:firstLineChars="200"/>
              <w:rPr>
                <w:rFonts w:ascii="宋体" w:hAnsi="宋体" w:cs="宋体"/>
                <w:szCs w:val="21"/>
                <w:lang w:val="zh-CN" w:bidi="zh-CN"/>
              </w:rPr>
            </w:pPr>
            <w:r>
              <w:rPr>
                <w:rFonts w:hint="eastAsia" w:ascii="宋体" w:hAnsi="宋体" w:cs="宋体"/>
                <w:szCs w:val="21"/>
                <w:lang w:val="zh-CN" w:bidi="zh-CN"/>
              </w:rPr>
              <w:t>措施项目基准值是在最高投标限价中措施项目费用的80%-110%范围之间有效投标人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0059" w:type="dxa"/>
            <w:gridSpan w:val="9"/>
          </w:tcPr>
          <w:p>
            <w:pPr>
              <w:ind w:firstLine="420" w:firstLineChars="200"/>
              <w:rPr>
                <w:lang w:val="zh-CN"/>
              </w:rPr>
            </w:pPr>
            <w:r>
              <w:rPr>
                <w:rFonts w:hint="eastAsia"/>
                <w:lang w:val="zh-CN"/>
              </w:rPr>
              <w:t>针对上述分部分项工程项目清单单价、主要材料单价款项中部分分部分项工程项目数量较少、施工工艺简单、主材种类较少而不能满足最低抽项要求的，应将所有分部分项工程项目或主要材料项目纳入评审范围，该项分值未被纳入评审项目分配完时未分配项目按满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0" w:type="dxa"/>
            <w:vMerge w:val="restart"/>
            <w:vAlign w:val="center"/>
          </w:tcPr>
          <w:p>
            <w:pPr>
              <w:spacing w:line="360" w:lineRule="auto"/>
              <w:jc w:val="center"/>
              <w:rPr>
                <w:rFonts w:ascii="宋体" w:hAnsi="宋体" w:cs="宋体"/>
                <w:szCs w:val="21"/>
                <w:lang w:bidi="zh-CN"/>
              </w:rPr>
            </w:pPr>
            <w:r>
              <w:rPr>
                <w:rFonts w:hint="eastAsia" w:ascii="宋体" w:hAnsi="宋体" w:cs="宋体"/>
                <w:szCs w:val="21"/>
                <w:lang w:val="zh-CN" w:bidi="zh-CN"/>
              </w:rPr>
              <w:t>4（</w:t>
            </w:r>
            <w:r>
              <w:rPr>
                <w:rFonts w:hint="eastAsia" w:ascii="宋体" w:hAnsi="宋体" w:cs="宋体"/>
                <w:szCs w:val="21"/>
                <w:lang w:bidi="zh-CN"/>
              </w:rPr>
              <w:t>3）</w:t>
            </w:r>
          </w:p>
        </w:tc>
        <w:tc>
          <w:tcPr>
            <w:tcW w:w="986" w:type="dxa"/>
            <w:vMerge w:val="restart"/>
            <w:vAlign w:val="center"/>
          </w:tcPr>
          <w:p>
            <w:pPr>
              <w:pStyle w:val="17"/>
              <w:spacing w:line="276" w:lineRule="auto"/>
              <w:jc w:val="center"/>
              <w:rPr>
                <w:rFonts w:hAnsi="宋体"/>
                <w:color w:val="auto"/>
                <w:sz w:val="21"/>
                <w:szCs w:val="21"/>
                <w:lang w:val="zh-CN" w:bidi="zh-CN"/>
              </w:rPr>
            </w:pPr>
            <w:r>
              <w:rPr>
                <w:rFonts w:hint="eastAsia" w:hAnsi="宋体"/>
                <w:color w:val="auto"/>
                <w:sz w:val="21"/>
                <w:szCs w:val="21"/>
                <w:lang w:val="zh-CN" w:bidi="zh-CN"/>
              </w:rPr>
              <w:t>综合标评分标准</w:t>
            </w:r>
          </w:p>
          <w:p>
            <w:pPr>
              <w:pStyle w:val="17"/>
              <w:spacing w:line="276" w:lineRule="auto"/>
              <w:jc w:val="center"/>
              <w:rPr>
                <w:rFonts w:hAnsi="宋体"/>
                <w:color w:val="auto"/>
                <w:sz w:val="21"/>
                <w:szCs w:val="21"/>
                <w:lang w:val="zh-CN" w:bidi="zh-CN"/>
              </w:rPr>
            </w:pPr>
            <w:r>
              <w:rPr>
                <w:rFonts w:hint="eastAsia" w:hAnsi="宋体"/>
                <w:color w:val="auto"/>
                <w:sz w:val="21"/>
                <w:szCs w:val="21"/>
                <w:lang w:val="zh-CN" w:bidi="zh-CN"/>
              </w:rPr>
              <w:t>（2</w:t>
            </w:r>
            <w:r>
              <w:rPr>
                <w:rFonts w:hint="eastAsia" w:hAnsi="宋体"/>
                <w:color w:val="auto"/>
                <w:sz w:val="21"/>
                <w:szCs w:val="21"/>
                <w:lang w:bidi="zh-CN"/>
              </w:rPr>
              <w:t>5</w:t>
            </w:r>
            <w:r>
              <w:rPr>
                <w:rFonts w:hint="eastAsia" w:hAnsi="宋体"/>
                <w:color w:val="auto"/>
                <w:sz w:val="21"/>
                <w:szCs w:val="21"/>
                <w:lang w:val="zh-CN" w:bidi="zh-CN"/>
              </w:rPr>
              <w:t xml:space="preserve"> 分）</w:t>
            </w:r>
          </w:p>
        </w:tc>
        <w:tc>
          <w:tcPr>
            <w:tcW w:w="1688" w:type="dxa"/>
            <w:gridSpan w:val="2"/>
            <w:vAlign w:val="center"/>
          </w:tcPr>
          <w:p>
            <w:pPr>
              <w:pStyle w:val="17"/>
              <w:spacing w:line="276" w:lineRule="auto"/>
              <w:jc w:val="center"/>
              <w:rPr>
                <w:rFonts w:hAnsi="宋体"/>
                <w:color w:val="auto"/>
                <w:sz w:val="21"/>
                <w:szCs w:val="21"/>
                <w:lang w:val="zh-CN" w:bidi="zh-CN"/>
              </w:rPr>
            </w:pPr>
            <w:r>
              <w:rPr>
                <w:rFonts w:hint="eastAsia" w:hAnsi="宋体"/>
                <w:color w:val="auto"/>
                <w:sz w:val="21"/>
                <w:szCs w:val="21"/>
                <w:lang w:val="zh-CN" w:bidi="zh-CN"/>
              </w:rPr>
              <w:t>评审内容</w:t>
            </w:r>
          </w:p>
        </w:tc>
        <w:tc>
          <w:tcPr>
            <w:tcW w:w="4817" w:type="dxa"/>
            <w:gridSpan w:val="3"/>
            <w:vAlign w:val="center"/>
          </w:tcPr>
          <w:p>
            <w:pPr>
              <w:pStyle w:val="17"/>
              <w:spacing w:line="276" w:lineRule="auto"/>
              <w:jc w:val="center"/>
              <w:rPr>
                <w:rFonts w:hAnsi="宋体"/>
                <w:color w:val="auto"/>
                <w:sz w:val="21"/>
                <w:szCs w:val="21"/>
                <w:lang w:val="zh-CN" w:bidi="zh-CN"/>
              </w:rPr>
            </w:pPr>
            <w:r>
              <w:rPr>
                <w:rFonts w:hint="eastAsia" w:hAnsi="宋体"/>
                <w:color w:val="auto"/>
                <w:sz w:val="21"/>
                <w:szCs w:val="21"/>
                <w:lang w:val="zh-CN" w:bidi="zh-CN"/>
              </w:rPr>
              <w:t>评审标准</w:t>
            </w:r>
          </w:p>
        </w:tc>
        <w:tc>
          <w:tcPr>
            <w:tcW w:w="1488" w:type="dxa"/>
            <w:gridSpan w:val="2"/>
            <w:vAlign w:val="center"/>
          </w:tcPr>
          <w:p>
            <w:pPr>
              <w:pStyle w:val="17"/>
              <w:spacing w:line="276" w:lineRule="auto"/>
              <w:jc w:val="center"/>
              <w:rPr>
                <w:rFonts w:hAnsi="宋体"/>
                <w:color w:val="auto"/>
                <w:sz w:val="21"/>
                <w:szCs w:val="21"/>
                <w:lang w:val="zh-CN" w:bidi="zh-CN"/>
              </w:rPr>
            </w:pPr>
            <w:r>
              <w:rPr>
                <w:rFonts w:hint="eastAsia" w:hAnsi="宋体"/>
                <w:color w:val="auto"/>
                <w:sz w:val="21"/>
                <w:szCs w:val="21"/>
                <w:lang w:val="zh-CN" w:bidi="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1080" w:type="dxa"/>
            <w:vMerge w:val="continue"/>
            <w:vAlign w:val="center"/>
          </w:tcPr>
          <w:p>
            <w:pPr>
              <w:spacing w:line="360" w:lineRule="auto"/>
              <w:jc w:val="center"/>
              <w:rPr>
                <w:rFonts w:ascii="宋体" w:hAnsi="宋体" w:cs="宋体"/>
                <w:szCs w:val="21"/>
                <w:lang w:bidi="zh-CN"/>
              </w:rPr>
            </w:pPr>
          </w:p>
        </w:tc>
        <w:tc>
          <w:tcPr>
            <w:tcW w:w="986" w:type="dxa"/>
            <w:vMerge w:val="continue"/>
            <w:vAlign w:val="center"/>
          </w:tcPr>
          <w:p>
            <w:pPr>
              <w:pStyle w:val="17"/>
              <w:spacing w:line="276" w:lineRule="auto"/>
              <w:jc w:val="center"/>
              <w:rPr>
                <w:rFonts w:hAnsi="宋体"/>
                <w:color w:val="auto"/>
                <w:sz w:val="21"/>
                <w:szCs w:val="21"/>
                <w:lang w:val="zh-CN" w:bidi="zh-CN"/>
              </w:rPr>
            </w:pPr>
          </w:p>
        </w:tc>
        <w:tc>
          <w:tcPr>
            <w:tcW w:w="1688" w:type="dxa"/>
            <w:gridSpan w:val="2"/>
            <w:vAlign w:val="center"/>
          </w:tcPr>
          <w:p>
            <w:pPr>
              <w:pStyle w:val="17"/>
              <w:spacing w:line="276" w:lineRule="auto"/>
              <w:jc w:val="center"/>
              <w:rPr>
                <w:rFonts w:hAnsi="宋体"/>
                <w:color w:val="auto"/>
                <w:sz w:val="21"/>
                <w:szCs w:val="21"/>
                <w:lang w:val="zh-CN" w:bidi="zh-CN"/>
              </w:rPr>
            </w:pPr>
            <w:r>
              <w:rPr>
                <w:rFonts w:hint="eastAsia" w:hAnsi="宋体"/>
                <w:color w:val="auto"/>
                <w:sz w:val="21"/>
                <w:szCs w:val="21"/>
                <w:lang w:val="zh-CN" w:bidi="zh-CN"/>
              </w:rPr>
              <w:t>企业业绩</w:t>
            </w:r>
          </w:p>
        </w:tc>
        <w:tc>
          <w:tcPr>
            <w:tcW w:w="4817" w:type="dxa"/>
            <w:gridSpan w:val="3"/>
          </w:tcPr>
          <w:p>
            <w:pPr>
              <w:pStyle w:val="17"/>
              <w:spacing w:line="276" w:lineRule="auto"/>
              <w:rPr>
                <w:rFonts w:hAnsi="宋体"/>
                <w:color w:val="auto"/>
                <w:sz w:val="21"/>
                <w:szCs w:val="21"/>
                <w:lang w:val="zh-CN" w:bidi="zh-CN"/>
              </w:rPr>
            </w:pPr>
            <w:r>
              <w:rPr>
                <w:rFonts w:hint="eastAsia" w:hAnsi="宋体"/>
                <w:color w:val="auto"/>
                <w:sz w:val="21"/>
                <w:szCs w:val="21"/>
                <w:lang w:val="zh-CN" w:bidi="zh-CN"/>
              </w:rPr>
              <w:t>自201</w:t>
            </w:r>
            <w:r>
              <w:rPr>
                <w:rFonts w:hint="eastAsia" w:hAnsi="宋体"/>
                <w:color w:val="auto"/>
                <w:sz w:val="21"/>
                <w:szCs w:val="21"/>
                <w:lang w:bidi="zh-CN"/>
              </w:rPr>
              <w:t>7</w:t>
            </w:r>
            <w:r>
              <w:rPr>
                <w:rFonts w:hint="eastAsia" w:hAnsi="宋体"/>
                <w:color w:val="auto"/>
                <w:sz w:val="21"/>
                <w:szCs w:val="21"/>
                <w:lang w:val="zh-CN" w:bidi="zh-CN"/>
              </w:rPr>
              <w:t>年</w:t>
            </w:r>
            <w:r>
              <w:rPr>
                <w:rFonts w:hint="eastAsia" w:hAnsi="宋体"/>
                <w:color w:val="auto"/>
                <w:sz w:val="21"/>
                <w:szCs w:val="21"/>
                <w:lang w:val="en-US" w:bidi="zh-CN"/>
              </w:rPr>
              <w:t>3</w:t>
            </w:r>
            <w:r>
              <w:rPr>
                <w:rFonts w:hint="eastAsia" w:hAnsi="宋体"/>
                <w:color w:val="auto"/>
                <w:sz w:val="21"/>
                <w:szCs w:val="21"/>
                <w:lang w:val="zh-CN" w:bidi="zh-CN"/>
              </w:rPr>
              <w:t>月1日以来（以合同签订时间为准）企业具有不低于本项目投资额的类似业绩者每项得4分，本项最高得4分。（以施工合同为准）</w:t>
            </w:r>
          </w:p>
        </w:tc>
        <w:tc>
          <w:tcPr>
            <w:tcW w:w="1488" w:type="dxa"/>
            <w:gridSpan w:val="2"/>
            <w:vAlign w:val="center"/>
          </w:tcPr>
          <w:p>
            <w:pPr>
              <w:pStyle w:val="17"/>
              <w:spacing w:line="276" w:lineRule="auto"/>
              <w:jc w:val="center"/>
              <w:rPr>
                <w:rFonts w:hAnsi="宋体"/>
                <w:color w:val="auto"/>
                <w:sz w:val="21"/>
                <w:szCs w:val="21"/>
                <w:lang w:bidi="zh-CN"/>
              </w:rPr>
            </w:pPr>
            <w:r>
              <w:rPr>
                <w:rFonts w:hint="eastAsia" w:hAnsi="宋体"/>
                <w:color w:val="auto"/>
                <w:sz w:val="21"/>
                <w:szCs w:val="21"/>
                <w:lang w:val="zh-CN" w:bidi="zh-CN"/>
              </w:rPr>
              <w:t>0≤得分≤</w:t>
            </w:r>
            <w:r>
              <w:rPr>
                <w:rFonts w:hint="eastAsia" w:hAnsi="宋体"/>
                <w:color w:val="auto"/>
                <w:sz w:val="21"/>
                <w:szCs w:val="21"/>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1080" w:type="dxa"/>
            <w:vMerge w:val="continue"/>
            <w:vAlign w:val="center"/>
          </w:tcPr>
          <w:p>
            <w:pPr>
              <w:spacing w:line="360" w:lineRule="auto"/>
              <w:jc w:val="center"/>
              <w:rPr>
                <w:rFonts w:ascii="宋体" w:hAnsi="宋体" w:cs="宋体"/>
                <w:szCs w:val="21"/>
                <w:lang w:bidi="zh-CN"/>
              </w:rPr>
            </w:pPr>
          </w:p>
        </w:tc>
        <w:tc>
          <w:tcPr>
            <w:tcW w:w="986" w:type="dxa"/>
            <w:vMerge w:val="continue"/>
            <w:vAlign w:val="center"/>
          </w:tcPr>
          <w:p>
            <w:pPr>
              <w:spacing w:line="360" w:lineRule="auto"/>
              <w:jc w:val="center"/>
              <w:rPr>
                <w:rFonts w:ascii="宋体" w:hAnsi="宋体" w:cs="宋体"/>
                <w:szCs w:val="21"/>
                <w:lang w:val="zh-CN" w:bidi="zh-CN"/>
              </w:rPr>
            </w:pPr>
          </w:p>
        </w:tc>
        <w:tc>
          <w:tcPr>
            <w:tcW w:w="1688" w:type="dxa"/>
            <w:gridSpan w:val="2"/>
            <w:vAlign w:val="center"/>
          </w:tcPr>
          <w:p>
            <w:pPr>
              <w:pStyle w:val="17"/>
              <w:spacing w:line="276" w:lineRule="auto"/>
              <w:jc w:val="center"/>
              <w:rPr>
                <w:rFonts w:hAnsi="宋体"/>
                <w:color w:val="auto"/>
                <w:sz w:val="21"/>
                <w:szCs w:val="21"/>
                <w:lang w:val="zh-CN" w:bidi="zh-CN"/>
              </w:rPr>
            </w:pPr>
            <w:r>
              <w:rPr>
                <w:rFonts w:hint="eastAsia" w:hAnsi="宋体"/>
                <w:color w:val="auto"/>
                <w:sz w:val="21"/>
                <w:szCs w:val="21"/>
                <w:lang w:val="zh-CN" w:bidi="zh-CN"/>
              </w:rPr>
              <w:t>项目经理业绩</w:t>
            </w:r>
          </w:p>
        </w:tc>
        <w:tc>
          <w:tcPr>
            <w:tcW w:w="4817" w:type="dxa"/>
            <w:gridSpan w:val="3"/>
            <w:vAlign w:val="center"/>
          </w:tcPr>
          <w:p>
            <w:pPr>
              <w:pStyle w:val="17"/>
              <w:spacing w:line="276" w:lineRule="auto"/>
              <w:rPr>
                <w:rFonts w:hAnsi="宋体"/>
                <w:color w:val="auto"/>
                <w:sz w:val="21"/>
                <w:szCs w:val="21"/>
                <w:lang w:val="zh-CN" w:bidi="zh-CN"/>
              </w:rPr>
            </w:pPr>
            <w:r>
              <w:rPr>
                <w:rFonts w:hint="eastAsia" w:hAnsi="宋体"/>
                <w:color w:val="auto"/>
                <w:sz w:val="21"/>
                <w:szCs w:val="21"/>
                <w:lang w:val="zh-CN" w:bidi="zh-CN"/>
              </w:rPr>
              <w:t>自20</w:t>
            </w:r>
            <w:r>
              <w:rPr>
                <w:rFonts w:hint="eastAsia" w:hAnsi="宋体"/>
                <w:color w:val="auto"/>
                <w:sz w:val="21"/>
                <w:szCs w:val="21"/>
                <w:lang w:bidi="zh-CN"/>
              </w:rPr>
              <w:t>17</w:t>
            </w:r>
            <w:r>
              <w:rPr>
                <w:rFonts w:hint="eastAsia" w:hAnsi="宋体"/>
                <w:color w:val="auto"/>
                <w:sz w:val="21"/>
                <w:szCs w:val="21"/>
                <w:lang w:val="zh-CN" w:bidi="zh-CN"/>
              </w:rPr>
              <w:t>年</w:t>
            </w:r>
            <w:r>
              <w:rPr>
                <w:rFonts w:hint="eastAsia" w:hAnsi="宋体"/>
                <w:color w:val="auto"/>
                <w:sz w:val="21"/>
                <w:szCs w:val="21"/>
                <w:lang w:val="en-US" w:bidi="zh-CN"/>
              </w:rPr>
              <w:t>3</w:t>
            </w:r>
            <w:r>
              <w:rPr>
                <w:rFonts w:hint="eastAsia" w:hAnsi="宋体"/>
                <w:color w:val="auto"/>
                <w:sz w:val="21"/>
                <w:szCs w:val="21"/>
                <w:lang w:val="zh-CN" w:bidi="zh-CN"/>
              </w:rPr>
              <w:t>月1日以来（以合同签订时间为准）企业具有不低于本项目投资额的类似业绩者每项得6分，本项最高得6分。（以施工合同为准）</w:t>
            </w:r>
          </w:p>
        </w:tc>
        <w:tc>
          <w:tcPr>
            <w:tcW w:w="1488" w:type="dxa"/>
            <w:gridSpan w:val="2"/>
            <w:vAlign w:val="center"/>
          </w:tcPr>
          <w:p>
            <w:pPr>
              <w:pStyle w:val="17"/>
              <w:spacing w:line="276" w:lineRule="auto"/>
              <w:jc w:val="center"/>
              <w:rPr>
                <w:rFonts w:hAnsi="宋体"/>
                <w:color w:val="auto"/>
                <w:sz w:val="21"/>
                <w:szCs w:val="21"/>
                <w:lang w:bidi="zh-CN"/>
              </w:rPr>
            </w:pPr>
            <w:r>
              <w:rPr>
                <w:rFonts w:hint="eastAsia" w:hAnsi="宋体"/>
                <w:color w:val="auto"/>
                <w:sz w:val="21"/>
                <w:szCs w:val="21"/>
                <w:lang w:bidi="zh-CN"/>
              </w:rPr>
              <w:t>0</w:t>
            </w:r>
            <w:r>
              <w:rPr>
                <w:rFonts w:hint="eastAsia" w:hAnsi="宋体"/>
                <w:color w:val="auto"/>
                <w:sz w:val="21"/>
                <w:szCs w:val="21"/>
                <w:lang w:val="zh-CN" w:bidi="zh-CN"/>
              </w:rPr>
              <w:t>≤得分≤</w:t>
            </w:r>
            <w:r>
              <w:rPr>
                <w:rFonts w:hint="eastAsia" w:hAnsi="宋体"/>
                <w:color w:val="auto"/>
                <w:sz w:val="21"/>
                <w:szCs w:val="21"/>
                <w:lang w:bidi="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688" w:type="dxa"/>
            <w:gridSpan w:val="2"/>
            <w:vMerge w:val="restart"/>
            <w:vAlign w:val="center"/>
          </w:tcPr>
          <w:p>
            <w:pPr>
              <w:spacing w:line="360" w:lineRule="auto"/>
              <w:jc w:val="center"/>
              <w:rPr>
                <w:rFonts w:ascii="宋体" w:hAnsi="宋体" w:cs="宋体"/>
                <w:szCs w:val="21"/>
                <w:lang w:val="zh-CN" w:bidi="zh-CN"/>
              </w:rPr>
            </w:pPr>
            <w:r>
              <w:rPr>
                <w:rFonts w:hint="eastAsia" w:ascii="宋体" w:hAnsi="宋体" w:cs="宋体"/>
                <w:szCs w:val="21"/>
                <w:lang w:val="zh-CN" w:bidi="zh-CN"/>
              </w:rPr>
              <w:t>优惠承诺</w:t>
            </w:r>
          </w:p>
        </w:tc>
        <w:tc>
          <w:tcPr>
            <w:tcW w:w="4817" w:type="dxa"/>
            <w:gridSpan w:val="3"/>
            <w:vAlign w:val="center"/>
          </w:tcPr>
          <w:p>
            <w:pPr>
              <w:spacing w:line="360" w:lineRule="auto"/>
              <w:jc w:val="left"/>
              <w:rPr>
                <w:rFonts w:ascii="宋体" w:hAnsi="宋体" w:cs="宋体"/>
                <w:szCs w:val="21"/>
                <w:lang w:val="zh-CN" w:bidi="zh-CN"/>
              </w:rPr>
            </w:pPr>
            <w:r>
              <w:rPr>
                <w:rFonts w:hint="eastAsia" w:ascii="宋体" w:hAnsi="宋体" w:cs="宋体"/>
                <w:szCs w:val="21"/>
                <w:lang w:val="zh-CN" w:bidi="zh-CN"/>
              </w:rPr>
              <w:t>优惠承诺应是书面的符合工程实际情况，确保依法依规，优惠合理，详实可行。</w:t>
            </w:r>
          </w:p>
        </w:tc>
        <w:tc>
          <w:tcPr>
            <w:tcW w:w="1488" w:type="dxa"/>
            <w:gridSpan w:val="2"/>
            <w:vAlign w:val="center"/>
          </w:tcPr>
          <w:p>
            <w:pPr>
              <w:spacing w:line="360" w:lineRule="auto"/>
              <w:jc w:val="center"/>
              <w:rPr>
                <w:rFonts w:ascii="宋体" w:hAnsi="宋体" w:cs="宋体"/>
                <w:szCs w:val="21"/>
                <w:lang w:bidi="zh-CN"/>
              </w:rPr>
            </w:pPr>
            <w:r>
              <w:rPr>
                <w:rFonts w:hint="eastAsia" w:ascii="宋体" w:hAnsi="宋体" w:cs="宋体"/>
                <w:szCs w:val="21"/>
                <w:lang w:bidi="zh-CN"/>
              </w:rPr>
              <w:t>3</w:t>
            </w:r>
            <w:r>
              <w:rPr>
                <w:rFonts w:hint="eastAsia" w:ascii="宋体" w:hAnsi="宋体" w:cs="宋体"/>
                <w:szCs w:val="21"/>
                <w:lang w:val="zh-CN" w:bidi="zh-CN"/>
              </w:rPr>
              <w:t>＜得分≤</w:t>
            </w:r>
            <w:r>
              <w:rPr>
                <w:rFonts w:hint="eastAsia" w:ascii="宋体" w:hAnsi="宋体" w:cs="宋体"/>
                <w:szCs w:val="21"/>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688" w:type="dxa"/>
            <w:gridSpan w:val="2"/>
            <w:vMerge w:val="continue"/>
            <w:vAlign w:val="center"/>
          </w:tcPr>
          <w:p>
            <w:pPr>
              <w:spacing w:line="360" w:lineRule="auto"/>
              <w:jc w:val="center"/>
              <w:rPr>
                <w:rFonts w:ascii="宋体" w:hAnsi="宋体" w:cs="宋体"/>
                <w:szCs w:val="21"/>
                <w:lang w:val="zh-CN" w:bidi="zh-CN"/>
              </w:rPr>
            </w:pPr>
          </w:p>
        </w:tc>
        <w:tc>
          <w:tcPr>
            <w:tcW w:w="4817" w:type="dxa"/>
            <w:gridSpan w:val="3"/>
            <w:vAlign w:val="center"/>
          </w:tcPr>
          <w:p>
            <w:pPr>
              <w:spacing w:line="360" w:lineRule="auto"/>
              <w:jc w:val="left"/>
              <w:rPr>
                <w:rFonts w:ascii="宋体" w:hAnsi="宋体" w:cs="宋体"/>
                <w:szCs w:val="21"/>
                <w:lang w:val="zh-CN" w:bidi="zh-CN"/>
              </w:rPr>
            </w:pPr>
            <w:r>
              <w:rPr>
                <w:rFonts w:hint="eastAsia" w:ascii="宋体" w:hAnsi="宋体" w:cs="宋体"/>
                <w:szCs w:val="21"/>
                <w:lang w:val="zh-CN" w:bidi="zh-CN"/>
              </w:rPr>
              <w:t>优惠承诺符合工程实际情况，确保依法依规，优惠基本合理，基本详实可行。</w:t>
            </w:r>
          </w:p>
        </w:tc>
        <w:tc>
          <w:tcPr>
            <w:tcW w:w="1488" w:type="dxa"/>
            <w:gridSpan w:val="2"/>
            <w:vAlign w:val="center"/>
          </w:tcPr>
          <w:p>
            <w:pPr>
              <w:spacing w:line="360" w:lineRule="auto"/>
              <w:jc w:val="center"/>
              <w:rPr>
                <w:rFonts w:ascii="宋体" w:hAnsi="宋体" w:cs="宋体"/>
                <w:szCs w:val="21"/>
                <w:lang w:bidi="zh-CN"/>
              </w:rPr>
            </w:pPr>
            <w:r>
              <w:rPr>
                <w:rFonts w:hint="eastAsia" w:ascii="宋体" w:hAnsi="宋体" w:cs="宋体"/>
                <w:szCs w:val="21"/>
                <w:lang w:bidi="zh-CN"/>
              </w:rPr>
              <w:t>1</w:t>
            </w:r>
            <w:r>
              <w:rPr>
                <w:rFonts w:hint="eastAsia" w:ascii="宋体" w:hAnsi="宋体" w:cs="宋体"/>
                <w:szCs w:val="21"/>
                <w:lang w:val="zh-CN" w:bidi="zh-CN"/>
              </w:rPr>
              <w:t>≤得分≤</w:t>
            </w:r>
            <w:r>
              <w:rPr>
                <w:rFonts w:hint="eastAsia" w:ascii="宋体" w:hAnsi="宋体" w:cs="宋体"/>
                <w:szCs w:val="21"/>
                <w:lang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688" w:type="dxa"/>
            <w:gridSpan w:val="2"/>
            <w:vMerge w:val="restart"/>
            <w:vAlign w:val="center"/>
          </w:tcPr>
          <w:p>
            <w:pPr>
              <w:spacing w:line="360" w:lineRule="auto"/>
              <w:jc w:val="center"/>
              <w:rPr>
                <w:rFonts w:ascii="宋体" w:hAnsi="宋体" w:cs="宋体"/>
                <w:szCs w:val="21"/>
                <w:lang w:val="zh-CN" w:bidi="zh-CN"/>
              </w:rPr>
            </w:pPr>
            <w:r>
              <w:rPr>
                <w:rFonts w:hint="eastAsia" w:ascii="宋体" w:hAnsi="宋体" w:cs="宋体"/>
                <w:szCs w:val="21"/>
                <w:lang w:val="zh-CN" w:bidi="zh-CN"/>
              </w:rPr>
              <w:t>履职尽责承诺</w:t>
            </w:r>
          </w:p>
        </w:tc>
        <w:tc>
          <w:tcPr>
            <w:tcW w:w="4817" w:type="dxa"/>
            <w:gridSpan w:val="3"/>
            <w:vAlign w:val="center"/>
          </w:tcPr>
          <w:p>
            <w:pPr>
              <w:spacing w:line="360" w:lineRule="auto"/>
              <w:jc w:val="left"/>
              <w:rPr>
                <w:rFonts w:ascii="宋体" w:hAnsi="宋体" w:cs="宋体"/>
                <w:szCs w:val="21"/>
                <w:lang w:val="zh-CN" w:bidi="zh-CN"/>
              </w:rPr>
            </w:pPr>
            <w:r>
              <w:rPr>
                <w:rFonts w:hint="eastAsia" w:ascii="宋体" w:hAnsi="宋体" w:cs="宋体"/>
                <w:szCs w:val="21"/>
                <w:lang w:val="zh-CN" w:bidi="zh-CN"/>
              </w:rPr>
              <w:t>具有全面、详实、可行、合法有效的书面保证技术措施落实到位的承诺和落实不到位的处理承诺，其中包括各关键岗位人员（项目经理、技术负责人、施工员、质量（检）员、专职安全员、材料员、资料员）的在岗、更换等履职尽责承诺，提供承包商履约保证。</w:t>
            </w:r>
          </w:p>
        </w:tc>
        <w:tc>
          <w:tcPr>
            <w:tcW w:w="1488" w:type="dxa"/>
            <w:gridSpan w:val="2"/>
            <w:vAlign w:val="center"/>
          </w:tcPr>
          <w:p>
            <w:pPr>
              <w:spacing w:line="360" w:lineRule="auto"/>
              <w:jc w:val="center"/>
              <w:rPr>
                <w:rFonts w:ascii="宋体" w:hAnsi="宋体" w:cs="宋体"/>
                <w:szCs w:val="21"/>
                <w:lang w:bidi="zh-CN"/>
              </w:rPr>
            </w:pPr>
            <w:r>
              <w:rPr>
                <w:rFonts w:hint="eastAsia" w:ascii="宋体" w:hAnsi="宋体" w:cs="宋体"/>
                <w:szCs w:val="21"/>
                <w:lang w:bidi="zh-CN"/>
              </w:rPr>
              <w:t>2</w:t>
            </w:r>
            <w:r>
              <w:rPr>
                <w:rFonts w:hint="eastAsia" w:ascii="宋体" w:hAnsi="宋体" w:cs="宋体"/>
                <w:szCs w:val="21"/>
                <w:lang w:val="zh-CN" w:bidi="zh-CN"/>
              </w:rPr>
              <w:t>＜得分≤</w:t>
            </w:r>
            <w:r>
              <w:rPr>
                <w:rFonts w:hint="eastAsia" w:ascii="宋体" w:hAnsi="宋体" w:cs="宋体"/>
                <w:szCs w:val="21"/>
                <w:lang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7" w:hRule="atLeast"/>
          <w:jc w:val="center"/>
        </w:trPr>
        <w:tc>
          <w:tcPr>
            <w:tcW w:w="1080" w:type="dxa"/>
            <w:vMerge w:val="continue"/>
          </w:tcPr>
          <w:p>
            <w:pPr>
              <w:spacing w:line="360" w:lineRule="auto"/>
              <w:ind w:firstLine="420" w:firstLineChars="200"/>
              <w:rPr>
                <w:rFonts w:ascii="宋体" w:hAnsi="宋体" w:cs="宋体"/>
                <w:szCs w:val="21"/>
                <w:lang w:val="zh-CN" w:bidi="zh-CN"/>
              </w:rPr>
            </w:pPr>
          </w:p>
        </w:tc>
        <w:tc>
          <w:tcPr>
            <w:tcW w:w="986" w:type="dxa"/>
            <w:vMerge w:val="continue"/>
          </w:tcPr>
          <w:p>
            <w:pPr>
              <w:spacing w:line="360" w:lineRule="auto"/>
              <w:ind w:firstLine="420" w:firstLineChars="200"/>
              <w:rPr>
                <w:rFonts w:ascii="宋体" w:hAnsi="宋体" w:cs="宋体"/>
                <w:szCs w:val="21"/>
                <w:lang w:val="zh-CN" w:bidi="zh-CN"/>
              </w:rPr>
            </w:pPr>
          </w:p>
        </w:tc>
        <w:tc>
          <w:tcPr>
            <w:tcW w:w="1688" w:type="dxa"/>
            <w:gridSpan w:val="2"/>
            <w:vMerge w:val="continue"/>
            <w:vAlign w:val="center"/>
          </w:tcPr>
          <w:p>
            <w:pPr>
              <w:spacing w:line="360" w:lineRule="auto"/>
              <w:jc w:val="left"/>
              <w:rPr>
                <w:rFonts w:ascii="宋体" w:hAnsi="宋体" w:cs="宋体"/>
                <w:szCs w:val="21"/>
                <w:lang w:val="zh-CN" w:bidi="zh-CN"/>
              </w:rPr>
            </w:pPr>
          </w:p>
        </w:tc>
        <w:tc>
          <w:tcPr>
            <w:tcW w:w="4817" w:type="dxa"/>
            <w:gridSpan w:val="3"/>
            <w:vAlign w:val="center"/>
          </w:tcPr>
          <w:p>
            <w:pPr>
              <w:spacing w:line="360" w:lineRule="auto"/>
              <w:jc w:val="left"/>
              <w:rPr>
                <w:rFonts w:ascii="宋体" w:hAnsi="宋体" w:cs="宋体"/>
                <w:szCs w:val="21"/>
                <w:lang w:val="zh-CN" w:bidi="zh-CN"/>
              </w:rPr>
            </w:pPr>
            <w:r>
              <w:rPr>
                <w:rFonts w:hint="eastAsia" w:ascii="宋体" w:hAnsi="宋体" w:cs="宋体"/>
                <w:szCs w:val="21"/>
                <w:lang w:val="zh-CN" w:bidi="zh-CN"/>
              </w:rPr>
              <w:t>具有可行、合法有效的书面保证技术措施落实到位的承诺和落实不到位的处理承诺，其中包括各关键岗位人员（项目经理、技术负责人、施工员、质量（检）员、专职安全员、材料员、资料员）的在岗、更换等履职尽责承诺，提承包商履约保证。</w:t>
            </w:r>
          </w:p>
        </w:tc>
        <w:tc>
          <w:tcPr>
            <w:tcW w:w="1488" w:type="dxa"/>
            <w:gridSpan w:val="2"/>
            <w:vAlign w:val="center"/>
          </w:tcPr>
          <w:p>
            <w:pPr>
              <w:spacing w:line="360" w:lineRule="auto"/>
              <w:jc w:val="center"/>
              <w:rPr>
                <w:rFonts w:ascii="宋体" w:hAnsi="宋体" w:cs="宋体"/>
                <w:szCs w:val="21"/>
                <w:lang w:val="zh-CN" w:bidi="zh-CN"/>
              </w:rPr>
            </w:pPr>
            <w:r>
              <w:rPr>
                <w:rFonts w:hint="eastAsia" w:ascii="宋体" w:hAnsi="宋体" w:cs="宋体"/>
                <w:szCs w:val="21"/>
                <w:lang w:bidi="zh-CN"/>
              </w:rPr>
              <w:t>1</w:t>
            </w:r>
            <w:r>
              <w:rPr>
                <w:rFonts w:hint="eastAsia" w:ascii="宋体" w:hAnsi="宋体" w:cs="宋体"/>
                <w:szCs w:val="21"/>
                <w:lang w:val="zh-CN" w:bidi="zh-CN"/>
              </w:rPr>
              <w:t>≤得分≤</w:t>
            </w:r>
            <w:r>
              <w:rPr>
                <w:rFonts w:hint="eastAsia" w:ascii="宋体" w:hAnsi="宋体" w:cs="宋体"/>
                <w:szCs w:val="21"/>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80" w:type="dxa"/>
            <w:vMerge w:val="continue"/>
          </w:tcPr>
          <w:p>
            <w:pPr>
              <w:spacing w:line="360" w:lineRule="auto"/>
              <w:jc w:val="left"/>
              <w:rPr>
                <w:rFonts w:ascii="宋体" w:hAnsi="宋体" w:cs="宋体"/>
                <w:szCs w:val="21"/>
                <w:lang w:val="zh-CN" w:bidi="zh-CN"/>
              </w:rPr>
            </w:pPr>
          </w:p>
        </w:tc>
        <w:tc>
          <w:tcPr>
            <w:tcW w:w="986" w:type="dxa"/>
            <w:vMerge w:val="continue"/>
          </w:tcPr>
          <w:p>
            <w:pPr>
              <w:spacing w:line="360" w:lineRule="auto"/>
              <w:jc w:val="left"/>
              <w:rPr>
                <w:rFonts w:ascii="宋体" w:hAnsi="宋体" w:cs="宋体"/>
                <w:szCs w:val="21"/>
                <w:lang w:val="zh-CN" w:bidi="zh-CN"/>
              </w:rPr>
            </w:pPr>
          </w:p>
        </w:tc>
        <w:tc>
          <w:tcPr>
            <w:tcW w:w="1688" w:type="dxa"/>
            <w:gridSpan w:val="2"/>
            <w:vAlign w:val="center"/>
          </w:tcPr>
          <w:p>
            <w:pPr>
              <w:spacing w:line="360" w:lineRule="auto"/>
              <w:jc w:val="center"/>
              <w:rPr>
                <w:rFonts w:ascii="宋体" w:hAnsi="宋体" w:cs="宋体"/>
                <w:szCs w:val="21"/>
                <w:lang w:val="zh-CN" w:bidi="zh-CN"/>
              </w:rPr>
            </w:pPr>
            <w:r>
              <w:rPr>
                <w:rFonts w:hint="eastAsia" w:ascii="宋体" w:hAnsi="宋体" w:cs="宋体"/>
                <w:szCs w:val="21"/>
                <w:lang w:val="zh-CN" w:bidi="zh-CN"/>
              </w:rPr>
              <w:t>企业信用（含纳税诚信）</w:t>
            </w:r>
          </w:p>
        </w:tc>
        <w:tc>
          <w:tcPr>
            <w:tcW w:w="4817" w:type="dxa"/>
            <w:gridSpan w:val="3"/>
            <w:vAlign w:val="center"/>
          </w:tcPr>
          <w:p>
            <w:pPr>
              <w:spacing w:line="360" w:lineRule="auto"/>
              <w:jc w:val="left"/>
              <w:rPr>
                <w:rFonts w:ascii="宋体" w:hAnsi="宋体" w:cs="宋体"/>
                <w:lang w:val="zh-CN"/>
              </w:rPr>
            </w:pPr>
            <w:r>
              <w:rPr>
                <w:rFonts w:hint="eastAsia" w:ascii="宋体" w:hAnsi="宋体" w:cs="宋体"/>
              </w:rPr>
              <w:t>企业</w:t>
            </w:r>
            <w:r>
              <w:rPr>
                <w:rFonts w:hint="eastAsia" w:ascii="宋体" w:hAnsi="宋体" w:cs="宋体"/>
                <w:lang w:val="zh-CN"/>
              </w:rPr>
              <w:t>201</w:t>
            </w:r>
            <w:r>
              <w:rPr>
                <w:rFonts w:hint="eastAsia" w:ascii="宋体" w:hAnsi="宋体" w:cs="宋体"/>
              </w:rPr>
              <w:t>7</w:t>
            </w:r>
            <w:r>
              <w:rPr>
                <w:rFonts w:hint="eastAsia" w:ascii="宋体" w:hAnsi="宋体" w:cs="宋体"/>
                <w:lang w:val="zh-CN"/>
              </w:rPr>
              <w:t>年</w:t>
            </w:r>
            <w:r>
              <w:rPr>
                <w:rFonts w:hint="eastAsia" w:ascii="宋体" w:hAnsi="宋体" w:cs="宋体"/>
              </w:rPr>
              <w:t>1</w:t>
            </w:r>
            <w:r>
              <w:rPr>
                <w:rFonts w:hint="eastAsia" w:ascii="宋体" w:hAnsi="宋体" w:cs="宋体"/>
                <w:lang w:val="zh-CN"/>
              </w:rPr>
              <w:t>月1</w:t>
            </w:r>
            <w:r>
              <w:rPr>
                <w:rFonts w:hint="eastAsia" w:ascii="宋体" w:hAnsi="宋体" w:cs="宋体"/>
              </w:rPr>
              <w:t>日以来</w:t>
            </w:r>
            <w:r>
              <w:rPr>
                <w:rFonts w:hint="eastAsia" w:ascii="宋体" w:hAnsi="宋体" w:cs="宋体"/>
                <w:lang w:val="zh-CN"/>
              </w:rPr>
              <w:t>获得</w:t>
            </w:r>
            <w:r>
              <w:rPr>
                <w:rFonts w:hint="eastAsia" w:ascii="宋体" w:hAnsi="宋体" w:cs="宋体"/>
              </w:rPr>
              <w:t>市级及以上人民政府或住房和城乡建设主管部门的表彰的</w:t>
            </w:r>
            <w:r>
              <w:rPr>
                <w:rFonts w:hint="eastAsia" w:ascii="宋体" w:hAnsi="宋体" w:cs="宋体"/>
                <w:lang w:val="zh-CN"/>
              </w:rPr>
              <w:t>得</w:t>
            </w:r>
            <w:r>
              <w:rPr>
                <w:rFonts w:hint="eastAsia" w:ascii="宋体" w:hAnsi="宋体" w:cs="宋体"/>
              </w:rPr>
              <w:t>4</w:t>
            </w:r>
            <w:r>
              <w:rPr>
                <w:rFonts w:hint="eastAsia" w:ascii="宋体" w:hAnsi="宋体" w:cs="宋体"/>
                <w:lang w:val="zh-CN"/>
              </w:rPr>
              <w:t>分。</w:t>
            </w:r>
          </w:p>
          <w:p>
            <w:pPr>
              <w:pStyle w:val="2"/>
              <w:ind w:firstLine="0" w:firstLineChars="0"/>
              <w:rPr>
                <w:rFonts w:hAnsi="宋体" w:cs="宋体"/>
                <w:lang w:val="zh-CN"/>
              </w:rPr>
            </w:pPr>
            <w:r>
              <w:rPr>
                <w:rFonts w:hint="eastAsia" w:hAnsi="宋体" w:cs="宋体"/>
                <w:kern w:val="2"/>
                <w:sz w:val="21"/>
                <w:szCs w:val="22"/>
              </w:rPr>
              <w:t>注：</w:t>
            </w:r>
            <w:r>
              <w:rPr>
                <w:rFonts w:hint="eastAsia" w:hAnsi="宋体" w:cs="宋体"/>
                <w:kern w:val="2"/>
                <w:sz w:val="21"/>
                <w:szCs w:val="22"/>
                <w:lang w:val="zh-CN"/>
              </w:rPr>
              <w:t>提供相关</w:t>
            </w:r>
            <w:r>
              <w:rPr>
                <w:rFonts w:hint="eastAsia" w:hAnsi="宋体" w:cs="宋体"/>
                <w:kern w:val="2"/>
                <w:sz w:val="21"/>
                <w:szCs w:val="22"/>
              </w:rPr>
              <w:t>证明材料</w:t>
            </w:r>
            <w:r>
              <w:rPr>
                <w:rFonts w:hint="eastAsia" w:hAnsi="宋体" w:cs="宋体"/>
                <w:kern w:val="2"/>
                <w:sz w:val="21"/>
                <w:szCs w:val="22"/>
                <w:lang w:val="zh-CN"/>
              </w:rPr>
              <w:t>的原件扫描件</w:t>
            </w:r>
            <w:r>
              <w:rPr>
                <w:rFonts w:hint="eastAsia" w:hAnsi="宋体" w:cs="宋体"/>
                <w:kern w:val="2"/>
                <w:sz w:val="21"/>
                <w:szCs w:val="22"/>
              </w:rPr>
              <w:t>或图片</w:t>
            </w:r>
            <w:r>
              <w:rPr>
                <w:rFonts w:hint="eastAsia" w:hAnsi="宋体" w:cs="宋体"/>
                <w:kern w:val="2"/>
                <w:sz w:val="21"/>
                <w:szCs w:val="22"/>
                <w:lang w:val="zh-CN"/>
              </w:rPr>
              <w:t>，时间以颁发时间为准。</w:t>
            </w:r>
          </w:p>
        </w:tc>
        <w:tc>
          <w:tcPr>
            <w:tcW w:w="1488" w:type="dxa"/>
            <w:gridSpan w:val="2"/>
            <w:vAlign w:val="center"/>
          </w:tcPr>
          <w:p>
            <w:pPr>
              <w:spacing w:line="360" w:lineRule="auto"/>
              <w:jc w:val="left"/>
              <w:rPr>
                <w:rFonts w:ascii="宋体" w:hAnsi="宋体" w:cs="宋体"/>
                <w:szCs w:val="21"/>
                <w:lang w:bidi="zh-CN"/>
              </w:rPr>
            </w:pPr>
            <w:r>
              <w:rPr>
                <w:rFonts w:hint="eastAsia" w:ascii="宋体" w:hAnsi="宋体" w:cs="宋体"/>
                <w:szCs w:val="21"/>
                <w:lang w:bidi="zh-CN"/>
              </w:rPr>
              <w:t>0</w:t>
            </w:r>
            <w:r>
              <w:rPr>
                <w:rFonts w:hint="eastAsia" w:ascii="宋体" w:hAnsi="宋体" w:cs="宋体"/>
                <w:szCs w:val="21"/>
                <w:lang w:val="zh-CN" w:bidi="zh-CN"/>
              </w:rPr>
              <w:t>≤得分≤</w:t>
            </w:r>
            <w:r>
              <w:rPr>
                <w:rFonts w:hint="eastAsia" w:ascii="宋体" w:hAnsi="宋体" w:cs="宋体"/>
                <w:szCs w:val="21"/>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80" w:type="dxa"/>
            <w:vMerge w:val="continue"/>
          </w:tcPr>
          <w:p>
            <w:pPr>
              <w:spacing w:line="360" w:lineRule="auto"/>
              <w:jc w:val="left"/>
              <w:rPr>
                <w:rFonts w:ascii="宋体" w:hAnsi="宋体" w:cs="宋体"/>
                <w:szCs w:val="21"/>
                <w:lang w:val="zh-CN" w:bidi="zh-CN"/>
              </w:rPr>
            </w:pPr>
          </w:p>
        </w:tc>
        <w:tc>
          <w:tcPr>
            <w:tcW w:w="986" w:type="dxa"/>
            <w:vMerge w:val="continue"/>
          </w:tcPr>
          <w:p>
            <w:pPr>
              <w:spacing w:line="360" w:lineRule="auto"/>
              <w:jc w:val="left"/>
              <w:rPr>
                <w:rFonts w:ascii="宋体" w:hAnsi="宋体" w:cs="宋体"/>
                <w:szCs w:val="21"/>
                <w:lang w:val="zh-CN" w:bidi="zh-CN"/>
              </w:rPr>
            </w:pPr>
          </w:p>
        </w:tc>
        <w:tc>
          <w:tcPr>
            <w:tcW w:w="1688" w:type="dxa"/>
            <w:gridSpan w:val="2"/>
            <w:vAlign w:val="center"/>
          </w:tcPr>
          <w:p>
            <w:pPr>
              <w:spacing w:line="360" w:lineRule="auto"/>
              <w:jc w:val="center"/>
              <w:rPr>
                <w:rFonts w:ascii="宋体" w:hAnsi="宋体" w:cs="宋体"/>
                <w:szCs w:val="21"/>
                <w:lang w:val="zh-CN" w:bidi="zh-CN"/>
              </w:rPr>
            </w:pPr>
            <w:r>
              <w:rPr>
                <w:rFonts w:hint="eastAsia" w:ascii="宋体" w:hAnsi="宋体" w:cs="宋体"/>
                <w:szCs w:val="21"/>
                <w:lang w:val="zh-CN" w:bidi="zh-CN"/>
              </w:rPr>
              <w:t>项目经理信用</w:t>
            </w:r>
          </w:p>
        </w:tc>
        <w:tc>
          <w:tcPr>
            <w:tcW w:w="4817" w:type="dxa"/>
            <w:gridSpan w:val="3"/>
            <w:vAlign w:val="center"/>
          </w:tcPr>
          <w:p>
            <w:pPr>
              <w:spacing w:line="360" w:lineRule="auto"/>
              <w:jc w:val="left"/>
              <w:rPr>
                <w:rFonts w:ascii="宋体" w:hAnsi="宋体" w:cs="宋体"/>
                <w:lang w:val="zh-CN"/>
              </w:rPr>
            </w:pPr>
            <w:r>
              <w:rPr>
                <w:rFonts w:hint="eastAsia" w:ascii="宋体" w:hAnsi="宋体" w:cs="宋体"/>
                <w:lang w:val="zh-CN"/>
              </w:rPr>
              <w:t>201</w:t>
            </w:r>
            <w:r>
              <w:rPr>
                <w:rFonts w:hint="eastAsia" w:ascii="宋体" w:hAnsi="宋体" w:cs="宋体"/>
              </w:rPr>
              <w:t>7</w:t>
            </w:r>
            <w:r>
              <w:rPr>
                <w:rFonts w:hint="eastAsia" w:ascii="宋体" w:hAnsi="宋体" w:cs="宋体"/>
                <w:lang w:val="zh-CN"/>
              </w:rPr>
              <w:t>年</w:t>
            </w:r>
            <w:r>
              <w:rPr>
                <w:rFonts w:hint="eastAsia" w:ascii="宋体" w:hAnsi="宋体" w:cs="宋体"/>
              </w:rPr>
              <w:t>1</w:t>
            </w:r>
            <w:r>
              <w:rPr>
                <w:rFonts w:hint="eastAsia" w:ascii="宋体" w:hAnsi="宋体" w:cs="宋体"/>
                <w:lang w:val="zh-CN"/>
              </w:rPr>
              <w:t>月1日</w:t>
            </w:r>
            <w:r>
              <w:rPr>
                <w:rFonts w:hint="eastAsia" w:ascii="宋体" w:hAnsi="宋体" w:cs="宋体"/>
              </w:rPr>
              <w:t>以来</w:t>
            </w:r>
            <w:r>
              <w:rPr>
                <w:rFonts w:hint="eastAsia" w:ascii="宋体" w:hAnsi="宋体" w:cs="宋体"/>
                <w:lang w:val="zh-CN"/>
              </w:rPr>
              <w:t>获得</w:t>
            </w:r>
            <w:r>
              <w:rPr>
                <w:rFonts w:hint="eastAsia" w:ascii="宋体" w:hAnsi="宋体" w:cs="宋体"/>
              </w:rPr>
              <w:t>实用新型专利的</w:t>
            </w:r>
            <w:r>
              <w:rPr>
                <w:rFonts w:hint="eastAsia" w:ascii="宋体" w:hAnsi="宋体" w:cs="宋体"/>
                <w:lang w:val="zh-CN"/>
              </w:rPr>
              <w:t>得2分。协会颁发信用不予认定。</w:t>
            </w:r>
          </w:p>
          <w:p>
            <w:pPr>
              <w:pStyle w:val="2"/>
              <w:ind w:firstLine="0" w:firstLineChars="0"/>
              <w:rPr>
                <w:rFonts w:hAnsi="宋体" w:cs="宋体"/>
                <w:lang w:val="zh-CN"/>
              </w:rPr>
            </w:pPr>
            <w:r>
              <w:rPr>
                <w:rFonts w:hint="eastAsia" w:hAnsi="宋体" w:cs="宋体"/>
                <w:kern w:val="2"/>
                <w:sz w:val="21"/>
                <w:szCs w:val="22"/>
                <w:lang w:val="zh-CN"/>
              </w:rPr>
              <w:t>注：提供相关证件的原件扫描件或图片，时间以颁发时间为准。</w:t>
            </w:r>
          </w:p>
        </w:tc>
        <w:tc>
          <w:tcPr>
            <w:tcW w:w="1488" w:type="dxa"/>
            <w:gridSpan w:val="2"/>
            <w:vAlign w:val="center"/>
          </w:tcPr>
          <w:p>
            <w:pPr>
              <w:spacing w:line="360" w:lineRule="auto"/>
              <w:jc w:val="left"/>
              <w:rPr>
                <w:rFonts w:ascii="宋体" w:hAnsi="宋体" w:cs="宋体"/>
                <w:szCs w:val="21"/>
                <w:lang w:bidi="zh-CN"/>
              </w:rPr>
            </w:pPr>
            <w:r>
              <w:rPr>
                <w:rFonts w:hint="eastAsia" w:ascii="宋体" w:hAnsi="宋体" w:cs="宋体"/>
                <w:szCs w:val="21"/>
                <w:lang w:val="zh-CN" w:bidi="zh-CN"/>
              </w:rPr>
              <w:t>0≤得分≤</w:t>
            </w:r>
            <w:r>
              <w:rPr>
                <w:rFonts w:hint="eastAsia" w:ascii="宋体" w:hAnsi="宋体" w:cs="宋体"/>
                <w:szCs w:val="21"/>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80" w:type="dxa"/>
            <w:vMerge w:val="continue"/>
          </w:tcPr>
          <w:p>
            <w:pPr>
              <w:spacing w:line="360" w:lineRule="auto"/>
              <w:jc w:val="left"/>
              <w:rPr>
                <w:rFonts w:ascii="宋体" w:hAnsi="宋体" w:cs="宋体"/>
                <w:szCs w:val="21"/>
                <w:lang w:val="zh-CN" w:bidi="zh-CN"/>
              </w:rPr>
            </w:pPr>
          </w:p>
        </w:tc>
        <w:tc>
          <w:tcPr>
            <w:tcW w:w="986" w:type="dxa"/>
            <w:vMerge w:val="continue"/>
          </w:tcPr>
          <w:p>
            <w:pPr>
              <w:spacing w:line="360" w:lineRule="auto"/>
              <w:jc w:val="left"/>
              <w:rPr>
                <w:rFonts w:ascii="宋体" w:hAnsi="宋体" w:cs="宋体"/>
                <w:szCs w:val="21"/>
                <w:lang w:val="zh-CN" w:bidi="zh-CN"/>
              </w:rPr>
            </w:pPr>
          </w:p>
        </w:tc>
        <w:tc>
          <w:tcPr>
            <w:tcW w:w="1688" w:type="dxa"/>
            <w:gridSpan w:val="2"/>
            <w:vAlign w:val="center"/>
          </w:tcPr>
          <w:p>
            <w:pPr>
              <w:spacing w:line="360" w:lineRule="auto"/>
              <w:jc w:val="center"/>
              <w:rPr>
                <w:rFonts w:ascii="宋体" w:hAnsi="宋体" w:cs="宋体"/>
                <w:szCs w:val="21"/>
                <w:lang w:val="zh-CN" w:bidi="zh-CN"/>
              </w:rPr>
            </w:pPr>
            <w:r>
              <w:rPr>
                <w:rFonts w:hint="eastAsia" w:ascii="宋体" w:hAnsi="宋体" w:cs="宋体"/>
                <w:szCs w:val="21"/>
                <w:lang w:val="zh-CN" w:bidi="zh-CN"/>
              </w:rPr>
              <w:t>招标人意见</w:t>
            </w:r>
          </w:p>
        </w:tc>
        <w:tc>
          <w:tcPr>
            <w:tcW w:w="4817" w:type="dxa"/>
            <w:gridSpan w:val="3"/>
            <w:vAlign w:val="center"/>
          </w:tcPr>
          <w:p>
            <w:pPr>
              <w:spacing w:line="360" w:lineRule="auto"/>
              <w:rPr>
                <w:rFonts w:ascii="宋体" w:hAnsi="宋体" w:cs="宋体"/>
                <w:szCs w:val="21"/>
                <w:lang w:val="zh-CN" w:bidi="zh-CN"/>
              </w:rPr>
            </w:pPr>
            <w:r>
              <w:rPr>
                <w:rFonts w:hint="eastAsia" w:ascii="宋体" w:hAnsi="宋体" w:cs="宋体"/>
                <w:szCs w:val="21"/>
                <w:lang w:val="zh-CN" w:bidi="zh-CN"/>
              </w:rPr>
              <w:t>由招标人酌情打分。</w:t>
            </w:r>
          </w:p>
        </w:tc>
        <w:tc>
          <w:tcPr>
            <w:tcW w:w="1488" w:type="dxa"/>
            <w:gridSpan w:val="2"/>
            <w:vAlign w:val="center"/>
          </w:tcPr>
          <w:p>
            <w:pPr>
              <w:spacing w:line="360" w:lineRule="auto"/>
              <w:jc w:val="left"/>
              <w:rPr>
                <w:rFonts w:ascii="宋体" w:hAnsi="宋体" w:cs="宋体"/>
                <w:szCs w:val="21"/>
                <w:lang w:bidi="zh-CN"/>
              </w:rPr>
            </w:pPr>
            <w:r>
              <w:rPr>
                <w:rFonts w:hint="eastAsia" w:ascii="宋体" w:hAnsi="宋体" w:cs="宋体"/>
                <w:szCs w:val="21"/>
                <w:lang w:val="zh-CN" w:bidi="zh-CN"/>
              </w:rPr>
              <w:t>0≤得分≤</w:t>
            </w:r>
            <w:r>
              <w:rPr>
                <w:rFonts w:hint="eastAsia" w:ascii="宋体" w:hAnsi="宋体" w:cs="宋体"/>
                <w:szCs w:val="21"/>
                <w:lang w:bidi="zh-CN"/>
              </w:rPr>
              <w:t>2</w:t>
            </w:r>
            <w:r>
              <w:rPr>
                <w:rFonts w:hint="eastAsia" w:ascii="宋体" w:hAnsi="宋体" w:cs="宋体"/>
                <w:szCs w:val="21"/>
                <w:lang w:val="zh-CN" w:bidi="zh-CN"/>
              </w:rPr>
              <w:t>分</w:t>
            </w:r>
          </w:p>
        </w:tc>
      </w:tr>
    </w:tbl>
    <w:p>
      <w:pPr>
        <w:adjustRightInd w:val="0"/>
        <w:snapToGrid w:val="0"/>
        <w:spacing w:line="400" w:lineRule="exact"/>
        <w:ind w:firstLine="480" w:firstLineChars="200"/>
        <w:rPr>
          <w:rFonts w:hAnsi="宋体" w:cs="宋体"/>
          <w:sz w:val="24"/>
          <w:szCs w:val="24"/>
        </w:rPr>
      </w:pPr>
      <w:r>
        <w:rPr>
          <w:rFonts w:hint="eastAsia" w:hAnsi="宋体" w:cs="宋体"/>
          <w:b/>
          <w:bCs/>
          <w:sz w:val="24"/>
          <w:szCs w:val="24"/>
        </w:rPr>
        <w:t>（一）投标人综合得分</w:t>
      </w:r>
    </w:p>
    <w:p>
      <w:pPr>
        <w:adjustRightInd w:val="0"/>
        <w:snapToGrid w:val="0"/>
        <w:spacing w:line="400" w:lineRule="exact"/>
        <w:ind w:firstLine="480" w:firstLineChars="200"/>
        <w:rPr>
          <w:rFonts w:hAnsi="宋体" w:cs="宋体"/>
          <w:sz w:val="24"/>
          <w:szCs w:val="24"/>
        </w:rPr>
      </w:pPr>
      <w:r>
        <w:rPr>
          <w:rFonts w:hint="eastAsia" w:hAnsi="宋体" w:cs="宋体"/>
          <w:sz w:val="24"/>
          <w:szCs w:val="24"/>
        </w:rPr>
        <w:t>投标人综合得分＝技术标得分＋商务标得分＋综合（信用）标得分</w:t>
      </w:r>
    </w:p>
    <w:p>
      <w:pPr>
        <w:adjustRightInd w:val="0"/>
        <w:snapToGrid w:val="0"/>
        <w:spacing w:line="400" w:lineRule="exact"/>
        <w:ind w:firstLine="480" w:firstLineChars="200"/>
        <w:rPr>
          <w:rFonts w:hAnsi="宋体" w:cs="宋体"/>
          <w:sz w:val="24"/>
          <w:szCs w:val="24"/>
        </w:rPr>
      </w:pPr>
      <w:r>
        <w:rPr>
          <w:rFonts w:hint="eastAsia" w:hAnsi="宋体" w:cs="宋体"/>
          <w:b/>
          <w:bCs/>
          <w:sz w:val="24"/>
          <w:szCs w:val="24"/>
        </w:rPr>
        <w:t>（二）投标人的最终得分及中标候选人排序</w:t>
      </w:r>
      <w:r>
        <w:rPr>
          <w:rFonts w:hint="eastAsia" w:hAnsi="宋体" w:cs="宋体"/>
          <w:sz w:val="24"/>
          <w:szCs w:val="24"/>
        </w:rPr>
        <w:t xml:space="preserve"> </w:t>
      </w:r>
    </w:p>
    <w:p>
      <w:pPr>
        <w:snapToGrid w:val="0"/>
        <w:spacing w:line="360" w:lineRule="auto"/>
        <w:ind w:firstLine="480" w:firstLineChars="200"/>
        <w:rPr>
          <w:rFonts w:hAnsi="宋体" w:cs="宋体"/>
          <w:sz w:val="24"/>
          <w:szCs w:val="24"/>
        </w:rPr>
      </w:pPr>
      <w:r>
        <w:rPr>
          <w:rFonts w:hint="eastAsia" w:hAnsi="宋体" w:cs="宋体"/>
          <w:sz w:val="24"/>
          <w:szCs w:val="24"/>
        </w:rPr>
        <w:t xml:space="preserve">评标委员会按照投标人的最终得分，由高到低排序，向招标人推荐1-3名中标候选人。当得分相等时，依次以商务标、综合（信用）标、技术标得分高低进行排序；若三项得分均相等时，可以通过公开随机抽取方式确定中标候选人的排序。计算分值均四舍五入保留两位小数。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8"/>
        <w:keepNext w:val="0"/>
        <w:keepLines w:val="0"/>
        <w:adjustRightInd w:val="0"/>
        <w:snapToGrid w:val="0"/>
        <w:spacing w:line="440" w:lineRule="exact"/>
        <w:ind w:firstLine="480" w:firstLineChars="200"/>
        <w:outlineLvl w:val="9"/>
        <w:rPr>
          <w:rFonts w:hAnsi="宋体" w:eastAsia="宋体"/>
          <w:b/>
          <w:szCs w:val="24"/>
        </w:rPr>
      </w:pPr>
      <w:r>
        <w:rPr>
          <w:rFonts w:hint="eastAsia" w:hAnsi="宋体" w:eastAsia="宋体"/>
          <w:b/>
        </w:rPr>
        <w:t>九、</w:t>
      </w:r>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8"/>
        <w:keepNext w:val="0"/>
        <w:keepLines w:val="0"/>
        <w:adjustRightInd w:val="0"/>
        <w:snapToGrid w:val="0"/>
        <w:spacing w:line="440" w:lineRule="exact"/>
        <w:ind w:firstLine="480" w:firstLineChars="200"/>
        <w:outlineLvl w:val="9"/>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6"/>
        <w:rPr>
          <w:rFonts w:cs="黑体"/>
          <w:b w:val="0"/>
          <w:sz w:val="36"/>
          <w:szCs w:val="36"/>
        </w:rPr>
      </w:pPr>
      <w:r>
        <w:rPr>
          <w:rFonts w:hint="eastAsia"/>
          <w:spacing w:val="-3"/>
          <w:sz w:val="24"/>
        </w:rPr>
        <w:br w:type="page"/>
      </w:r>
      <w:bookmarkStart w:id="96" w:name="_Toc9153"/>
      <w:bookmarkStart w:id="97" w:name="_Toc11681"/>
      <w:r>
        <w:rPr>
          <w:rFonts w:hint="eastAsia"/>
        </w:rPr>
        <w:t>第四章 合同条款及格式</w:t>
      </w:r>
      <w:bookmarkEnd w:id="16"/>
      <w:bookmarkEnd w:id="96"/>
      <w:bookmarkEnd w:id="97"/>
    </w:p>
    <w:p>
      <w:pPr>
        <w:ind w:firstLine="880" w:firstLineChars="200"/>
        <w:jc w:val="center"/>
        <w:rPr>
          <w:rFonts w:ascii="黑体" w:hAnsi="黑体" w:eastAsia="黑体"/>
          <w:sz w:val="44"/>
        </w:rPr>
      </w:pPr>
      <w:bookmarkStart w:id="98" w:name="_Toc278443518"/>
      <w:r>
        <w:rPr>
          <w:rFonts w:ascii="黑体" w:hAnsi="黑体" w:eastAsia="黑体"/>
          <w:sz w:val="44"/>
        </w:rPr>
        <w:t>（GF—2017—0201）</w:t>
      </w:r>
    </w:p>
    <w:p>
      <w:pPr>
        <w:tabs>
          <w:tab w:val="left" w:pos="5000"/>
        </w:tabs>
        <w:spacing w:line="360" w:lineRule="auto"/>
        <w:ind w:firstLine="640" w:firstLineChars="200"/>
        <w:rPr>
          <w:rFonts w:hAnsi="宋体" w:cs="宋体"/>
          <w:b/>
          <w:sz w:val="32"/>
          <w:szCs w:val="32"/>
        </w:rPr>
      </w:pPr>
      <w:bookmarkStart w:id="99" w:name="_Toc278443514"/>
      <w:r>
        <w:rPr>
          <w:rFonts w:hint="eastAsia" w:hAnsi="宋体" w:cs="宋体"/>
          <w:b/>
          <w:sz w:val="32"/>
          <w:szCs w:val="32"/>
        </w:rPr>
        <w:t>采用由中华人民共和国住房和城乡建设部与国家工商行政管理局联合制定的《建设工程施工合同》(GF2017-0201)签订合</w:t>
      </w:r>
      <w:bookmarkEnd w:id="99"/>
      <w:r>
        <w:rPr>
          <w:rFonts w:hint="eastAsia" w:hAnsi="宋体" w:cs="宋体"/>
          <w:b/>
          <w:sz w:val="32"/>
          <w:szCs w:val="32"/>
        </w:rPr>
        <w:t>同。</w:t>
      </w:r>
    </w:p>
    <w:p>
      <w:pPr>
        <w:spacing w:line="480" w:lineRule="auto"/>
        <w:jc w:val="center"/>
        <w:rPr>
          <w:rFonts w:ascii="黑体" w:hAnsi="黑体" w:eastAsia="黑体"/>
          <w:b/>
          <w:sz w:val="28"/>
        </w:rPr>
      </w:pPr>
    </w:p>
    <w:p>
      <w:pPr>
        <w:spacing w:line="480" w:lineRule="auto"/>
        <w:jc w:val="center"/>
        <w:rPr>
          <w:rFonts w:ascii="黑体" w:hAnsi="黑体" w:eastAsia="黑体"/>
          <w:b/>
          <w:sz w:val="28"/>
        </w:rPr>
      </w:pPr>
    </w:p>
    <w:p>
      <w:pPr>
        <w:spacing w:line="480" w:lineRule="auto"/>
        <w:jc w:val="center"/>
        <w:rPr>
          <w:rFonts w:ascii="黑体" w:hAnsi="黑体" w:eastAsia="黑体"/>
          <w:b/>
          <w:sz w:val="28"/>
        </w:rPr>
      </w:pPr>
    </w:p>
    <w:p>
      <w:pPr>
        <w:spacing w:line="480" w:lineRule="auto"/>
        <w:jc w:val="center"/>
        <w:rPr>
          <w:rFonts w:ascii="黑体" w:hAnsi="黑体" w:eastAsia="黑体"/>
          <w:b/>
          <w:sz w:val="28"/>
        </w:rPr>
      </w:pPr>
    </w:p>
    <w:p>
      <w:pPr>
        <w:spacing w:line="480" w:lineRule="auto"/>
        <w:jc w:val="center"/>
        <w:rPr>
          <w:rFonts w:ascii="黑体" w:hAnsi="黑体" w:eastAsia="黑体"/>
          <w:b/>
          <w:sz w:val="28"/>
        </w:rPr>
      </w:pPr>
    </w:p>
    <w:p>
      <w:pPr>
        <w:spacing w:line="480" w:lineRule="auto"/>
        <w:jc w:val="center"/>
        <w:rPr>
          <w:rFonts w:ascii="黑体" w:hAnsi="黑体" w:eastAsia="黑体"/>
          <w:b/>
          <w:sz w:val="28"/>
        </w:rPr>
      </w:pPr>
    </w:p>
    <w:p>
      <w:pPr>
        <w:spacing w:line="480" w:lineRule="auto"/>
        <w:jc w:val="center"/>
        <w:rPr>
          <w:rFonts w:ascii="黑体" w:hAnsi="黑体" w:eastAsia="黑体"/>
          <w:b/>
          <w:sz w:val="28"/>
        </w:rPr>
      </w:pPr>
    </w:p>
    <w:p>
      <w:pPr>
        <w:spacing w:line="480" w:lineRule="auto"/>
        <w:jc w:val="center"/>
        <w:rPr>
          <w:rFonts w:ascii="黑体" w:hAnsi="黑体" w:eastAsia="黑体"/>
          <w:b/>
          <w:sz w:val="28"/>
        </w:rPr>
      </w:pPr>
    </w:p>
    <w:p>
      <w:pPr>
        <w:spacing w:line="480" w:lineRule="auto"/>
        <w:jc w:val="center"/>
        <w:rPr>
          <w:rFonts w:ascii="黑体" w:hAnsi="黑体" w:eastAsia="黑体"/>
          <w:b/>
          <w:sz w:val="28"/>
        </w:rPr>
      </w:pPr>
    </w:p>
    <w:p>
      <w:pPr>
        <w:spacing w:line="480" w:lineRule="auto"/>
        <w:jc w:val="center"/>
        <w:rPr>
          <w:rFonts w:ascii="黑体" w:hAnsi="黑体" w:eastAsia="黑体"/>
          <w:b/>
          <w:sz w:val="28"/>
        </w:rPr>
      </w:pPr>
    </w:p>
    <w:p>
      <w:pPr>
        <w:rPr>
          <w:rFonts w:hAnsi="宋体" w:cs="黑体"/>
          <w:b/>
          <w:sz w:val="36"/>
          <w:szCs w:val="36"/>
        </w:rPr>
      </w:pPr>
    </w:p>
    <w:p>
      <w:pPr>
        <w:rPr>
          <w:rFonts w:hAnsi="宋体" w:cs="黑体"/>
          <w:b/>
          <w:sz w:val="36"/>
          <w:szCs w:val="36"/>
        </w:rPr>
      </w:pPr>
    </w:p>
    <w:p>
      <w:pPr>
        <w:rPr>
          <w:rFonts w:hAnsi="宋体" w:cs="黑体"/>
          <w:b/>
          <w:sz w:val="36"/>
          <w:szCs w:val="36"/>
        </w:rPr>
      </w:pPr>
    </w:p>
    <w:p>
      <w:pPr>
        <w:rPr>
          <w:rFonts w:hAnsi="宋体" w:cs="黑体"/>
          <w:b/>
          <w:sz w:val="36"/>
          <w:szCs w:val="36"/>
        </w:rPr>
      </w:pPr>
    </w:p>
    <w:p>
      <w:pPr>
        <w:rPr>
          <w:rFonts w:hAnsi="宋体" w:cs="黑体"/>
          <w:b/>
          <w:sz w:val="36"/>
          <w:szCs w:val="36"/>
        </w:rPr>
      </w:pPr>
    </w:p>
    <w:p>
      <w:pPr>
        <w:rPr>
          <w:rFonts w:hAnsi="宋体" w:cs="黑体"/>
          <w:b/>
          <w:sz w:val="36"/>
          <w:szCs w:val="36"/>
        </w:rPr>
      </w:pPr>
    </w:p>
    <w:p>
      <w:pPr>
        <w:pStyle w:val="6"/>
        <w:rPr>
          <w:rFonts w:cs="黑体"/>
          <w:b w:val="0"/>
          <w:sz w:val="36"/>
          <w:szCs w:val="36"/>
        </w:rPr>
      </w:pPr>
      <w:r>
        <w:rPr>
          <w:rFonts w:cs="黑体"/>
          <w:b w:val="0"/>
          <w:sz w:val="36"/>
          <w:szCs w:val="36"/>
        </w:rPr>
        <w:br w:type="page"/>
      </w:r>
      <w:bookmarkStart w:id="100" w:name="_Toc15573"/>
      <w:r>
        <w:rPr>
          <w:rFonts w:hint="eastAsia"/>
        </w:rPr>
        <w:t>第五章 工程量清单</w:t>
      </w:r>
      <w:bookmarkEnd w:id="100"/>
    </w:p>
    <w:p>
      <w:pPr>
        <w:spacing w:line="360" w:lineRule="auto"/>
        <w:ind w:firstLine="480" w:firstLineChars="200"/>
        <w:rPr>
          <w:rFonts w:ascii="新宋体" w:hAnsi="新宋体" w:eastAsia="新宋体"/>
          <w:b/>
          <w:sz w:val="24"/>
        </w:rPr>
      </w:pPr>
      <w:r>
        <w:rPr>
          <w:rFonts w:hint="eastAsia" w:ascii="新宋体" w:hAnsi="新宋体" w:eastAsia="新宋体"/>
          <w:b/>
          <w:sz w:val="24"/>
        </w:rPr>
        <w:t>1、工程量清单说明</w:t>
      </w:r>
    </w:p>
    <w:p>
      <w:pPr>
        <w:spacing w:line="360" w:lineRule="auto"/>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360" w:lineRule="auto"/>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360" w:lineRule="auto"/>
        <w:ind w:left="1" w:firstLine="480" w:firstLineChars="200"/>
        <w:rPr>
          <w:rFonts w:ascii="新宋体" w:hAnsi="新宋体" w:eastAsia="新宋体"/>
          <w:sz w:val="24"/>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本工程使用《建设工程工程量清单计价规范》（GB50500-2013）、《河南省房屋建筑与装饰工程预算定额》（HA01-31-2016）、《河南省通用安装工程预算定额》(HA02-31-2016)，</w:t>
      </w:r>
      <w:r>
        <w:rPr>
          <w:rFonts w:hint="eastAsia" w:ascii="新宋体" w:hAnsi="新宋体" w:eastAsia="新宋体"/>
          <w:sz w:val="24"/>
        </w:rPr>
        <w:t>以及相关造价文件及其配套的计价方法、调整文件及综合解释等；</w:t>
      </w:r>
    </w:p>
    <w:p>
      <w:pPr>
        <w:spacing w:line="360" w:lineRule="auto"/>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360" w:lineRule="auto"/>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360" w:lineRule="auto"/>
        <w:ind w:firstLine="480" w:firstLineChars="200"/>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auto"/>
        <w:ind w:firstLine="480" w:firstLineChars="200"/>
        <w:jc w:val="left"/>
        <w:outlineLvl w:val="0"/>
        <w:rPr>
          <w:rFonts w:hAnsi="宋体"/>
          <w:bCs/>
          <w:sz w:val="24"/>
          <w:szCs w:val="24"/>
        </w:rPr>
      </w:pPr>
      <w:r>
        <w:rPr>
          <w:rFonts w:hint="eastAsia" w:hAnsi="宋体"/>
          <w:bCs/>
          <w:sz w:val="24"/>
          <w:szCs w:val="24"/>
        </w:rPr>
        <w:t>2.1 投标报价应根据招标文件中的有关计价要求，并按照下列依据自主报价。</w:t>
      </w:r>
    </w:p>
    <w:p>
      <w:pPr>
        <w:adjustRightInd w:val="0"/>
        <w:spacing w:line="480" w:lineRule="auto"/>
        <w:ind w:left="737" w:leftChars="228" w:right="-60" w:hanging="259" w:hangingChars="108"/>
        <w:jc w:val="left"/>
        <w:rPr>
          <w:rFonts w:hint="eastAsia" w:ascii="楷体" w:hAnsi="楷体" w:eastAsia="楷体" w:cs="楷体"/>
          <w:sz w:val="24"/>
          <w:szCs w:val="24"/>
        </w:rPr>
      </w:pPr>
      <w:bookmarkStart w:id="101" w:name="_Toc13370"/>
      <w:r>
        <w:rPr>
          <w:rFonts w:hint="eastAsia" w:ascii="楷体" w:hAnsi="楷体" w:eastAsia="楷体"/>
          <w:sz w:val="24"/>
          <w:highlight w:val="none"/>
          <w:lang w:eastAsia="zh-CN"/>
        </w:rPr>
        <w:t>（</w:t>
      </w:r>
      <w:r>
        <w:rPr>
          <w:rFonts w:hint="eastAsia" w:ascii="楷体" w:hAnsi="楷体" w:eastAsia="楷体"/>
          <w:sz w:val="24"/>
          <w:highlight w:val="none"/>
          <w:lang w:val="en-US" w:eastAsia="zh-CN"/>
        </w:rPr>
        <w:t>1</w:t>
      </w:r>
      <w:r>
        <w:rPr>
          <w:rFonts w:hint="eastAsia" w:ascii="楷体" w:hAnsi="楷体" w:eastAsia="楷体"/>
          <w:sz w:val="24"/>
          <w:highlight w:val="none"/>
          <w:lang w:eastAsia="zh-CN"/>
        </w:rPr>
        <w:t>）、</w:t>
      </w:r>
      <w:r>
        <w:rPr>
          <w:rFonts w:hint="eastAsia" w:ascii="楷体" w:hAnsi="楷体" w:eastAsia="楷体"/>
          <w:sz w:val="24"/>
          <w:highlight w:val="none"/>
        </w:rPr>
        <w:t>《建设工程工程量清单计价规范》GB 50500-2013、</w:t>
      </w:r>
      <w:r>
        <w:rPr>
          <w:rFonts w:hint="eastAsia" w:ascii="楷体" w:hAnsi="楷体" w:eastAsia="楷体" w:cs="楷体"/>
          <w:sz w:val="24"/>
          <w:szCs w:val="24"/>
          <w:lang w:eastAsia="zh-CN"/>
        </w:rPr>
        <w:t>《</w:t>
      </w:r>
      <w:r>
        <w:rPr>
          <w:rFonts w:hint="eastAsia" w:ascii="楷体" w:hAnsi="楷体" w:eastAsia="楷体" w:cs="楷体"/>
          <w:sz w:val="24"/>
          <w:szCs w:val="24"/>
        </w:rPr>
        <w:t>河南省</w:t>
      </w:r>
      <w:r>
        <w:rPr>
          <w:rFonts w:hint="eastAsia" w:ascii="楷体" w:hAnsi="楷体" w:eastAsia="楷体" w:cs="楷体"/>
          <w:sz w:val="24"/>
          <w:szCs w:val="24"/>
          <w:lang w:eastAsia="zh-CN"/>
        </w:rPr>
        <w:t>市政</w:t>
      </w:r>
      <w:r>
        <w:rPr>
          <w:rFonts w:hint="eastAsia" w:ascii="楷体" w:hAnsi="楷体" w:eastAsia="楷体" w:cs="楷体"/>
          <w:sz w:val="24"/>
          <w:szCs w:val="24"/>
        </w:rPr>
        <w:t>工程预</w:t>
      </w:r>
    </w:p>
    <w:p>
      <w:pPr>
        <w:adjustRightInd w:val="0"/>
        <w:spacing w:line="480" w:lineRule="auto"/>
        <w:ind w:left="737" w:leftChars="228" w:right="-60" w:hanging="259" w:hangingChars="108"/>
        <w:jc w:val="left"/>
        <w:rPr>
          <w:rFonts w:hint="eastAsia" w:ascii="楷体" w:hAnsi="楷体" w:eastAsia="楷体"/>
          <w:sz w:val="24"/>
          <w:highlight w:val="none"/>
        </w:rPr>
      </w:pPr>
      <w:r>
        <w:rPr>
          <w:rFonts w:hint="eastAsia" w:ascii="楷体" w:hAnsi="楷体" w:eastAsia="楷体" w:cs="楷体"/>
          <w:sz w:val="24"/>
          <w:szCs w:val="24"/>
        </w:rPr>
        <w:t>算定额》（HA-</w:t>
      </w:r>
      <w:r>
        <w:rPr>
          <w:rFonts w:hint="eastAsia" w:ascii="楷体" w:hAnsi="楷体" w:eastAsia="楷体" w:cs="楷体"/>
          <w:sz w:val="24"/>
          <w:szCs w:val="24"/>
          <w:lang w:val="en-US" w:eastAsia="zh-CN"/>
        </w:rPr>
        <w:t>A</w:t>
      </w:r>
      <w:r>
        <w:rPr>
          <w:rFonts w:hint="eastAsia" w:ascii="楷体" w:hAnsi="楷体" w:eastAsia="楷体" w:cs="楷体"/>
          <w:sz w:val="24"/>
          <w:szCs w:val="24"/>
        </w:rPr>
        <w:t>1-31-2016）</w:t>
      </w:r>
      <w:r>
        <w:rPr>
          <w:rFonts w:hint="eastAsia" w:ascii="楷体" w:hAnsi="楷体" w:eastAsia="楷体"/>
          <w:sz w:val="24"/>
          <w:highlight w:val="none"/>
        </w:rPr>
        <w:t>；</w:t>
      </w:r>
    </w:p>
    <w:p>
      <w:pPr>
        <w:adjustRightInd w:val="0"/>
        <w:spacing w:line="480" w:lineRule="auto"/>
        <w:ind w:left="737" w:leftChars="228" w:right="-60" w:hanging="259" w:hangingChars="108"/>
        <w:jc w:val="left"/>
        <w:rPr>
          <w:rFonts w:hint="eastAsia" w:ascii="楷体" w:hAnsi="楷体" w:eastAsia="楷体" w:cs="楷体"/>
          <w:sz w:val="24"/>
          <w:highlight w:val="none"/>
          <w:lang w:val="en-US" w:eastAsia="zh-CN"/>
        </w:rPr>
      </w:pPr>
      <w:r>
        <w:rPr>
          <w:rFonts w:hint="eastAsia" w:ascii="楷体" w:hAnsi="楷体" w:eastAsia="楷体" w:cs="楷体"/>
          <w:sz w:val="24"/>
          <w:highlight w:val="none"/>
          <w:lang w:val="en-US" w:eastAsia="zh-CN"/>
        </w:rPr>
        <w:t>（2）</w:t>
      </w:r>
      <w:r>
        <w:rPr>
          <w:rFonts w:hint="eastAsia" w:ascii="楷体" w:hAnsi="楷体" w:eastAsia="楷体" w:cs="楷体"/>
          <w:sz w:val="24"/>
          <w:highlight w:val="none"/>
        </w:rPr>
        <w:t>、</w:t>
      </w:r>
      <w:r>
        <w:rPr>
          <w:rFonts w:hint="eastAsia" w:ascii="楷体" w:hAnsi="楷体" w:eastAsia="楷体" w:cs="楷体_GB2312"/>
          <w:sz w:val="24"/>
        </w:rPr>
        <w:t>本工程税金按</w:t>
      </w:r>
      <w:r>
        <w:rPr>
          <w:rFonts w:hint="eastAsia" w:ascii="楷体" w:hAnsi="楷体" w:eastAsia="楷体" w:cs="楷体_GB2312"/>
          <w:sz w:val="24"/>
          <w:lang w:eastAsia="zh-CN"/>
        </w:rPr>
        <w:t>财政部、税务总局、海关总署公告</w:t>
      </w:r>
      <w:r>
        <w:rPr>
          <w:rFonts w:hint="eastAsia" w:ascii="楷体" w:hAnsi="楷体" w:eastAsia="楷体" w:cs="楷体_GB2312"/>
          <w:sz w:val="24"/>
          <w:lang w:val="en-US" w:eastAsia="zh-CN"/>
        </w:rPr>
        <w:t>2019年第39号</w:t>
      </w:r>
      <w:r>
        <w:rPr>
          <w:rFonts w:hint="eastAsia" w:ascii="楷体" w:hAnsi="楷体" w:eastAsia="楷体" w:cs="楷体_GB2312"/>
          <w:sz w:val="24"/>
        </w:rPr>
        <w:t>文</w:t>
      </w:r>
      <w:r>
        <w:rPr>
          <w:rFonts w:hint="eastAsia" w:ascii="楷体" w:hAnsi="楷体" w:eastAsia="楷体" w:cs="楷体_GB2312"/>
          <w:sz w:val="24"/>
          <w:lang w:val="en-US" w:eastAsia="zh-CN"/>
        </w:rPr>
        <w:t>9</w:t>
      </w:r>
      <w:r>
        <w:rPr>
          <w:rFonts w:hint="eastAsia" w:ascii="楷体" w:hAnsi="楷体" w:eastAsia="楷体" w:cs="楷体_GB2312"/>
          <w:sz w:val="24"/>
        </w:rPr>
        <w:t>%计取增值税</w:t>
      </w:r>
      <w:r>
        <w:rPr>
          <w:rFonts w:hint="eastAsia" w:ascii="楷体" w:hAnsi="楷体" w:eastAsia="楷体" w:cs="楷体_GB2312"/>
          <w:sz w:val="24"/>
          <w:lang w:eastAsia="zh-CN"/>
        </w:rPr>
        <w:t>；</w:t>
      </w:r>
    </w:p>
    <w:p>
      <w:pPr>
        <w:adjustRightInd w:val="0"/>
        <w:snapToGrid w:val="0"/>
        <w:spacing w:line="480" w:lineRule="auto"/>
        <w:ind w:firstLine="480" w:firstLineChars="200"/>
        <w:rPr>
          <w:rFonts w:hint="eastAsia" w:ascii="楷体" w:hAnsi="楷体" w:eastAsia="楷体" w:cs="楷体_GB2312"/>
          <w:sz w:val="24"/>
          <w:highlight w:val="none"/>
          <w:lang w:eastAsia="zh-CN"/>
        </w:rPr>
      </w:pPr>
      <w:r>
        <w:rPr>
          <w:rFonts w:hint="eastAsia" w:ascii="楷体" w:hAnsi="楷体" w:eastAsia="楷体" w:cs="楷体"/>
          <w:sz w:val="24"/>
          <w:highlight w:val="none"/>
          <w:lang w:val="en-US" w:eastAsia="zh-CN"/>
        </w:rPr>
        <w:t>（3）</w:t>
      </w:r>
      <w:r>
        <w:rPr>
          <w:rFonts w:hint="eastAsia" w:ascii="楷体" w:hAnsi="楷体" w:eastAsia="楷体" w:cs="楷体"/>
          <w:sz w:val="24"/>
          <w:highlight w:val="none"/>
        </w:rPr>
        <w:t>、</w:t>
      </w:r>
      <w:r>
        <w:rPr>
          <w:rFonts w:hint="eastAsia" w:ascii="楷体" w:hAnsi="楷体" w:eastAsia="楷体" w:cs="楷体_GB2312"/>
          <w:sz w:val="24"/>
          <w:highlight w:val="none"/>
        </w:rPr>
        <w:t>人工费指数、机械类指数、管理类指数按豫建标定【20</w:t>
      </w:r>
      <w:r>
        <w:rPr>
          <w:rFonts w:hint="eastAsia" w:ascii="楷体" w:hAnsi="楷体" w:eastAsia="楷体" w:cs="楷体_GB2312"/>
          <w:sz w:val="24"/>
          <w:highlight w:val="none"/>
          <w:lang w:val="en-US" w:eastAsia="zh-CN"/>
        </w:rPr>
        <w:t>19</w:t>
      </w:r>
      <w:r>
        <w:rPr>
          <w:rFonts w:hint="eastAsia" w:ascii="楷体" w:hAnsi="楷体" w:eastAsia="楷体" w:cs="楷体_GB2312"/>
          <w:sz w:val="24"/>
          <w:highlight w:val="none"/>
        </w:rPr>
        <w:t>】</w:t>
      </w:r>
      <w:r>
        <w:rPr>
          <w:rFonts w:hint="eastAsia" w:ascii="楷体" w:hAnsi="楷体" w:eastAsia="楷体" w:cs="楷体_GB2312"/>
          <w:sz w:val="24"/>
          <w:highlight w:val="none"/>
          <w:lang w:val="en-US" w:eastAsia="zh-CN"/>
        </w:rPr>
        <w:t>50</w:t>
      </w:r>
      <w:r>
        <w:rPr>
          <w:rFonts w:hint="eastAsia" w:ascii="楷体" w:hAnsi="楷体" w:eastAsia="楷体" w:cs="楷体_GB2312"/>
          <w:sz w:val="24"/>
          <w:highlight w:val="none"/>
        </w:rPr>
        <w:t>号文件计入</w:t>
      </w:r>
      <w:r>
        <w:rPr>
          <w:rFonts w:hint="eastAsia" w:ascii="楷体" w:hAnsi="楷体" w:eastAsia="楷体" w:cs="楷体_GB2312"/>
          <w:sz w:val="24"/>
          <w:highlight w:val="none"/>
          <w:lang w:eastAsia="zh-CN"/>
        </w:rPr>
        <w:t>；</w:t>
      </w:r>
    </w:p>
    <w:p>
      <w:pPr>
        <w:adjustRightInd w:val="0"/>
        <w:snapToGrid w:val="0"/>
        <w:spacing w:line="480" w:lineRule="auto"/>
        <w:ind w:firstLine="480" w:firstLineChars="200"/>
        <w:rPr>
          <w:rFonts w:hint="eastAsia" w:ascii="楷体" w:hAnsi="楷体" w:eastAsia="楷体"/>
          <w:sz w:val="24"/>
          <w:highlight w:val="none"/>
        </w:rPr>
      </w:pPr>
      <w:r>
        <w:rPr>
          <w:rFonts w:hint="eastAsia" w:ascii="楷体" w:hAnsi="楷体" w:eastAsia="楷体"/>
          <w:sz w:val="24"/>
          <w:highlight w:val="none"/>
          <w:lang w:val="en-US" w:eastAsia="zh-CN"/>
        </w:rPr>
        <w:t>（4）、</w:t>
      </w:r>
      <w:r>
        <w:rPr>
          <w:rFonts w:hint="eastAsia" w:ascii="楷体" w:hAnsi="楷体" w:eastAsia="楷体"/>
          <w:sz w:val="24"/>
          <w:highlight w:val="none"/>
        </w:rPr>
        <w:t>主要材料价格参考《许昌信息价》</w:t>
      </w:r>
      <w:r>
        <w:rPr>
          <w:rFonts w:hint="eastAsia" w:ascii="楷体" w:hAnsi="楷体" w:eastAsia="楷体"/>
          <w:sz w:val="24"/>
          <w:highlight w:val="none"/>
          <w:lang w:val="en-US" w:eastAsia="zh-CN"/>
        </w:rPr>
        <w:t>2019年</w:t>
      </w:r>
      <w:r>
        <w:rPr>
          <w:rFonts w:hint="eastAsia" w:ascii="楷体" w:hAnsi="楷体" w:eastAsia="楷体"/>
          <w:sz w:val="24"/>
          <w:highlight w:val="none"/>
        </w:rPr>
        <w:t>第</w:t>
      </w:r>
      <w:r>
        <w:rPr>
          <w:rFonts w:hint="eastAsia" w:ascii="楷体" w:hAnsi="楷体" w:eastAsia="楷体"/>
          <w:sz w:val="24"/>
          <w:highlight w:val="none"/>
          <w:lang w:eastAsia="zh-CN"/>
        </w:rPr>
        <w:t>六</w:t>
      </w:r>
      <w:r>
        <w:rPr>
          <w:rFonts w:hint="eastAsia" w:ascii="楷体" w:hAnsi="楷体" w:eastAsia="楷体"/>
          <w:sz w:val="24"/>
          <w:highlight w:val="none"/>
          <w:lang w:val="en-US" w:eastAsia="zh-CN"/>
        </w:rPr>
        <w:t>期</w:t>
      </w:r>
      <w:r>
        <w:rPr>
          <w:rFonts w:hint="eastAsia" w:ascii="楷体" w:hAnsi="楷体" w:eastAsia="楷体"/>
          <w:sz w:val="24"/>
          <w:highlight w:val="none"/>
        </w:rPr>
        <w:t>，</w:t>
      </w:r>
      <w:r>
        <w:rPr>
          <w:rFonts w:hint="eastAsia" w:ascii="楷体" w:hAnsi="楷体" w:eastAsia="楷体"/>
          <w:sz w:val="24"/>
          <w:highlight w:val="none"/>
          <w:lang w:eastAsia="zh-CN"/>
        </w:rPr>
        <w:t>并结合</w:t>
      </w:r>
      <w:r>
        <w:rPr>
          <w:rFonts w:hint="eastAsia" w:ascii="楷体" w:hAnsi="楷体" w:eastAsia="楷体"/>
          <w:sz w:val="24"/>
          <w:highlight w:val="none"/>
        </w:rPr>
        <w:t>市场询价。</w:t>
      </w:r>
    </w:p>
    <w:p>
      <w:pPr>
        <w:spacing w:line="360" w:lineRule="auto"/>
        <w:ind w:left="1" w:firstLine="480" w:firstLineChars="200"/>
        <w:rPr>
          <w:rFonts w:hAnsi="宋体"/>
          <w:bCs/>
          <w:sz w:val="24"/>
          <w:szCs w:val="24"/>
        </w:rPr>
      </w:pPr>
      <w:r>
        <w:rPr>
          <w:rFonts w:hint="eastAsia" w:hAnsi="宋体"/>
          <w:bCs/>
          <w:sz w:val="24"/>
          <w:szCs w:val="24"/>
        </w:rPr>
        <w:t>2.2 工程量清单中的每一子目须填入单价或价格，且只允许有一个报价。</w:t>
      </w:r>
      <w:bookmarkEnd w:id="101"/>
    </w:p>
    <w:p>
      <w:pPr>
        <w:spacing w:line="360" w:lineRule="auto"/>
        <w:ind w:left="1" w:firstLine="480" w:firstLineChars="200"/>
        <w:rPr>
          <w:rFonts w:hAnsi="宋体"/>
          <w:bCs/>
          <w:sz w:val="24"/>
          <w:szCs w:val="24"/>
        </w:rPr>
      </w:pPr>
      <w:r>
        <w:rPr>
          <w:rFonts w:hint="eastAsia" w:hAnsi="宋体"/>
          <w:bCs/>
          <w:sz w:val="24"/>
          <w:szCs w:val="24"/>
        </w:rPr>
        <w:t>2.3 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80" w:firstLineChars="200"/>
        <w:rPr>
          <w:rFonts w:hAnsi="宋体"/>
          <w:sz w:val="24"/>
          <w:szCs w:val="24"/>
        </w:rPr>
      </w:pPr>
      <w:r>
        <w:rPr>
          <w:rFonts w:hint="eastAsia" w:hAnsi="宋体"/>
          <w:sz w:val="24"/>
          <w:szCs w:val="24"/>
        </w:rPr>
        <w:t>2.4 已标价工程量清单中投标人没有填入单价或价格的子目，其费用视为已分摊在工程量清单中其他已标价的相关子目的单价或价格之中。</w:t>
      </w:r>
    </w:p>
    <w:p>
      <w:pPr>
        <w:spacing w:line="360" w:lineRule="auto"/>
        <w:ind w:left="1" w:firstLine="480" w:firstLineChars="200"/>
        <w:rPr>
          <w:rFonts w:hAnsi="宋体"/>
          <w:sz w:val="24"/>
          <w:szCs w:val="24"/>
        </w:rPr>
      </w:pPr>
      <w:r>
        <w:rPr>
          <w:rFonts w:hint="eastAsia" w:hAnsi="宋体"/>
          <w:sz w:val="24"/>
          <w:szCs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80" w:firstLineChars="200"/>
        <w:rPr>
          <w:rFonts w:hAnsi="宋体"/>
          <w:sz w:val="24"/>
          <w:szCs w:val="24"/>
        </w:rPr>
      </w:pPr>
      <w:r>
        <w:rPr>
          <w:rFonts w:hint="eastAsia" w:hAnsi="宋体"/>
          <w:sz w:val="24"/>
          <w:szCs w:val="24"/>
        </w:rPr>
        <w:t>2.6 分部分项工程项目按下列要求报价：</w:t>
      </w:r>
    </w:p>
    <w:p>
      <w:pPr>
        <w:spacing w:line="360" w:lineRule="auto"/>
        <w:ind w:left="1" w:firstLine="480" w:firstLineChars="200"/>
        <w:rPr>
          <w:rFonts w:hAnsi="宋体"/>
          <w:sz w:val="24"/>
          <w:szCs w:val="24"/>
        </w:rPr>
      </w:pPr>
      <w:r>
        <w:rPr>
          <w:rFonts w:hint="eastAsia" w:hAnsi="宋体"/>
          <w:sz w:val="24"/>
          <w:szCs w:val="24"/>
        </w:rPr>
        <w:t>2.6.1 分部分项工程量清单计价应依据计价规范中关于综合单价的组成内容确定报价。</w:t>
      </w:r>
    </w:p>
    <w:p>
      <w:pPr>
        <w:spacing w:line="360" w:lineRule="auto"/>
        <w:ind w:left="1" w:firstLine="480" w:firstLineChars="200"/>
        <w:rPr>
          <w:rFonts w:hAnsi="宋体"/>
          <w:sz w:val="24"/>
          <w:szCs w:val="24"/>
        </w:rPr>
      </w:pPr>
      <w:r>
        <w:rPr>
          <w:rFonts w:hint="eastAsia" w:hAnsi="宋体"/>
          <w:sz w:val="24"/>
          <w:szCs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360" w:lineRule="auto"/>
        <w:ind w:left="1" w:firstLine="480" w:firstLineChars="200"/>
        <w:rPr>
          <w:rFonts w:hAnsi="宋体"/>
          <w:sz w:val="24"/>
          <w:szCs w:val="24"/>
        </w:rPr>
      </w:pPr>
      <w:r>
        <w:rPr>
          <w:rFonts w:hint="eastAsia" w:hAnsi="宋体"/>
          <w:sz w:val="24"/>
          <w:szCs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80" w:firstLineChars="200"/>
        <w:rPr>
          <w:rFonts w:hAnsi="宋体"/>
          <w:sz w:val="24"/>
          <w:szCs w:val="24"/>
        </w:rPr>
      </w:pPr>
      <w:r>
        <w:rPr>
          <w:rFonts w:hint="eastAsia" w:hAnsi="宋体"/>
          <w:sz w:val="24"/>
          <w:szCs w:val="24"/>
        </w:rPr>
        <w:t>2.6.4 “分部分项工程量清单与计价表”所列各子目的综合单价组成中，各子目的人工、材料和机械台班消耗量由投标人按照其自身情况做充分的、竞争性考虑。材料消耗量包括损耗量。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80" w:firstLineChars="200"/>
        <w:rPr>
          <w:rFonts w:hAnsi="宋体"/>
          <w:sz w:val="24"/>
          <w:szCs w:val="24"/>
        </w:rPr>
      </w:pPr>
      <w:r>
        <w:rPr>
          <w:rFonts w:hint="eastAsia" w:hAnsi="宋体"/>
          <w:sz w:val="24"/>
          <w:szCs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w:t>
      </w:r>
    </w:p>
    <w:p>
      <w:pPr>
        <w:spacing w:line="360" w:lineRule="auto"/>
        <w:rPr>
          <w:rFonts w:hAnsi="宋体"/>
          <w:sz w:val="24"/>
          <w:szCs w:val="24"/>
        </w:rPr>
      </w:pPr>
      <w:r>
        <w:rPr>
          <w:rFonts w:hint="eastAsia" w:hAnsi="宋体"/>
          <w:sz w:val="24"/>
          <w:szCs w:val="24"/>
        </w:rPr>
        <w:t>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80" w:firstLineChars="200"/>
        <w:rPr>
          <w:rFonts w:hAnsi="宋体"/>
          <w:sz w:val="24"/>
          <w:szCs w:val="24"/>
        </w:rPr>
      </w:pPr>
      <w:r>
        <w:rPr>
          <w:rFonts w:hint="eastAsia" w:hAnsi="宋体"/>
          <w:sz w:val="24"/>
          <w:szCs w:val="24"/>
        </w:rPr>
        <w:t>2.7 措施项目按下列要求报价：</w:t>
      </w:r>
    </w:p>
    <w:p>
      <w:pPr>
        <w:spacing w:line="360" w:lineRule="auto"/>
        <w:ind w:left="1" w:firstLine="480" w:firstLineChars="200"/>
        <w:rPr>
          <w:rFonts w:hAnsi="宋体"/>
          <w:sz w:val="24"/>
          <w:szCs w:val="24"/>
        </w:rPr>
      </w:pPr>
      <w:r>
        <w:rPr>
          <w:rFonts w:hint="eastAsia" w:hAnsi="宋体"/>
          <w:sz w:val="24"/>
          <w:szCs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80" w:firstLineChars="200"/>
        <w:rPr>
          <w:rFonts w:hAnsi="宋体"/>
          <w:sz w:val="24"/>
          <w:szCs w:val="24"/>
        </w:rPr>
      </w:pPr>
      <w:r>
        <w:rPr>
          <w:rFonts w:hint="eastAsia" w:hAnsi="宋体"/>
          <w:sz w:val="24"/>
          <w:szCs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360" w:lineRule="auto"/>
        <w:ind w:left="1" w:firstLine="480" w:firstLineChars="200"/>
        <w:rPr>
          <w:rFonts w:hAnsi="宋体"/>
          <w:sz w:val="24"/>
          <w:szCs w:val="24"/>
        </w:rPr>
      </w:pPr>
      <w:r>
        <w:rPr>
          <w:rFonts w:hint="eastAsia" w:hAnsi="宋体"/>
          <w:sz w:val="24"/>
          <w:szCs w:val="24"/>
        </w:rPr>
        <w:t>2.7.3 “措施项目清单与计价表”中所填写的报价金额，应全面涵盖招标文件约定的投标人中标后施工、竣工、交付本工程并维修其任何缺陷所需要履行的责任和义务的全部费用。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80" w:firstLineChars="200"/>
        <w:rPr>
          <w:rFonts w:hAnsi="宋体"/>
          <w:sz w:val="24"/>
          <w:szCs w:val="24"/>
        </w:rPr>
      </w:pPr>
      <w:r>
        <w:rPr>
          <w:rFonts w:hint="eastAsia" w:hAnsi="宋体"/>
          <w:sz w:val="24"/>
          <w:szCs w:val="24"/>
        </w:rPr>
        <w:t>2.7.4 对于“措施项目清单与计价表”中所填写的报价金额，应按照“措施项目清单报价分析表”对措施项目报价的组成进行详细的列项和分析。</w:t>
      </w:r>
    </w:p>
    <w:p>
      <w:pPr>
        <w:spacing w:line="360" w:lineRule="auto"/>
        <w:ind w:left="1" w:firstLine="480" w:firstLineChars="200"/>
        <w:rPr>
          <w:rFonts w:hAnsi="宋体"/>
          <w:sz w:val="24"/>
          <w:szCs w:val="24"/>
        </w:rPr>
      </w:pPr>
      <w:r>
        <w:rPr>
          <w:rFonts w:hint="eastAsia" w:hAnsi="宋体"/>
          <w:sz w:val="24"/>
          <w:szCs w:val="24"/>
        </w:rPr>
        <w:t>2.8 其他项目清单费应按下列规定报价：</w:t>
      </w:r>
    </w:p>
    <w:p>
      <w:pPr>
        <w:spacing w:line="360" w:lineRule="auto"/>
        <w:ind w:left="1" w:firstLine="480" w:firstLineChars="200"/>
        <w:rPr>
          <w:rFonts w:hAnsi="宋体"/>
          <w:sz w:val="24"/>
          <w:szCs w:val="24"/>
        </w:rPr>
      </w:pPr>
      <w:r>
        <w:rPr>
          <w:rFonts w:hint="eastAsia" w:hAnsi="宋体"/>
          <w:sz w:val="24"/>
          <w:szCs w:val="24"/>
        </w:rPr>
        <w:t>2.8.1 暂列金额按“暂列金额明细表”中列出的金额报价，此处的暂列金额是招标人在招标文件中统一给定的，并不包括本章第2.8.3项的计日工金额。</w:t>
      </w:r>
    </w:p>
    <w:p>
      <w:pPr>
        <w:spacing w:line="360" w:lineRule="auto"/>
        <w:ind w:left="1" w:firstLine="480" w:firstLineChars="200"/>
        <w:rPr>
          <w:rFonts w:hAnsi="宋体"/>
          <w:sz w:val="24"/>
          <w:szCs w:val="24"/>
        </w:rPr>
      </w:pPr>
      <w:r>
        <w:rPr>
          <w:rFonts w:hint="eastAsia" w:hAnsi="宋体"/>
          <w:sz w:val="24"/>
          <w:szCs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360" w:lineRule="auto"/>
        <w:ind w:left="1" w:firstLine="480" w:firstLineChars="200"/>
        <w:rPr>
          <w:rFonts w:hAnsi="宋体"/>
          <w:sz w:val="24"/>
          <w:szCs w:val="24"/>
        </w:rPr>
      </w:pPr>
      <w:r>
        <w:rPr>
          <w:rFonts w:hint="eastAsia" w:hAnsi="宋体"/>
          <w:sz w:val="24"/>
          <w:szCs w:val="24"/>
        </w:rPr>
        <w:t>2.8.3 计日工按“计日工表”中列出的子目和估算数量，自主确定综合单价并计算计日工金额。计日工综合单价均不包括规费和税金，其中：</w:t>
      </w:r>
    </w:p>
    <w:p>
      <w:pPr>
        <w:spacing w:line="360" w:lineRule="auto"/>
        <w:ind w:left="1" w:firstLine="480" w:firstLineChars="200"/>
        <w:rPr>
          <w:rFonts w:hAnsi="宋体"/>
          <w:sz w:val="24"/>
          <w:szCs w:val="24"/>
        </w:rPr>
      </w:pPr>
      <w:r>
        <w:rPr>
          <w:rFonts w:hint="eastAsia" w:hAnsi="宋体"/>
          <w:sz w:val="24"/>
          <w:szCs w:val="24"/>
        </w:rPr>
        <w:t>(1) 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80" w:firstLineChars="200"/>
        <w:rPr>
          <w:rFonts w:hAnsi="宋体"/>
          <w:sz w:val="24"/>
          <w:szCs w:val="24"/>
        </w:rPr>
      </w:pPr>
      <w:r>
        <w:rPr>
          <w:rFonts w:hint="eastAsia" w:hAnsi="宋体"/>
          <w:sz w:val="24"/>
          <w:szCs w:val="24"/>
        </w:rPr>
        <w:t>(2) 材料价格包括材料运到现场的价格以及现场搬运、仓储、二次搬运、损耗、保险、企业管理费和利润；</w:t>
      </w:r>
    </w:p>
    <w:p>
      <w:pPr>
        <w:spacing w:line="360" w:lineRule="auto"/>
        <w:ind w:left="1" w:firstLine="480" w:firstLineChars="200"/>
        <w:rPr>
          <w:rFonts w:hAnsi="宋体"/>
          <w:sz w:val="24"/>
          <w:szCs w:val="24"/>
        </w:rPr>
      </w:pPr>
      <w:r>
        <w:rPr>
          <w:rFonts w:hint="eastAsia" w:hAnsi="宋体"/>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left="1" w:firstLine="480" w:firstLineChars="200"/>
        <w:rPr>
          <w:rFonts w:hAnsi="宋体" w:cs="宋体"/>
          <w:sz w:val="24"/>
          <w:szCs w:val="24"/>
        </w:rPr>
      </w:pPr>
      <w:r>
        <w:rPr>
          <w:rFonts w:hint="eastAsia" w:hAnsi="宋体" w:cs="宋体"/>
          <w:sz w:val="24"/>
          <w:szCs w:val="24"/>
        </w:rPr>
        <w:t>2.8.4总承包服务费根据招标文件中列出的内容和要求，按“总承包服务费计价表”所列格式自主报价。</w:t>
      </w:r>
    </w:p>
    <w:p>
      <w:pPr>
        <w:spacing w:line="360" w:lineRule="auto"/>
        <w:ind w:firstLine="480" w:firstLineChars="200"/>
        <w:rPr>
          <w:rFonts w:hAnsi="宋体" w:cs="宋体"/>
          <w:sz w:val="24"/>
          <w:szCs w:val="24"/>
        </w:rPr>
      </w:pPr>
      <w:r>
        <w:rPr>
          <w:rFonts w:hint="eastAsia" w:hAnsi="宋体" w:cs="宋体"/>
          <w:sz w:val="24"/>
          <w:szCs w:val="24"/>
        </w:rPr>
        <w:t xml:space="preserve">    2.9 规费和税金应按“规费、税金项目清单与计价表”所列项目并根据国家、省级或行业建设主管部门的有关规定列项和计算，不得作为竞争性费用。</w:t>
      </w:r>
    </w:p>
    <w:p>
      <w:pPr>
        <w:spacing w:line="360" w:lineRule="auto"/>
        <w:ind w:left="1" w:firstLine="480" w:firstLineChars="200"/>
        <w:rPr>
          <w:rFonts w:hAnsi="宋体" w:cs="宋体"/>
          <w:sz w:val="24"/>
          <w:szCs w:val="24"/>
        </w:rPr>
      </w:pPr>
      <w:r>
        <w:rPr>
          <w:rFonts w:hint="eastAsia" w:hAnsi="宋体" w:cs="宋体"/>
          <w:sz w:val="24"/>
          <w:szCs w:val="24"/>
        </w:rPr>
        <w:t>2.10 除招标文件有强制性规定外，投标报价由投标人自主确定，但不得低于其成本。</w:t>
      </w:r>
    </w:p>
    <w:p>
      <w:pPr>
        <w:spacing w:line="360" w:lineRule="auto"/>
        <w:ind w:left="1" w:firstLine="480" w:firstLineChars="200"/>
        <w:rPr>
          <w:rFonts w:hAnsi="宋体" w:cs="宋体"/>
          <w:sz w:val="24"/>
          <w:szCs w:val="24"/>
        </w:rPr>
      </w:pPr>
      <w:r>
        <w:rPr>
          <w:rFonts w:hint="eastAsia" w:hAnsi="宋体" w:cs="宋体"/>
          <w:sz w:val="24"/>
          <w:szCs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360" w:lineRule="auto"/>
        <w:ind w:left="1" w:firstLine="480" w:firstLineChars="200"/>
        <w:rPr>
          <w:rFonts w:hAnsi="宋体" w:cs="宋体"/>
          <w:sz w:val="24"/>
          <w:szCs w:val="24"/>
        </w:rPr>
      </w:pPr>
      <w:r>
        <w:rPr>
          <w:rFonts w:hint="eastAsia" w:hAnsi="宋体" w:cs="宋体"/>
          <w:sz w:val="24"/>
          <w:szCs w:val="24"/>
        </w:rPr>
        <w:t>2.12 管理费应由投标人在保证不低于其成本的基础上做竞争性考虑；利润由投标人根据自身情况和综合实力做竞争性考虑。</w:t>
      </w:r>
    </w:p>
    <w:p>
      <w:pPr>
        <w:spacing w:line="360" w:lineRule="auto"/>
        <w:ind w:left="1" w:firstLine="480" w:firstLineChars="200"/>
        <w:rPr>
          <w:rFonts w:hAnsi="宋体" w:cs="宋体"/>
          <w:sz w:val="24"/>
          <w:szCs w:val="24"/>
        </w:rPr>
      </w:pPr>
      <w:r>
        <w:rPr>
          <w:rFonts w:hint="eastAsia" w:hAnsi="宋体" w:cs="宋体"/>
          <w:sz w:val="24"/>
          <w:szCs w:val="24"/>
        </w:rPr>
        <w:t>2.13 投标报价中应考虑招标文件中要求投标人承担的风险范围以及相关的费用。</w:t>
      </w:r>
    </w:p>
    <w:p>
      <w:pPr>
        <w:spacing w:line="360" w:lineRule="auto"/>
        <w:ind w:left="1" w:firstLine="480" w:firstLineChars="200"/>
        <w:rPr>
          <w:rFonts w:hAnsi="宋体" w:cs="宋体"/>
          <w:sz w:val="24"/>
          <w:szCs w:val="24"/>
        </w:rPr>
      </w:pPr>
      <w:r>
        <w:rPr>
          <w:rFonts w:hint="eastAsia" w:hAnsi="宋体" w:cs="宋体"/>
          <w:sz w:val="24"/>
          <w:szCs w:val="24"/>
        </w:rPr>
        <w:t>2.14 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80" w:firstLineChars="200"/>
        <w:rPr>
          <w:rFonts w:hAnsi="宋体" w:cs="宋体"/>
          <w:b/>
          <w:sz w:val="24"/>
          <w:szCs w:val="24"/>
        </w:rPr>
      </w:pPr>
      <w:r>
        <w:rPr>
          <w:rFonts w:hint="eastAsia" w:hAnsi="宋体" w:cs="宋体"/>
          <w:b/>
          <w:sz w:val="24"/>
          <w:szCs w:val="24"/>
        </w:rPr>
        <w:t>2.15 有关投标报价的其他说明：</w:t>
      </w:r>
    </w:p>
    <w:p>
      <w:pPr>
        <w:tabs>
          <w:tab w:val="left" w:pos="1260"/>
        </w:tabs>
        <w:autoSpaceDE w:val="0"/>
        <w:autoSpaceDN w:val="0"/>
        <w:adjustRightInd w:val="0"/>
        <w:spacing w:line="360" w:lineRule="auto"/>
        <w:ind w:firstLine="480" w:firstLineChars="200"/>
        <w:jc w:val="left"/>
        <w:rPr>
          <w:rFonts w:hAnsi="宋体" w:cs="宋体"/>
          <w:b/>
          <w:bCs/>
          <w:sz w:val="24"/>
          <w:szCs w:val="24"/>
          <w:highlight w:val="none"/>
        </w:rPr>
      </w:pPr>
      <w:r>
        <w:rPr>
          <w:rFonts w:hint="eastAsia" w:hAnsi="宋体" w:cs="宋体"/>
          <w:b/>
          <w:sz w:val="24"/>
          <w:szCs w:val="24"/>
        </w:rPr>
        <w:t>2.</w:t>
      </w:r>
      <w:r>
        <w:rPr>
          <w:rFonts w:hint="eastAsia" w:hAnsi="宋体" w:cs="宋体"/>
          <w:b/>
          <w:sz w:val="24"/>
          <w:szCs w:val="24"/>
          <w:highlight w:val="none"/>
        </w:rPr>
        <w:t>15.1</w:t>
      </w:r>
      <w:r>
        <w:rPr>
          <w:rFonts w:hint="eastAsia" w:hAnsi="宋体" w:cs="宋体"/>
          <w:b/>
          <w:bCs/>
          <w:sz w:val="24"/>
          <w:szCs w:val="24"/>
          <w:highlight w:val="none"/>
        </w:rPr>
        <w:t>（1）根据《关于调整河南省建设工程安全文明施工措施费计取办法的通知》（豫建设标[2014]57号）规定，“安全文明施工措施费”是不可竞争费，即费率不可竞争，发包人编制招标控制价、承包人编制投标报价时，应按省级主管部门规定的计价标准计取。</w:t>
      </w:r>
    </w:p>
    <w:p>
      <w:pPr>
        <w:tabs>
          <w:tab w:val="left" w:pos="1260"/>
        </w:tabs>
        <w:autoSpaceDE w:val="0"/>
        <w:autoSpaceDN w:val="0"/>
        <w:adjustRightInd w:val="0"/>
        <w:spacing w:line="348" w:lineRule="auto"/>
        <w:ind w:firstLine="480" w:firstLineChars="200"/>
        <w:jc w:val="left"/>
        <w:rPr>
          <w:rFonts w:hAnsi="宋体" w:cs="宋体"/>
          <w:b/>
          <w:bCs/>
          <w:sz w:val="24"/>
          <w:szCs w:val="24"/>
          <w:highlight w:val="none"/>
        </w:rPr>
      </w:pPr>
      <w:r>
        <w:rPr>
          <w:rFonts w:hint="eastAsia" w:hAnsi="宋体" w:cs="宋体"/>
          <w:b/>
          <w:bCs/>
          <w:sz w:val="24"/>
          <w:szCs w:val="24"/>
          <w:highlight w:val="none"/>
        </w:rPr>
        <w:t xml:space="preserve">  （2）投标人编制投标报价时，同一投标文件综合工日应前后保持一致。</w:t>
      </w:r>
    </w:p>
    <w:p>
      <w:pPr>
        <w:tabs>
          <w:tab w:val="left" w:pos="1260"/>
        </w:tabs>
        <w:autoSpaceDE w:val="0"/>
        <w:autoSpaceDN w:val="0"/>
        <w:adjustRightInd w:val="0"/>
        <w:spacing w:line="348" w:lineRule="auto"/>
        <w:ind w:firstLine="720" w:firstLineChars="300"/>
        <w:jc w:val="left"/>
        <w:rPr>
          <w:rFonts w:hAnsi="宋体" w:cs="宋体"/>
          <w:b/>
          <w:sz w:val="24"/>
          <w:szCs w:val="24"/>
          <w:highlight w:val="none"/>
        </w:rPr>
      </w:pPr>
      <w:r>
        <w:rPr>
          <w:rFonts w:hint="eastAsia" w:hAnsi="宋体" w:cs="宋体"/>
          <w:b/>
          <w:sz w:val="24"/>
          <w:szCs w:val="24"/>
          <w:highlight w:val="none"/>
        </w:rPr>
        <w:t>（3）人工费指数、机械类指数、管理类指数调整执行豫建标定【2019】年</w:t>
      </w:r>
      <w:r>
        <w:rPr>
          <w:rFonts w:hint="eastAsia" w:hAnsi="宋体" w:cs="宋体"/>
          <w:b/>
          <w:sz w:val="24"/>
          <w:szCs w:val="24"/>
          <w:highlight w:val="none"/>
          <w:lang w:val="en-US" w:eastAsia="zh-CN"/>
        </w:rPr>
        <w:t>50</w:t>
      </w:r>
      <w:r>
        <w:rPr>
          <w:rFonts w:hint="eastAsia" w:hAnsi="宋体" w:cs="宋体"/>
          <w:b/>
          <w:sz w:val="24"/>
          <w:szCs w:val="24"/>
          <w:highlight w:val="none"/>
        </w:rPr>
        <w:t>号文。税率按9%足额计取；</w:t>
      </w:r>
    </w:p>
    <w:p>
      <w:pPr>
        <w:spacing w:line="348" w:lineRule="auto"/>
        <w:ind w:firstLine="480" w:firstLineChars="200"/>
        <w:rPr>
          <w:rFonts w:hAnsi="宋体" w:cs="宋体"/>
          <w:bCs/>
          <w:sz w:val="24"/>
        </w:rPr>
      </w:pPr>
      <w:r>
        <w:rPr>
          <w:rFonts w:hint="eastAsia" w:hAnsi="宋体" w:cs="宋体"/>
          <w:bCs/>
          <w:sz w:val="24"/>
        </w:rPr>
        <w:t>3、其他说明</w:t>
      </w:r>
    </w:p>
    <w:p>
      <w:pPr>
        <w:spacing w:line="348" w:lineRule="auto"/>
        <w:ind w:left="1" w:firstLine="480" w:firstLineChars="200"/>
        <w:rPr>
          <w:rFonts w:hAnsi="宋体" w:cs="宋体"/>
          <w:sz w:val="24"/>
        </w:rPr>
      </w:pPr>
      <w:r>
        <w:rPr>
          <w:rFonts w:hint="eastAsia" w:hAnsi="宋体" w:cs="宋体"/>
          <w:sz w:val="24"/>
        </w:rPr>
        <w:t>3.1词语和定义</w:t>
      </w:r>
    </w:p>
    <w:p>
      <w:pPr>
        <w:spacing w:line="348" w:lineRule="auto"/>
        <w:ind w:left="1" w:firstLine="480" w:firstLineChars="200"/>
        <w:rPr>
          <w:rFonts w:hAnsi="宋体" w:cs="宋体"/>
          <w:sz w:val="24"/>
        </w:rPr>
      </w:pPr>
      <w:r>
        <w:rPr>
          <w:rFonts w:hint="eastAsia" w:hAnsi="宋体" w:cs="宋体"/>
          <w:sz w:val="24"/>
        </w:rPr>
        <w:t>3.1.1 工程量清单</w:t>
      </w:r>
    </w:p>
    <w:p>
      <w:pPr>
        <w:spacing w:line="348" w:lineRule="auto"/>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348" w:lineRule="auto"/>
        <w:ind w:left="1" w:firstLine="480" w:firstLineChars="200"/>
        <w:rPr>
          <w:rFonts w:hAnsi="宋体" w:cs="宋体"/>
          <w:sz w:val="24"/>
        </w:rPr>
      </w:pPr>
      <w:r>
        <w:rPr>
          <w:rFonts w:hint="eastAsia" w:hAnsi="宋体" w:cs="宋体"/>
          <w:sz w:val="24"/>
        </w:rPr>
        <w:t>3.1.2 总价子目</w:t>
      </w:r>
    </w:p>
    <w:p>
      <w:pPr>
        <w:spacing w:line="348" w:lineRule="auto"/>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348" w:lineRule="auto"/>
        <w:ind w:left="1" w:firstLine="480" w:firstLineChars="200"/>
        <w:rPr>
          <w:rFonts w:hAnsi="宋体" w:cs="宋体"/>
          <w:sz w:val="24"/>
        </w:rPr>
      </w:pPr>
      <w:r>
        <w:rPr>
          <w:rFonts w:hint="eastAsia" w:hAnsi="宋体" w:cs="宋体"/>
          <w:sz w:val="24"/>
        </w:rPr>
        <w:t>3.1.3 单价子目</w:t>
      </w:r>
    </w:p>
    <w:p>
      <w:pPr>
        <w:spacing w:line="348" w:lineRule="auto"/>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348" w:lineRule="auto"/>
        <w:ind w:left="1" w:firstLine="480" w:firstLineChars="200"/>
        <w:rPr>
          <w:rFonts w:hAnsi="宋体" w:cs="宋体"/>
          <w:sz w:val="24"/>
        </w:rPr>
      </w:pPr>
      <w:r>
        <w:rPr>
          <w:rFonts w:hint="eastAsia" w:hAnsi="宋体" w:cs="宋体"/>
          <w:sz w:val="24"/>
        </w:rPr>
        <w:t>3.1.4 子目编码</w:t>
      </w:r>
    </w:p>
    <w:p>
      <w:pPr>
        <w:spacing w:line="348" w:lineRule="auto"/>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348" w:lineRule="auto"/>
        <w:ind w:left="1" w:firstLine="480" w:firstLineChars="200"/>
        <w:rPr>
          <w:rFonts w:hAnsi="宋体" w:cs="宋体"/>
          <w:sz w:val="24"/>
        </w:rPr>
      </w:pPr>
      <w:r>
        <w:rPr>
          <w:rFonts w:hint="eastAsia" w:hAnsi="宋体" w:cs="宋体"/>
          <w:sz w:val="24"/>
        </w:rPr>
        <w:t>3.1.5 子目特征</w:t>
      </w:r>
    </w:p>
    <w:p>
      <w:pPr>
        <w:spacing w:line="348" w:lineRule="auto"/>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348" w:lineRule="auto"/>
        <w:ind w:left="1" w:firstLine="480" w:firstLineChars="200"/>
        <w:rPr>
          <w:rFonts w:hAnsi="宋体" w:cs="宋体"/>
          <w:sz w:val="24"/>
        </w:rPr>
      </w:pPr>
      <w:r>
        <w:rPr>
          <w:rFonts w:hint="eastAsia" w:hAnsi="宋体" w:cs="宋体"/>
          <w:sz w:val="24"/>
        </w:rPr>
        <w:t>3.1.6 规费</w:t>
      </w:r>
    </w:p>
    <w:p>
      <w:pPr>
        <w:spacing w:line="348" w:lineRule="auto"/>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348" w:lineRule="auto"/>
        <w:ind w:left="1" w:firstLine="480" w:firstLineChars="200"/>
        <w:rPr>
          <w:rFonts w:hAnsi="宋体" w:cs="宋体"/>
          <w:sz w:val="24"/>
        </w:rPr>
      </w:pPr>
      <w:r>
        <w:rPr>
          <w:rFonts w:hint="eastAsia" w:hAnsi="宋体" w:cs="宋体"/>
          <w:sz w:val="24"/>
        </w:rPr>
        <w:t>3.1.7 税金</w:t>
      </w:r>
    </w:p>
    <w:p>
      <w:pPr>
        <w:spacing w:line="348" w:lineRule="auto"/>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360" w:lineRule="auto"/>
        <w:ind w:left="1" w:firstLine="480" w:firstLineChars="200"/>
        <w:rPr>
          <w:rFonts w:hAnsi="宋体" w:cs="宋体"/>
          <w:sz w:val="24"/>
        </w:rPr>
      </w:pPr>
      <w:r>
        <w:rPr>
          <w:rFonts w:hint="eastAsia" w:hAnsi="宋体" w:cs="宋体"/>
          <w:sz w:val="24"/>
        </w:rPr>
        <w:t>3.1.8 总承包服务费</w:t>
      </w:r>
    </w:p>
    <w:p>
      <w:pPr>
        <w:spacing w:line="360" w:lineRule="auto"/>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hAnsi="宋体" w:cs="宋体"/>
          <w:sz w:val="24"/>
        </w:rPr>
      </w:pPr>
      <w:r>
        <w:rPr>
          <w:rFonts w:hint="eastAsia" w:hAnsi="宋体" w:cs="宋体"/>
          <w:sz w:val="24"/>
        </w:rPr>
        <w:t>3.1.9 同义词语</w:t>
      </w:r>
    </w:p>
    <w:p>
      <w:pPr>
        <w:spacing w:line="360" w:lineRule="auto"/>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360" w:lineRule="auto"/>
        <w:ind w:left="1" w:firstLine="480" w:firstLineChars="200"/>
        <w:rPr>
          <w:rFonts w:hAnsi="宋体" w:cs="宋体"/>
          <w:b/>
          <w:sz w:val="24"/>
        </w:rPr>
      </w:pPr>
      <w:r>
        <w:rPr>
          <w:rFonts w:hint="eastAsia" w:hAnsi="宋体" w:cs="宋体"/>
          <w:sz w:val="24"/>
        </w:rPr>
        <w:t>3.2工程量差异调整</w:t>
      </w:r>
    </w:p>
    <w:p>
      <w:pPr>
        <w:spacing w:line="360" w:lineRule="auto"/>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80" w:firstLineChars="200"/>
        <w:rPr>
          <w:rFonts w:hAnsi="宋体" w:cs="宋体"/>
          <w:sz w:val="24"/>
        </w:rPr>
      </w:pPr>
      <w:r>
        <w:rPr>
          <w:rFonts w:hint="eastAsia" w:hAnsi="宋体" w:cs="宋体"/>
          <w:sz w:val="24"/>
        </w:rPr>
        <w:t>3.3暂列金额和暂估价</w:t>
      </w:r>
    </w:p>
    <w:p>
      <w:pPr>
        <w:spacing w:line="360" w:lineRule="auto"/>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360" w:lineRule="auto"/>
        <w:ind w:firstLine="480" w:firstLineChars="200"/>
        <w:rPr>
          <w:rFonts w:hAnsi="宋体" w:cs="宋体"/>
          <w:b/>
          <w:sz w:val="24"/>
        </w:rPr>
      </w:pPr>
      <w:r>
        <w:rPr>
          <w:rFonts w:hint="eastAsia" w:hAnsi="宋体" w:cs="宋体"/>
          <w:b/>
          <w:sz w:val="24"/>
        </w:rPr>
        <w:t>4．工程量清单</w:t>
      </w:r>
    </w:p>
    <w:p>
      <w:pPr>
        <w:spacing w:line="360" w:lineRule="auto"/>
        <w:ind w:firstLine="480" w:firstLineChars="200"/>
        <w:rPr>
          <w:rFonts w:ascii="新宋体" w:hAnsi="新宋体" w:eastAsia="新宋体"/>
          <w:sz w:val="24"/>
          <w:u w:val="single"/>
        </w:rPr>
      </w:pPr>
      <w:r>
        <w:rPr>
          <w:rFonts w:hint="eastAsia" w:hAnsi="宋体" w:cs="宋体"/>
          <w:sz w:val="24"/>
          <w:u w:val="single"/>
        </w:rPr>
        <w:t>工程量清单在【全国公共资源交易平台（河南省·许昌市）】上自行下载。</w:t>
      </w:r>
    </w:p>
    <w:p>
      <w:pPr>
        <w:autoSpaceDE w:val="0"/>
        <w:autoSpaceDN w:val="0"/>
        <w:adjustRightInd w:val="0"/>
        <w:ind w:firstLine="480" w:firstLineChars="200"/>
        <w:outlineLvl w:val="0"/>
        <w:rPr>
          <w:rFonts w:ascii="新宋体" w:hAnsi="新宋体" w:eastAsia="新宋体"/>
          <w:sz w:val="24"/>
          <w:u w:val="single"/>
        </w:rPr>
      </w:pPr>
      <w:r>
        <w:rPr>
          <w:rFonts w:ascii="新宋体" w:hAnsi="新宋体" w:eastAsia="新宋体"/>
          <w:sz w:val="24"/>
          <w:u w:val="single"/>
        </w:rPr>
        <w:br w:type="page"/>
      </w:r>
    </w:p>
    <w:p>
      <w:pPr>
        <w:pStyle w:val="6"/>
      </w:pPr>
      <w:bookmarkStart w:id="102" w:name="_Toc9650"/>
      <w:bookmarkStart w:id="103" w:name="_Toc8808"/>
      <w:r>
        <w:rPr>
          <w:rFonts w:hint="eastAsia"/>
        </w:rPr>
        <w:t>第六章</w:t>
      </w:r>
      <w:r>
        <w:t xml:space="preserve"> </w:t>
      </w:r>
      <w:r>
        <w:rPr>
          <w:rFonts w:hint="eastAsia"/>
        </w:rPr>
        <w:t>图</w:t>
      </w:r>
      <w:r>
        <w:t xml:space="preserve"> </w:t>
      </w:r>
      <w:r>
        <w:rPr>
          <w:rFonts w:hint="eastAsia"/>
        </w:rPr>
        <w:t>纸</w:t>
      </w:r>
      <w:bookmarkEnd w:id="98"/>
      <w:bookmarkEnd w:id="102"/>
      <w:bookmarkEnd w:id="103"/>
    </w:p>
    <w:p>
      <w:pPr>
        <w:autoSpaceDE w:val="0"/>
        <w:autoSpaceDN w:val="0"/>
        <w:adjustRightInd w:val="0"/>
        <w:jc w:val="center"/>
        <w:rPr>
          <w:rFonts w:hAnsi="宋体" w:cs="黑体"/>
          <w:b/>
          <w:sz w:val="24"/>
        </w:rPr>
      </w:pPr>
    </w:p>
    <w:p>
      <w:pPr>
        <w:autoSpaceDE w:val="0"/>
        <w:autoSpaceDN w:val="0"/>
        <w:adjustRightInd w:val="0"/>
        <w:jc w:val="center"/>
        <w:outlineLvl w:val="0"/>
        <w:rPr>
          <w:rFonts w:hint="eastAsia" w:hAnsi="宋体" w:eastAsia="宋体" w:cs="黑体"/>
          <w:b/>
          <w:sz w:val="36"/>
          <w:szCs w:val="36"/>
          <w:lang w:eastAsia="zh-CN"/>
        </w:rPr>
      </w:pPr>
      <w:bookmarkStart w:id="104" w:name="_Toc278443522"/>
      <w:bookmarkStart w:id="105" w:name="_Toc3738"/>
      <w:r>
        <w:rPr>
          <w:rFonts w:hint="eastAsia" w:hAnsi="宋体" w:cs="黑体"/>
          <w:sz w:val="28"/>
          <w:szCs w:val="28"/>
          <w:lang w:eastAsia="zh-CN"/>
        </w:rPr>
        <w:t>无</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12"/>
        <w:ind w:firstLine="680"/>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6"/>
      </w:pPr>
      <w:bookmarkStart w:id="106" w:name="_Toc2791"/>
    </w:p>
    <w:p/>
    <w:p>
      <w:pPr>
        <w:pStyle w:val="6"/>
      </w:pPr>
      <w:r>
        <w:rPr>
          <w:rFonts w:hint="eastAsia"/>
        </w:rPr>
        <w:t>第七章</w:t>
      </w:r>
      <w:r>
        <w:t xml:space="preserve"> </w:t>
      </w:r>
      <w:r>
        <w:rPr>
          <w:rFonts w:hint="eastAsia"/>
        </w:rPr>
        <w:t>技术标准和要求</w:t>
      </w:r>
      <w:bookmarkEnd w:id="104"/>
      <w:bookmarkEnd w:id="105"/>
      <w:bookmarkEnd w:id="106"/>
    </w:p>
    <w:p>
      <w:pPr>
        <w:spacing w:line="500" w:lineRule="exact"/>
        <w:ind w:firstLine="480" w:firstLineChars="200"/>
        <w:jc w:val="left"/>
        <w:rPr>
          <w:rFonts w:ascii="新宋体" w:hAnsi="新宋体" w:eastAsia="新宋体"/>
          <w:sz w:val="24"/>
        </w:rPr>
      </w:pPr>
    </w:p>
    <w:p>
      <w:pPr>
        <w:spacing w:line="500" w:lineRule="exact"/>
        <w:jc w:val="left"/>
        <w:rPr>
          <w:rFonts w:hAnsi="宋体" w:cs="宋体"/>
          <w:b/>
          <w:bCs/>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黑体"/>
          <w:sz w:val="32"/>
          <w:szCs w:val="32"/>
        </w:rPr>
      </w:pPr>
    </w:p>
    <w:p>
      <w:bookmarkStart w:id="107" w:name="_Toc9534"/>
    </w:p>
    <w:p/>
    <w:p/>
    <w:p/>
    <w:p/>
    <w:p/>
    <w:p/>
    <w:p/>
    <w:p/>
    <w:p/>
    <w:p/>
    <w:p/>
    <w:p/>
    <w:p/>
    <w:p/>
    <w:p/>
    <w:p/>
    <w:p/>
    <w:p/>
    <w:p/>
    <w:p/>
    <w:p/>
    <w:p/>
    <w:p/>
    <w:p/>
    <w:p/>
    <w:p/>
    <w:p/>
    <w:p/>
    <w:p/>
    <w:bookmarkEnd w:id="107"/>
    <w:p>
      <w:pPr>
        <w:pStyle w:val="6"/>
      </w:pPr>
      <w:bookmarkStart w:id="108" w:name="_Toc18525"/>
      <w:r>
        <w:rPr>
          <w:rFonts w:hint="eastAsia"/>
        </w:rPr>
        <w:t>第八章 投标文件格式</w:t>
      </w:r>
      <w:bookmarkEnd w:id="108"/>
    </w:p>
    <w:p>
      <w:pPr>
        <w:autoSpaceDE w:val="0"/>
        <w:autoSpaceDN w:val="0"/>
        <w:adjustRightInd w:val="0"/>
        <w:rPr>
          <w:rFonts w:hAnsi="宋体" w:cs="宋体"/>
          <w:b/>
          <w:spacing w:val="60"/>
          <w:sz w:val="48"/>
          <w:szCs w:val="48"/>
          <w:u w:val="single"/>
        </w:rPr>
      </w:pPr>
    </w:p>
    <w:p>
      <w:pPr>
        <w:autoSpaceDE w:val="0"/>
        <w:autoSpaceDN w:val="0"/>
        <w:adjustRightInd w:val="0"/>
        <w:rPr>
          <w:rFonts w:hAnsi="宋体" w:cs="宋体"/>
          <w:b/>
          <w:spacing w:val="60"/>
          <w:sz w:val="48"/>
          <w:szCs w:val="48"/>
          <w:u w:val="single"/>
        </w:rPr>
      </w:pPr>
    </w:p>
    <w:p>
      <w:pPr>
        <w:autoSpaceDE w:val="0"/>
        <w:autoSpaceDN w:val="0"/>
        <w:adjustRightInd w:val="0"/>
        <w:ind w:firstLine="600" w:firstLineChars="100"/>
        <w:rPr>
          <w:rFonts w:hAnsi="宋体" w:cs="宋体"/>
          <w:b/>
          <w:sz w:val="36"/>
          <w:szCs w:val="36"/>
        </w:rPr>
      </w:pPr>
      <w:r>
        <w:rPr>
          <w:rFonts w:hint="eastAsia" w:hAnsi="宋体" w:cs="宋体"/>
          <w:b/>
          <w:spacing w:val="60"/>
          <w:sz w:val="48"/>
          <w:szCs w:val="48"/>
          <w:u w:val="single"/>
        </w:rPr>
        <w:t xml:space="preserve">        </w:t>
      </w:r>
      <w:r>
        <w:rPr>
          <w:rFonts w:hint="eastAsia" w:hAnsi="宋体" w:cs="宋体"/>
          <w:b/>
          <w:spacing w:val="60"/>
          <w:sz w:val="48"/>
          <w:szCs w:val="48"/>
          <w:u w:val="single"/>
          <w:lang w:val="en-US" w:eastAsia="zh-CN"/>
        </w:rPr>
        <w:t xml:space="preserve">   </w:t>
      </w:r>
      <w:r>
        <w:rPr>
          <w:rFonts w:hint="eastAsia" w:hAnsi="宋体" w:cs="宋体"/>
          <w:b/>
          <w:spacing w:val="60"/>
          <w:sz w:val="48"/>
          <w:szCs w:val="48"/>
          <w:u w:val="single"/>
        </w:rPr>
        <w:t>（工程名称）</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1440" w:firstLineChars="20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640" w:firstLineChars="200"/>
        <w:jc w:val="center"/>
        <w:rPr>
          <w:rFonts w:hAnsi="宋体" w:cs="宋体"/>
          <w:b/>
          <w:sz w:val="32"/>
          <w:szCs w:val="32"/>
        </w:rPr>
      </w:pPr>
      <w:r>
        <w:rPr>
          <w:rFonts w:hint="eastAsia" w:hAnsi="宋体" w:cs="宋体"/>
          <w:b/>
          <w:sz w:val="32"/>
          <w:szCs w:val="32"/>
        </w:rPr>
        <w:t>（商务标）</w:t>
      </w:r>
    </w:p>
    <w:p>
      <w:pPr>
        <w:tabs>
          <w:tab w:val="center" w:pos="4739"/>
        </w:tabs>
        <w:ind w:left="180" w:firstLine="640" w:firstLineChars="20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640" w:firstLineChars="20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firstLine="640" w:firstLineChars="20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firstLine="640" w:firstLineChars="20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ind w:firstLine="720" w:firstLineChars="200"/>
        <w:jc w:val="center"/>
        <w:rPr>
          <w:rFonts w:hAnsi="宋体" w:cs="宋体"/>
          <w:b/>
          <w:sz w:val="36"/>
          <w:szCs w:val="36"/>
        </w:rPr>
        <w:sectPr>
          <w:headerReference r:id="rId11" w:type="first"/>
          <w:footerReference r:id="rId13" w:type="first"/>
          <w:footerReference r:id="rId12" w:type="default"/>
          <w:pgSz w:w="11906" w:h="16838"/>
          <w:pgMar w:top="1361" w:right="1134" w:bottom="1197" w:left="1134" w:header="851" w:footer="992" w:gutter="0"/>
          <w:cols w:space="720" w:num="1"/>
          <w:docGrid w:type="linesAndChars" w:linePitch="312" w:charSpace="0"/>
        </w:sectPr>
      </w:pPr>
      <w:r>
        <w:rPr>
          <w:rFonts w:hint="eastAsia" w:hAnsi="宋体" w:cs="宋体"/>
          <w:b/>
          <w:sz w:val="36"/>
          <w:szCs w:val="36"/>
        </w:rPr>
        <w:t xml:space="preserve"> </w:t>
      </w:r>
    </w:p>
    <w:p>
      <w:pPr>
        <w:autoSpaceDE w:val="0"/>
        <w:autoSpaceDN w:val="0"/>
        <w:adjustRightInd w:val="0"/>
        <w:spacing w:line="420" w:lineRule="exact"/>
        <w:ind w:firstLine="720" w:firstLineChars="200"/>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firstLine="480" w:firstLineChars="200"/>
        <w:jc w:val="center"/>
        <w:rPr>
          <w:rFonts w:hAnsi="宋体" w:cs="宋体"/>
          <w:b/>
          <w:sz w:val="32"/>
        </w:rPr>
      </w:pPr>
      <w:r>
        <w:rPr>
          <w:rFonts w:hint="eastAsia" w:hAnsi="宋体" w:cs="宋体"/>
          <w:sz w:val="24"/>
        </w:rPr>
        <w:t xml:space="preserve">  （按所发放的工程量清单编制）</w:t>
      </w:r>
    </w:p>
    <w:p>
      <w:pPr>
        <w:tabs>
          <w:tab w:val="center" w:pos="4739"/>
        </w:tabs>
        <w:spacing w:before="312" w:beforeLines="100" w:after="312" w:afterLines="100"/>
        <w:jc w:val="right"/>
        <w:rPr>
          <w:rFonts w:hAnsi="宋体" w:cs="宋体"/>
          <w:sz w:val="32"/>
          <w:szCs w:val="32"/>
        </w:rPr>
        <w:sectPr>
          <w:pgSz w:w="11906" w:h="16838"/>
          <w:pgMar w:top="1304" w:right="1134" w:bottom="1304" w:left="1134" w:header="851" w:footer="992" w:gutter="0"/>
          <w:cols w:space="720" w:num="1"/>
          <w:docGrid w:type="linesAndChars" w:linePitch="312" w:charSpace="0"/>
        </w:sectPr>
      </w:pPr>
    </w:p>
    <w:p>
      <w:pPr>
        <w:autoSpaceDE w:val="0"/>
        <w:autoSpaceDN w:val="0"/>
        <w:adjustRightInd w:val="0"/>
        <w:rPr>
          <w:rFonts w:hAnsi="宋体" w:cs="宋体"/>
          <w:b/>
          <w:spacing w:val="60"/>
          <w:sz w:val="48"/>
          <w:szCs w:val="48"/>
          <w:u w:val="single"/>
        </w:rPr>
      </w:pPr>
    </w:p>
    <w:p>
      <w:pPr>
        <w:autoSpaceDE w:val="0"/>
        <w:autoSpaceDN w:val="0"/>
        <w:adjustRightInd w:val="0"/>
        <w:rPr>
          <w:rFonts w:hAnsi="宋体" w:cs="宋体"/>
          <w:b/>
          <w:spacing w:val="60"/>
          <w:sz w:val="48"/>
          <w:szCs w:val="48"/>
          <w:u w:val="single"/>
        </w:rPr>
      </w:pPr>
    </w:p>
    <w:p>
      <w:pPr>
        <w:autoSpaceDE w:val="0"/>
        <w:autoSpaceDN w:val="0"/>
        <w:adjustRightInd w:val="0"/>
        <w:ind w:firstLine="600" w:firstLineChars="100"/>
        <w:rPr>
          <w:rFonts w:hAnsi="宋体" w:cs="宋体"/>
          <w:b/>
          <w:spacing w:val="60"/>
          <w:sz w:val="48"/>
          <w:szCs w:val="48"/>
          <w:u w:val="single"/>
        </w:rPr>
      </w:pPr>
      <w:r>
        <w:rPr>
          <w:rFonts w:hint="eastAsia" w:hAnsi="宋体" w:cs="宋体"/>
          <w:b/>
          <w:spacing w:val="60"/>
          <w:sz w:val="48"/>
          <w:szCs w:val="48"/>
          <w:u w:val="single"/>
        </w:rPr>
        <w:t xml:space="preserve">      </w:t>
      </w:r>
      <w:r>
        <w:rPr>
          <w:rFonts w:hint="eastAsia" w:hAnsi="宋体" w:cs="宋体"/>
          <w:b/>
          <w:spacing w:val="60"/>
          <w:sz w:val="48"/>
          <w:szCs w:val="48"/>
          <w:u w:val="single"/>
          <w:lang w:val="en-US" w:eastAsia="zh-CN"/>
        </w:rPr>
        <w:t xml:space="preserve">      </w:t>
      </w:r>
      <w:r>
        <w:rPr>
          <w:rFonts w:hint="eastAsia" w:hAnsi="宋体" w:cs="宋体"/>
          <w:b/>
          <w:spacing w:val="60"/>
          <w:sz w:val="48"/>
          <w:szCs w:val="48"/>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1440" w:firstLineChars="20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640" w:firstLineChars="200"/>
        <w:jc w:val="center"/>
        <w:rPr>
          <w:rFonts w:hAnsi="宋体" w:cs="宋体"/>
          <w:b/>
          <w:sz w:val="32"/>
          <w:szCs w:val="32"/>
        </w:rPr>
      </w:pPr>
      <w:r>
        <w:rPr>
          <w:rFonts w:hint="eastAsia" w:hAnsi="宋体" w:cs="宋体"/>
          <w:b/>
          <w:sz w:val="32"/>
          <w:szCs w:val="32"/>
        </w:rPr>
        <w:t>综合（信用）标</w:t>
      </w:r>
    </w:p>
    <w:p>
      <w:pPr>
        <w:tabs>
          <w:tab w:val="center" w:pos="4739"/>
        </w:tabs>
        <w:ind w:left="180" w:firstLine="640" w:firstLineChars="20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640" w:firstLineChars="20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firstLine="640" w:firstLineChars="20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firstLine="640" w:firstLineChars="20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sectPr>
          <w:pgSz w:w="11906" w:h="16838"/>
          <w:pgMar w:top="1304" w:right="1134" w:bottom="1304" w:left="1134" w:header="851" w:footer="992" w:gutter="0"/>
          <w:cols w:space="720" w:num="1"/>
          <w:docGrid w:type="linesAndChars" w:linePitch="312" w:charSpace="0"/>
        </w:sect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ind w:firstLine="720" w:firstLineChars="200"/>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718" w:leftChars="342" w:firstLine="480" w:firstLineChars="200"/>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718" w:leftChars="342" w:firstLine="480" w:firstLineChars="200"/>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718" w:leftChars="342" w:firstLine="480" w:firstLineChars="200"/>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718" w:leftChars="342" w:firstLine="480" w:firstLineChars="200"/>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718" w:leftChars="342" w:firstLine="480" w:firstLineChars="200"/>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718" w:leftChars="342" w:firstLine="480" w:firstLineChars="200"/>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718" w:leftChars="342" w:firstLine="480" w:firstLineChars="200"/>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718" w:leftChars="342" w:firstLine="480" w:firstLineChars="200"/>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718" w:leftChars="342" w:firstLine="480" w:firstLineChars="200"/>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718" w:leftChars="342" w:firstLine="480" w:firstLineChars="200"/>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718" w:leftChars="342"/>
        <w:jc w:val="left"/>
        <w:rPr>
          <w:rFonts w:hAnsi="宋体" w:cs="宋体"/>
          <w:b/>
          <w:sz w:val="24"/>
        </w:rPr>
      </w:pPr>
    </w:p>
    <w:p>
      <w:pPr>
        <w:spacing w:line="600" w:lineRule="exact"/>
        <w:ind w:left="850" w:leftChars="405" w:firstLine="480" w:firstLineChars="200"/>
        <w:rPr>
          <w:rFonts w:hAnsi="宋体" w:cs="宋体"/>
          <w:b/>
          <w:sz w:val="24"/>
        </w:rPr>
      </w:pPr>
      <w:r>
        <w:rPr>
          <w:rFonts w:hint="eastAsia" w:hAnsi="宋体" w:cs="宋体"/>
          <w:b/>
          <w:sz w:val="24"/>
        </w:rPr>
        <w:t>投标文件编制过程中应按本章提供的格式填报。</w:t>
      </w:r>
    </w:p>
    <w:p>
      <w:pPr>
        <w:spacing w:line="600" w:lineRule="exact"/>
        <w:ind w:left="850" w:leftChars="405" w:firstLine="480" w:firstLineChars="200"/>
        <w:rPr>
          <w:rFonts w:hAnsi="宋体" w:cs="宋体"/>
          <w:b/>
          <w:sz w:val="24"/>
        </w:rPr>
      </w:pPr>
      <w:r>
        <w:rPr>
          <w:rFonts w:hint="eastAsia" w:hAnsi="宋体" w:cs="宋体"/>
          <w:b/>
          <w:sz w:val="24"/>
        </w:rPr>
        <w:t>如有本章未提供的格式，投标人可自行编制。</w:t>
      </w:r>
    </w:p>
    <w:p>
      <w:pPr>
        <w:tabs>
          <w:tab w:val="center" w:pos="4739"/>
        </w:tabs>
        <w:ind w:left="180" w:firstLine="640" w:firstLineChars="200"/>
        <w:jc w:val="center"/>
        <w:rPr>
          <w:rFonts w:hAnsi="宋体" w:cs="宋体"/>
          <w:b/>
          <w:sz w:val="32"/>
        </w:rPr>
      </w:pPr>
      <w:r>
        <w:rPr>
          <w:rFonts w:hint="eastAsia" w:hAnsi="宋体" w:cs="宋体"/>
          <w:b/>
          <w:sz w:val="32"/>
        </w:rPr>
        <w:br w:type="page"/>
      </w:r>
      <w:r>
        <w:rPr>
          <w:rFonts w:hint="eastAsia" w:hAnsi="宋体" w:cs="宋体"/>
          <w:b/>
          <w:sz w:val="32"/>
        </w:rPr>
        <w:t>一、投标函及投标函附录</w:t>
      </w:r>
    </w:p>
    <w:p>
      <w:pPr>
        <w:spacing w:before="312" w:beforeLines="100" w:after="156" w:afterLines="50" w:line="510" w:lineRule="exact"/>
        <w:ind w:firstLine="560" w:firstLineChars="200"/>
        <w:jc w:val="center"/>
        <w:rPr>
          <w:rFonts w:hAnsi="宋体" w:cs="宋体"/>
          <w:sz w:val="28"/>
          <w:szCs w:val="28"/>
        </w:rPr>
      </w:pPr>
      <w:bookmarkStart w:id="109" w:name="_Toc271787730"/>
      <w:r>
        <w:rPr>
          <w:rFonts w:hint="eastAsia" w:hAnsi="宋体" w:cs="宋体"/>
          <w:sz w:val="28"/>
          <w:szCs w:val="28"/>
        </w:rPr>
        <w:t>（一）投标函</w:t>
      </w:r>
    </w:p>
    <w:p>
      <w:pPr>
        <w:spacing w:line="480" w:lineRule="exact"/>
        <w:ind w:firstLine="480" w:firstLineChars="200"/>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480" w:firstLineChars="200"/>
        <w:rPr>
          <w:rFonts w:hAnsi="宋体" w:cs="宋体"/>
          <w:sz w:val="24"/>
        </w:rPr>
      </w:pPr>
      <w:r>
        <w:rPr>
          <w:rFonts w:hint="eastAsia" w:hAnsi="宋体" w:cs="宋体"/>
          <w:sz w:val="24"/>
        </w:rPr>
        <w:t>人民币（大写）：</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480" w:firstLineChars="20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jc w:val="center"/>
        <w:outlineLvl w:val="0"/>
        <w:rPr>
          <w:rFonts w:hAnsi="宋体" w:cs="宋体"/>
          <w:sz w:val="28"/>
          <w:szCs w:val="28"/>
        </w:rPr>
        <w:sectPr>
          <w:pgSz w:w="11906" w:h="16838"/>
          <w:pgMar w:top="1304" w:right="1134" w:bottom="1304" w:left="1134" w:header="851" w:footer="992" w:gutter="0"/>
          <w:cols w:space="720" w:num="1"/>
          <w:docGrid w:type="linesAndChars" w:linePitch="312" w:charSpace="0"/>
        </w:sectPr>
      </w:pPr>
      <w:bookmarkStart w:id="110" w:name="_Toc250616672"/>
    </w:p>
    <w:p>
      <w:pPr>
        <w:autoSpaceDE w:val="0"/>
        <w:autoSpaceDN w:val="0"/>
        <w:adjustRightInd w:val="0"/>
        <w:ind w:firstLine="560" w:firstLineChars="200"/>
        <w:jc w:val="center"/>
        <w:outlineLvl w:val="0"/>
        <w:rPr>
          <w:rFonts w:hAnsi="宋体" w:cs="宋体"/>
          <w:sz w:val="28"/>
          <w:szCs w:val="28"/>
        </w:rPr>
      </w:pPr>
      <w:bookmarkStart w:id="111" w:name="_Toc15081"/>
      <w:r>
        <w:rPr>
          <w:rFonts w:hint="eastAsia" w:hAnsi="宋体" w:cs="宋体"/>
          <w:sz w:val="28"/>
          <w:szCs w:val="28"/>
        </w:rPr>
        <w:t>（二）投标函附录</w:t>
      </w:r>
      <w:bookmarkEnd w:id="110"/>
      <w:bookmarkEnd w:id="111"/>
    </w:p>
    <w:p>
      <w:pPr>
        <w:rPr>
          <w:rFonts w:hAnsi="宋体" w:cs="宋体"/>
        </w:rPr>
      </w:pPr>
    </w:p>
    <w:tbl>
      <w:tblPr>
        <w:tblStyle w:val="15"/>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项目经理</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ind w:firstLine="480" w:firstLineChars="200"/>
              <w:rPr>
                <w:rFonts w:hAnsi="宋体" w:cs="宋体"/>
                <w:sz w:val="24"/>
              </w:rPr>
            </w:pPr>
            <w:r>
              <w:rPr>
                <w:rFonts w:hint="eastAsia" w:hAnsi="宋体" w:cs="宋体"/>
                <w:sz w:val="24"/>
              </w:rPr>
              <w:t>其中：</w:t>
            </w:r>
          </w:p>
          <w:p>
            <w:pPr>
              <w:spacing w:line="480" w:lineRule="exact"/>
              <w:ind w:firstLine="480" w:firstLineChars="200"/>
              <w:rPr>
                <w:rFonts w:hAnsi="宋体" w:cs="宋体"/>
                <w:sz w:val="24"/>
              </w:rPr>
            </w:pPr>
            <w:r>
              <w:rPr>
                <w:rFonts w:hint="eastAsia" w:hAnsi="宋体" w:cs="宋体"/>
                <w:sz w:val="24"/>
              </w:rPr>
              <w:t>规费RMB￥：元</w:t>
            </w:r>
          </w:p>
          <w:p>
            <w:pPr>
              <w:spacing w:line="480" w:lineRule="exact"/>
              <w:ind w:firstLine="480" w:firstLineChars="200"/>
              <w:rPr>
                <w:rFonts w:hAnsi="宋体" w:cs="宋体"/>
                <w:sz w:val="24"/>
              </w:rPr>
            </w:pPr>
            <w:r>
              <w:rPr>
                <w:rFonts w:hint="eastAsia" w:hAnsi="宋体" w:cs="宋体"/>
                <w:sz w:val="24"/>
              </w:rPr>
              <w:t>税金RMB￥：元</w:t>
            </w:r>
          </w:p>
          <w:p>
            <w:pPr>
              <w:spacing w:line="480" w:lineRule="exact"/>
              <w:ind w:firstLine="480" w:firstLineChars="200"/>
              <w:rPr>
                <w:rFonts w:hAnsi="宋体" w:cs="宋体"/>
                <w:sz w:val="24"/>
              </w:rPr>
            </w:pPr>
            <w:r>
              <w:rPr>
                <w:rFonts w:hint="eastAsia" w:hAnsi="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ind w:firstLine="480" w:firstLineChars="200"/>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firstLine="480" w:firstLineChars="200"/>
        <w:jc w:val="right"/>
        <w:rPr>
          <w:rFonts w:hAnsi="宋体" w:cs="宋体"/>
          <w:sz w:val="24"/>
        </w:rPr>
      </w:pPr>
      <w:r>
        <w:rPr>
          <w:rFonts w:hint="eastAsia" w:hAnsi="宋体" w:cs="宋体"/>
          <w:sz w:val="24"/>
        </w:rPr>
        <w:t>投标单位（盖章）：</w:t>
      </w:r>
    </w:p>
    <w:p>
      <w:pPr>
        <w:spacing w:line="360" w:lineRule="auto"/>
        <w:ind w:right="315" w:firstLine="480" w:firstLineChars="200"/>
        <w:jc w:val="right"/>
        <w:rPr>
          <w:rFonts w:hAnsi="宋体" w:cs="宋体"/>
          <w:sz w:val="24"/>
        </w:rPr>
      </w:pPr>
      <w:r>
        <w:rPr>
          <w:rFonts w:hint="eastAsia" w:hAnsi="宋体" w:cs="宋体"/>
          <w:sz w:val="24"/>
        </w:rPr>
        <w:t>法定代表人或委托代理人（签字）：</w:t>
      </w:r>
    </w:p>
    <w:p>
      <w:pPr>
        <w:wordWrap w:val="0"/>
        <w:spacing w:line="360" w:lineRule="auto"/>
        <w:ind w:right="1110" w:firstLine="480" w:firstLineChars="200"/>
        <w:jc w:val="right"/>
        <w:rPr>
          <w:rFonts w:hAnsi="宋体" w:cs="宋体"/>
          <w:sz w:val="28"/>
          <w:szCs w:val="28"/>
        </w:rPr>
      </w:pPr>
      <w:r>
        <w:rPr>
          <w:rFonts w:hint="eastAsia" w:hAnsi="宋体" w:cs="宋体"/>
          <w:sz w:val="24"/>
        </w:rPr>
        <w:t>年   月    日</w:t>
      </w:r>
    </w:p>
    <w:p>
      <w:pPr>
        <w:autoSpaceDE w:val="0"/>
        <w:autoSpaceDN w:val="0"/>
        <w:adjustRightInd w:val="0"/>
        <w:spacing w:before="312" w:beforeLines="100" w:after="312" w:afterLines="100" w:line="420" w:lineRule="exact"/>
        <w:ind w:firstLine="560" w:firstLineChars="200"/>
        <w:jc w:val="center"/>
        <w:outlineLvl w:val="0"/>
        <w:rPr>
          <w:rFonts w:hAnsi="宋体" w:cs="宋体"/>
          <w:b/>
          <w:sz w:val="28"/>
          <w:szCs w:val="28"/>
        </w:rPr>
      </w:pPr>
      <w:r>
        <w:rPr>
          <w:rFonts w:hint="eastAsia" w:hAnsi="宋体" w:cs="宋体"/>
          <w:sz w:val="28"/>
          <w:szCs w:val="28"/>
        </w:rPr>
        <w:br w:type="page"/>
      </w:r>
      <w:bookmarkStart w:id="112" w:name="_Toc19442"/>
      <w:r>
        <w:rPr>
          <w:rFonts w:hint="eastAsia" w:hAnsi="宋体" w:cs="宋体"/>
          <w:sz w:val="28"/>
          <w:szCs w:val="28"/>
        </w:rPr>
        <w:t>二、</w:t>
      </w:r>
      <w:bookmarkEnd w:id="109"/>
      <w:r>
        <w:rPr>
          <w:rFonts w:hint="eastAsia" w:hAnsi="宋体" w:cs="宋体"/>
          <w:b/>
          <w:sz w:val="28"/>
          <w:szCs w:val="28"/>
        </w:rPr>
        <w:t>法定代表人身份证明、授权委托书及项目负责人承诺书</w:t>
      </w:r>
      <w:bookmarkEnd w:id="112"/>
    </w:p>
    <w:p>
      <w:pPr>
        <w:autoSpaceDE w:val="0"/>
        <w:autoSpaceDN w:val="0"/>
        <w:adjustRightInd w:val="0"/>
        <w:spacing w:line="420" w:lineRule="exact"/>
        <w:ind w:firstLine="560" w:firstLineChars="200"/>
        <w:jc w:val="center"/>
        <w:outlineLvl w:val="0"/>
        <w:rPr>
          <w:rFonts w:hAnsi="宋体" w:cs="宋体"/>
          <w:b/>
          <w:bCs/>
          <w:sz w:val="28"/>
          <w:szCs w:val="28"/>
        </w:rPr>
      </w:pPr>
      <w:bookmarkStart w:id="113" w:name="_Toc271787731"/>
      <w:bookmarkStart w:id="114" w:name="_Toc25215"/>
      <w:r>
        <w:rPr>
          <w:rFonts w:hint="eastAsia" w:hAnsi="宋体" w:cs="宋体"/>
          <w:b/>
          <w:bCs/>
          <w:sz w:val="28"/>
          <w:szCs w:val="28"/>
        </w:rPr>
        <w:t>（一）法定代表人身份证明</w:t>
      </w:r>
      <w:bookmarkEnd w:id="113"/>
      <w:bookmarkEnd w:id="114"/>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szCs w:val="24"/>
          <w:u w:val="single"/>
        </w:rPr>
      </w:pPr>
      <w:r>
        <w:rPr>
          <w:rFonts w:hint="eastAsia" w:hAnsi="宋体" w:cs="宋体"/>
          <w:sz w:val="24"/>
          <w:szCs w:val="24"/>
        </w:rPr>
        <w:t>投标人名称：</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单位性质：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地址：</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成立时间：年月日</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经营期限：</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姓名：性别：年龄：职务：</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系（投标人名称）的法定代表人。</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特此证明。</w:t>
      </w:r>
    </w:p>
    <w:p>
      <w:pPr>
        <w:autoSpaceDE w:val="0"/>
        <w:autoSpaceDN w:val="0"/>
        <w:adjustRightInd w:val="0"/>
        <w:spacing w:line="420" w:lineRule="exact"/>
        <w:ind w:firstLine="480" w:firstLineChars="200"/>
        <w:jc w:val="left"/>
        <w:rPr>
          <w:rFonts w:hAnsi="宋体" w:cs="宋体"/>
          <w:sz w:val="24"/>
          <w:szCs w:val="24"/>
        </w:rPr>
      </w:pPr>
      <w:r>
        <w:rPr>
          <w:rFonts w:hint="eastAsia" w:ascii="宋体" w:hAnsi="宋体" w:cs="仿宋_GB2312"/>
          <w:kern w:val="0"/>
          <w:sz w:val="24"/>
          <w:szCs w:val="24"/>
        </w:rPr>
        <w:t>附：法定代表人身份证复印件</w:t>
      </w:r>
    </w:p>
    <w:p/>
    <w:p>
      <w:pPr>
        <w:autoSpaceDE w:val="0"/>
        <w:autoSpaceDN w:val="0"/>
        <w:adjustRightInd w:val="0"/>
        <w:spacing w:line="420" w:lineRule="exact"/>
        <w:ind w:firstLine="480" w:firstLineChars="200"/>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 月 日</w:t>
      </w:r>
    </w:p>
    <w:p>
      <w:pPr>
        <w:autoSpaceDE w:val="0"/>
        <w:autoSpaceDN w:val="0"/>
        <w:adjustRightInd w:val="0"/>
        <w:spacing w:line="420" w:lineRule="exact"/>
        <w:ind w:firstLine="420" w:firstLineChars="200"/>
        <w:jc w:val="right"/>
        <w:rPr>
          <w:rFonts w:hAnsi="宋体" w:cs="宋体"/>
          <w:szCs w:val="21"/>
        </w:rPr>
      </w:pPr>
    </w:p>
    <w:p>
      <w:pPr>
        <w:autoSpaceDE w:val="0"/>
        <w:autoSpaceDN w:val="0"/>
        <w:adjustRightInd w:val="0"/>
        <w:spacing w:line="420" w:lineRule="exact"/>
        <w:ind w:firstLine="560" w:firstLineChars="200"/>
        <w:jc w:val="center"/>
        <w:outlineLvl w:val="0"/>
        <w:rPr>
          <w:rFonts w:hAnsi="宋体" w:cs="宋体"/>
          <w:b/>
          <w:bCs/>
          <w:sz w:val="28"/>
          <w:szCs w:val="28"/>
        </w:rPr>
      </w:pPr>
      <w:bookmarkStart w:id="115" w:name="_Toc271787732"/>
      <w:bookmarkStart w:id="116" w:name="_Toc30413"/>
      <w:r>
        <w:rPr>
          <w:rFonts w:hint="eastAsia" w:hAnsi="宋体" w:cs="宋体"/>
          <w:b/>
          <w:bCs/>
          <w:sz w:val="28"/>
          <w:szCs w:val="28"/>
        </w:rPr>
        <w:t>（二）授权委托书</w:t>
      </w:r>
      <w:bookmarkEnd w:id="115"/>
      <w:bookmarkEnd w:id="116"/>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 xml:space="preserve">本人 </w:t>
      </w:r>
      <w:r>
        <w:rPr>
          <w:rFonts w:hint="eastAsia" w:hAnsi="宋体" w:cs="宋体"/>
          <w:sz w:val="24"/>
          <w:szCs w:val="24"/>
          <w:u w:val="single"/>
        </w:rPr>
        <w:t xml:space="preserve">      </w:t>
      </w:r>
      <w:r>
        <w:rPr>
          <w:rFonts w:hint="eastAsia" w:hAnsi="宋体" w:cs="宋体"/>
          <w:sz w:val="24"/>
          <w:szCs w:val="24"/>
        </w:rPr>
        <w:t>（姓名）系</w:t>
      </w:r>
      <w:r>
        <w:rPr>
          <w:rFonts w:hint="eastAsia" w:hAnsi="宋体" w:cs="宋体"/>
          <w:sz w:val="24"/>
          <w:szCs w:val="24"/>
          <w:u w:val="single"/>
        </w:rPr>
        <w:t xml:space="preserve">      </w:t>
      </w:r>
      <w:r>
        <w:rPr>
          <w:rFonts w:hint="eastAsia" w:hAnsi="宋体" w:cs="宋体"/>
          <w:sz w:val="24"/>
          <w:szCs w:val="24"/>
        </w:rPr>
        <w:t>（投标人名称）的法定代表人，现委托</w:t>
      </w:r>
      <w:r>
        <w:rPr>
          <w:rFonts w:hint="eastAsia" w:hAnsi="宋体" w:cs="宋体"/>
          <w:sz w:val="24"/>
          <w:szCs w:val="24"/>
          <w:u w:val="single"/>
        </w:rPr>
        <w:t xml:space="preserve">      </w:t>
      </w:r>
      <w:r>
        <w:rPr>
          <w:rFonts w:hint="eastAsia" w:hAnsi="宋体" w:cs="宋体"/>
          <w:sz w:val="24"/>
          <w:szCs w:val="24"/>
        </w:rPr>
        <w:t xml:space="preserve">（姓名）为我方代理人。代理人根据授权，以我方名义签署、澄清、说明、补正、递交、撤回、修改 </w:t>
      </w:r>
      <w:r>
        <w:rPr>
          <w:rFonts w:hint="eastAsia" w:hAnsi="宋体" w:cs="宋体"/>
          <w:sz w:val="24"/>
          <w:szCs w:val="24"/>
          <w:u w:val="single"/>
        </w:rPr>
        <w:t xml:space="preserve">              </w:t>
      </w:r>
      <w:r>
        <w:rPr>
          <w:rFonts w:hint="eastAsia" w:hAnsi="宋体" w:cs="宋体"/>
          <w:sz w:val="24"/>
          <w:szCs w:val="24"/>
        </w:rPr>
        <w:t>（项目名称）施工投标文件、签订合同和处理有关事宜，其法律后果由我方承担。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委托期限：</w:t>
      </w:r>
      <w:r>
        <w:rPr>
          <w:rFonts w:hint="eastAsia" w:hAnsi="宋体" w:cs="宋体"/>
          <w:sz w:val="24"/>
          <w:szCs w:val="24"/>
          <w:u w:val="single"/>
        </w:rPr>
        <w:t xml:space="preserve">           </w:t>
      </w:r>
      <w:r>
        <w:rPr>
          <w:rFonts w:hint="eastAsia" w:hAnsi="宋体" w:cs="宋体"/>
          <w:sz w:val="24"/>
          <w:szCs w:val="24"/>
        </w:rPr>
        <w:t>。</w:t>
      </w: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代理人无转委托权。</w:t>
      </w: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附：法定代表人身份证复印件及委托代理人身份证复印件</w:t>
      </w: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投标人：（盖单位章）</w:t>
      </w: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法定代表人： （签字）</w:t>
      </w: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身份证号码：</w:t>
      </w: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委托代理人： （签字）</w:t>
      </w:r>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身份证号码：</w:t>
      </w:r>
    </w:p>
    <w:p>
      <w:pPr>
        <w:autoSpaceDE w:val="0"/>
        <w:autoSpaceDN w:val="0"/>
        <w:adjustRightInd w:val="0"/>
        <w:spacing w:line="440" w:lineRule="exact"/>
        <w:ind w:firstLine="480" w:firstLineChars="200"/>
        <w:jc w:val="left"/>
        <w:rPr>
          <w:rFonts w:hAnsi="宋体" w:cs="宋体"/>
          <w:b/>
          <w:sz w:val="32"/>
        </w:rPr>
      </w:pPr>
      <w:r>
        <w:rPr>
          <w:rFonts w:hint="eastAsia" w:hAnsi="宋体" w:cs="宋体"/>
          <w:sz w:val="24"/>
        </w:rPr>
        <w:t>年月 日</w:t>
      </w:r>
    </w:p>
    <w:p>
      <w:pPr>
        <w:spacing w:line="360" w:lineRule="auto"/>
        <w:jc w:val="center"/>
        <w:rPr>
          <w:rFonts w:hAnsi="宋体" w:cs="宋体"/>
          <w:b/>
          <w:sz w:val="36"/>
          <w:szCs w:val="36"/>
        </w:rPr>
      </w:pPr>
    </w:p>
    <w:p>
      <w:pPr>
        <w:autoSpaceDE w:val="0"/>
        <w:autoSpaceDN w:val="0"/>
        <w:adjustRightInd w:val="0"/>
        <w:spacing w:line="420" w:lineRule="exact"/>
        <w:ind w:firstLine="560" w:firstLineChars="200"/>
        <w:jc w:val="center"/>
        <w:outlineLvl w:val="0"/>
        <w:rPr>
          <w:rFonts w:hAnsi="宋体" w:cs="宋体"/>
          <w:b/>
          <w:bCs/>
          <w:sz w:val="28"/>
          <w:szCs w:val="28"/>
        </w:rPr>
      </w:pPr>
      <w:r>
        <w:rPr>
          <w:rFonts w:hint="eastAsia" w:hAnsi="宋体" w:cs="宋体"/>
          <w:b/>
          <w:bCs/>
          <w:sz w:val="28"/>
          <w:szCs w:val="28"/>
        </w:rPr>
        <w:t>（三）承诺书</w:t>
      </w:r>
    </w:p>
    <w:p>
      <w:pPr>
        <w:spacing w:after="312" w:afterLines="100" w:line="440" w:lineRule="exact"/>
        <w:ind w:firstLine="480" w:firstLineChars="200"/>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（项目名称）（以下简称“本工程”）的项目经理</w:t>
      </w:r>
      <w:r>
        <w:rPr>
          <w:rFonts w:hint="eastAsia" w:hAnsi="宋体" w:cs="宋体"/>
          <w:sz w:val="24"/>
          <w:u w:val="single"/>
        </w:rPr>
        <w:t xml:space="preserve">           </w:t>
      </w:r>
      <w:r>
        <w:rPr>
          <w:rFonts w:hint="eastAsia" w:hAnsi="宋体" w:cs="宋体"/>
          <w:sz w:val="24"/>
        </w:rPr>
        <w:t>（项目经理签字）现阶段没有担任任何在施建设工程项目的项目经理。</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ind w:firstLine="480" w:firstLineChars="200"/>
        <w:jc w:val="center"/>
        <w:rPr>
          <w:rFonts w:hAnsi="宋体" w:cs="宋体"/>
          <w:sz w:val="24"/>
        </w:rPr>
      </w:pPr>
      <w:r>
        <w:rPr>
          <w:rFonts w:hint="eastAsia" w:hAnsi="宋体" w:cs="宋体"/>
          <w:sz w:val="24"/>
        </w:rPr>
        <w:t xml:space="preserve">                                                  投标人：（盖单位章）</w:t>
      </w:r>
    </w:p>
    <w:p>
      <w:pPr>
        <w:spacing w:line="440" w:lineRule="exact"/>
        <w:ind w:right="315" w:firstLine="480" w:firstLineChars="200"/>
        <w:jc w:val="right"/>
      </w:pPr>
      <w:r>
        <w:rPr>
          <w:rFonts w:hint="eastAsia" w:hAnsi="宋体" w:cs="宋体"/>
          <w:sz w:val="24"/>
        </w:rPr>
        <w:t>法定代表人：（签字）</w:t>
      </w:r>
    </w:p>
    <w:p>
      <w:pPr>
        <w:spacing w:line="440" w:lineRule="exact"/>
        <w:ind w:firstLine="480" w:firstLineChars="200"/>
        <w:jc w:val="center"/>
        <w:rPr>
          <w:rFonts w:hAnsi="宋体" w:cs="宋体"/>
          <w:sz w:val="24"/>
        </w:rPr>
      </w:pPr>
      <w:r>
        <w:rPr>
          <w:rFonts w:hint="eastAsia" w:hAnsi="宋体" w:cs="宋体"/>
          <w:sz w:val="24"/>
        </w:rPr>
        <w:t xml:space="preserve">                                                    年     月    日</w:t>
      </w:r>
    </w:p>
    <w:p>
      <w:pPr>
        <w:pStyle w:val="2"/>
        <w:ind w:firstLine="240"/>
      </w:pPr>
      <w:r>
        <w:rPr>
          <w:rFonts w:hint="eastAsia" w:hAnsi="宋体"/>
          <w:bCs/>
          <w:sz w:val="24"/>
          <w:szCs w:val="24"/>
        </w:rPr>
        <w:t>注：承诺书必须由法定代表人及项目经理签名并加盖单位公章；</w:t>
      </w:r>
    </w:p>
    <w:p>
      <w:pPr>
        <w:pStyle w:val="13"/>
        <w:ind w:left="2250" w:hanging="1200"/>
        <w:sectPr>
          <w:pgSz w:w="11906" w:h="16838"/>
          <w:pgMar w:top="1304" w:right="1134" w:bottom="1304" w:left="1134" w:header="851" w:footer="992" w:gutter="0"/>
          <w:cols w:space="720" w:num="1"/>
          <w:docGrid w:type="linesAndChars" w:linePitch="312" w:charSpace="0"/>
        </w:sectPr>
      </w:pPr>
    </w:p>
    <w:p>
      <w:pPr>
        <w:spacing w:line="360" w:lineRule="auto"/>
        <w:ind w:firstLine="720" w:firstLineChars="200"/>
        <w:jc w:val="center"/>
        <w:rPr>
          <w:rFonts w:hAnsi="宋体" w:cs="宋体"/>
          <w:b/>
          <w:sz w:val="36"/>
          <w:szCs w:val="36"/>
        </w:rPr>
      </w:pPr>
      <w:r>
        <w:rPr>
          <w:rFonts w:hint="eastAsia" w:hAnsi="宋体" w:cs="宋体"/>
          <w:sz w:val="36"/>
          <w:szCs w:val="36"/>
        </w:rPr>
        <w:drawing>
          <wp:anchor distT="0" distB="0" distL="0" distR="0" simplePos="0" relativeHeight="102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027" name="Picture 2"/>
            <wp:cNvGraphicFramePr/>
            <a:graphic xmlns:a="http://schemas.openxmlformats.org/drawingml/2006/main">
              <a:graphicData uri="http://schemas.openxmlformats.org/drawingml/2006/picture">
                <pic:pic xmlns:pic="http://schemas.openxmlformats.org/drawingml/2006/picture">
                  <pic:nvPicPr>
                    <pic:cNvPr id="1027" name="Picture 2"/>
                    <pic:cNvPicPr/>
                  </pic:nvPicPr>
                  <pic:blipFill>
                    <a:blip r:embed="rId18" cstate="print"/>
                    <a:srcRect/>
                    <a:stretch>
                      <a:fillRect/>
                    </a:stretch>
                  </pic:blipFill>
                  <pic:spPr>
                    <a:xfrm>
                      <a:off x="0" y="0"/>
                      <a:ext cx="952499" cy="927099"/>
                    </a:xfrm>
                    <a:prstGeom prst="rect">
                      <a:avLst/>
                    </a:prstGeom>
                    <a:ln>
                      <a:noFill/>
                    </a:ln>
                  </pic:spPr>
                </pic:pic>
              </a:graphicData>
            </a:graphic>
          </wp:anchor>
        </w:drawing>
      </w:r>
      <w:r>
        <w:rPr>
          <w:rFonts w:hint="eastAsia" w:hAnsi="宋体" w:cs="宋体"/>
          <w:b/>
          <w:sz w:val="36"/>
          <w:szCs w:val="36"/>
        </w:rPr>
        <w:t>三、投标保证金</w:t>
      </w:r>
    </w:p>
    <w:p>
      <w:pPr>
        <w:rPr>
          <w:szCs w:val="21"/>
        </w:rPr>
      </w:pPr>
    </w:p>
    <w:p>
      <w:pPr>
        <w:autoSpaceDE w:val="0"/>
        <w:autoSpaceDN w:val="0"/>
        <w:adjustRightInd w:val="0"/>
        <w:spacing w:line="420" w:lineRule="exact"/>
        <w:ind w:firstLine="480" w:firstLineChars="200"/>
        <w:jc w:val="center"/>
        <w:rPr>
          <w:rFonts w:hAnsi="宋体" w:cs="宋体"/>
          <w:sz w:val="24"/>
          <w:szCs w:val="24"/>
        </w:rPr>
      </w:pPr>
      <w:r>
        <w:rPr>
          <w:rFonts w:hint="eastAsia" w:hAnsi="宋体" w:cs="宋体"/>
          <w:sz w:val="24"/>
          <w:szCs w:val="24"/>
        </w:rPr>
        <w:t>附“</w:t>
      </w:r>
      <w:r>
        <w:rPr>
          <w:rFonts w:hint="eastAsia" w:hAnsi="宋体" w:cs="宋体"/>
          <w:sz w:val="24"/>
          <w:szCs w:val="21"/>
          <w:lang w:val="zh-CN"/>
        </w:rPr>
        <w:t>襄城县公共资源交易中心保证金缴纳回执单</w:t>
      </w:r>
      <w:r>
        <w:rPr>
          <w:rFonts w:hint="eastAsia" w:hAnsi="宋体" w:cs="宋体"/>
          <w:sz w:val="24"/>
          <w:szCs w:val="24"/>
        </w:rPr>
        <w:t>”原件扫描件或图片；</w:t>
      </w:r>
    </w:p>
    <w:p>
      <w:pPr>
        <w:autoSpaceDE w:val="0"/>
        <w:autoSpaceDN w:val="0"/>
        <w:adjustRightInd w:val="0"/>
        <w:spacing w:line="420" w:lineRule="exact"/>
        <w:ind w:firstLine="420" w:firstLineChars="200"/>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560" w:firstLineChars="20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5"/>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156" w:beforeLines="50" w:after="312" w:afterLines="100" w:line="420" w:lineRule="exact"/>
        <w:ind w:firstLine="560" w:firstLineChars="200"/>
        <w:rPr>
          <w:rFonts w:hAnsi="宋体" w:cs="宋体"/>
          <w:b/>
          <w:sz w:val="28"/>
          <w:szCs w:val="28"/>
        </w:rPr>
      </w:pPr>
      <w:r>
        <w:rPr>
          <w:rFonts w:hint="eastAsia" w:hAnsi="宋体" w:cs="宋体"/>
          <w:b/>
          <w:sz w:val="28"/>
          <w:szCs w:val="28"/>
        </w:rPr>
        <w:t>（二）主要人员简历表</w:t>
      </w:r>
    </w:p>
    <w:p>
      <w:pPr>
        <w:spacing w:line="420" w:lineRule="exact"/>
        <w:ind w:firstLine="480" w:firstLineChars="200"/>
        <w:rPr>
          <w:rFonts w:hAnsi="宋体" w:cs="宋体"/>
          <w:sz w:val="24"/>
        </w:rPr>
      </w:pPr>
      <w:r>
        <w:rPr>
          <w:rFonts w:hint="eastAsia" w:hAnsi="宋体" w:cs="宋体"/>
          <w:sz w:val="24"/>
        </w:rPr>
        <w:t>附1：项目经理简历表</w:t>
      </w:r>
    </w:p>
    <w:p>
      <w:pPr>
        <w:spacing w:line="420" w:lineRule="exact"/>
        <w:rPr>
          <w:rFonts w:hAnsi="宋体" w:cs="宋体"/>
          <w:sz w:val="24"/>
        </w:rPr>
      </w:pPr>
    </w:p>
    <w:tbl>
      <w:tblPr>
        <w:tblStyle w:val="1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ind w:firstLine="420" w:firstLineChars="200"/>
        <w:rPr>
          <w:rFonts w:hAnsi="宋体" w:cs="宋体"/>
          <w:sz w:val="24"/>
        </w:rPr>
      </w:pPr>
      <w:r>
        <w:rPr>
          <w:rFonts w:hint="eastAsia" w:hAnsi="宋体" w:cs="宋体"/>
          <w:szCs w:val="21"/>
        </w:rPr>
        <w:t>注：上传的的电子投标文件中所涉及的证件类须是原件的扫描件或图片。</w:t>
      </w:r>
      <w:r>
        <w:rPr>
          <w:rFonts w:hint="eastAsia" w:hAnsi="宋体" w:cs="宋体"/>
          <w:szCs w:val="21"/>
        </w:rPr>
        <w:br w:type="page"/>
      </w:r>
      <w:r>
        <w:rPr>
          <w:rFonts w:hint="eastAsia" w:hAnsi="宋体" w:cs="宋体"/>
          <w:sz w:val="24"/>
        </w:rPr>
        <w:t>附2：主要项目管理人员简历表</w:t>
      </w:r>
    </w:p>
    <w:tbl>
      <w:tblPr>
        <w:tblStyle w:val="15"/>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rPr>
                <w:rFonts w:hAnsi="宋体" w:cs="宋体"/>
                <w:sz w:val="24"/>
              </w:rPr>
            </w:pPr>
            <w:r>
              <w:rPr>
                <w:rFonts w:hint="eastAsia" w:hAnsi="宋体" w:cs="宋体"/>
                <w:sz w:val="24"/>
              </w:rPr>
              <w:t>主要</w:t>
            </w:r>
          </w:p>
          <w:p>
            <w:pPr>
              <w:rPr>
                <w:rFonts w:hAnsi="宋体" w:cs="宋体"/>
                <w:sz w:val="24"/>
              </w:rPr>
            </w:pPr>
            <w:r>
              <w:rPr>
                <w:rFonts w:hint="eastAsia" w:hAnsi="宋体" w:cs="宋体"/>
                <w:sz w:val="24"/>
              </w:rPr>
              <w:t>工作</w:t>
            </w:r>
          </w:p>
          <w:p>
            <w:pPr>
              <w:rPr>
                <w:rFonts w:hAnsi="宋体" w:cs="宋体"/>
                <w:sz w:val="24"/>
              </w:rPr>
            </w:pPr>
            <w:r>
              <w:rPr>
                <w:rFonts w:hint="eastAsia" w:hAnsi="宋体" w:cs="宋体"/>
                <w:sz w:val="24"/>
              </w:rPr>
              <w:t>业绩</w:t>
            </w:r>
          </w:p>
          <w:p>
            <w:pPr>
              <w:rPr>
                <w:rFonts w:hAnsi="宋体" w:cs="宋体"/>
                <w:sz w:val="24"/>
              </w:rPr>
            </w:pPr>
            <w:r>
              <w:rPr>
                <w:rFonts w:hint="eastAsia" w:hAnsi="宋体" w:cs="宋体"/>
                <w:sz w:val="24"/>
              </w:rPr>
              <w:t>及担</w:t>
            </w:r>
          </w:p>
          <w:p>
            <w:pPr>
              <w:rPr>
                <w:rFonts w:hAnsi="宋体" w:cs="宋体"/>
                <w:sz w:val="24"/>
              </w:rPr>
            </w:pPr>
            <w:r>
              <w:rPr>
                <w:rFonts w:hint="eastAsia" w:hAnsi="宋体" w:cs="宋体"/>
                <w:sz w:val="24"/>
              </w:rPr>
              <w:t>任的</w:t>
            </w:r>
          </w:p>
          <w:p>
            <w:pPr>
              <w:rPr>
                <w:rFonts w:hAnsi="宋体" w:cs="宋体"/>
                <w:sz w:val="24"/>
              </w:rPr>
            </w:pPr>
            <w:r>
              <w:rPr>
                <w:rFonts w:hint="eastAsia" w:hAnsi="宋体" w:cs="宋体"/>
                <w:sz w:val="24"/>
              </w:rPr>
              <w:t>主要</w:t>
            </w:r>
          </w:p>
          <w:p>
            <w:pP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autoSpaceDE w:val="0"/>
        <w:autoSpaceDN w:val="0"/>
        <w:adjustRightInd w:val="0"/>
        <w:spacing w:line="360" w:lineRule="auto"/>
        <w:ind w:right="215" w:firstLine="640" w:firstLineChars="20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投标单位基本信息表</w:t>
      </w:r>
    </w:p>
    <w:p>
      <w:pPr>
        <w:autoSpaceDE w:val="0"/>
        <w:autoSpaceDN w:val="0"/>
        <w:adjustRightInd w:val="0"/>
        <w:spacing w:line="360" w:lineRule="auto"/>
        <w:ind w:right="215" w:firstLine="420"/>
        <w:jc w:val="center"/>
        <w:rPr>
          <w:rFonts w:hAnsi="宋体" w:cs="宋体"/>
          <w:b/>
          <w:sz w:val="28"/>
        </w:rPr>
      </w:pPr>
    </w:p>
    <w:tbl>
      <w:tblPr>
        <w:tblStyle w:val="15"/>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80" w:firstLineChars="200"/>
        <w:rPr>
          <w:rFonts w:hAnsi="宋体" w:cs="宋体"/>
          <w:sz w:val="24"/>
        </w:rPr>
      </w:pPr>
      <w:r>
        <w:rPr>
          <w:rFonts w:hint="eastAsia" w:hAnsi="宋体" w:cs="宋体"/>
          <w:sz w:val="24"/>
        </w:rPr>
        <w:t>备注：本表后应附企业法人营业执照、企业资质证书副本、安全生产许可证等材料的原件扫描件或图片。</w:t>
      </w:r>
    </w:p>
    <w:p>
      <w:pPr>
        <w:autoSpaceDE w:val="0"/>
        <w:autoSpaceDN w:val="0"/>
        <w:adjustRightInd w:val="0"/>
        <w:spacing w:line="360" w:lineRule="auto"/>
        <w:ind w:right="215" w:firstLine="480" w:firstLineChars="20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80" w:firstLineChars="20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sectPr>
          <w:pgSz w:w="11906" w:h="16838"/>
          <w:pgMar w:top="1304" w:right="1134" w:bottom="1304" w:left="1134" w:header="851" w:footer="992" w:gutter="0"/>
          <w:cols w:space="720" w:num="1"/>
          <w:docGrid w:type="linesAndChars" w:linePitch="312" w:charSpace="0"/>
        </w:sectPr>
      </w:pPr>
    </w:p>
    <w:p>
      <w:pPr>
        <w:autoSpaceDE w:val="0"/>
        <w:autoSpaceDN w:val="0"/>
        <w:adjustRightInd w:val="0"/>
        <w:spacing w:line="360" w:lineRule="auto"/>
        <w:ind w:right="215" w:firstLine="640" w:firstLineChars="200"/>
        <w:jc w:val="center"/>
        <w:rPr>
          <w:rFonts w:hAnsi="宋体" w:cs="宋体"/>
          <w:b/>
          <w:sz w:val="32"/>
          <w:szCs w:val="32"/>
        </w:rPr>
      </w:pPr>
      <w:r>
        <w:rPr>
          <w:rFonts w:hint="eastAsia" w:hAnsi="宋体" w:cs="宋体"/>
          <w:b/>
          <w:sz w:val="32"/>
          <w:szCs w:val="32"/>
        </w:rPr>
        <w:t>七、近年完成的类似项目情况表</w:t>
      </w:r>
    </w:p>
    <w:tbl>
      <w:tblPr>
        <w:tblStyle w:val="15"/>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项目经理</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ind w:firstLine="480" w:firstLineChars="200"/>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5"/>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sectPr>
          <w:pgSz w:w="11906" w:h="16838"/>
          <w:pgMar w:top="1304" w:right="1134" w:bottom="1304" w:left="1134" w:header="851" w:footer="992" w:gutter="0"/>
          <w:cols w:space="720" w:num="1"/>
          <w:docGrid w:type="linesAndChars" w:linePitch="312" w:charSpace="0"/>
        </w:sectPr>
      </w:pPr>
    </w:p>
    <w:p>
      <w:pPr>
        <w:autoSpaceDE w:val="0"/>
        <w:autoSpaceDN w:val="0"/>
        <w:adjustRightInd w:val="0"/>
        <w:spacing w:line="360" w:lineRule="auto"/>
        <w:ind w:right="215"/>
        <w:jc w:val="center"/>
        <w:rPr>
          <w:rFonts w:hAnsi="宋体" w:cs="宋体"/>
          <w:b/>
          <w:sz w:val="32"/>
          <w:szCs w:val="32"/>
        </w:rPr>
      </w:pPr>
    </w:p>
    <w:p>
      <w:pPr>
        <w:numPr>
          <w:ilvl w:val="0"/>
          <w:numId w:val="3"/>
        </w:numPr>
        <w:autoSpaceDE w:val="0"/>
        <w:autoSpaceDN w:val="0"/>
        <w:adjustRightInd w:val="0"/>
        <w:spacing w:line="360" w:lineRule="auto"/>
        <w:ind w:right="215" w:firstLine="640" w:firstLineChars="200"/>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sectPr>
          <w:pgSz w:w="11906" w:h="16838"/>
          <w:pgMar w:top="1304" w:right="1134" w:bottom="1304" w:left="1134" w:header="851" w:footer="992" w:gutter="0"/>
          <w:cols w:space="720" w:num="1"/>
          <w:docGrid w:type="linesAndChars" w:linePitch="312" w:charSpace="0"/>
        </w:sectPr>
      </w:pPr>
    </w:p>
    <w:p>
      <w:pPr>
        <w:numPr>
          <w:ilvl w:val="0"/>
          <w:numId w:val="3"/>
        </w:numPr>
        <w:autoSpaceDE w:val="0"/>
        <w:autoSpaceDN w:val="0"/>
        <w:adjustRightInd w:val="0"/>
        <w:spacing w:line="360" w:lineRule="auto"/>
        <w:ind w:right="215" w:firstLine="640" w:firstLineChars="200"/>
        <w:jc w:val="center"/>
        <w:rPr>
          <w:rFonts w:hAnsi="宋体" w:cs="宋体"/>
          <w:b/>
          <w:sz w:val="32"/>
          <w:szCs w:val="32"/>
        </w:rPr>
      </w:pPr>
      <w:r>
        <w:rPr>
          <w:rFonts w:hint="eastAsia" w:hAnsi="宋体" w:cs="宋体"/>
          <w:b/>
          <w:sz w:val="32"/>
          <w:szCs w:val="32"/>
        </w:rPr>
        <w:t>其它材料</w:t>
      </w:r>
    </w:p>
    <w:p>
      <w:pPr>
        <w:pStyle w:val="2"/>
        <w:ind w:left="420" w:leftChars="200" w:firstLine="0" w:firstLineChars="0"/>
      </w:pPr>
    </w:p>
    <w:p>
      <w:pPr>
        <w:tabs>
          <w:tab w:val="center" w:pos="4739"/>
        </w:tabs>
        <w:ind w:firstLine="1680" w:firstLineChars="600"/>
        <w:rPr>
          <w:rFonts w:hAnsi="宋体" w:cs="宋体"/>
          <w:b/>
          <w:bCs/>
          <w:sz w:val="28"/>
          <w:szCs w:val="28"/>
        </w:rPr>
      </w:pPr>
      <w:r>
        <w:rPr>
          <w:rFonts w:hint="eastAsia" w:hAnsi="宋体" w:cs="宋体"/>
          <w:b/>
          <w:bCs/>
          <w:sz w:val="28"/>
          <w:szCs w:val="28"/>
        </w:rPr>
        <w:t>投标人认为须附的其他材料，格式可自行编制。</w:t>
      </w:r>
    </w:p>
    <w:p>
      <w:pPr>
        <w:tabs>
          <w:tab w:val="center" w:pos="4739"/>
        </w:tabs>
        <w:ind w:left="180"/>
        <w:jc w:val="right"/>
        <w:rPr>
          <w:rFonts w:hAnsi="宋体" w:cs="宋体"/>
          <w:sz w:val="24"/>
        </w:rPr>
        <w:sectPr>
          <w:pgSz w:w="11906" w:h="16838"/>
          <w:pgMar w:top="1304" w:right="1134" w:bottom="1304" w:left="1134" w:header="851" w:footer="992" w:gutter="0"/>
          <w:cols w:space="720" w:num="1"/>
          <w:docGrid w:type="linesAndChars" w:linePitch="312" w:charSpace="0"/>
        </w:sectPr>
      </w:pPr>
    </w:p>
    <w:p>
      <w:pPr>
        <w:tabs>
          <w:tab w:val="center" w:pos="4739"/>
        </w:tabs>
        <w:ind w:left="180" w:firstLine="640" w:firstLineChars="200"/>
        <w:jc w:val="center"/>
        <w:rPr>
          <w:rFonts w:hAnsi="宋体" w:cs="宋体"/>
          <w:b/>
          <w:sz w:val="32"/>
        </w:rPr>
      </w:pPr>
    </w:p>
    <w:p>
      <w:pPr>
        <w:tabs>
          <w:tab w:val="center" w:pos="4739"/>
        </w:tabs>
        <w:ind w:left="180" w:firstLine="640" w:firstLineChars="200"/>
        <w:jc w:val="center"/>
        <w:rPr>
          <w:rFonts w:hAnsi="宋体" w:cs="宋体"/>
          <w:b/>
          <w:sz w:val="32"/>
        </w:rPr>
      </w:pPr>
      <w:r>
        <w:rPr>
          <w:rFonts w:hint="eastAsia" w:hAnsi="宋体" w:cs="宋体"/>
          <w:b/>
          <w:sz w:val="32"/>
        </w:rPr>
        <w:t>　</w:t>
      </w:r>
    </w:p>
    <w:p>
      <w:pPr>
        <w:autoSpaceDE w:val="0"/>
        <w:autoSpaceDN w:val="0"/>
        <w:adjustRightInd w:val="0"/>
        <w:rPr>
          <w:rFonts w:hAnsi="宋体" w:cs="宋体"/>
          <w:b/>
          <w:spacing w:val="60"/>
          <w:sz w:val="48"/>
          <w:szCs w:val="48"/>
          <w:u w:val="single"/>
        </w:rPr>
      </w:pPr>
      <w:r>
        <w:rPr>
          <w:rFonts w:hint="eastAsia" w:hAnsi="宋体" w:cs="宋体"/>
          <w:b/>
          <w:sz w:val="36"/>
          <w:szCs w:val="36"/>
        </w:rPr>
        <w:t xml:space="preserve">　    </w:t>
      </w:r>
      <w:r>
        <w:rPr>
          <w:rFonts w:hint="eastAsia" w:hAnsi="宋体" w:cs="宋体"/>
          <w:b/>
          <w:spacing w:val="60"/>
          <w:sz w:val="48"/>
          <w:szCs w:val="48"/>
          <w:u w:val="single"/>
        </w:rPr>
        <w:t xml:space="preserve">   </w:t>
      </w:r>
      <w:r>
        <w:rPr>
          <w:rFonts w:hint="eastAsia" w:hAnsi="宋体" w:cs="宋体"/>
          <w:b/>
          <w:spacing w:val="60"/>
          <w:sz w:val="48"/>
          <w:szCs w:val="48"/>
          <w:u w:val="single"/>
          <w:lang w:val="en-US" w:eastAsia="zh-CN"/>
        </w:rPr>
        <w:t xml:space="preserve">    </w:t>
      </w:r>
      <w:r>
        <w:rPr>
          <w:rFonts w:hint="eastAsia" w:hAnsi="宋体" w:cs="宋体"/>
          <w:b/>
          <w:spacing w:val="60"/>
          <w:sz w:val="48"/>
          <w:szCs w:val="48"/>
          <w:u w:val="single"/>
        </w:rPr>
        <w:t xml:space="preserve">   （工程名称）</w:t>
      </w:r>
    </w:p>
    <w:p>
      <w:pPr>
        <w:autoSpaceDE w:val="0"/>
        <w:autoSpaceDN w:val="0"/>
        <w:adjustRightInd w:val="0"/>
        <w:ind w:firstLine="1280" w:firstLineChars="200"/>
        <w:jc w:val="center"/>
        <w:rPr>
          <w:rFonts w:hAnsi="宋体" w:cs="宋体"/>
          <w:b/>
          <w:spacing w:val="60"/>
          <w:sz w:val="52"/>
          <w:szCs w:val="52"/>
          <w:u w:val="single"/>
        </w:rPr>
      </w:pPr>
    </w:p>
    <w:p>
      <w:pPr>
        <w:autoSpaceDE w:val="0"/>
        <w:autoSpaceDN w:val="0"/>
        <w:adjustRightInd w:val="0"/>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1440" w:firstLineChars="20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firstLine="640" w:firstLineChars="200"/>
        <w:jc w:val="center"/>
        <w:rPr>
          <w:rFonts w:hAnsi="宋体" w:cs="宋体"/>
          <w:b/>
          <w:sz w:val="32"/>
          <w:szCs w:val="32"/>
        </w:rPr>
      </w:pPr>
      <w:r>
        <w:rPr>
          <w:rFonts w:hint="eastAsia" w:hAnsi="宋体" w:cs="宋体"/>
          <w:b/>
          <w:sz w:val="32"/>
          <w:szCs w:val="32"/>
        </w:rPr>
        <w:t>（技术标）</w:t>
      </w:r>
    </w:p>
    <w:p>
      <w:pPr>
        <w:tabs>
          <w:tab w:val="center" w:pos="4739"/>
        </w:tabs>
        <w:ind w:left="180" w:firstLine="640" w:firstLineChars="20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2880" w:firstLineChars="900"/>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firstLine="2560" w:firstLineChars="800"/>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firstLine="640" w:firstLineChars="200"/>
        <w:jc w:val="center"/>
        <w:rPr>
          <w:rFonts w:hAnsi="宋体" w:cs="宋体"/>
          <w:b/>
          <w:sz w:val="32"/>
        </w:rPr>
      </w:pPr>
      <w:r>
        <w:rPr>
          <w:rFonts w:hint="eastAsia" w:hAnsi="宋体" w:cs="宋体"/>
          <w:b/>
          <w:sz w:val="32"/>
        </w:rPr>
        <w:t>年   月   日</w:t>
      </w:r>
    </w:p>
    <w:p>
      <w:pPr>
        <w:autoSpaceDE w:val="0"/>
        <w:autoSpaceDN w:val="0"/>
        <w:spacing w:line="540" w:lineRule="exact"/>
        <w:ind w:firstLine="720" w:firstLineChars="200"/>
        <w:jc w:val="center"/>
        <w:rPr>
          <w:rFonts w:hAnsi="宋体" w:cs="宋体"/>
          <w:b/>
          <w:sz w:val="36"/>
          <w:szCs w:val="36"/>
        </w:rPr>
      </w:pPr>
      <w:r>
        <w:rPr>
          <w:rFonts w:hint="eastAsia" w:hAnsi="宋体" w:cs="宋体"/>
          <w:b/>
          <w:sz w:val="36"/>
          <w:szCs w:val="36"/>
        </w:rPr>
        <w:br w:type="page"/>
      </w:r>
    </w:p>
    <w:p>
      <w:pPr>
        <w:autoSpaceDE w:val="0"/>
        <w:autoSpaceDN w:val="0"/>
        <w:spacing w:line="540" w:lineRule="exact"/>
        <w:ind w:firstLine="880" w:firstLineChars="200"/>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440" w:lineRule="exact"/>
        <w:ind w:firstLine="480" w:firstLineChars="200"/>
        <w:jc w:val="left"/>
        <w:outlineLvl w:val="0"/>
        <w:rPr>
          <w:rFonts w:hAnsi="宋体" w:cs="宋体"/>
          <w:sz w:val="24"/>
          <w:szCs w:val="24"/>
        </w:rPr>
      </w:pPr>
      <w:r>
        <w:rPr>
          <w:rFonts w:hint="eastAsia" w:hAnsi="宋体" w:cs="宋体"/>
          <w:sz w:val="24"/>
          <w:szCs w:val="24"/>
        </w:rPr>
        <w:t>（1）内容完整性；</w:t>
      </w:r>
    </w:p>
    <w:p>
      <w:pPr>
        <w:autoSpaceDE w:val="0"/>
        <w:autoSpaceDN w:val="0"/>
        <w:spacing w:line="440" w:lineRule="exact"/>
        <w:ind w:firstLine="480" w:firstLineChars="200"/>
        <w:jc w:val="left"/>
        <w:outlineLvl w:val="0"/>
        <w:rPr>
          <w:rFonts w:hAnsi="宋体" w:cs="宋体"/>
          <w:sz w:val="24"/>
          <w:szCs w:val="24"/>
        </w:rPr>
      </w:pPr>
      <w:r>
        <w:rPr>
          <w:rFonts w:hint="eastAsia" w:hAnsi="宋体" w:cs="宋体"/>
          <w:sz w:val="24"/>
          <w:szCs w:val="24"/>
        </w:rPr>
        <w:t>（2）主要施工方案与技术措施；</w:t>
      </w:r>
    </w:p>
    <w:p>
      <w:pPr>
        <w:autoSpaceDE w:val="0"/>
        <w:autoSpaceDN w:val="0"/>
        <w:spacing w:line="440" w:lineRule="exact"/>
        <w:ind w:firstLine="480" w:firstLineChars="200"/>
        <w:jc w:val="left"/>
        <w:outlineLvl w:val="0"/>
        <w:rPr>
          <w:rFonts w:hAnsi="宋体" w:cs="宋体"/>
          <w:sz w:val="24"/>
          <w:szCs w:val="24"/>
        </w:rPr>
      </w:pPr>
      <w:r>
        <w:rPr>
          <w:rFonts w:hint="eastAsia" w:hAnsi="宋体" w:cs="宋体"/>
          <w:sz w:val="24"/>
          <w:szCs w:val="24"/>
        </w:rPr>
        <w:t>（3）质量管理体系与措施；</w:t>
      </w:r>
    </w:p>
    <w:p>
      <w:pPr>
        <w:autoSpaceDE w:val="0"/>
        <w:autoSpaceDN w:val="0"/>
        <w:spacing w:line="440" w:lineRule="exact"/>
        <w:ind w:firstLine="480" w:firstLineChars="200"/>
        <w:jc w:val="left"/>
        <w:outlineLvl w:val="0"/>
        <w:rPr>
          <w:rFonts w:hAnsi="宋体" w:cs="宋体"/>
          <w:sz w:val="24"/>
          <w:szCs w:val="24"/>
        </w:rPr>
      </w:pPr>
      <w:r>
        <w:rPr>
          <w:rFonts w:hint="eastAsia" w:hAnsi="宋体" w:cs="宋体"/>
          <w:sz w:val="24"/>
          <w:szCs w:val="24"/>
        </w:rPr>
        <w:t>（4）安全管理体系与措施；</w:t>
      </w:r>
    </w:p>
    <w:p>
      <w:pPr>
        <w:autoSpaceDE w:val="0"/>
        <w:autoSpaceDN w:val="0"/>
        <w:spacing w:line="440" w:lineRule="exact"/>
        <w:ind w:firstLine="480" w:firstLineChars="200"/>
        <w:jc w:val="left"/>
        <w:outlineLvl w:val="0"/>
        <w:rPr>
          <w:rFonts w:hAnsi="宋体" w:cs="宋体"/>
          <w:sz w:val="24"/>
          <w:szCs w:val="24"/>
        </w:rPr>
      </w:pPr>
      <w:r>
        <w:rPr>
          <w:rFonts w:hint="eastAsia" w:hAnsi="宋体" w:cs="宋体"/>
          <w:sz w:val="24"/>
          <w:szCs w:val="24"/>
        </w:rPr>
        <w:t>（5）文明施工、环境保护管理体系及施工现场扬尘治理措施；</w:t>
      </w:r>
    </w:p>
    <w:p>
      <w:pPr>
        <w:tabs>
          <w:tab w:val="left" w:pos="1260"/>
        </w:tabs>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（6）工期保证措施；</w:t>
      </w:r>
    </w:p>
    <w:p>
      <w:pPr>
        <w:tabs>
          <w:tab w:val="left" w:pos="1260"/>
        </w:tabs>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（7）拟投入资源配备计划；</w:t>
      </w:r>
    </w:p>
    <w:p>
      <w:pPr>
        <w:tabs>
          <w:tab w:val="left" w:pos="1260"/>
        </w:tabs>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（8）施工进度表与网络计划图；</w:t>
      </w:r>
    </w:p>
    <w:p>
      <w:pPr>
        <w:tabs>
          <w:tab w:val="left" w:pos="1260"/>
        </w:tabs>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（9）施工总平面图布置；</w:t>
      </w:r>
    </w:p>
    <w:p>
      <w:pPr>
        <w:tabs>
          <w:tab w:val="left" w:pos="1260"/>
        </w:tabs>
        <w:autoSpaceDE w:val="0"/>
        <w:autoSpaceDN w:val="0"/>
        <w:adjustRightInd w:val="0"/>
        <w:spacing w:line="460" w:lineRule="exact"/>
        <w:ind w:firstLine="240" w:firstLineChars="100"/>
        <w:jc w:val="left"/>
        <w:rPr>
          <w:rFonts w:hAnsi="宋体" w:cs="宋体"/>
          <w:sz w:val="24"/>
          <w:szCs w:val="24"/>
        </w:rPr>
      </w:pPr>
      <w:r>
        <w:rPr>
          <w:rFonts w:hint="eastAsia" w:hAnsi="宋体" w:cs="宋体"/>
          <w:sz w:val="24"/>
          <w:szCs w:val="24"/>
        </w:rPr>
        <w:t xml:space="preserve">  （10）技术创新的应用实施措施；</w:t>
      </w:r>
    </w:p>
    <w:p>
      <w:pPr>
        <w:tabs>
          <w:tab w:val="left" w:pos="1260"/>
        </w:tabs>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（11）采用新工艺、新技术、新设备、新材料、BIM等的程度；</w:t>
      </w:r>
    </w:p>
    <w:p>
      <w:pPr>
        <w:tabs>
          <w:tab w:val="left" w:pos="1260"/>
        </w:tabs>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（12）施工现场实施信息化监控和数据处理；</w:t>
      </w:r>
    </w:p>
    <w:p>
      <w:pPr>
        <w:pStyle w:val="2"/>
        <w:ind w:firstLine="480" w:firstLineChars="200"/>
        <w:rPr>
          <w:sz w:val="24"/>
          <w:szCs w:val="24"/>
        </w:rPr>
      </w:pPr>
      <w:r>
        <w:rPr>
          <w:rFonts w:hint="eastAsia" w:hAnsi="宋体" w:cs="宋体"/>
          <w:sz w:val="24"/>
          <w:szCs w:val="24"/>
        </w:rPr>
        <w:t>（13）风险管理措施；</w:t>
      </w:r>
    </w:p>
    <w:p>
      <w:pPr>
        <w:autoSpaceDE w:val="0"/>
        <w:autoSpaceDN w:val="0"/>
        <w:adjustRightInd w:val="0"/>
        <w:spacing w:before="312" w:beforeLines="100" w:after="312" w:afterLines="100"/>
        <w:jc w:val="center"/>
        <w:outlineLvl w:val="0"/>
        <w:rPr>
          <w:rFonts w:hAnsi="宋体" w:cs="黑体"/>
          <w:b/>
          <w:sz w:val="44"/>
          <w:szCs w:val="44"/>
        </w:rPr>
      </w:pPr>
    </w:p>
    <w:p>
      <w:pPr>
        <w:autoSpaceDE w:val="0"/>
        <w:autoSpaceDN w:val="0"/>
        <w:adjustRightInd w:val="0"/>
        <w:spacing w:before="312" w:beforeLines="100" w:after="312" w:afterLines="100"/>
        <w:ind w:firstLine="1260" w:firstLineChars="600"/>
        <w:outlineLvl w:val="0"/>
      </w:pPr>
    </w:p>
    <w:p/>
    <w:sectPr>
      <w:footerReference r:id="rId15" w:type="first"/>
      <w:footerReference r:id="rId14" w:type="default"/>
      <w:pgSz w:w="11906" w:h="16838"/>
      <w:pgMar w:top="1304" w:right="1134"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left w:val="none" w:color="auto" w:sz="0" w:space="4"/>
        <w:bottom w:val="none" w:color="auto" w:sz="0" w:space="1"/>
        <w:right w:val="none" w:color="auto" w:sz="0" w:space="4"/>
      </w:pBdr>
      <w:rPr>
        <w:sz w:val="21"/>
        <w:szCs w:val="21"/>
      </w:rPr>
    </w:pPr>
    <w:r>
      <w:rPr>
        <w:sz w:val="21"/>
      </w:rPr>
      <w:pict>
        <v:rect id="文本框 4" o:spid="_x0000_s2055" o:spt="1"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2qyZ5KgBAAA5AwAADgAA&#10;AAAAAAABACAAAAAfAQAAZHJzL2Uyb0RvYy54bWxQSwUGAAAAAAYABgBZAQAAOQUAAAAA&#10;">
          <v:path/>
          <v:fill on="f" focussize="0,0"/>
          <v:stroke on="f"/>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w:r>
    <w:r>
      <w:rPr>
        <w:rFonts w:hint="eastAsia"/>
        <w:sz w:val="21"/>
        <w:szCs w:val="21"/>
      </w:rPr>
      <w:t>河南慧霖工程管理服务有限公司                                                   0375-6161678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left w:val="none" w:color="auto" w:sz="0" w:space="4"/>
        <w:bottom w:val="none" w:color="auto" w:sz="0" w:space="1"/>
        <w:right w:val="none" w:color="auto" w:sz="0" w:space="4"/>
      </w:pBdr>
      <w:rPr>
        <w:sz w:val="21"/>
        <w:szCs w:val="21"/>
      </w:rPr>
    </w:pPr>
    <w:r>
      <w:rPr>
        <w:sz w:val="21"/>
      </w:rPr>
      <w:pict>
        <v:rect id="文本框 2" o:spid="_x0000_s2053" o:spt="1"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DGGsw+pwEAADkDAAAOAAAA&#10;AAAAAAEAIAAAAB8BAABkcnMvZTJvRG9jLnhtbFBLBQYAAAAABgAGAFkBAAA4BQAAAAA=&#10;">
          <v:path/>
          <v:fill on="f" focussize="0,0"/>
          <v:stroke on="f"/>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w:r>
    <w:r>
      <w:rPr>
        <w:rFonts w:hint="eastAsia"/>
        <w:sz w:val="21"/>
        <w:szCs w:val="21"/>
      </w:rPr>
      <w:t>河南慧霖工程管理服务有限公司                                                   0375-6161678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left w:val="none" w:color="auto" w:sz="0" w:space="4"/>
        <w:bottom w:val="none" w:color="auto" w:sz="0" w:space="1"/>
        <w:right w:val="none" w:color="auto" w:sz="0" w:space="4"/>
      </w:pBdr>
    </w:pPr>
    <w:r>
      <w:rPr>
        <w:sz w:val="21"/>
      </w:rPr>
      <w:pict>
        <v:rect id="文本框 1" o:spid="_x0000_s2054" o:spt="1"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GTahf6gBAAA5AwAADgAA&#10;AAAAAAABACAAAAAfAQAAZHJzL2Uyb0RvYy54bWxQSwUGAAAAAAYABgBZAQAAOQUAAAAA&#10;">
          <v:path/>
          <v:fill on="f" focussize="0,0"/>
          <v:stroke on="f"/>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r>
      <w:rPr>
        <w:rFonts w:hint="eastAsia"/>
        <w:sz w:val="21"/>
        <w:szCs w:val="21"/>
      </w:rPr>
      <w:t>河南慧霖工程管理服务有限公司                                                   0375-6161678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left w:val="none" w:color="auto" w:sz="0" w:space="4"/>
        <w:bottom w:val="none" w:color="auto" w:sz="0" w:space="1"/>
        <w:right w:val="none" w:color="auto" w:sz="0" w:space="4"/>
      </w:pBdr>
    </w:pPr>
    <w:r>
      <w:rPr>
        <w:sz w:val="21"/>
      </w:rPr>
      <w:pict>
        <v:rect id="文本框 9" o:spid="_x0000_s2051"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XW5UtAAAAAFAQAADwAAAAAAAAAB&#10;ACAAAAAiAAAAZHJzL2Rvd25yZXYueG1sUEsBAhQAFAAAAAgAh07iQFebJTqmAQAAOQMAAA4AAAAA&#10;AAAAAQAgAAAAHwEAAGRycy9lMm9Eb2MueG1sUEsFBgAAAAAGAAYAWQEAADcFAAAAAA==&#10;">
          <v:path/>
          <v:fill on="f" focussize="0,0"/>
          <v:stroke on="f"/>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v:textbox>
        </v:rect>
      </w:pict>
    </w:r>
    <w:r>
      <w:rPr>
        <w:rFonts w:hint="eastAsia"/>
        <w:sz w:val="21"/>
        <w:szCs w:val="21"/>
      </w:rPr>
      <w:t>河南慧霖工程管理服务有限公司                                                   0375-6161678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left w:val="none" w:color="auto" w:sz="0" w:space="4"/>
        <w:bottom w:val="none" w:color="auto" w:sz="0" w:space="1"/>
        <w:right w:val="none" w:color="auto" w:sz="0" w:space="4"/>
      </w:pBdr>
    </w:pPr>
    <w:r>
      <w:rPr>
        <w:sz w:val="21"/>
      </w:rPr>
      <w:pict>
        <v:rect id="文本框 8" o:spid="_x0000_s2052"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D/Pz5DpwEAADkDAAAOAAAA&#10;AAAAAAEAIAAAAB8BAABkcnMvZTJvRG9jLnhtbFBLBQYAAAAABgAGAFkBAAA4BQAAAAA=&#10;">
          <v:path/>
          <v:fill on="f" focussize="0,0"/>
          <v:stroke on="f"/>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rect>
      </w:pict>
    </w:r>
    <w:r>
      <w:rPr>
        <w:rFonts w:hint="eastAsia"/>
        <w:sz w:val="21"/>
        <w:szCs w:val="21"/>
      </w:rPr>
      <w:t>河南慧霖工程管理服务有限公司                                                   0375-6161678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left w:val="none" w:color="auto" w:sz="0" w:space="4"/>
        <w:bottom w:val="none" w:color="auto" w:sz="0" w:space="1"/>
        <w:right w:val="none" w:color="auto" w:sz="0" w:space="4"/>
      </w:pBdr>
    </w:pPr>
    <w:r>
      <w:rPr>
        <w:sz w:val="21"/>
      </w:rPr>
      <w:pict>
        <v:rect id="文本框 6" o:spid="_x0000_s2049"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AuJKaopwEAADkDAAAOAAAA&#10;AAAAAAEAIAAAAB8BAABkcnMvZTJvRG9jLnhtbFBLBQYAAAAABgAGAFkBAAA4BQAAAAA=&#10;">
          <v:path/>
          <v:fill on="f" focussize="0,0"/>
          <v:stroke on="f"/>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v:textbox>
        </v:rect>
      </w:pict>
    </w:r>
    <w:r>
      <w:rPr>
        <w:rFonts w:hint="eastAsia"/>
        <w:sz w:val="21"/>
        <w:szCs w:val="21"/>
      </w:rPr>
      <w:t>河南慧霖工程管理服务有限公司                                                   0375-6161678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left w:val="none" w:color="auto" w:sz="0" w:space="4"/>
        <w:bottom w:val="none" w:color="auto" w:sz="0" w:space="1"/>
        <w:right w:val="none" w:color="auto" w:sz="0" w:space="4"/>
      </w:pBdr>
    </w:pPr>
    <w:r>
      <w:rPr>
        <w:sz w:val="21"/>
      </w:rPr>
      <w:pict>
        <v:rect id="文本框 7" o:spid="_x0000_s2050" o:spt="1" style="position:absolute;left:0pt;margin-left:236.45pt;margin-top:0pt;height:144pt;width:144pt;mso-position-horizontal-relative:margin;mso-wrap-style:none;z-index:251659264;mso-width-relative:page;mso-height-relative:page;" filled="f" stroked="f" coordsize="21600,21600" o:gfxdata="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Oqot0dQAAAAIAQAADwAA&#10;AAAAAAABACAAAAAiAAAAZHJzL2Rvd25yZXYueG1sUEsBAhQAFAAAAAgAh07iQIaAvdGoAQAAOQMA&#10;AA4AAAAAAAAAAQAgAAAAIwEAAGRycy9lMm9Eb2MueG1sUEsFBgAAAAAGAAYAWQEAAD0FAAAAAA==&#10;">
          <v:path/>
          <v:fill on="f" focussize="0,0"/>
          <v:stroke on="f"/>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rect>
      </w:pict>
    </w:r>
    <w:r>
      <w:rPr>
        <w:rFonts w:hint="eastAsia"/>
        <w:sz w:val="21"/>
        <w:szCs w:val="21"/>
      </w:rPr>
      <w:t>河南慧霖工程管理服务有限公司                                                   0375-6161678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left"/>
      <w:rPr>
        <w:rFonts w:hAnsi="宋体" w:cs="宋体"/>
      </w:rPr>
    </w:pPr>
    <w:r>
      <w:rPr>
        <w:rFonts w:hint="eastAsia" w:hAnsi="宋体" w:cs="宋体"/>
        <w:sz w:val="21"/>
        <w:szCs w:val="21"/>
        <w:lang w:eastAsia="zh-CN"/>
      </w:rPr>
      <w:t>襄城县汾陈镇2017至2019年通村公路建设项目</w:t>
    </w:r>
    <w:r>
      <w:rPr>
        <w:rFonts w:hint="eastAsia" w:hAnsi="宋体" w:cs="宋体"/>
        <w:sz w:val="21"/>
        <w:szCs w:val="21"/>
      </w:rPr>
      <w:t xml:space="preserve">                                     </w:t>
    </w:r>
    <w:r>
      <w:rPr>
        <w:rFonts w:hint="eastAsia" w:hAnsi="宋体" w:cs="宋体"/>
        <w:sz w:val="21"/>
        <w:szCs w:val="21"/>
        <w:lang w:val="en-US" w:eastAsia="zh-CN"/>
      </w:rPr>
      <w:t xml:space="preserve">    </w:t>
    </w:r>
    <w:r>
      <w:rPr>
        <w:rFonts w:hint="eastAsia" w:hAnsi="宋体" w:cs="宋体"/>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left"/>
      <w:rPr>
        <w:rFonts w:hAnsi="宋体" w:cs="宋体"/>
      </w:rPr>
    </w:pPr>
    <w:r>
      <w:rPr>
        <w:rFonts w:hint="eastAsia" w:hAnsi="宋体" w:cs="宋体"/>
        <w:sz w:val="21"/>
        <w:szCs w:val="21"/>
        <w:lang w:eastAsia="zh-CN"/>
      </w:rPr>
      <w:t>襄城县汾陈镇2017至2019年通村公路建设项目</w:t>
    </w:r>
    <w:r>
      <w:rPr>
        <w:rFonts w:hint="eastAsia" w:hAnsi="宋体" w:cs="宋体"/>
        <w:sz w:val="21"/>
        <w:szCs w:val="21"/>
      </w:rPr>
      <w:t xml:space="preserve">                                    施工招标文件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both"/>
    </w:pPr>
    <w:r>
      <w:rPr>
        <w:rFonts w:hint="eastAsia" w:ascii="华文新魏" w:eastAsia="华文新魏"/>
        <w:sz w:val="21"/>
        <w:szCs w:val="21"/>
      </w:rPr>
      <w:t>襄城县扶持村级集体经济（雷洞村特色农家院）项目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EnclosedCircleChinese"/>
      <w:suff w:val="space"/>
      <w:lvlText w:val="%1"/>
      <w:lvlJc w:val="left"/>
      <w:rPr>
        <w:rFonts w:hint="eastAsia"/>
      </w:rPr>
    </w:lvl>
  </w:abstractNum>
  <w:abstractNum w:abstractNumId="1">
    <w:nsid w:val="00000002"/>
    <w:multiLevelType w:val="multilevel"/>
    <w:tmpl w:val="00000002"/>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3"/>
    <w:multiLevelType w:val="singleLevel"/>
    <w:tmpl w:val="00000003"/>
    <w:lvl w:ilvl="0" w:tentative="0">
      <w:start w:val="9"/>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C9C"/>
    <w:rsid w:val="00125695"/>
    <w:rsid w:val="00235A7C"/>
    <w:rsid w:val="00460450"/>
    <w:rsid w:val="00882C9C"/>
    <w:rsid w:val="00AF5E0F"/>
    <w:rsid w:val="00D750AE"/>
    <w:rsid w:val="00DD6AB2"/>
    <w:rsid w:val="020B3455"/>
    <w:rsid w:val="06FE5CC7"/>
    <w:rsid w:val="08744E1F"/>
    <w:rsid w:val="088A1ACF"/>
    <w:rsid w:val="116A7CC4"/>
    <w:rsid w:val="11D04619"/>
    <w:rsid w:val="130E77D6"/>
    <w:rsid w:val="16735778"/>
    <w:rsid w:val="19DB1778"/>
    <w:rsid w:val="1AF47908"/>
    <w:rsid w:val="1EF21EE1"/>
    <w:rsid w:val="22E46BC5"/>
    <w:rsid w:val="24D27A3A"/>
    <w:rsid w:val="24E30398"/>
    <w:rsid w:val="251B726E"/>
    <w:rsid w:val="25B31758"/>
    <w:rsid w:val="2CFB026F"/>
    <w:rsid w:val="2F993A43"/>
    <w:rsid w:val="2FB46B1D"/>
    <w:rsid w:val="343C59E8"/>
    <w:rsid w:val="360065FA"/>
    <w:rsid w:val="3C0D2549"/>
    <w:rsid w:val="3D13075F"/>
    <w:rsid w:val="3F454B7B"/>
    <w:rsid w:val="410F0699"/>
    <w:rsid w:val="49087B93"/>
    <w:rsid w:val="49C96A44"/>
    <w:rsid w:val="4D24096F"/>
    <w:rsid w:val="4DFC45EB"/>
    <w:rsid w:val="51EE7EAA"/>
    <w:rsid w:val="53B948AD"/>
    <w:rsid w:val="54205B40"/>
    <w:rsid w:val="542459A4"/>
    <w:rsid w:val="552B4356"/>
    <w:rsid w:val="571B4434"/>
    <w:rsid w:val="573C5827"/>
    <w:rsid w:val="58E46352"/>
    <w:rsid w:val="5A897493"/>
    <w:rsid w:val="5E161039"/>
    <w:rsid w:val="5FB66BF7"/>
    <w:rsid w:val="60494329"/>
    <w:rsid w:val="64370C84"/>
    <w:rsid w:val="667E31CE"/>
    <w:rsid w:val="67604594"/>
    <w:rsid w:val="6933566B"/>
    <w:rsid w:val="6A0F2FA0"/>
    <w:rsid w:val="6A726127"/>
    <w:rsid w:val="70347A1E"/>
    <w:rsid w:val="7114696E"/>
    <w:rsid w:val="71AC59D6"/>
    <w:rsid w:val="71FE06E6"/>
    <w:rsid w:val="78A43C14"/>
    <w:rsid w:val="78D7164F"/>
    <w:rsid w:val="7A217E1B"/>
    <w:rsid w:val="7B163D9B"/>
    <w:rsid w:val="7C8310C7"/>
    <w:rsid w:val="7CC368DE"/>
    <w:rsid w:val="7D7C4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1"/>
    <w:basedOn w:val="1"/>
    <w:next w:val="1"/>
    <w:qFormat/>
    <w:uiPriority w:val="0"/>
    <w:pPr>
      <w:keepNext/>
      <w:keepLines/>
      <w:adjustRightInd w:val="0"/>
      <w:snapToGrid w:val="0"/>
      <w:spacing w:line="360" w:lineRule="auto"/>
      <w:jc w:val="center"/>
      <w:outlineLvl w:val="0"/>
    </w:pPr>
    <w:rPr>
      <w:rFonts w:ascii="宋体" w:hAnsi="宋体"/>
      <w:b/>
      <w:bCs/>
      <w:kern w:val="44"/>
      <w:sz w:val="44"/>
      <w:szCs w:val="44"/>
    </w:rPr>
  </w:style>
  <w:style w:type="paragraph" w:styleId="7">
    <w:name w:val="heading 3"/>
    <w:basedOn w:val="1"/>
    <w:next w:val="1"/>
    <w:qFormat/>
    <w:uiPriority w:val="0"/>
    <w:pPr>
      <w:keepNext/>
      <w:keepLines/>
      <w:spacing w:before="260" w:after="260" w:line="416" w:lineRule="auto"/>
      <w:outlineLvl w:val="2"/>
    </w:pPr>
    <w:rPr>
      <w:rFonts w:ascii="宋体"/>
      <w:b/>
      <w:bCs/>
      <w:kern w:val="0"/>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rPr>
      <w:rFonts w:ascii="宋体"/>
      <w:kern w:val="0"/>
      <w:sz w:val="34"/>
      <w:szCs w:val="20"/>
    </w:r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rPr>
      <w:rFonts w:ascii="宋体"/>
      <w:kern w:val="0"/>
      <w:sz w:val="34"/>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宋体"/>
      <w:kern w:val="0"/>
      <w:sz w:val="18"/>
      <w:szCs w:val="18"/>
    </w:rPr>
  </w:style>
  <w:style w:type="paragraph" w:styleId="11">
    <w:name w:val="toc 1"/>
    <w:basedOn w:val="1"/>
    <w:next w:val="1"/>
    <w:qFormat/>
    <w:uiPriority w:val="0"/>
  </w:style>
  <w:style w:type="paragraph" w:styleId="12">
    <w:name w:val="Body Text Indent 3"/>
    <w:basedOn w:val="1"/>
    <w:qFormat/>
    <w:uiPriority w:val="0"/>
    <w:pPr>
      <w:ind w:firstLine="420" w:firstLineChars="200"/>
    </w:pPr>
    <w:rPr>
      <w:rFonts w:ascii="宋体" w:hAnsi="宋体"/>
      <w:kern w:val="0"/>
      <w:sz w:val="34"/>
      <w:szCs w:val="20"/>
    </w:rPr>
  </w:style>
  <w:style w:type="paragraph" w:styleId="13">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adjustRightInd w:val="0"/>
      <w:snapToGrid w:val="0"/>
      <w:ind w:left="2850" w:leftChars="500" w:hanging="1800" w:hangingChars="500"/>
    </w:pPr>
    <w:rPr>
      <w:rFonts w:ascii="Arial" w:hAnsi="Arial"/>
      <w:sz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character" w:customStyle="1" w:styleId="19">
    <w:name w:val="批注框文本 Char"/>
    <w:basedOn w:val="16"/>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5"/>
    <customShpInfo spid="_x0000_s2053"/>
    <customShpInfo spid="_x0000_s2054"/>
    <customShpInfo spid="_x0000_s2051"/>
    <customShpInfo spid="_x0000_s2052"/>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5554</Words>
  <Characters>31664</Characters>
  <Lines>263</Lines>
  <Paragraphs>74</Paragraphs>
  <TotalTime>4</TotalTime>
  <ScaleCrop>false</ScaleCrop>
  <LinksUpToDate>false</LinksUpToDate>
  <CharactersWithSpaces>37144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2019-09-10T09:05:00Z</dcterms:created>
  <dc:creator>欧邦工程管理有限公司:蔡书贞</dc:creator>
  <cp:lastModifiedBy>河南慧霖工程管理服务有限公司:仲镠伟</cp:lastModifiedBy>
  <cp:lastPrinted>2020-03-23T09:23:00Z</cp:lastPrinted>
  <dcterms:modified xsi:type="dcterms:W3CDTF">2020-03-24T00:15:37Z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