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sz w:val="52"/>
          <w:szCs w:val="52"/>
        </w:rPr>
      </w:pPr>
      <w:r>
        <w:rPr>
          <w:rFonts w:hint="eastAsia" w:hAnsi="宋体"/>
          <w:sz w:val="52"/>
          <w:szCs w:val="52"/>
        </w:rPr>
        <w:t>建安区</w:t>
      </w:r>
      <w:r>
        <w:rPr>
          <w:rFonts w:hAnsi="宋体"/>
          <w:sz w:val="52"/>
          <w:szCs w:val="52"/>
        </w:rPr>
        <w:t>建设工程</w:t>
      </w:r>
    </w:p>
    <w:p>
      <w:pPr>
        <w:jc w:val="center"/>
        <w:rPr>
          <w:rFonts w:hAnsi="宋体"/>
          <w:sz w:val="56"/>
          <w:szCs w:val="56"/>
        </w:rPr>
      </w:pPr>
    </w:p>
    <w:p>
      <w:pPr>
        <w:jc w:val="center"/>
        <w:rPr>
          <w:rFonts w:hAnsi="宋体"/>
          <w:sz w:val="52"/>
          <w:szCs w:val="52"/>
        </w:rPr>
      </w:pPr>
    </w:p>
    <w:p>
      <w:pPr>
        <w:rPr>
          <w:rFonts w:hAnsi="宋体"/>
          <w:sz w:val="52"/>
          <w:szCs w:val="52"/>
        </w:rPr>
      </w:pPr>
    </w:p>
    <w:p>
      <w:pPr>
        <w:jc w:val="center"/>
        <w:rPr>
          <w:rFonts w:hAnsi="宋体"/>
          <w:sz w:val="52"/>
          <w:szCs w:val="52"/>
        </w:rPr>
      </w:pPr>
      <w:r>
        <w:rPr>
          <w:rFonts w:hAnsi="宋体"/>
          <w:sz w:val="52"/>
          <w:szCs w:val="52"/>
        </w:rPr>
        <w:t>招</w:t>
      </w:r>
    </w:p>
    <w:p>
      <w:pPr>
        <w:jc w:val="center"/>
        <w:rPr>
          <w:rFonts w:hAnsi="宋体"/>
          <w:sz w:val="52"/>
          <w:szCs w:val="52"/>
        </w:rPr>
      </w:pPr>
      <w:r>
        <w:rPr>
          <w:rFonts w:hAnsi="宋体"/>
          <w:sz w:val="52"/>
          <w:szCs w:val="52"/>
        </w:rPr>
        <w:t>标</w:t>
      </w:r>
    </w:p>
    <w:p>
      <w:pPr>
        <w:jc w:val="center"/>
        <w:rPr>
          <w:rFonts w:hAnsi="宋体"/>
          <w:sz w:val="52"/>
          <w:szCs w:val="52"/>
        </w:rPr>
      </w:pPr>
      <w:r>
        <w:rPr>
          <w:rFonts w:hAnsi="宋体"/>
          <w:sz w:val="52"/>
          <w:szCs w:val="52"/>
        </w:rPr>
        <w:t>文</w:t>
      </w:r>
    </w:p>
    <w:p>
      <w:pPr>
        <w:jc w:val="center"/>
        <w:rPr>
          <w:rFonts w:hAnsi="宋体"/>
          <w:sz w:val="52"/>
          <w:szCs w:val="52"/>
        </w:rPr>
      </w:pPr>
      <w:r>
        <w:rPr>
          <w:rFonts w:hAnsi="宋体"/>
          <w:sz w:val="52"/>
          <w:szCs w:val="52"/>
        </w:rPr>
        <w:t>件</w:t>
      </w:r>
    </w:p>
    <w:p>
      <w:pPr>
        <w:jc w:val="center"/>
        <w:rPr>
          <w:rFonts w:hAnsi="宋体"/>
          <w:sz w:val="32"/>
          <w:szCs w:val="32"/>
        </w:rPr>
      </w:pPr>
    </w:p>
    <w:p>
      <w:pPr>
        <w:tabs>
          <w:tab w:val="left" w:pos="1476"/>
        </w:tabs>
        <w:jc w:val="center"/>
        <w:rPr>
          <w:rFonts w:hAnsi="宋体"/>
          <w:sz w:val="32"/>
          <w:szCs w:val="32"/>
        </w:rPr>
      </w:pPr>
    </w:p>
    <w:p>
      <w:pPr>
        <w:jc w:val="left"/>
        <w:rPr>
          <w:rFonts w:hAnsi="宋体"/>
          <w:sz w:val="32"/>
          <w:szCs w:val="32"/>
        </w:rPr>
      </w:pPr>
    </w:p>
    <w:p>
      <w:pPr>
        <w:ind w:firstLine="1920" w:firstLineChars="600"/>
        <w:rPr>
          <w:rFonts w:hAnsi="宋体"/>
          <w:sz w:val="32"/>
          <w:szCs w:val="32"/>
        </w:rPr>
      </w:pPr>
      <w:r>
        <w:rPr>
          <w:rFonts w:hint="eastAsia" w:hAnsi="宋体"/>
          <w:sz w:val="32"/>
          <w:szCs w:val="32"/>
        </w:rPr>
        <w:t>项目编号：建安建工公字〔2020〕</w:t>
      </w:r>
      <w:r>
        <w:rPr>
          <w:rFonts w:hint="default" w:hAnsi="宋体"/>
          <w:sz w:val="32"/>
          <w:szCs w:val="32"/>
          <w:lang w:val="en-US"/>
        </w:rPr>
        <w:t>29</w:t>
      </w:r>
      <w:r>
        <w:rPr>
          <w:rFonts w:hint="eastAsia" w:hAnsi="宋体"/>
          <w:sz w:val="32"/>
          <w:szCs w:val="32"/>
        </w:rPr>
        <w:t>号</w:t>
      </w:r>
    </w:p>
    <w:p>
      <w:pPr>
        <w:ind w:left="3517" w:leftChars="564" w:hanging="1600" w:hangingChars="500"/>
        <w:jc w:val="left"/>
        <w:rPr>
          <w:rFonts w:hAnsi="宋体"/>
          <w:sz w:val="32"/>
          <w:szCs w:val="32"/>
        </w:rPr>
      </w:pPr>
      <w:r>
        <w:rPr>
          <w:rFonts w:hAnsi="宋体"/>
          <w:sz w:val="32"/>
          <w:szCs w:val="32"/>
        </w:rPr>
        <w:t>项目名称：</w:t>
      </w:r>
      <w:r>
        <w:rPr>
          <w:rFonts w:hint="eastAsia" w:hAnsi="宋体"/>
          <w:sz w:val="32"/>
          <w:szCs w:val="32"/>
        </w:rPr>
        <w:t>许昌市建安区高铁北站组团上航路、经二路、中航路三座景观桥工程</w:t>
      </w:r>
    </w:p>
    <w:p>
      <w:pPr>
        <w:ind w:firstLine="1920" w:firstLineChars="600"/>
        <w:jc w:val="left"/>
        <w:rPr>
          <w:rFonts w:hAnsi="宋体"/>
          <w:sz w:val="32"/>
          <w:szCs w:val="32"/>
        </w:rPr>
      </w:pPr>
      <w:r>
        <w:rPr>
          <w:rFonts w:hAnsi="宋体"/>
          <w:sz w:val="32"/>
          <w:szCs w:val="32"/>
        </w:rPr>
        <w:t>招 标 人：</w:t>
      </w:r>
      <w:r>
        <w:rPr>
          <w:rFonts w:hint="eastAsia" w:hAnsi="宋体"/>
          <w:sz w:val="32"/>
          <w:szCs w:val="32"/>
        </w:rPr>
        <w:t>许昌市建安区住房和城乡建设局</w:t>
      </w:r>
    </w:p>
    <w:p>
      <w:pPr>
        <w:ind w:firstLine="1920" w:firstLineChars="600"/>
        <w:jc w:val="left"/>
        <w:rPr>
          <w:rFonts w:hAnsi="宋体"/>
          <w:sz w:val="32"/>
          <w:szCs w:val="32"/>
        </w:rPr>
      </w:pPr>
      <w:r>
        <w:rPr>
          <w:rFonts w:hAnsi="宋体"/>
          <w:sz w:val="32"/>
          <w:szCs w:val="32"/>
        </w:rPr>
        <w:t>代理机构：</w:t>
      </w:r>
      <w:r>
        <w:rPr>
          <w:rFonts w:hint="eastAsia" w:hAnsi="宋体"/>
          <w:sz w:val="32"/>
          <w:szCs w:val="32"/>
        </w:rPr>
        <w:t>河南天扬工程项目管理有限公司</w:t>
      </w:r>
    </w:p>
    <w:p>
      <w:pPr>
        <w:ind w:firstLine="3840" w:firstLineChars="1200"/>
        <w:rPr>
          <w:rFonts w:hAnsi="宋体"/>
          <w:sz w:val="16"/>
        </w:rPr>
      </w:pPr>
      <w:r>
        <w:rPr>
          <w:rFonts w:hint="eastAsia" w:hAnsi="宋体"/>
          <w:sz w:val="32"/>
          <w:szCs w:val="32"/>
        </w:rPr>
        <w:t>二〇二〇年三月</w:t>
      </w:r>
    </w:p>
    <w:p>
      <w:pPr>
        <w:rPr>
          <w:rFonts w:ascii="黑体" w:hAnsi="宋体" w:eastAsia="黑体"/>
          <w:b/>
          <w:sz w:val="44"/>
        </w:rPr>
        <w:sectPr>
          <w:headerReference r:id="rId4"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6"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156" w:beforeLines="50"/>
        <w:jc w:val="left"/>
        <w:rPr>
          <w:rFonts w:hAnsi="宋体" w:cs="黑体"/>
          <w:b/>
          <w:sz w:val="36"/>
          <w:szCs w:val="36"/>
        </w:rPr>
      </w:pPr>
      <w:bookmarkStart w:id="0" w:name="_Toc215282124"/>
    </w:p>
    <w:p>
      <w:pPr>
        <w:tabs>
          <w:tab w:val="left" w:pos="3185"/>
          <w:tab w:val="center" w:pos="5452"/>
        </w:tabs>
        <w:snapToGrid w:val="0"/>
        <w:spacing w:before="156"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156"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center"/>
        <w:textAlignment w:val="auto"/>
        <w:outlineLvl w:val="0"/>
        <w:rPr>
          <w:rFonts w:hAnsi="宋体" w:cs="宋体"/>
          <w:sz w:val="24"/>
          <w:szCs w:val="24"/>
        </w:rPr>
      </w:pPr>
      <w:r>
        <w:rPr>
          <w:rFonts w:hint="eastAsia" w:hAnsi="宋体" w:cs="宋体"/>
          <w:sz w:val="24"/>
          <w:szCs w:val="24"/>
        </w:rPr>
        <w:t>建安建工公字〔2020〕</w:t>
      </w:r>
      <w:r>
        <w:rPr>
          <w:rFonts w:hint="default" w:hAnsi="宋体" w:cs="宋体"/>
          <w:sz w:val="24"/>
          <w:szCs w:val="24"/>
          <w:lang w:val="en-US"/>
        </w:rPr>
        <w:t>29</w:t>
      </w:r>
      <w:r>
        <w:rPr>
          <w:rFonts w:hint="eastAsia" w:hAnsi="宋体" w:cs="宋体"/>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center"/>
        <w:textAlignment w:val="auto"/>
        <w:outlineLvl w:val="0"/>
        <w:rPr>
          <w:rFonts w:hAnsi="宋体" w:cs="宋体"/>
          <w:sz w:val="24"/>
          <w:szCs w:val="24"/>
        </w:rPr>
      </w:pPr>
      <w:r>
        <w:rPr>
          <w:rFonts w:hint="eastAsia" w:hAnsi="宋体" w:cs="宋体"/>
          <w:sz w:val="24"/>
          <w:szCs w:val="24"/>
        </w:rPr>
        <w:t>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center"/>
        <w:textAlignment w:val="auto"/>
        <w:outlineLvl w:val="0"/>
        <w:rPr>
          <w:rFonts w:hAnsi="宋体" w:cs="宋体"/>
          <w:sz w:val="24"/>
          <w:szCs w:val="24"/>
        </w:rPr>
      </w:pPr>
      <w:r>
        <w:rPr>
          <w:rFonts w:hint="eastAsia" w:hAnsi="宋体" w:cs="宋体"/>
          <w:sz w:val="24"/>
          <w:szCs w:val="24"/>
        </w:rPr>
        <w:t>许昌市建安区高铁北站组团上航路、经二路、中航路三座景观桥工程</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2"/>
        </w:rPr>
      </w:pPr>
      <w:r>
        <w:rPr>
          <w:rFonts w:hint="eastAsia" w:hAnsi="宋体" w:cs="宋体"/>
          <w:sz w:val="24"/>
          <w:szCs w:val="22"/>
        </w:rPr>
        <w:t>1、项目编号：建安建工公字〔2020〕</w:t>
      </w:r>
      <w:r>
        <w:rPr>
          <w:rFonts w:hint="default" w:hAnsi="宋体" w:cs="宋体"/>
          <w:sz w:val="24"/>
          <w:szCs w:val="22"/>
          <w:lang w:val="en-US"/>
        </w:rPr>
        <w:t>29</w:t>
      </w:r>
      <w:r>
        <w:rPr>
          <w:rFonts w:hint="eastAsia" w:hAnsi="宋体" w:cs="宋体"/>
          <w:sz w:val="24"/>
          <w:szCs w:val="22"/>
        </w:rPr>
        <w:t>号。</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2"/>
        </w:rPr>
      </w:pPr>
      <w:r>
        <w:rPr>
          <w:rFonts w:hint="eastAsia" w:hAnsi="宋体" w:cs="宋体"/>
          <w:sz w:val="24"/>
          <w:szCs w:val="22"/>
        </w:rPr>
        <w:t>2、</w:t>
      </w:r>
      <w:r>
        <w:rPr>
          <w:rFonts w:hAnsi="宋体" w:cs="宋体"/>
          <w:sz w:val="24"/>
          <w:szCs w:val="22"/>
        </w:rPr>
        <w:t>项目名称：</w:t>
      </w:r>
      <w:r>
        <w:rPr>
          <w:rFonts w:hint="eastAsia" w:hAnsi="宋体" w:cs="宋体"/>
          <w:sz w:val="24"/>
          <w:szCs w:val="22"/>
        </w:rPr>
        <w:t>许昌市建安区高铁北站组团上航路、经二路、中航路三座景观桥工程。</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2"/>
        </w:rPr>
      </w:pPr>
      <w:r>
        <w:rPr>
          <w:rFonts w:hint="eastAsia" w:hAnsi="宋体" w:cs="宋体"/>
          <w:sz w:val="24"/>
          <w:szCs w:val="22"/>
        </w:rPr>
        <w:t>3、招标单位：许昌市建安区住房和城乡建设局。</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2"/>
        </w:rPr>
      </w:pPr>
      <w:r>
        <w:rPr>
          <w:rFonts w:hint="eastAsia" w:hAnsi="宋体" w:cs="宋体"/>
          <w:sz w:val="24"/>
          <w:szCs w:val="22"/>
        </w:rPr>
        <w:t>4、工程概况：本项目建设地点位于许昌市建安区境内，上航路桥工程桥梁全长81</w:t>
      </w:r>
      <w:r>
        <w:rPr>
          <w:rFonts w:hAnsi="宋体" w:cs="宋体"/>
          <w:sz w:val="24"/>
          <w:szCs w:val="22"/>
        </w:rPr>
        <w:t>m</w:t>
      </w:r>
      <w:r>
        <w:rPr>
          <w:rFonts w:hint="eastAsia" w:hAnsi="宋体" w:cs="宋体"/>
          <w:sz w:val="24"/>
          <w:szCs w:val="22"/>
        </w:rPr>
        <w:t>，桥宽20</w:t>
      </w:r>
      <w:r>
        <w:rPr>
          <w:rFonts w:hAnsi="宋体" w:cs="宋体"/>
          <w:sz w:val="24"/>
          <w:szCs w:val="22"/>
        </w:rPr>
        <w:t>m;</w:t>
      </w:r>
      <w:r>
        <w:rPr>
          <w:rFonts w:hint="eastAsia" w:hAnsi="宋体" w:cs="宋体"/>
          <w:sz w:val="24"/>
          <w:szCs w:val="22"/>
        </w:rPr>
        <w:t>经二路桥工程桥梁全长70</w:t>
      </w:r>
      <w:r>
        <w:rPr>
          <w:rFonts w:hAnsi="宋体" w:cs="宋体"/>
          <w:sz w:val="24"/>
          <w:szCs w:val="22"/>
        </w:rPr>
        <w:t>m,</w:t>
      </w:r>
      <w:r>
        <w:rPr>
          <w:rFonts w:hint="eastAsia" w:hAnsi="宋体" w:cs="宋体"/>
          <w:sz w:val="24"/>
          <w:szCs w:val="22"/>
        </w:rPr>
        <w:t>桥宽21</w:t>
      </w:r>
      <w:r>
        <w:rPr>
          <w:rFonts w:hAnsi="宋体" w:cs="宋体"/>
          <w:sz w:val="24"/>
          <w:szCs w:val="22"/>
        </w:rPr>
        <w:t>m;</w:t>
      </w:r>
      <w:r>
        <w:rPr>
          <w:rFonts w:hint="eastAsia" w:hAnsi="宋体" w:cs="宋体"/>
          <w:sz w:val="24"/>
          <w:szCs w:val="22"/>
        </w:rPr>
        <w:t>中航路桥工程桥梁全长35.586</w:t>
      </w:r>
      <w:r>
        <w:rPr>
          <w:rFonts w:hAnsi="宋体" w:cs="宋体"/>
          <w:sz w:val="24"/>
          <w:szCs w:val="22"/>
        </w:rPr>
        <w:t>m,</w:t>
      </w:r>
      <w:r>
        <w:rPr>
          <w:rFonts w:hint="eastAsia" w:hAnsi="宋体" w:cs="宋体"/>
          <w:sz w:val="24"/>
          <w:szCs w:val="22"/>
        </w:rPr>
        <w:t>桥宽20</w:t>
      </w:r>
      <w:r>
        <w:rPr>
          <w:rFonts w:hAnsi="宋体" w:cs="宋体"/>
          <w:sz w:val="24"/>
          <w:szCs w:val="22"/>
        </w:rPr>
        <w:t>m</w:t>
      </w:r>
      <w:r>
        <w:rPr>
          <w:rFonts w:hint="eastAsia" w:hAnsi="宋体" w:cs="宋体"/>
          <w:sz w:val="24"/>
          <w:szCs w:val="22"/>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2"/>
        </w:rPr>
      </w:pPr>
      <w:r>
        <w:rPr>
          <w:rFonts w:hint="eastAsia" w:hAnsi="宋体" w:cs="宋体"/>
          <w:sz w:val="24"/>
          <w:szCs w:val="22"/>
        </w:rPr>
        <w:t>5、招标范围：招标文件、工程量清单、</w:t>
      </w:r>
      <w:r>
        <w:rPr>
          <w:rFonts w:hint="eastAsia" w:hAnsi="宋体"/>
          <w:sz w:val="24"/>
          <w:szCs w:val="22"/>
        </w:rPr>
        <w:t>答疑纪要和补充文件（如有）范围内的所有建设内容。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2"/>
        </w:rPr>
      </w:pPr>
      <w:r>
        <w:rPr>
          <w:rFonts w:hint="eastAsia" w:hAnsi="宋体" w:cs="宋体"/>
          <w:sz w:val="24"/>
          <w:szCs w:val="22"/>
        </w:rPr>
        <w:t>6、标段划分：共一个标段。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资金预算：39022773.70元。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Ansi="宋体" w:cs="宋体"/>
          <w:color w:val="auto"/>
          <w:sz w:val="24"/>
          <w:szCs w:val="24"/>
        </w:rPr>
        <w:t>：</w:t>
      </w:r>
      <w:r>
        <w:rPr>
          <w:rFonts w:hint="eastAsia" w:hAnsi="宋体" w:cs="宋体"/>
          <w:color w:val="auto"/>
          <w:sz w:val="24"/>
          <w:szCs w:val="24"/>
          <w:lang w:val="en-US" w:eastAsia="zh-CN"/>
        </w:rPr>
        <w:t>210</w:t>
      </w:r>
      <w:r>
        <w:rPr>
          <w:rFonts w:hint="eastAsia" w:hAnsi="宋体" w:cs="宋体"/>
          <w:color w:val="auto"/>
          <w:sz w:val="24"/>
          <w:szCs w:val="24"/>
        </w:rPr>
        <w:t>日历天。</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9、质量要求：达到国家建设工程质量验收的规范和标准(合格)。</w:t>
      </w:r>
    </w:p>
    <w:p>
      <w:pPr>
        <w:pStyle w:val="86"/>
        <w:numPr>
          <w:ilvl w:val="0"/>
          <w:numId w:val="3"/>
        </w:numPr>
        <w:autoSpaceDE w:val="0"/>
        <w:autoSpaceDN w:val="0"/>
        <w:adjustRightInd w:val="0"/>
        <w:spacing w:line="420" w:lineRule="exact"/>
        <w:ind w:firstLineChars="0"/>
        <w:jc w:val="left"/>
        <w:outlineLvl w:val="0"/>
        <w:rPr>
          <w:rFonts w:hAnsi="宋体" w:cs="宋体"/>
          <w:b/>
          <w:bCs/>
          <w:sz w:val="24"/>
          <w:szCs w:val="24"/>
        </w:rPr>
      </w:pPr>
      <w:r>
        <w:rPr>
          <w:rFonts w:hAnsi="宋体" w:cs="宋体"/>
          <w:b/>
          <w:bCs/>
          <w:sz w:val="24"/>
          <w:szCs w:val="24"/>
        </w:rPr>
        <w:t>投标人资格要求</w:t>
      </w:r>
    </w:p>
    <w:p>
      <w:pPr>
        <w:pStyle w:val="86"/>
        <w:keepNext w:val="0"/>
        <w:keepLines w:val="0"/>
        <w:pageBreakBefore w:val="0"/>
        <w:widowControl w:val="0"/>
        <w:kinsoku/>
        <w:wordWrap/>
        <w:overflowPunct/>
        <w:topLinePunct w:val="0"/>
        <w:autoSpaceDE w:val="0"/>
        <w:autoSpaceDN w:val="0"/>
        <w:bidi w:val="0"/>
        <w:adjustRightInd w:val="0"/>
        <w:snapToGrid/>
        <w:spacing w:line="400" w:lineRule="exact"/>
        <w:ind w:left="118" w:leftChars="35" w:firstLine="360" w:firstLineChars="150"/>
        <w:jc w:val="left"/>
        <w:textAlignment w:val="auto"/>
        <w:outlineLvl w:val="0"/>
        <w:rPr>
          <w:rFonts w:hAnsi="宋体" w:cs="仿宋_GB2312"/>
          <w:color w:val="000000"/>
          <w:kern w:val="2"/>
          <w:sz w:val="24"/>
          <w:szCs w:val="24"/>
          <w:shd w:val="clear" w:color="auto" w:fill="FFFFFF"/>
        </w:rPr>
      </w:pPr>
      <w:r>
        <w:rPr>
          <w:rFonts w:hint="eastAsia" w:hAnsi="宋体" w:cs="仿宋_GB2312"/>
          <w:kern w:val="2"/>
          <w:sz w:val="24"/>
          <w:szCs w:val="24"/>
          <w:shd w:val="clear" w:color="auto" w:fill="FFFFFF"/>
        </w:rPr>
        <w:t>1、</w:t>
      </w:r>
      <w:bookmarkStart w:id="1" w:name="_Toc28292"/>
      <w:bookmarkEnd w:id="1"/>
      <w:r>
        <w:rPr>
          <w:rFonts w:hint="eastAsia" w:hAnsi="宋体" w:cs="仿宋_GB2312"/>
          <w:color w:val="000000"/>
          <w:kern w:val="2"/>
          <w:sz w:val="24"/>
          <w:szCs w:val="24"/>
          <w:shd w:val="clear" w:color="auto" w:fill="FFFFFF"/>
        </w:rPr>
        <w:t>投标人须具有独立法人资格。须具备建设行政主管部门颁发的</w:t>
      </w:r>
      <w:r>
        <w:rPr>
          <w:rFonts w:hint="eastAsia" w:hAnsi="宋体" w:cs="仿宋_GB2312"/>
          <w:kern w:val="2"/>
          <w:sz w:val="24"/>
          <w:szCs w:val="24"/>
          <w:shd w:val="clear" w:color="auto" w:fill="FFFFFF"/>
        </w:rPr>
        <w:t>市政公用工程施工总承包</w:t>
      </w:r>
      <w:r>
        <w:rPr>
          <w:rFonts w:hint="eastAsia" w:hAnsi="宋体" w:cs="仿宋_GB2312"/>
          <w:kern w:val="2"/>
          <w:sz w:val="24"/>
          <w:szCs w:val="24"/>
          <w:shd w:val="clear" w:color="auto" w:fill="FFFFFF"/>
          <w:lang w:val="en-US" w:eastAsia="zh-CN"/>
        </w:rPr>
        <w:t>贰级</w:t>
      </w:r>
      <w:r>
        <w:rPr>
          <w:rFonts w:hint="eastAsia" w:hAnsi="宋体" w:cs="仿宋_GB2312"/>
          <w:kern w:val="2"/>
          <w:sz w:val="24"/>
          <w:szCs w:val="24"/>
          <w:shd w:val="clear" w:color="auto" w:fill="FFFFFF"/>
        </w:rPr>
        <w:t>及以上资质</w:t>
      </w:r>
      <w:r>
        <w:rPr>
          <w:rFonts w:hint="eastAsia" w:hAnsi="宋体" w:cs="仿宋_GB2312"/>
          <w:color w:val="000000"/>
          <w:kern w:val="2"/>
          <w:sz w:val="24"/>
          <w:szCs w:val="24"/>
          <w:shd w:val="clear" w:color="auto" w:fill="FFFFFF"/>
        </w:rPr>
        <w:t>，且具有有效的安全生产许可证；</w:t>
      </w:r>
      <w:r>
        <w:rPr>
          <w:rFonts w:hint="eastAsia" w:hAnsi="宋体" w:cs="宋体"/>
          <w:sz w:val="24"/>
          <w:szCs w:val="24"/>
        </w:rPr>
        <w:t>拟派项目负责人须具有市政公用工程专业贰级及以上注册建造师资格，且具有有效的安全生产考核合格证，并未担任其他在施建设工程的项目负责人。</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Ansi="宋体" w:cs="宋体"/>
          <w:color w:val="000000"/>
          <w:sz w:val="24"/>
          <w:szCs w:val="24"/>
        </w:rPr>
      </w:pPr>
      <w:r>
        <w:rPr>
          <w:rFonts w:hAnsi="宋体" w:cs="宋体"/>
          <w:sz w:val="24"/>
          <w:szCs w:val="24"/>
        </w:rPr>
        <w:t>2</w:t>
      </w:r>
      <w:r>
        <w:rPr>
          <w:rFonts w:hint="eastAsia" w:hAnsi="宋体" w:cs="宋体"/>
          <w:sz w:val="24"/>
          <w:szCs w:val="24"/>
        </w:rPr>
        <w:t>、</w:t>
      </w:r>
      <w:r>
        <w:rPr>
          <w:rFonts w:hint="eastAsia" w:hAnsi="宋体" w:cs="宋体"/>
          <w:color w:val="000000"/>
          <w:sz w:val="24"/>
          <w:szCs w:val="24"/>
        </w:rPr>
        <w:t>投标人未被“信用中国”</w:t>
      </w:r>
      <w:r>
        <w:rPr>
          <w:rFonts w:hAnsi="宋体" w:cs="宋体"/>
          <w:color w:val="000000"/>
          <w:sz w:val="24"/>
          <w:szCs w:val="24"/>
        </w:rPr>
        <w:t>网站（www.creditchina.gov.cn）</w:t>
      </w:r>
      <w:r>
        <w:rPr>
          <w:rFonts w:hint="eastAsia" w:hAnsi="宋体" w:cs="宋体"/>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int="eastAsia" w:hAnsi="宋体" w:cs="宋体"/>
          <w:color w:val="000000"/>
          <w:sz w:val="24"/>
          <w:szCs w:val="24"/>
        </w:rPr>
        <w:t>列入经营异常名录或严重失信黑名单等。</w:t>
      </w:r>
      <w:r>
        <w:rPr>
          <w:rFonts w:hAnsi="宋体" w:cs="宋体"/>
          <w:color w:val="000000"/>
          <w:sz w:val="24"/>
          <w:szCs w:val="24"/>
        </w:rPr>
        <w:t>（招标人、代理机构或评标专家委员会评标现场查询）；</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hAnsi="宋体" w:cs="宋体"/>
          <w:color w:val="000000"/>
          <w:sz w:val="24"/>
          <w:szCs w:val="24"/>
        </w:rPr>
      </w:pPr>
      <w:r>
        <w:rPr>
          <w:rFonts w:hint="eastAsia" w:hAnsi="宋体" w:cs="宋体"/>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4、本次招标实行资格后审。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四、招标文件</w:t>
      </w:r>
      <w:r>
        <w:rPr>
          <w:rFonts w:hint="eastAsia" w:hAnsi="宋体" w:cs="宋体"/>
          <w:b/>
          <w:bCs/>
          <w:sz w:val="24"/>
          <w:szCs w:val="24"/>
          <w:lang w:eastAsia="zh-CN"/>
        </w:rPr>
        <w:t>和图纸</w:t>
      </w:r>
      <w:r>
        <w:rPr>
          <w:rFonts w:hint="eastAsia" w:hAnsi="宋体" w:cs="宋体"/>
          <w:b/>
          <w:bCs/>
          <w:sz w:val="24"/>
          <w:szCs w:val="24"/>
        </w:rPr>
        <w:t xml:space="preserve">的获取  </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1、招标文件和工程量清单的获取：投标人于投标文件递交截止时间前均可登录《全国公共资源交易平台(河南省▪许昌市)》（http://ggzy.xuchang.gov.cn/），通过“投标人/供应商登录” 入口自行下载；</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hAnsi="宋体" w:cs="宋体"/>
          <w:sz w:val="24"/>
          <w:szCs w:val="24"/>
          <w:lang w:val="en-US" w:eastAsia="zh-CN"/>
        </w:rPr>
      </w:pPr>
      <w:r>
        <w:rPr>
          <w:rFonts w:hint="default" w:hAnsi="宋体" w:cs="宋体"/>
          <w:sz w:val="24"/>
          <w:szCs w:val="24"/>
          <w:lang w:val="en-US"/>
        </w:rPr>
        <w:t>2</w:t>
      </w:r>
      <w:r>
        <w:rPr>
          <w:rFonts w:hint="eastAsia" w:hAnsi="宋体" w:cs="宋体"/>
          <w:sz w:val="24"/>
          <w:szCs w:val="24"/>
          <w:lang w:val="en-US" w:eastAsia="zh-CN"/>
        </w:rPr>
        <w:t>、</w:t>
      </w:r>
      <w:r>
        <w:rPr>
          <w:rFonts w:hint="eastAsia" w:hAnsi="宋体" w:cs="宋体"/>
          <w:sz w:val="24"/>
          <w:szCs w:val="24"/>
        </w:rPr>
        <w:t>图纸下载：详见招标文件附件。</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、招标文件每套售价100元，于递交投标文件时缴纳给招标代理机构，售后不退。</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Ansi="宋体" w:cs="宋体"/>
          <w:b/>
          <w:bCs/>
          <w:sz w:val="24"/>
          <w:szCs w:val="24"/>
        </w:rPr>
      </w:pPr>
      <w:r>
        <w:rPr>
          <w:rFonts w:hint="eastAsia" w:hAnsi="宋体" w:cs="宋体"/>
          <w:b/>
          <w:bCs/>
          <w:sz w:val="24"/>
          <w:szCs w:val="24"/>
        </w:rPr>
        <w:t>五、投标文件的递交</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1、 本项目为全流程电子化交易项目，须提交</w:t>
      </w:r>
      <w:r>
        <w:rPr>
          <w:rFonts w:hint="eastAsia" w:hAnsi="宋体" w:cs="宋体"/>
          <w:sz w:val="24"/>
          <w:shd w:val="clear" w:color="auto" w:fill="FFFFFF"/>
        </w:rPr>
        <w:t>电子投标文件和存储有备份文件的电子介质2份（能够正常读取</w:t>
      </w:r>
      <w:r>
        <w:rPr>
          <w:rFonts w:hint="eastAsia" w:hAnsi="宋体" w:cs="宋体"/>
          <w:sz w:val="24"/>
          <w:shd w:val="clear" w:color="auto" w:fill="FFFFFF"/>
          <w:lang w:eastAsia="zh-CN"/>
        </w:rPr>
        <w:t>的</w:t>
      </w:r>
      <w:r>
        <w:rPr>
          <w:rFonts w:hint="eastAsia" w:hAnsi="宋体" w:cs="宋体"/>
          <w:sz w:val="24"/>
          <w:shd w:val="clear" w:color="auto" w:fill="FFFFFF"/>
          <w:lang w:val="en-US" w:eastAsia="zh-CN"/>
        </w:rPr>
        <w:t>U盘</w:t>
      </w:r>
      <w:r>
        <w:rPr>
          <w:rFonts w:hint="eastAsia" w:hAnsi="宋体" w:cs="宋体"/>
          <w:sz w:val="24"/>
          <w:shd w:val="clear" w:color="auto" w:fill="FFFFFF"/>
        </w:rPr>
        <w:t>）</w:t>
      </w:r>
      <w:r>
        <w:rPr>
          <w:rFonts w:hint="eastAsia" w:hAnsi="宋体" w:cs="宋体"/>
          <w:sz w:val="24"/>
          <w:szCs w:val="24"/>
        </w:rPr>
        <w:t>。</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2 、投标文件提交的截止时间及开标时间：2020年</w:t>
      </w:r>
      <w:r>
        <w:rPr>
          <w:rFonts w:hint="default" w:hAnsi="宋体" w:cs="宋体"/>
          <w:sz w:val="24"/>
          <w:szCs w:val="24"/>
          <w:lang w:val="en-US"/>
        </w:rPr>
        <w:t>4</w:t>
      </w:r>
      <w:r>
        <w:rPr>
          <w:rFonts w:hint="eastAsia" w:hAnsi="宋体" w:cs="宋体"/>
          <w:sz w:val="24"/>
          <w:szCs w:val="24"/>
        </w:rPr>
        <w:t>月</w:t>
      </w:r>
      <w:r>
        <w:rPr>
          <w:rFonts w:hint="default" w:hAnsi="宋体" w:cs="宋体"/>
          <w:sz w:val="24"/>
          <w:szCs w:val="24"/>
          <w:lang w:val="en-US"/>
        </w:rPr>
        <w:t>14</w:t>
      </w:r>
      <w:r>
        <w:rPr>
          <w:rFonts w:hint="eastAsia" w:hAnsi="宋体" w:cs="宋体"/>
          <w:sz w:val="24"/>
          <w:szCs w:val="24"/>
        </w:rPr>
        <w:t>日9时30分。</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sz w:val="24"/>
          <w:szCs w:val="24"/>
        </w:rPr>
      </w:pPr>
      <w:r>
        <w:rPr>
          <w:rFonts w:hint="eastAsia" w:hAnsi="宋体" w:cs="宋体"/>
          <w:sz w:val="24"/>
          <w:szCs w:val="24"/>
        </w:rPr>
        <w:t>3、电子投标文件的提交：电子投标文件应在投标文件提交截止时间（开标时间）之前成功提交至《全国公共资源交易平台(河南省▪许昌市)》公共资源交易系统，并同时提交</w:t>
      </w:r>
      <w:r>
        <w:rPr>
          <w:rFonts w:hint="eastAsia" w:hAnsi="宋体" w:cs="宋体"/>
          <w:sz w:val="24"/>
          <w:shd w:val="clear" w:color="auto" w:fill="FFFFFF"/>
        </w:rPr>
        <w:t>存储有备份文件的电子介质2份</w:t>
      </w:r>
      <w:r>
        <w:rPr>
          <w:rFonts w:hint="eastAsia" w:hAnsi="宋体" w:cs="宋体"/>
          <w:sz w:val="24"/>
          <w:szCs w:val="24"/>
        </w:rPr>
        <w:t>。</w:t>
      </w:r>
    </w:p>
    <w:p>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Ansi="宋体" w:cs="宋体"/>
          <w:color w:val="auto"/>
          <w:sz w:val="24"/>
          <w:szCs w:val="24"/>
        </w:rPr>
      </w:pPr>
      <w:r>
        <w:rPr>
          <w:rFonts w:hint="eastAsia" w:hAnsi="宋体" w:cs="宋体"/>
          <w:sz w:val="24"/>
          <w:szCs w:val="24"/>
        </w:rPr>
        <w:t>4、</w:t>
      </w:r>
      <w:r>
        <w:rPr>
          <w:rFonts w:hint="eastAsia" w:hAnsi="宋体" w:cs="宋体"/>
          <w:sz w:val="24"/>
          <w:shd w:val="clear" w:color="auto" w:fill="FFFFFF"/>
        </w:rPr>
        <w:t>存储有备份文件的电子介质</w:t>
      </w:r>
      <w:r>
        <w:rPr>
          <w:rFonts w:hint="eastAsia" w:hAnsi="宋体" w:cs="宋体"/>
          <w:sz w:val="24"/>
          <w:szCs w:val="24"/>
        </w:rPr>
        <w:t>提交地点：许昌市建安区公共资源交易中心4</w:t>
      </w:r>
      <w:r>
        <w:rPr>
          <w:rFonts w:hint="eastAsia" w:hAnsi="宋体" w:cs="宋体"/>
          <w:color w:val="auto"/>
          <w:sz w:val="24"/>
          <w:szCs w:val="24"/>
        </w:rPr>
        <w:t>楼开标一室（建安区新元大道兴业大厦北4楼4167室）。</w:t>
      </w:r>
    </w:p>
    <w:p>
      <w:pPr>
        <w:spacing w:line="440" w:lineRule="exact"/>
        <w:ind w:firstLine="480" w:firstLineChars="200"/>
        <w:jc w:val="left"/>
        <w:rPr>
          <w:rFonts w:hAnsi="宋体" w:cs="宋体"/>
          <w:sz w:val="24"/>
          <w:szCs w:val="24"/>
        </w:rPr>
      </w:pPr>
      <w:r>
        <w:rPr>
          <w:rFonts w:hint="eastAsia" w:hAnsi="宋体" w:cs="宋体"/>
          <w:sz w:val="24"/>
          <w:szCs w:val="24"/>
        </w:rPr>
        <w:t>5、逾期送达的或者未送达指定地点的</w:t>
      </w:r>
      <w:r>
        <w:rPr>
          <w:rFonts w:hint="eastAsia" w:hAnsi="宋体" w:cs="宋体"/>
          <w:sz w:val="24"/>
          <w:shd w:val="clear" w:color="auto" w:fill="FFFFFF"/>
        </w:rPr>
        <w:t>存储有备份文件的电子介质</w:t>
      </w:r>
      <w:r>
        <w:rPr>
          <w:rFonts w:hint="eastAsia" w:hAnsi="宋体" w:cs="宋体"/>
          <w:sz w:val="24"/>
          <w:szCs w:val="24"/>
        </w:rPr>
        <w:t>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人：许昌市建安区住房和城乡建设局</w:t>
      </w:r>
    </w:p>
    <w:p>
      <w:pPr>
        <w:spacing w:line="440" w:lineRule="exact"/>
        <w:ind w:firstLine="480" w:firstLineChars="200"/>
        <w:jc w:val="left"/>
        <w:rPr>
          <w:rFonts w:hAnsi="宋体" w:cs="宋体"/>
          <w:sz w:val="24"/>
          <w:szCs w:val="24"/>
        </w:rPr>
      </w:pPr>
      <w:r>
        <w:rPr>
          <w:rFonts w:hint="eastAsia" w:hAnsi="宋体" w:cs="宋体"/>
          <w:sz w:val="24"/>
          <w:szCs w:val="24"/>
        </w:rPr>
        <w:t>项目负责人：杨会芳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项目负责人：齐小换</w:t>
      </w:r>
    </w:p>
    <w:p>
      <w:pPr>
        <w:spacing w:line="440" w:lineRule="exact"/>
        <w:ind w:firstLine="480" w:firstLineChars="200"/>
        <w:jc w:val="left"/>
        <w:rPr>
          <w:rFonts w:hAnsi="宋体" w:cs="宋体"/>
          <w:sz w:val="24"/>
          <w:szCs w:val="24"/>
        </w:rPr>
      </w:pPr>
      <w:r>
        <w:rPr>
          <w:rFonts w:hint="eastAsia" w:hAnsi="宋体" w:cs="宋体"/>
          <w:sz w:val="24"/>
          <w:szCs w:val="24"/>
        </w:rPr>
        <w:t>电   话：13938775087</w:t>
      </w:r>
    </w:p>
    <w:p>
      <w:pPr>
        <w:pStyle w:val="2"/>
        <w:ind w:firstLine="5280" w:firstLineChars="2200"/>
        <w:jc w:val="right"/>
        <w:rPr>
          <w:rFonts w:hAnsi="宋体" w:cs="宋体"/>
          <w:sz w:val="24"/>
          <w:szCs w:val="24"/>
        </w:rPr>
      </w:pPr>
      <w:r>
        <w:rPr>
          <w:rFonts w:hint="eastAsia" w:hAnsi="宋体" w:cs="宋体"/>
          <w:sz w:val="24"/>
          <w:szCs w:val="24"/>
        </w:rPr>
        <w:t>许昌市建安区住房和城乡建设局</w:t>
      </w:r>
    </w:p>
    <w:p>
      <w:pPr>
        <w:pStyle w:val="2"/>
        <w:ind w:firstLine="6720" w:firstLineChars="2800"/>
        <w:jc w:val="right"/>
        <w:rPr>
          <w:rFonts w:hAnsi="宋体" w:cs="宋体"/>
          <w:sz w:val="24"/>
          <w:szCs w:val="24"/>
        </w:rPr>
      </w:pPr>
      <w:r>
        <w:rPr>
          <w:rFonts w:hint="eastAsia" w:hAnsi="宋体" w:cs="宋体"/>
          <w:sz w:val="24"/>
          <w:szCs w:val="24"/>
        </w:rPr>
        <w:t>2020年</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20</w:t>
      </w:r>
      <w:r>
        <w:rPr>
          <w:rFonts w:hint="eastAsia" w:hAnsi="宋体" w:cs="宋体"/>
          <w:sz w:val="24"/>
          <w:szCs w:val="24"/>
        </w:rPr>
        <w:t xml:space="preserve">日 </w:t>
      </w: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Ansi="宋体" w:cs="宋体"/>
          <w:b/>
          <w:bCs/>
          <w:sz w:val="24"/>
          <w:szCs w:val="24"/>
        </w:rPr>
        <w:t>4.</w:t>
      </w:r>
      <w:r>
        <w:rPr>
          <w:rFonts w:hint="eastAsia" w:hAnsi="宋体" w:cs="宋体"/>
          <w:b/>
          <w:bCs/>
          <w:sz w:val="24"/>
          <w:szCs w:val="24"/>
        </w:rPr>
        <w:t>投标保证金的提交</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w:t>
      </w:r>
      <w:r>
        <w:rPr>
          <w:rFonts w:hint="eastAsia" w:hAnsi="宋体" w:cs="宋体"/>
          <w:bCs/>
          <w:sz w:val="24"/>
          <w:szCs w:val="24"/>
        </w:rPr>
        <w:t>使用银行转帐方式提交的，投标人通过基本账户将款项一次足额递交、成功绑定，以收款人到账时间为准。</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4.1.1</w:t>
      </w:r>
      <w:r>
        <w:rPr>
          <w:rFonts w:hint="eastAsia" w:hAnsi="宋体" w:cs="宋体"/>
          <w:bCs/>
          <w:sz w:val="24"/>
          <w:szCs w:val="24"/>
        </w:rPr>
        <w:t>投标人网上下载招标文件并根据每个标段的缴纳说明单在开标截止时间前提交。每个投标人每个项目每个标段只有唯一缴纳账号，切勿重复缴纳或错误缴纳。</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4.1.2</w:t>
      </w:r>
      <w:r>
        <w:rPr>
          <w:rFonts w:hint="eastAsia" w:hAnsi="宋体" w:cs="宋体"/>
          <w:bCs/>
          <w:sz w:val="24"/>
          <w:szCs w:val="24"/>
        </w:rPr>
        <w:t>提交后再次登录</w:t>
      </w:r>
      <w:r>
        <w:fldChar w:fldCharType="begin"/>
      </w:r>
      <w:r>
        <w:instrText xml:space="preserve"> HYPERLINK "http://221.14.6.70:8088/ggzy" </w:instrText>
      </w:r>
      <w:r>
        <w:fldChar w:fldCharType="separate"/>
      </w:r>
      <w:r>
        <w:rPr>
          <w:rFonts w:hAnsi="宋体" w:cs="宋体"/>
          <w:bCs/>
          <w:sz w:val="24"/>
          <w:szCs w:val="24"/>
        </w:rPr>
        <w:t>http://221.14.6.70:8088/ggzy</w:t>
      </w:r>
      <w:r>
        <w:rPr>
          <w:rFonts w:hAnsi="宋体" w:cs="宋体"/>
          <w:bCs/>
          <w:sz w:val="24"/>
          <w:szCs w:val="24"/>
        </w:rPr>
        <w:fldChar w:fldCharType="end"/>
      </w:r>
      <w:r>
        <w:rPr>
          <w:rFonts w:hint="eastAsia" w:hAnsi="宋体" w:cs="宋体"/>
          <w:bCs/>
          <w:sz w:val="24"/>
          <w:szCs w:val="24"/>
        </w:rPr>
        <w:t>系统，依次点击“会员向导”→“参与投标”→“保证金绑定”→“绑定”进行投标保证金绑定，前述系统显示“许昌市建安区公共资源交易中心保证金缴纳回执”表示投标保证金提交完成。未绑定标段的投标保证金，视为未按规定提交。</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4.1.3</w:t>
      </w:r>
      <w:r>
        <w:rPr>
          <w:rFonts w:hint="eastAsia" w:hAnsi="宋体" w:cs="宋体"/>
          <w:bCs/>
          <w:sz w:val="24"/>
          <w:szCs w:val="24"/>
        </w:rPr>
        <w:t>投标人按照所投项目及标段将缴纳凭证“许昌市建安区公共资源交易中心保证金缴纳回执”附于投标文件中。</w:t>
      </w:r>
    </w:p>
    <w:p>
      <w:pPr>
        <w:snapToGrid w:val="0"/>
        <w:spacing w:line="540" w:lineRule="exact"/>
        <w:ind w:left="-170" w:leftChars="-50" w:right="-170" w:rightChars="-50" w:firstLine="480" w:firstLineChars="200"/>
        <w:rPr>
          <w:rFonts w:hAnsi="宋体" w:cs="宋体"/>
          <w:bCs/>
          <w:sz w:val="24"/>
          <w:szCs w:val="24"/>
        </w:rPr>
      </w:pPr>
      <w:r>
        <w:rPr>
          <w:rFonts w:hAnsi="宋体" w:cs="宋体"/>
          <w:bCs/>
          <w:sz w:val="24"/>
          <w:szCs w:val="24"/>
        </w:rPr>
        <w:t>4.2</w:t>
      </w:r>
      <w:r>
        <w:rPr>
          <w:rFonts w:hint="eastAsia" w:hAnsi="宋体" w:cs="宋体"/>
          <w:bCs/>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w:t>
      </w:r>
      <w:r>
        <w:rPr>
          <w:rFonts w:hint="eastAsia" w:hAnsi="宋体" w:cs="宋体"/>
          <w:b/>
          <w:bCs/>
          <w:sz w:val="24"/>
          <w:szCs w:val="24"/>
          <w:lang w:eastAsia="zh-CN"/>
        </w:rPr>
        <w:t>加密</w:t>
      </w:r>
      <w:r>
        <w:rPr>
          <w:rFonts w:hint="eastAsia" w:hAnsi="宋体" w:cs="宋体"/>
          <w:b/>
          <w:bCs/>
          <w:sz w:val="24"/>
          <w:szCs w:val="24"/>
        </w:rPr>
        <w:t>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5.1电子投标文件应在招标文件规定的投标文件提交截止时间（开标时间）之前成功提交至《全国公共资源交易平台(河南省▪许昌市)》公共资源交易系统（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6.评标依据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6.1采用全流程电子化交易评标时，评标委员会以电子投标文件为依据评标。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6.2全流程电子化交易如因系统异常情况无法完成，将以人工方式进行。评标委员会以</w:t>
      </w:r>
      <w:r>
        <w:rPr>
          <w:rFonts w:hint="eastAsia" w:hAnsi="宋体"/>
          <w:sz w:val="24"/>
        </w:rPr>
        <w:t>存储有备份文件的电子介质</w:t>
      </w:r>
      <w:r>
        <w:rPr>
          <w:rFonts w:hint="eastAsia" w:hAnsi="宋体" w:cs="宋体"/>
          <w:sz w:val="24"/>
          <w:szCs w:val="24"/>
        </w:rPr>
        <w:t>为依据评标。</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3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4"/>
        <w:gridCol w:w="1701"/>
        <w:gridCol w:w="45"/>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11" w:type="dxa"/>
            <w:gridSpan w:val="2"/>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746" w:type="dxa"/>
            <w:gridSpan w:val="2"/>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111" w:type="dxa"/>
            <w:gridSpan w:val="2"/>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11"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人：齐小换</w:t>
            </w:r>
          </w:p>
          <w:p>
            <w:pPr>
              <w:autoSpaceDE w:val="0"/>
              <w:autoSpaceDN w:val="0"/>
              <w:adjustRightInd w:val="0"/>
              <w:spacing w:line="320" w:lineRule="exact"/>
              <w:rPr>
                <w:rFonts w:hAnsi="宋体"/>
                <w:sz w:val="24"/>
              </w:rPr>
            </w:pPr>
            <w:r>
              <w:rPr>
                <w:rFonts w:hint="eastAsia" w:hAnsi="宋体"/>
                <w:sz w:val="24"/>
              </w:rPr>
              <w:t>联系电话：13938775087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746"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Ansi="宋体"/>
                <w:b/>
                <w:sz w:val="24"/>
              </w:rPr>
            </w:pPr>
            <w:r>
              <w:rPr>
                <w:rFonts w:hint="eastAsia" w:hAnsi="宋体" w:cs="宋体"/>
                <w:sz w:val="24"/>
                <w:szCs w:val="24"/>
              </w:rPr>
              <w:t>许昌市建安区高铁北站组团上航路、经二路、中航路三座景观桥工程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Ansi="宋体" w:cs="仿宋_GB2312"/>
                <w:sz w:val="24"/>
                <w:szCs w:val="24"/>
              </w:rPr>
            </w:pPr>
            <w:r>
              <w:rPr>
                <w:rFonts w:hint="eastAsia" w:hAnsi="宋体"/>
                <w:sz w:val="24"/>
              </w:rPr>
              <w:t>许昌市建安区</w:t>
            </w:r>
            <w:r>
              <w:rPr>
                <w:rFonts w:hint="eastAsia" w:hAnsi="宋体" w:cs="宋体"/>
                <w:sz w:val="24"/>
                <w:szCs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lang w:val="en-US" w:eastAsia="zh-CN"/>
              </w:rPr>
              <w:t>210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vAlign w:val="center"/>
          </w:tcPr>
          <w:p>
            <w:pPr>
              <w:autoSpaceDE w:val="0"/>
              <w:autoSpaceDN w:val="0"/>
              <w:adjustRightInd w:val="0"/>
              <w:spacing w:line="420" w:lineRule="exact"/>
              <w:jc w:val="left"/>
              <w:outlineLvl w:val="0"/>
              <w:rPr>
                <w:rFonts w:hAnsi="宋体" w:cs="仿宋_GB2312"/>
                <w:color w:val="000000"/>
                <w:kern w:val="2"/>
                <w:sz w:val="24"/>
                <w:szCs w:val="24"/>
                <w:shd w:val="clear" w:color="auto" w:fill="FFFFFF"/>
              </w:rPr>
            </w:pPr>
            <w:r>
              <w:rPr>
                <w:rFonts w:hint="eastAsia" w:hAnsi="宋体" w:cs="仿宋_GB2312"/>
                <w:kern w:val="2"/>
                <w:sz w:val="24"/>
                <w:szCs w:val="24"/>
                <w:shd w:val="clear" w:color="auto" w:fill="FFFFFF"/>
              </w:rPr>
              <w:t>1、</w:t>
            </w:r>
            <w:r>
              <w:rPr>
                <w:rFonts w:hint="eastAsia" w:hAnsi="宋体" w:cs="仿宋_GB2312"/>
                <w:color w:val="000000"/>
                <w:kern w:val="2"/>
                <w:sz w:val="24"/>
                <w:szCs w:val="24"/>
                <w:shd w:val="clear" w:color="auto" w:fill="FFFFFF"/>
              </w:rPr>
              <w:t>投标人须具有独立法人资格。</w:t>
            </w:r>
            <w:r>
              <w:rPr>
                <w:rFonts w:hint="eastAsia" w:hAnsi="宋体" w:cs="仿宋_GB2312"/>
                <w:kern w:val="2"/>
                <w:sz w:val="24"/>
                <w:szCs w:val="24"/>
                <w:shd w:val="clear" w:color="auto" w:fill="FFFFFF"/>
              </w:rPr>
              <w:t>须具备建设行政主管部门颁发的市政公用工程施工总承包</w:t>
            </w:r>
            <w:r>
              <w:rPr>
                <w:rFonts w:hint="eastAsia" w:hAnsi="宋体" w:cs="仿宋_GB2312"/>
                <w:kern w:val="2"/>
                <w:sz w:val="24"/>
                <w:szCs w:val="24"/>
                <w:shd w:val="clear" w:color="auto" w:fill="FFFFFF"/>
                <w:lang w:eastAsia="zh-CN"/>
              </w:rPr>
              <w:t>贰</w:t>
            </w:r>
            <w:r>
              <w:rPr>
                <w:rFonts w:hint="eastAsia" w:hAnsi="宋体" w:cs="仿宋_GB2312"/>
                <w:kern w:val="2"/>
                <w:sz w:val="24"/>
                <w:szCs w:val="24"/>
                <w:shd w:val="clear" w:color="auto" w:fill="FFFFFF"/>
              </w:rPr>
              <w:t>级及以上资质</w:t>
            </w:r>
            <w:r>
              <w:rPr>
                <w:rFonts w:hint="eastAsia" w:hAnsi="宋体" w:cs="仿宋_GB2312"/>
                <w:color w:val="000000"/>
                <w:kern w:val="2"/>
                <w:sz w:val="24"/>
                <w:szCs w:val="24"/>
                <w:shd w:val="clear" w:color="auto" w:fill="FFFFFF"/>
              </w:rPr>
              <w:t>，且具有有效的安全生产许可证；</w:t>
            </w:r>
            <w:r>
              <w:rPr>
                <w:rFonts w:hint="eastAsia" w:hAnsi="宋体" w:cs="宋体"/>
                <w:sz w:val="24"/>
                <w:szCs w:val="24"/>
              </w:rPr>
              <w:t>拟派项目负责人须具有市政公用工程专业贰级及以上注册建造师资格，且具有有效的安全生产考核合格证，并未担任其他在施建设工程的项目负责人。</w:t>
            </w:r>
          </w:p>
          <w:p>
            <w:pPr>
              <w:spacing w:line="400" w:lineRule="exact"/>
              <w:rPr>
                <w:rFonts w:hAnsi="宋体" w:cs="宋体"/>
                <w:color w:val="000000"/>
                <w:sz w:val="24"/>
                <w:szCs w:val="24"/>
              </w:rPr>
            </w:pPr>
            <w:r>
              <w:rPr>
                <w:rFonts w:hAnsi="宋体" w:cs="宋体"/>
                <w:sz w:val="24"/>
                <w:szCs w:val="24"/>
              </w:rPr>
              <w:t>2</w:t>
            </w:r>
            <w:r>
              <w:rPr>
                <w:rFonts w:hint="eastAsia" w:hAnsi="宋体" w:cs="宋体"/>
                <w:sz w:val="24"/>
                <w:szCs w:val="24"/>
              </w:rPr>
              <w:t>、</w:t>
            </w:r>
            <w:r>
              <w:rPr>
                <w:rFonts w:hint="eastAsia" w:hAnsi="宋体" w:cs="宋体"/>
                <w:color w:val="000000"/>
                <w:sz w:val="24"/>
                <w:szCs w:val="24"/>
              </w:rPr>
              <w:t>投标人未被“信用中国”</w:t>
            </w:r>
            <w:r>
              <w:rPr>
                <w:rFonts w:hAnsi="宋体" w:cs="宋体"/>
                <w:color w:val="000000"/>
                <w:sz w:val="24"/>
                <w:szCs w:val="24"/>
              </w:rPr>
              <w:t>网站（www.creditchina.gov.cn）</w:t>
            </w:r>
            <w:r>
              <w:rPr>
                <w:rFonts w:hint="eastAsia" w:hAnsi="宋体" w:cs="宋体"/>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int="eastAsia" w:hAnsi="宋体" w:cs="宋体"/>
                <w:color w:val="000000"/>
                <w:sz w:val="24"/>
                <w:szCs w:val="24"/>
              </w:rPr>
              <w:t>列入经营异常名录或严重失信黑名单等。</w:t>
            </w:r>
            <w:r>
              <w:rPr>
                <w:rFonts w:hAnsi="宋体" w:cs="宋体"/>
                <w:color w:val="000000"/>
                <w:sz w:val="24"/>
                <w:szCs w:val="24"/>
              </w:rPr>
              <w:t>（招标人、代理机构或评标专家委员会评标现场查询）；</w:t>
            </w:r>
          </w:p>
          <w:p>
            <w:pPr>
              <w:spacing w:line="400" w:lineRule="exact"/>
              <w:ind w:firstLine="480" w:firstLineChars="200"/>
              <w:rPr>
                <w:rFonts w:hAnsi="宋体" w:cs="宋体"/>
                <w:color w:val="000000"/>
                <w:sz w:val="24"/>
                <w:szCs w:val="24"/>
              </w:rPr>
            </w:pPr>
            <w:r>
              <w:rPr>
                <w:rFonts w:hint="eastAsia" w:hAnsi="宋体" w:cs="宋体"/>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outlineLvl w:val="0"/>
              <w:rPr>
                <w:rFonts w:hAnsi="宋体"/>
                <w:b/>
                <w:sz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746" w:type="dxa"/>
            <w:gridSpan w:val="2"/>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746"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1" w:type="dxa"/>
            <w:gridSpan w:val="2"/>
            <w:vAlign w:val="center"/>
          </w:tcPr>
          <w:p>
            <w:pPr>
              <w:jc w:val="center"/>
              <w:rPr>
                <w:rFonts w:hAnsi="宋体"/>
                <w:sz w:val="24"/>
              </w:rPr>
            </w:pPr>
            <w:r>
              <w:rPr>
                <w:rFonts w:hint="eastAsia" w:hAnsi="宋体"/>
                <w:sz w:val="24"/>
              </w:rPr>
              <w:t>1.10.3</w:t>
            </w:r>
          </w:p>
        </w:tc>
        <w:tc>
          <w:tcPr>
            <w:tcW w:w="1746" w:type="dxa"/>
            <w:gridSpan w:val="2"/>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vAlign w:val="center"/>
          </w:tcPr>
          <w:p>
            <w:pPr>
              <w:autoSpaceDE w:val="0"/>
              <w:autoSpaceDN w:val="0"/>
              <w:adjustRightInd w:val="0"/>
              <w:spacing w:line="340" w:lineRule="exact"/>
              <w:rPr>
                <w:rFonts w:hAnsi="宋体" w:cs="仿宋_GB2312"/>
                <w:sz w:val="24"/>
                <w:szCs w:val="22"/>
              </w:rPr>
            </w:pPr>
            <w:r>
              <w:rPr>
                <w:rFonts w:hint="eastAsia" w:hAnsi="宋体"/>
                <w:bCs/>
                <w:sz w:val="24"/>
                <w:szCs w:val="22"/>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746"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pPr>
              <w:autoSpaceDE w:val="0"/>
              <w:autoSpaceDN w:val="0"/>
              <w:adjustRightInd w:val="0"/>
              <w:spacing w:line="340" w:lineRule="exact"/>
              <w:jc w:val="center"/>
              <w:rPr>
                <w:rFonts w:hAnsi="宋体"/>
                <w:bCs/>
                <w:sz w:val="24"/>
                <w:szCs w:val="22"/>
              </w:rPr>
            </w:pPr>
            <w:r>
              <w:rPr>
                <w:rFonts w:hint="eastAsia" w:hAnsi="宋体"/>
                <w:bCs/>
                <w:sz w:val="24"/>
                <w:szCs w:val="22"/>
              </w:rPr>
              <w:t>投标截止时间</w:t>
            </w:r>
          </w:p>
        </w:tc>
        <w:tc>
          <w:tcPr>
            <w:tcW w:w="7017" w:type="dxa"/>
            <w:vAlign w:val="center"/>
          </w:tcPr>
          <w:p>
            <w:pPr>
              <w:autoSpaceDE w:val="0"/>
              <w:autoSpaceDN w:val="0"/>
              <w:adjustRightInd w:val="0"/>
              <w:spacing w:line="340" w:lineRule="exact"/>
              <w:rPr>
                <w:rFonts w:hAnsi="宋体"/>
                <w:bCs/>
                <w:sz w:val="24"/>
                <w:szCs w:val="22"/>
              </w:rPr>
            </w:pPr>
            <w:r>
              <w:rPr>
                <w:rFonts w:hint="eastAsia" w:hAnsi="宋体"/>
                <w:bCs/>
                <w:sz w:val="24"/>
                <w:szCs w:val="22"/>
              </w:rPr>
              <w:t>2020年</w:t>
            </w:r>
            <w:r>
              <w:rPr>
                <w:rFonts w:hint="eastAsia" w:hAnsi="宋体"/>
                <w:bCs/>
                <w:sz w:val="24"/>
                <w:szCs w:val="22"/>
                <w:lang w:val="en-US" w:eastAsia="zh-CN"/>
              </w:rPr>
              <w:t>4</w:t>
            </w:r>
            <w:r>
              <w:rPr>
                <w:rFonts w:hint="eastAsia" w:hAnsi="宋体"/>
                <w:bCs/>
                <w:sz w:val="24"/>
                <w:szCs w:val="22"/>
              </w:rPr>
              <w:t>月</w:t>
            </w:r>
            <w:r>
              <w:rPr>
                <w:rFonts w:hint="eastAsia" w:hAnsi="宋体"/>
                <w:bCs/>
                <w:sz w:val="24"/>
                <w:szCs w:val="22"/>
                <w:lang w:val="en-US" w:eastAsia="zh-CN"/>
              </w:rPr>
              <w:t>14</w:t>
            </w:r>
            <w:r>
              <w:rPr>
                <w:rFonts w:hint="eastAsia" w:hAnsi="宋体"/>
                <w:bCs/>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bookmarkStart w:id="3" w:name="OLE_LINK4" w:colFirst="0" w:colLast="2"/>
            <w:bookmarkStart w:id="4" w:name="OLE_LINK3" w:colFirst="0" w:colLast="2"/>
            <w:bookmarkStart w:id="5" w:name="_Hlk424659721"/>
            <w:r>
              <w:rPr>
                <w:rFonts w:hAnsi="宋体" w:cs="TimesNewRomanPSMT"/>
                <w:sz w:val="24"/>
              </w:rPr>
              <w:t>3.4</w:t>
            </w:r>
          </w:p>
        </w:tc>
        <w:tc>
          <w:tcPr>
            <w:tcW w:w="1746"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bookmarkEnd w:id="3"/>
          <w:bookmarkEnd w:id="4"/>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746" w:type="dxa"/>
            <w:gridSpan w:val="2"/>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gridSpan w:val="2"/>
            <w:vAlign w:val="center"/>
          </w:tcPr>
          <w:p>
            <w:pPr>
              <w:autoSpaceDE w:val="0"/>
              <w:autoSpaceDN w:val="0"/>
              <w:adjustRightInd w:val="0"/>
              <w:jc w:val="center"/>
              <w:rPr>
                <w:rFonts w:hAnsi="宋体" w:cs="仿宋_GB2312"/>
                <w:sz w:val="24"/>
              </w:rPr>
            </w:pPr>
            <w:r>
              <w:rPr>
                <w:rFonts w:hint="eastAsia" w:hAnsi="宋体" w:cs="仿宋_GB2312"/>
                <w:sz w:val="24"/>
              </w:rPr>
              <w:t>3.5.5</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投标文件的编制</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电子投标文件</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（2）</w:t>
            </w:r>
            <w:r>
              <w:rPr>
                <w:rFonts w:hint="eastAsia" w:hAnsi="宋体" w:cs="宋体"/>
                <w:bCs/>
                <w:sz w:val="24"/>
              </w:rPr>
              <w:t>存储有备份文件的电子介质2份</w:t>
            </w:r>
            <w:r>
              <w:rPr>
                <w:rFonts w:hint="eastAsia" w:hAnsi="宋体" w:cs="宋体"/>
                <w:bCs/>
                <w:sz w:val="24"/>
                <w:lang w:eastAsia="zh-CN"/>
              </w:rPr>
              <w:t>（能够正常读取的</w:t>
            </w:r>
            <w:r>
              <w:rPr>
                <w:rFonts w:hint="eastAsia" w:hAnsi="宋体" w:cs="宋体"/>
                <w:bCs/>
                <w:sz w:val="24"/>
                <w:lang w:val="en-US" w:eastAsia="zh-CN"/>
              </w:rPr>
              <w:t>U盘</w:t>
            </w:r>
            <w:r>
              <w:rPr>
                <w:rFonts w:hint="eastAsia" w:hAnsi="宋体" w:cs="宋体"/>
                <w:bCs/>
                <w:sz w:val="24"/>
                <w:lang w:eastAsia="zh-CN"/>
              </w:rPr>
              <w:t>）</w:t>
            </w:r>
            <w:r>
              <w:rPr>
                <w:rFonts w:hint="eastAsia" w:hAnsi="宋体" w:cs="宋体"/>
                <w:bCs/>
                <w:sz w:val="24"/>
              </w:rPr>
              <w:t>。</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sz w:val="24"/>
                <w:szCs w:val="24"/>
              </w:rPr>
              <w:t>许昌投标文件制作系统SEARUNV1.1</w:t>
            </w:r>
            <w:r>
              <w:rPr>
                <w:rFonts w:hint="eastAsia" w:ascii="等线" w:hAnsi="等线" w:eastAsia="等线"/>
                <w:b/>
                <w:sz w:val="24"/>
                <w:szCs w:val="24"/>
              </w:rPr>
              <w:t>”</w:t>
            </w:r>
            <w:r>
              <w:rPr>
                <w:rFonts w:hint="eastAsia" w:hAnsi="宋体"/>
                <w:b/>
                <w:sz w:val="24"/>
                <w:szCs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电子介质</w:t>
            </w:r>
          </w:p>
        </w:tc>
        <w:tc>
          <w:tcPr>
            <w:tcW w:w="7017" w:type="dxa"/>
            <w:vAlign w:val="center"/>
          </w:tcPr>
          <w:p>
            <w:pPr>
              <w:autoSpaceDE w:val="0"/>
              <w:autoSpaceDN w:val="0"/>
              <w:adjustRightInd w:val="0"/>
              <w:spacing w:line="420" w:lineRule="exact"/>
              <w:rPr>
                <w:rFonts w:ascii="新宋体" w:hAnsi="新宋体"/>
                <w:sz w:val="24"/>
              </w:rPr>
            </w:pPr>
            <w:r>
              <w:rPr>
                <w:rFonts w:hint="eastAsia" w:hAnsi="宋体" w:cs="宋体"/>
                <w:bCs/>
                <w:sz w:val="24"/>
              </w:rPr>
              <w:t>存储有备份文件的电子介质2份</w:t>
            </w:r>
            <w:r>
              <w:rPr>
                <w:rFonts w:hint="eastAsia" w:hAnsi="宋体" w:cs="宋体"/>
                <w:sz w:val="24"/>
              </w:rPr>
              <w:t>应密封并加盖单位公章，法定代表人或委托代理人签字，在投标截止时间前递交。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111" w:type="dxa"/>
            <w:gridSpan w:val="2"/>
            <w:vAlign w:val="center"/>
          </w:tcPr>
          <w:p>
            <w:pPr>
              <w:autoSpaceDE w:val="0"/>
              <w:autoSpaceDN w:val="0"/>
              <w:adjustRightInd w:val="0"/>
              <w:spacing w:line="420" w:lineRule="exact"/>
              <w:jc w:val="center"/>
              <w:rPr>
                <w:rFonts w:hint="eastAsia" w:hAnsi="宋体" w:eastAsia="宋体" w:cs="黑体"/>
                <w:sz w:val="24"/>
                <w:lang w:eastAsia="zh-CN"/>
              </w:rPr>
            </w:pPr>
            <w:r>
              <w:rPr>
                <w:rFonts w:hAnsi="宋体" w:cs="TimesNewRomanPSMT"/>
                <w:sz w:val="24"/>
              </w:rPr>
              <w:t>4.1.</w:t>
            </w:r>
            <w:r>
              <w:rPr>
                <w:rFonts w:hint="eastAsia" w:hAnsi="宋体" w:cs="TimesNewRomanPSMT"/>
                <w:sz w:val="24"/>
                <w:lang w:val="en-US" w:eastAsia="zh-CN"/>
              </w:rPr>
              <w:t>1</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vAlign w:val="center"/>
          </w:tcPr>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rPr>
                <w:rFonts w:hAnsi="宋体" w:cs="宋体"/>
                <w:sz w:val="24"/>
              </w:rPr>
            </w:pPr>
            <w:r>
              <w:rPr>
                <w:rFonts w:hint="eastAsia"/>
                <w:sz w:val="24"/>
              </w:rPr>
              <w:t>项</w:t>
            </w:r>
            <w:r>
              <w:rPr>
                <w:rFonts w:hint="eastAsia" w:hAnsi="宋体" w:cs="宋体"/>
                <w:sz w:val="24"/>
              </w:rPr>
              <w:t>目名称：</w:t>
            </w:r>
          </w:p>
          <w:p>
            <w:pPr>
              <w:autoSpaceDE w:val="0"/>
              <w:autoSpaceDN w:val="0"/>
              <w:adjustRightInd w:val="0"/>
              <w:spacing w:line="420" w:lineRule="exact"/>
              <w:rPr>
                <w:rFonts w:hAnsi="宋体" w:cs="宋体"/>
                <w:sz w:val="24"/>
              </w:rPr>
            </w:pPr>
            <w:r>
              <w:rPr>
                <w:rFonts w:hint="eastAsia" w:hAnsi="宋体" w:cs="宋体"/>
                <w:sz w:val="24"/>
              </w:rPr>
              <w:t xml:space="preserve">项目编号：  </w:t>
            </w:r>
          </w:p>
          <w:p>
            <w:pPr>
              <w:autoSpaceDE w:val="0"/>
              <w:autoSpaceDN w:val="0"/>
              <w:adjustRightInd w:val="0"/>
              <w:spacing w:line="420" w:lineRule="exact"/>
              <w:rPr>
                <w:rFonts w:hAnsi="宋体" w:cs="宋体"/>
                <w:sz w:val="24"/>
              </w:rPr>
            </w:pPr>
            <w:r>
              <w:rPr>
                <w:rFonts w:hint="eastAsia" w:hAnsi="宋体" w:cs="宋体"/>
                <w:sz w:val="24"/>
              </w:rPr>
              <w:t>法定代表人或委托代理人：（签字）</w:t>
            </w:r>
          </w:p>
          <w:p>
            <w:pPr>
              <w:autoSpaceDE w:val="0"/>
              <w:autoSpaceDN w:val="0"/>
              <w:adjustRightInd w:val="0"/>
              <w:spacing w:line="420" w:lineRule="exact"/>
              <w:rPr>
                <w:rFonts w:hAnsi="宋体" w:cs="黑体"/>
                <w:sz w:val="24"/>
              </w:rPr>
            </w:pPr>
            <w:r>
              <w:rPr>
                <w:rFonts w:hint="eastAsia"/>
                <w:sz w:val="24"/>
              </w:rPr>
              <w:t>投标文件</w:t>
            </w:r>
            <w:r>
              <w:rPr>
                <w:rFonts w:hint="eastAsia" w:hAnsi="宋体" w:cs="仿宋_GB2312"/>
                <w:sz w:val="24"/>
              </w:rPr>
              <w:t>在2020年</w:t>
            </w:r>
            <w:r>
              <w:rPr>
                <w:rFonts w:hint="eastAsia" w:hAnsi="宋体" w:cs="仿宋_GB2312"/>
                <w:sz w:val="24"/>
                <w:lang w:val="en-US" w:eastAsia="zh-CN"/>
              </w:rPr>
              <w:t>4</w:t>
            </w:r>
            <w:r>
              <w:rPr>
                <w:rFonts w:hint="eastAsia" w:hAnsi="宋体" w:cs="仿宋_GB2312"/>
                <w:sz w:val="24"/>
              </w:rPr>
              <w:t>月</w:t>
            </w:r>
            <w:r>
              <w:rPr>
                <w:rFonts w:hint="eastAsia" w:hAnsi="宋体" w:cs="仿宋_GB2312"/>
                <w:sz w:val="24"/>
                <w:lang w:val="en-US" w:eastAsia="zh-CN"/>
              </w:rPr>
              <w:t>14</w:t>
            </w:r>
            <w:r>
              <w:rPr>
                <w:rFonts w:hint="eastAsia" w:hAnsi="宋体" w:cs="仿宋_GB2312"/>
                <w:sz w:val="24"/>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4"/>
              </w:numPr>
              <w:tabs>
                <w:tab w:val="clear" w:pos="360"/>
              </w:tabs>
              <w:spacing w:line="288" w:lineRule="auto"/>
              <w:ind w:left="0" w:hanging="648"/>
              <w:rPr>
                <w:sz w:val="24"/>
                <w:u w:val="single"/>
              </w:rPr>
            </w:pPr>
            <w:r>
              <w:rPr>
                <w:rFonts w:hint="eastAsia" w:hAnsi="宋体" w:cs="宋体"/>
                <w:sz w:val="24"/>
                <w:szCs w:val="22"/>
              </w:rPr>
              <w:t>许昌市建安区公共资源交易中</w:t>
            </w:r>
            <w:r>
              <w:rPr>
                <w:rFonts w:hint="eastAsia" w:hAnsi="宋体" w:cs="宋体"/>
                <w:color w:val="auto"/>
                <w:sz w:val="24"/>
                <w:szCs w:val="22"/>
              </w:rPr>
              <w:t>心4楼开标一室（</w:t>
            </w:r>
            <w:r>
              <w:rPr>
                <w:rFonts w:hint="eastAsia" w:hAnsi="宋体" w:cs="宋体"/>
                <w:color w:val="auto"/>
                <w:sz w:val="24"/>
                <w:szCs w:val="24"/>
              </w:rPr>
              <w:t>建安区新元大道兴业大厦北4楼4167室）</w:t>
            </w:r>
            <w:r>
              <w:rPr>
                <w:rFonts w:hint="eastAsia"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rPr>
                <w:rFonts w:hAnsi="宋体" w:cs="黑体"/>
                <w:sz w:val="24"/>
              </w:rPr>
            </w:pPr>
            <w:r>
              <w:rPr>
                <w:rFonts w:hint="eastAsia" w:hAnsi="宋体" w:cs="仿宋_GB2312"/>
                <w:sz w:val="24"/>
              </w:rPr>
              <w:t>开标地点：</w:t>
            </w:r>
            <w:r>
              <w:rPr>
                <w:rFonts w:hint="eastAsia" w:hAnsi="宋体" w:cs="仿宋_GB2312"/>
                <w:sz w:val="24"/>
                <w:szCs w:val="22"/>
              </w:rPr>
              <w:t>许昌</w:t>
            </w:r>
            <w:r>
              <w:rPr>
                <w:rFonts w:hint="eastAsia" w:hAnsi="宋体" w:cs="仿宋_GB2312"/>
                <w:color w:val="auto"/>
                <w:sz w:val="24"/>
                <w:szCs w:val="22"/>
              </w:rPr>
              <w:t>市建安区</w:t>
            </w:r>
            <w:r>
              <w:rPr>
                <w:rFonts w:hint="eastAsia" w:hAnsi="宋体" w:cs="宋体"/>
                <w:color w:val="auto"/>
                <w:sz w:val="24"/>
                <w:szCs w:val="22"/>
              </w:rPr>
              <w:t>公共资源交易中心4楼开标一室（</w:t>
            </w:r>
            <w:r>
              <w:rPr>
                <w:rFonts w:hint="eastAsia" w:hAnsi="宋体" w:cs="宋体"/>
                <w:color w:val="auto"/>
                <w:sz w:val="24"/>
                <w:szCs w:val="24"/>
              </w:rPr>
              <w:t>建安区新元大道兴业大厦北4楼4167室）</w:t>
            </w:r>
            <w:r>
              <w:rPr>
                <w:rFonts w:hint="eastAsia" w:hAnsi="宋体" w:cs="仿宋_GB2312"/>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746"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sz w:val="24"/>
              </w:rPr>
              <w:t>评标委员会构成：7人，从河南省综合评标专家库中随机抽取5人和招标人代表2人（其中注册造价工程师不少于2人）。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746"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不得超过中标合同金额的5%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77" w:type="dxa"/>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735"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类似工程</w:t>
            </w:r>
          </w:p>
        </w:tc>
        <w:tc>
          <w:tcPr>
            <w:tcW w:w="7062" w:type="dxa"/>
            <w:gridSpan w:val="2"/>
            <w:shd w:val="clear" w:color="auto" w:fill="FFFFFF" w:themeFill="background1"/>
            <w:vAlign w:val="center"/>
          </w:tcPr>
          <w:p>
            <w:pPr>
              <w:pStyle w:val="2"/>
              <w:ind w:firstLine="0" w:firstLineChars="0"/>
              <w:jc w:val="center"/>
            </w:pPr>
            <w:r>
              <w:rPr>
                <w:rFonts w:hint="eastAsia" w:hAnsi="宋体"/>
                <w:sz w:val="24"/>
                <w:szCs w:val="24"/>
              </w:rPr>
              <w:t>2017年1月1日以来（以合同签订时间为准）</w:t>
            </w:r>
            <w:r>
              <w:rPr>
                <w:rFonts w:hint="eastAsia" w:hAnsi="宋体"/>
                <w:color w:val="auto"/>
                <w:sz w:val="24"/>
                <w:szCs w:val="24"/>
              </w:rPr>
              <w:t>的市政桥梁工</w:t>
            </w:r>
            <w:r>
              <w:rPr>
                <w:rFonts w:hint="eastAsia" w:hAnsi="宋体"/>
                <w:sz w:val="24"/>
                <w:szCs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1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746" w:type="dxa"/>
            <w:gridSpan w:val="2"/>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0"/>
              <w:tblW w:w="7085" w:type="dxa"/>
              <w:jc w:val="center"/>
              <w:tblLayout w:type="fixed"/>
              <w:tblCellMar>
                <w:top w:w="0" w:type="dxa"/>
                <w:left w:w="108" w:type="dxa"/>
                <w:bottom w:w="0" w:type="dxa"/>
                <w:right w:w="108" w:type="dxa"/>
              </w:tblCellMar>
            </w:tblPr>
            <w:tblGrid>
              <w:gridCol w:w="7085"/>
            </w:tblGrid>
            <w:tr>
              <w:tblPrEx>
                <w:tblCellMar>
                  <w:top w:w="0" w:type="dxa"/>
                  <w:left w:w="108" w:type="dxa"/>
                  <w:bottom w:w="0" w:type="dxa"/>
                  <w:right w:w="108" w:type="dxa"/>
                </w:tblCellMar>
              </w:tblPrEx>
              <w:trPr>
                <w:trHeight w:val="9200"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叁仟玖佰零贰万贰仟柒佰柒拾叁元柒角</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w:t>
                  </w:r>
                  <w:r>
                    <w:rPr>
                      <w:rFonts w:hint="eastAsia" w:hAnsi="宋体" w:cs="宋体"/>
                      <w:b/>
                      <w:bCs/>
                      <w:color w:val="auto"/>
                      <w:sz w:val="24"/>
                      <w:szCs w:val="24"/>
                    </w:rPr>
                    <w:t>写：</w:t>
                  </w:r>
                  <w:r>
                    <w:rPr>
                      <w:rFonts w:hint="default" w:hAnsi="宋体" w:cs="宋体"/>
                      <w:b/>
                      <w:bCs/>
                      <w:color w:val="auto"/>
                      <w:sz w:val="24"/>
                      <w:szCs w:val="24"/>
                      <w:lang w:val="en-US"/>
                    </w:rPr>
                    <w:t>39022773.7</w:t>
                  </w:r>
                  <w:r>
                    <w:rPr>
                      <w:rFonts w:hint="eastAsia" w:hAnsi="宋体" w:cs="宋体"/>
                      <w:b/>
                      <w:bCs/>
                      <w:color w:val="auto"/>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1" w:type="dxa"/>
            <w:gridSpan w:val="2"/>
            <w:vAlign w:val="center"/>
          </w:tcPr>
          <w:p>
            <w:pPr>
              <w:spacing w:line="312" w:lineRule="auto"/>
              <w:rPr>
                <w:sz w:val="24"/>
              </w:rPr>
            </w:pPr>
          </w:p>
        </w:tc>
        <w:tc>
          <w:tcPr>
            <w:tcW w:w="1746" w:type="dxa"/>
            <w:gridSpan w:val="2"/>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1" w:type="dxa"/>
            <w:gridSpan w:val="2"/>
            <w:vAlign w:val="center"/>
          </w:tcPr>
          <w:p>
            <w:pPr>
              <w:spacing w:line="312" w:lineRule="auto"/>
              <w:rPr>
                <w:rFonts w:ascii="新宋体" w:hAnsi="新宋体" w:eastAsia="新宋体"/>
                <w:b/>
                <w:sz w:val="24"/>
              </w:rPr>
            </w:pPr>
          </w:p>
        </w:tc>
        <w:tc>
          <w:tcPr>
            <w:tcW w:w="8763" w:type="dxa"/>
            <w:gridSpan w:val="3"/>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1" w:type="dxa"/>
            <w:gridSpan w:val="2"/>
            <w:vAlign w:val="center"/>
          </w:tcPr>
          <w:p>
            <w:pPr>
              <w:spacing w:line="312" w:lineRule="auto"/>
              <w:rPr>
                <w:sz w:val="24"/>
              </w:rPr>
            </w:pPr>
          </w:p>
        </w:tc>
        <w:tc>
          <w:tcPr>
            <w:tcW w:w="8763" w:type="dxa"/>
            <w:gridSpan w:val="3"/>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rFonts w:ascii="新宋体" w:hAnsi="新宋体" w:eastAsia="新宋体"/>
                <w:sz w:val="24"/>
              </w:rPr>
            </w:pPr>
          </w:p>
        </w:tc>
        <w:tc>
          <w:tcPr>
            <w:tcW w:w="8763" w:type="dxa"/>
            <w:gridSpan w:val="3"/>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1" w:type="dxa"/>
            <w:gridSpan w:val="2"/>
            <w:vAlign w:val="center"/>
          </w:tcPr>
          <w:p>
            <w:pPr>
              <w:spacing w:line="312" w:lineRule="auto"/>
              <w:rPr>
                <w:sz w:val="24"/>
              </w:rPr>
            </w:pPr>
          </w:p>
        </w:tc>
        <w:tc>
          <w:tcPr>
            <w:tcW w:w="8763" w:type="dxa"/>
            <w:gridSpan w:val="3"/>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w:t>
            </w:r>
            <w:r>
              <w:rPr>
                <w:rFonts w:hint="eastAsia" w:hAnsi="宋体" w:cs="宋体"/>
                <w:bCs/>
                <w:sz w:val="24"/>
              </w:rPr>
              <w:t>存储有备份文件的电子介质</w:t>
            </w:r>
            <w:r>
              <w:rPr>
                <w:rFonts w:hint="eastAsia" w:ascii="新宋体" w:hAnsi="新宋体" w:eastAsia="新宋体"/>
                <w:sz w:val="24"/>
                <w:szCs w:val="22"/>
              </w:rPr>
              <w:t>；</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w:t>
            </w:r>
            <w:r>
              <w:rPr>
                <w:rFonts w:hint="eastAsia" w:hAnsi="宋体" w:cs="宋体"/>
                <w:bCs/>
                <w:sz w:val="24"/>
              </w:rPr>
              <w:t>存储有备份文件的电子介质</w:t>
            </w:r>
            <w:r>
              <w:rPr>
                <w:rFonts w:hint="eastAsia" w:ascii="新宋体" w:hAnsi="新宋体" w:eastAsia="新宋体"/>
                <w:sz w:val="24"/>
                <w:szCs w:val="22"/>
              </w:rPr>
              <w:t>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gridSpan w:val="2"/>
            <w:vAlign w:val="center"/>
          </w:tcPr>
          <w:p>
            <w:pPr>
              <w:spacing w:line="312" w:lineRule="auto"/>
              <w:rPr>
                <w:sz w:val="24"/>
              </w:rPr>
            </w:pPr>
          </w:p>
        </w:tc>
        <w:tc>
          <w:tcPr>
            <w:tcW w:w="8763" w:type="dxa"/>
            <w:gridSpan w:val="3"/>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gridSpan w:val="2"/>
            <w:vAlign w:val="center"/>
          </w:tcPr>
          <w:p>
            <w:pPr>
              <w:spacing w:line="312" w:lineRule="auto"/>
              <w:rPr>
                <w:sz w:val="24"/>
              </w:rPr>
            </w:pPr>
          </w:p>
        </w:tc>
        <w:tc>
          <w:tcPr>
            <w:tcW w:w="8763" w:type="dxa"/>
            <w:gridSpan w:val="3"/>
            <w:vAlign w:val="center"/>
          </w:tcPr>
          <w:p>
            <w:pPr>
              <w:autoSpaceDE w:val="0"/>
              <w:autoSpaceDN w:val="0"/>
              <w:spacing w:line="35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5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35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50" w:lineRule="exact"/>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35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35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napToGrid w:val="0"/>
              <w:spacing w:line="350" w:lineRule="exact"/>
              <w:jc w:val="left"/>
              <w:outlineLvl w:val="0"/>
              <w:rPr>
                <w:rFonts w:hAnsi="宋体" w:cs="宋体"/>
                <w:sz w:val="24"/>
              </w:rPr>
            </w:pPr>
            <w:r>
              <w:rPr>
                <w:rFonts w:hint="eastAsia" w:hAnsi="宋体" w:cs="宋体"/>
                <w:sz w:val="24"/>
              </w:rPr>
              <w:t>7.2 商务标投标文件制作技术咨询：0374-2961598。</w:t>
            </w:r>
          </w:p>
          <w:p>
            <w:pPr>
              <w:autoSpaceDE w:val="0"/>
              <w:autoSpaceDN w:val="0"/>
              <w:adjustRightInd w:val="0"/>
              <w:snapToGrid w:val="0"/>
              <w:spacing w:line="350" w:lineRule="exact"/>
              <w:jc w:val="left"/>
              <w:outlineLvl w:val="0"/>
              <w:rPr>
                <w:rFonts w:hAnsi="宋体" w:cs="仿宋_GB2312"/>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44974503"/>
      <w:bookmarkStart w:id="10" w:name="_Toc152045535"/>
      <w:bookmarkStart w:id="11" w:name="_Toc179632552"/>
      <w:bookmarkStart w:id="12" w:name="_Toc152042311"/>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52045536"/>
      <w:bookmarkStart w:id="14" w:name="_Toc152042312"/>
      <w:bookmarkStart w:id="15" w:name="_Toc144974504"/>
      <w:bookmarkStart w:id="16" w:name="_Toc179632553"/>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52042314"/>
      <w:bookmarkStart w:id="22" w:name="_Toc144974506"/>
      <w:bookmarkStart w:id="23" w:name="_Toc152045538"/>
      <w:bookmarkStart w:id="24" w:name="_Toc179632555"/>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8"/>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2.2</w:t>
      </w:r>
      <w:r>
        <w:rPr>
          <w:rFonts w:hint="eastAsia" w:hAnsi="宋体" w:cs="宋体"/>
          <w:sz w:val="24"/>
        </w:rPr>
        <w:t>款和第</w:t>
      </w:r>
      <w:r>
        <w:rPr>
          <w:rFonts w:hAnsi="宋体" w:cs="宋体"/>
          <w:sz w:val="24"/>
        </w:rPr>
        <w:t>2.3</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15</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6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w:t>
      </w:r>
      <w:r>
        <w:rPr>
          <w:rFonts w:hint="eastAsia" w:hAnsi="宋体" w:cs="宋体"/>
          <w:bCs/>
          <w:sz w:val="24"/>
        </w:rPr>
        <w:t>存储有备份文件的电子介质</w:t>
      </w:r>
      <w:r>
        <w:rPr>
          <w:rFonts w:hint="eastAsia" w:hAnsi="宋体" w:cs="宋体"/>
          <w:sz w:val="24"/>
        </w:rPr>
        <w:t>应</w:t>
      </w:r>
      <w:r>
        <w:rPr>
          <w:rFonts w:hint="eastAsia" w:hAnsi="宋体" w:cs="宋体"/>
          <w:sz w:val="24"/>
          <w:lang w:eastAsia="zh-CN"/>
        </w:rPr>
        <w:t>按要求</w:t>
      </w:r>
      <w:r>
        <w:rPr>
          <w:rFonts w:hint="eastAsia" w:hAnsi="宋体" w:cs="宋体"/>
          <w:sz w:val="24"/>
        </w:rPr>
        <w:t>密封，封套上写明“投标人名称、项目名称、项目编号，投标文件在  年  月  日  时  分前不得开启”，并加盖单位公章，法定代表人或委托代理人签字，在投标截止时间前递交。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未按本章第4.1.1项要求</w:t>
      </w:r>
      <w:r>
        <w:rPr>
          <w:rFonts w:hint="eastAsia" w:hAnsi="宋体" w:cs="宋体"/>
          <w:sz w:val="24"/>
          <w:lang w:eastAsia="zh-CN"/>
        </w:rPr>
        <w:t>密封的</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w:t>
      </w:r>
      <w:r>
        <w:rPr>
          <w:rFonts w:hint="eastAsia" w:hAnsi="宋体" w:cs="宋体"/>
          <w:bCs/>
          <w:sz w:val="24"/>
        </w:rPr>
        <w:t>存储有备份文件的电子介质</w:t>
      </w:r>
      <w:r>
        <w:rPr>
          <w:rFonts w:hint="eastAsia" w:hAnsi="宋体" w:cs="宋体"/>
          <w:sz w:val="24"/>
        </w:rPr>
        <w:t>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w:t>
      </w:r>
      <w:r>
        <w:rPr>
          <w:rFonts w:hint="eastAsia" w:hAnsi="宋体" w:cs="宋体"/>
          <w:bCs/>
          <w:sz w:val="24"/>
        </w:rPr>
        <w:t>存储有备份文件的电子介质</w:t>
      </w:r>
      <w:r>
        <w:rPr>
          <w:rFonts w:hint="eastAsia" w:hAnsi="宋体" w:cs="宋体"/>
          <w:sz w:val="24"/>
        </w:rPr>
        <w:t>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w:t>
      </w:r>
      <w:r>
        <w:rPr>
          <w:rFonts w:hint="eastAsia" w:hAnsi="宋体" w:cs="宋体"/>
          <w:bCs/>
          <w:sz w:val="24"/>
        </w:rPr>
        <w:t>存储有备份文件的电子介质</w:t>
      </w:r>
      <w:r>
        <w:rPr>
          <w:rFonts w:hint="eastAsia" w:hAnsi="宋体" w:cs="宋体"/>
          <w:sz w:val="24"/>
        </w:rPr>
        <w:t>，招标人不予受理。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6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w:t>
      </w:r>
      <w:r>
        <w:rPr>
          <w:rFonts w:hint="eastAsia" w:hAnsi="宋体" w:cs="宋体"/>
          <w:bCs/>
          <w:sz w:val="24"/>
        </w:rPr>
        <w:t>存储有备份文件的电子介质</w:t>
      </w:r>
      <w:r>
        <w:rPr>
          <w:rFonts w:hint="eastAsia" w:hAnsi="宋体"/>
          <w:sz w:val="24"/>
          <w:szCs w:val="24"/>
        </w:rPr>
        <w:t>，以人工方式进行。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52045569"/>
      <w:bookmarkStart w:id="56" w:name="_Toc144974537"/>
      <w:bookmarkStart w:id="57" w:name="_Toc179632587"/>
      <w:bookmarkStart w:id="58" w:name="_Toc152042345"/>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1、以网银、银行转账支票、银行电汇、银行保函方式提交。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履约保证金数额不得超过中标合同金额的5%。</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pStyle w:val="2"/>
        <w:rPr>
          <w:rFonts w:hint="eastAsia" w:hAnsi="宋体" w:cs="宋体"/>
          <w:b/>
          <w:bCs/>
          <w:sz w:val="24"/>
        </w:rPr>
      </w:pPr>
    </w:p>
    <w:p>
      <w:pPr>
        <w:pStyle w:val="4"/>
        <w:rPr>
          <w:rFonts w:hint="eastAsia"/>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sz w:val="24"/>
        </w:rPr>
        <w:t>年</w:t>
      </w:r>
      <w:r>
        <w:rPr>
          <w:rFonts w:hint="default"/>
          <w:sz w:val="24"/>
          <w:lang w:val="en-US"/>
        </w:rPr>
        <w:t xml:space="preserve">  </w:t>
      </w:r>
      <w:r>
        <w:rPr>
          <w:rFonts w:hint="eastAsia"/>
          <w:sz w:val="24"/>
        </w:rPr>
        <w:t>月</w:t>
      </w:r>
      <w:r>
        <w:rPr>
          <w:rFonts w:hint="default"/>
          <w:sz w:val="24"/>
          <w:lang w:val="en-US"/>
        </w:rPr>
        <w:t xml:space="preserve">  </w:t>
      </w:r>
      <w:r>
        <w:rPr>
          <w:rFonts w:hint="eastAsia"/>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p>
    <w:p>
      <w:pPr>
        <w:spacing w:line="480" w:lineRule="exact"/>
        <w:ind w:right="240" w:firstLine="5280" w:firstLineChars="2200"/>
        <w:jc w:val="left"/>
        <w:rPr>
          <w:rFonts w:hAnsi="宋体" w:cs="宋体"/>
          <w:sz w:val="24"/>
        </w:rPr>
      </w:pPr>
      <w:r>
        <w:rPr>
          <w:rFonts w:hint="eastAsia" w:hAnsi="宋体" w:cs="宋体"/>
          <w:sz w:val="24"/>
        </w:rPr>
        <w:t xml:space="preserve">投标人：（盖单位章） </w:t>
      </w:r>
    </w:p>
    <w:p>
      <w:pPr>
        <w:wordWrap w:val="0"/>
        <w:spacing w:before="156" w:beforeLines="50" w:after="156" w:afterLines="50" w:line="480" w:lineRule="exact"/>
        <w:ind w:right="9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spacing w:line="420" w:lineRule="exact"/>
        <w:rPr>
          <w:rFonts w:hAnsi="宋体"/>
          <w:b/>
          <w:sz w:val="36"/>
          <w:szCs w:val="36"/>
        </w:rPr>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pStyle w:val="2"/>
        <w:ind w:firstLine="0" w:firstLineChars="0"/>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评标委员会构成：7人，从河南省综合评标专家库中随机抽取5人和招标人代表2人（其中注册造价工程师不少于2人）。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3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320" w:lineRule="exact"/>
              <w:jc w:val="center"/>
              <w:rPr>
                <w:rFonts w:ascii="新宋体" w:hAnsi="新宋体" w:eastAsia="新宋体"/>
                <w:sz w:val="18"/>
                <w:szCs w:val="13"/>
              </w:rPr>
            </w:pPr>
            <w:bookmarkStart w:id="70" w:name="_Toc295572535"/>
            <w:bookmarkStart w:id="71" w:name="_Toc270931534"/>
            <w:bookmarkStart w:id="72" w:name="_Toc272833453"/>
            <w:bookmarkStart w:id="73" w:name="_Toc273546398"/>
            <w:r>
              <w:rPr>
                <w:rFonts w:hint="eastAsia" w:ascii="新宋体" w:hAnsi="新宋体" w:eastAsia="新宋体"/>
                <w:sz w:val="18"/>
                <w:szCs w:val="13"/>
              </w:rPr>
              <w:t>序号</w:t>
            </w:r>
          </w:p>
        </w:tc>
        <w:tc>
          <w:tcPr>
            <w:tcW w:w="1410"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内容</w:t>
            </w:r>
          </w:p>
        </w:tc>
        <w:tc>
          <w:tcPr>
            <w:tcW w:w="1044" w:type="dxa"/>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分值</w:t>
            </w:r>
          </w:p>
        </w:tc>
        <w:tc>
          <w:tcPr>
            <w:tcW w:w="509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评审标准</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内容完整性</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0-0.5分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技术标的主要内容具有完整性，符合招标文件的要求。</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技术标不符合招标文件要求。</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主要施工方案与技术措施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1-3分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施工方案（含工程特点、施工重点与难点及绿色施工）总体安排合理，运用先进、合理的施工工艺、施工机械；对施工难点有先进和合理的建议。</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施工方案（含工程特点、施工重点与难点及绿色施工）总体安排合理，施工工艺、施工机械合理、可行；对施工难点有合理的建议。</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3</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质量管理体系与措施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4</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安全管理体系与措施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5</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文明施工、环境保护管理体系及施工现场扬尘治理措施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1-3分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6</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工期保证措施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工期承诺满足招标文件要求，工期保证措施合理且有针对性，有具体的违约责任承诺。</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工期承诺满足招标文件要求，工期保证措施基本合理，有具体的违约责任承诺。</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7</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拟投入资源配备计划</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0.5-2分</w:t>
            </w:r>
          </w:p>
        </w:tc>
        <w:tc>
          <w:tcPr>
            <w:tcW w:w="5091" w:type="dxa"/>
            <w:vAlign w:val="center"/>
          </w:tcPr>
          <w:p>
            <w:pPr>
              <w:numPr>
                <w:ilvl w:val="0"/>
                <w:numId w:val="5"/>
              </w:numPr>
              <w:spacing w:line="320" w:lineRule="exact"/>
              <w:rPr>
                <w:rFonts w:ascii="新宋体" w:hAnsi="新宋体" w:eastAsia="新宋体"/>
                <w:sz w:val="18"/>
                <w:szCs w:val="13"/>
              </w:rPr>
            </w:pPr>
            <w:r>
              <w:rPr>
                <w:rFonts w:hint="eastAsia" w:ascii="新宋体" w:hAnsi="新宋体" w:eastAsia="新宋体"/>
                <w:sz w:val="18"/>
                <w:szCs w:val="13"/>
              </w:rPr>
              <w:t>机械：投入计划与进度计划呼应，采用先进机械设备且配置合理、先进，满足安全技术规范和施工进度需要；PC构件运输、安装设备满足施工要求；</w:t>
            </w:r>
          </w:p>
          <w:p>
            <w:pPr>
              <w:numPr>
                <w:ilvl w:val="0"/>
                <w:numId w:val="5"/>
              </w:numPr>
              <w:spacing w:line="320" w:lineRule="exact"/>
              <w:rPr>
                <w:rFonts w:ascii="新宋体" w:hAnsi="新宋体" w:eastAsia="新宋体"/>
                <w:sz w:val="18"/>
                <w:szCs w:val="13"/>
              </w:rPr>
            </w:pPr>
            <w:r>
              <w:rPr>
                <w:rFonts w:hint="eastAsia" w:ascii="新宋体" w:hAnsi="新宋体" w:eastAsia="新宋体"/>
                <w:sz w:val="18"/>
                <w:szCs w:val="13"/>
              </w:rPr>
              <w:t>劳动力：投入计划与进度计划呼应，较好满足施工需要，调配投入计划合理、准确；</w:t>
            </w:r>
          </w:p>
          <w:p>
            <w:pPr>
              <w:spacing w:line="320" w:lineRule="exact"/>
              <w:rPr>
                <w:rFonts w:ascii="新宋体" w:hAnsi="新宋体" w:eastAsia="新宋体"/>
                <w:sz w:val="18"/>
                <w:szCs w:val="13"/>
              </w:rPr>
            </w:pPr>
            <w:r>
              <w:rPr>
                <w:rFonts w:hint="eastAsia" w:ascii="新宋体" w:hAnsi="新宋体" w:eastAsia="新宋体"/>
                <w:sz w:val="18"/>
                <w:szCs w:val="13"/>
              </w:rPr>
              <w:t>3、主要物资计划：主要物资（含PC构件的供应需求）投入计划与进度计划呼应，较好满足施工需要，调配投入计划合理、准确。</w:t>
            </w:r>
          </w:p>
        </w:tc>
        <w:tc>
          <w:tcPr>
            <w:tcW w:w="1301" w:type="dxa"/>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numPr>
                <w:ilvl w:val="0"/>
                <w:numId w:val="6"/>
              </w:numPr>
              <w:spacing w:line="320" w:lineRule="exact"/>
              <w:rPr>
                <w:rFonts w:ascii="新宋体" w:hAnsi="新宋体" w:eastAsia="新宋体"/>
                <w:sz w:val="18"/>
                <w:szCs w:val="13"/>
              </w:rPr>
            </w:pPr>
            <w:r>
              <w:rPr>
                <w:rFonts w:hint="eastAsia" w:ascii="新宋体" w:hAnsi="新宋体" w:eastAsia="新宋体"/>
                <w:sz w:val="18"/>
                <w:szCs w:val="13"/>
              </w:rPr>
              <w:t>机械：投入计划与进度计划呼应，机械设备配置基本合理，满足安全技术规范和施工进度需要；</w:t>
            </w:r>
          </w:p>
          <w:p>
            <w:pPr>
              <w:numPr>
                <w:ilvl w:val="0"/>
                <w:numId w:val="6"/>
              </w:numPr>
              <w:spacing w:line="320" w:lineRule="exact"/>
              <w:rPr>
                <w:rFonts w:ascii="新宋体" w:hAnsi="新宋体" w:eastAsia="新宋体"/>
                <w:sz w:val="18"/>
                <w:szCs w:val="13"/>
              </w:rPr>
            </w:pPr>
            <w:r>
              <w:rPr>
                <w:rFonts w:hint="eastAsia" w:ascii="新宋体" w:hAnsi="新宋体" w:eastAsia="新宋体"/>
                <w:sz w:val="18"/>
                <w:szCs w:val="13"/>
              </w:rPr>
              <w:t>劳动力：投入计划与进度计划呼应，基本满足施工需要，调配投入计划基本合理；</w:t>
            </w:r>
          </w:p>
          <w:p>
            <w:pPr>
              <w:spacing w:line="320" w:lineRule="exact"/>
              <w:rPr>
                <w:rFonts w:ascii="新宋体" w:hAnsi="新宋体" w:eastAsia="新宋体"/>
                <w:sz w:val="18"/>
                <w:szCs w:val="13"/>
              </w:rPr>
            </w:pPr>
            <w:r>
              <w:rPr>
                <w:rFonts w:hint="eastAsia" w:ascii="新宋体" w:hAnsi="新宋体" w:eastAsia="新宋体"/>
                <w:sz w:val="18"/>
                <w:szCs w:val="13"/>
              </w:rPr>
              <w:t>3、主要物资计划：主要物资（含PC构件的供应需求）投入计划与进度计划呼应，基本满足施工需要，调配投入计划基本合理。</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8</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施工进度表与网络计划图</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关键线路清晰、准确、完整、计划编制合理、可行、满足招标文件对工期的要求。</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关键线路基本准确，计划编制基本可行。</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9</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施工总平面图布置</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0.5-1分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总体布置有针对性、合理、能较好满足施工需要，符合安全、文明施工要求；材料堆放有序。</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总体布置基本合理、基本满足施工需要。</w:t>
            </w:r>
          </w:p>
        </w:tc>
        <w:tc>
          <w:tcPr>
            <w:tcW w:w="1301" w:type="dxa"/>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10</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技术创新的应用实施措施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节能减排、绿色施工、工艺创新、装配式建筑等技术创新的应用实施措施符合工程情况，具有针对性、可行性、经济适用性。</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节能减排、绿色施工、工艺创新、装配式建筑等技术创新的应用实施措施基本符合工程情况，具有针对性。</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11</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采用新工艺、新技术、新设备、新材料、BIM等的程度满足设计要求，符合施工需要和相应技术标准等规定，经济适用。</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采用新工艺、新技术、新设备、新材料、BIM等的程度满足设计要求，基本符合施工要求和相应技术标准等规定。</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12</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施工现场实施信息化监控和数据处理</w:t>
            </w:r>
          </w:p>
        </w:tc>
        <w:tc>
          <w:tcPr>
            <w:tcW w:w="1044"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0.5-1.5分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施工现场实施信息化监控数据处理系统布置合理，满足需要。</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施工现场实施信息化监控数据处理系统布置基本符合需要。</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ascii="新宋体" w:hAnsi="新宋体" w:eastAsia="新宋体"/>
                <w:sz w:val="18"/>
                <w:szCs w:val="13"/>
              </w:rPr>
            </w:pPr>
            <w:r>
              <w:rPr>
                <w:rFonts w:hint="eastAsia" w:ascii="新宋体" w:hAnsi="新宋体" w:eastAsia="新宋体"/>
                <w:sz w:val="18"/>
                <w:szCs w:val="13"/>
              </w:rPr>
              <w:t>13</w:t>
            </w:r>
          </w:p>
        </w:tc>
        <w:tc>
          <w:tcPr>
            <w:tcW w:w="1410" w:type="dxa"/>
            <w:vMerge w:val="restart"/>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风险管理措施</w:t>
            </w:r>
          </w:p>
        </w:tc>
        <w:tc>
          <w:tcPr>
            <w:tcW w:w="1044" w:type="dxa"/>
            <w:vMerge w:val="restart"/>
            <w:vAlign w:val="center"/>
          </w:tcPr>
          <w:p>
            <w:pPr>
              <w:spacing w:line="320" w:lineRule="exact"/>
              <w:ind w:firstLine="180" w:firstLineChars="100"/>
              <w:rPr>
                <w:rFonts w:ascii="新宋体" w:hAnsi="新宋体" w:eastAsia="新宋体"/>
                <w:sz w:val="18"/>
                <w:szCs w:val="13"/>
              </w:rPr>
            </w:pPr>
            <w:r>
              <w:rPr>
                <w:rFonts w:hint="eastAsia" w:ascii="新宋体" w:hAnsi="新宋体" w:eastAsia="新宋体"/>
                <w:sz w:val="18"/>
                <w:szCs w:val="13"/>
              </w:rPr>
              <w:t>1-2分</w:t>
            </w: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风险防控管理措施齐全，风险预控符合规范要求，风险控制要点定位准确 ，各阶段风险控制及应急措施得力。</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ascii="新宋体" w:hAnsi="新宋体" w:eastAsia="新宋体"/>
                <w:sz w:val="18"/>
                <w:szCs w:val="13"/>
              </w:rPr>
            </w:pPr>
          </w:p>
        </w:tc>
        <w:tc>
          <w:tcPr>
            <w:tcW w:w="1410" w:type="dxa"/>
            <w:vMerge w:val="continue"/>
            <w:vAlign w:val="center"/>
          </w:tcPr>
          <w:p>
            <w:pPr>
              <w:spacing w:line="320" w:lineRule="exact"/>
              <w:ind w:firstLine="360" w:firstLineChars="200"/>
              <w:rPr>
                <w:rFonts w:ascii="新宋体" w:hAnsi="新宋体" w:eastAsia="新宋体"/>
                <w:sz w:val="18"/>
                <w:szCs w:val="13"/>
              </w:rPr>
            </w:pPr>
          </w:p>
        </w:tc>
        <w:tc>
          <w:tcPr>
            <w:tcW w:w="1044" w:type="dxa"/>
            <w:vMerge w:val="continue"/>
            <w:vAlign w:val="center"/>
          </w:tcPr>
          <w:p>
            <w:pPr>
              <w:spacing w:line="320" w:lineRule="exact"/>
              <w:ind w:firstLine="360" w:firstLineChars="200"/>
              <w:jc w:val="center"/>
              <w:rPr>
                <w:rFonts w:ascii="新宋体" w:hAnsi="新宋体" w:eastAsia="新宋体"/>
                <w:sz w:val="18"/>
                <w:szCs w:val="13"/>
              </w:rPr>
            </w:pPr>
          </w:p>
        </w:tc>
        <w:tc>
          <w:tcPr>
            <w:tcW w:w="509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风险防控管理措施基本齐全，风险预控符合规范要求，风险控制要点定位基本准确 ，有各阶段风险控制及应急措施。</w:t>
            </w: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320" w:lineRule="exact"/>
              <w:ind w:firstLine="360" w:firstLineChars="200"/>
              <w:rPr>
                <w:rFonts w:ascii="新宋体" w:hAnsi="新宋体" w:eastAsia="新宋体"/>
                <w:sz w:val="18"/>
                <w:szCs w:val="13"/>
              </w:rPr>
            </w:pPr>
            <w:r>
              <w:rPr>
                <w:rFonts w:hint="eastAsia" w:ascii="新宋体" w:hAnsi="新宋体" w:eastAsia="新宋体"/>
                <w:sz w:val="18"/>
                <w:szCs w:val="13"/>
              </w:rPr>
              <w:t>合计</w:t>
            </w:r>
          </w:p>
        </w:tc>
        <w:tc>
          <w:tcPr>
            <w:tcW w:w="1044"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10-25分</w:t>
            </w:r>
          </w:p>
        </w:tc>
        <w:tc>
          <w:tcPr>
            <w:tcW w:w="5091" w:type="dxa"/>
            <w:vAlign w:val="center"/>
          </w:tcPr>
          <w:p>
            <w:pPr>
              <w:spacing w:line="320" w:lineRule="exact"/>
              <w:rPr>
                <w:rFonts w:ascii="新宋体" w:hAnsi="新宋体" w:eastAsia="新宋体"/>
                <w:sz w:val="18"/>
                <w:szCs w:val="13"/>
              </w:rPr>
            </w:pPr>
          </w:p>
        </w:tc>
        <w:tc>
          <w:tcPr>
            <w:tcW w:w="1301" w:type="dxa"/>
            <w:vAlign w:val="center"/>
          </w:tcPr>
          <w:p>
            <w:pPr>
              <w:spacing w:line="320" w:lineRule="exact"/>
              <w:rPr>
                <w:rFonts w:ascii="新宋体" w:hAnsi="新宋体" w:eastAsia="新宋体"/>
                <w:sz w:val="18"/>
                <w:szCs w:val="13"/>
              </w:rPr>
            </w:pPr>
            <w:r>
              <w:rPr>
                <w:rFonts w:hint="eastAsia" w:ascii="新宋体" w:hAnsi="新宋体" w:eastAsia="新宋体"/>
                <w:sz w:val="18"/>
                <w:szCs w:val="13"/>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pacing w:line="44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40" w:lineRule="exact"/>
        <w:ind w:firstLine="480" w:firstLineChars="200"/>
        <w:rPr>
          <w:rFonts w:ascii="新宋体" w:hAnsi="新宋体" w:eastAsia="新宋体"/>
          <w:sz w:val="24"/>
        </w:rPr>
      </w:pPr>
      <w:bookmarkStart w:id="74"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②K为招标控制价权重系数，0.3≤K≤0.5（K的取值：0.3、0.35、0.4、0.45、0.5），在开标现场随机抽取。</w:t>
      </w:r>
    </w:p>
    <w:p>
      <w:pPr>
        <w:spacing w:line="440" w:lineRule="exact"/>
        <w:ind w:firstLine="960" w:firstLineChars="400"/>
      </w:pPr>
      <w:r>
        <w:rPr>
          <w:rFonts w:hint="eastAsia" w:ascii="新宋体" w:hAnsi="新宋体" w:eastAsia="新宋体"/>
          <w:sz w:val="24"/>
          <w:szCs w:val="22"/>
        </w:rPr>
        <w:fldChar w:fldCharType="begin"/>
      </w:r>
      <w:r>
        <w:rPr>
          <w:rFonts w:hint="eastAsia" w:ascii="新宋体" w:hAnsi="新宋体" w:eastAsia="新宋体"/>
          <w:sz w:val="24"/>
          <w:szCs w:val="22"/>
        </w:rPr>
        <w:instrText xml:space="preserve"> = 3 \* GB3 \* MERGEFORMAT </w:instrText>
      </w:r>
      <w:r>
        <w:rPr>
          <w:rFonts w:hint="eastAsia" w:ascii="新宋体" w:hAnsi="新宋体" w:eastAsia="新宋体"/>
          <w:sz w:val="24"/>
          <w:szCs w:val="22"/>
        </w:rPr>
        <w:fldChar w:fldCharType="separate"/>
      </w:r>
      <w:r>
        <w:rPr>
          <w:rFonts w:hint="eastAsia" w:ascii="新宋体" w:hAnsi="新宋体" w:eastAsia="新宋体"/>
          <w:sz w:val="24"/>
          <w:szCs w:val="22"/>
        </w:rPr>
        <w:t>③</w:t>
      </w:r>
      <w:r>
        <w:rPr>
          <w:rFonts w:hint="eastAsia" w:ascii="新宋体" w:hAnsi="新宋体" w:eastAsia="新宋体"/>
          <w:sz w:val="24"/>
          <w:szCs w:val="22"/>
        </w:rPr>
        <w:fldChar w:fldCharType="end"/>
      </w:r>
      <w:r>
        <w:rPr>
          <w:rFonts w:hint="eastAsia" w:ascii="新宋体" w:hAnsi="新宋体" w:eastAsia="新宋体"/>
          <w:sz w:val="24"/>
          <w:szCs w:val="22"/>
        </w:rPr>
        <w:t>上述招标控制价、投标报价、有效投标报价在参与评标基准价计算时，均不含：规费、安全文明施工措施费、暂列金额与专业暂估价、增值税。</w:t>
      </w:r>
      <w:bookmarkEnd w:id="74"/>
    </w:p>
    <w:p>
      <w:pPr>
        <w:snapToGrid w:val="0"/>
        <w:spacing w:line="360" w:lineRule="auto"/>
        <w:rPr>
          <w:rFonts w:hAnsi="宋体" w:cs="宋体"/>
          <w:b/>
          <w:bCs/>
          <w:sz w:val="24"/>
          <w:szCs w:val="24"/>
        </w:rPr>
      </w:pPr>
    </w:p>
    <w:p>
      <w:pPr>
        <w:snapToGrid w:val="0"/>
        <w:spacing w:line="360" w:lineRule="auto"/>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360" w:lineRule="auto"/>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numPr>
          <w:ilvl w:val="0"/>
          <w:numId w:val="7"/>
        </w:numPr>
        <w:snapToGrid w:val="0"/>
        <w:spacing w:line="360" w:lineRule="auto"/>
        <w:ind w:firstLine="481"/>
        <w:rPr>
          <w:rFonts w:hAnsi="宋体" w:cs="宋体"/>
          <w:b/>
          <w:bCs/>
          <w:sz w:val="24"/>
          <w:szCs w:val="24"/>
        </w:rPr>
      </w:pPr>
      <w:r>
        <w:rPr>
          <w:rFonts w:hint="eastAsia" w:hAnsi="宋体" w:cs="宋体"/>
          <w:b/>
          <w:bCs/>
          <w:sz w:val="24"/>
          <w:szCs w:val="24"/>
        </w:rPr>
        <w:t>分部分项工程项目清单单价（10分）</w:t>
      </w:r>
    </w:p>
    <w:p>
      <w:pPr>
        <w:snapToGrid w:val="0"/>
        <w:spacing w:line="360" w:lineRule="auto"/>
        <w:ind w:firstLine="484"/>
        <w:rPr>
          <w:rFonts w:hAnsi="宋体" w:cs="宋体"/>
          <w:sz w:val="24"/>
          <w:szCs w:val="24"/>
        </w:rPr>
      </w:pPr>
      <w:r>
        <w:rPr>
          <w:rFonts w:hint="eastAsia" w:hAnsi="宋体" w:cs="宋体"/>
          <w:sz w:val="24"/>
          <w:szCs w:val="24"/>
        </w:rPr>
        <w:t>从招标控制价中分部分项工程项目权重最大的前10-30项清单项目中抽取15项，在剩余的分部分项工程项目清单项目中抽取5项。</w:t>
      </w:r>
    </w:p>
    <w:p>
      <w:pPr>
        <w:snapToGrid w:val="0"/>
        <w:spacing w:line="360" w:lineRule="auto"/>
        <w:ind w:firstLine="484"/>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3、措施项目费（不含安全文明措施费）（5分）</w:t>
      </w:r>
    </w:p>
    <w:p>
      <w:pPr>
        <w:snapToGrid w:val="0"/>
        <w:spacing w:line="360" w:lineRule="auto"/>
        <w:ind w:firstLine="484"/>
        <w:rPr>
          <w:rFonts w:hAnsi="宋体" w:cs="宋体"/>
          <w:sz w:val="24"/>
          <w:szCs w:val="24"/>
        </w:rPr>
      </w:pPr>
      <w:r>
        <w:rPr>
          <w:rFonts w:hint="eastAsia" w:hAnsi="宋体" w:cs="宋体"/>
          <w:sz w:val="24"/>
          <w:szCs w:val="24"/>
        </w:rPr>
        <w:t>措施项目费基准值是在招标控制价中措施项目费用80%-110%范围之</w:t>
      </w:r>
      <w:r>
        <w:rPr>
          <w:rFonts w:hint="eastAsia" w:hAnsi="宋体" w:cs="宋体"/>
          <w:sz w:val="24"/>
          <w:szCs w:val="24"/>
          <w:lang w:eastAsia="zh-CN"/>
        </w:rPr>
        <w:t>间</w:t>
      </w:r>
      <w:r>
        <w:rPr>
          <w:rFonts w:hint="eastAsia" w:hAnsi="宋体" w:cs="宋体"/>
          <w:sz w:val="24"/>
          <w:szCs w:val="24"/>
        </w:rPr>
        <w:t xml:space="preserve">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pPr>
        <w:numPr>
          <w:ilvl w:val="0"/>
          <w:numId w:val="8"/>
        </w:numPr>
        <w:snapToGrid w:val="0"/>
        <w:spacing w:line="360" w:lineRule="auto"/>
        <w:ind w:firstLine="484"/>
        <w:rPr>
          <w:rFonts w:hAnsi="宋体" w:cs="宋体"/>
          <w:b/>
          <w:bCs/>
          <w:sz w:val="24"/>
          <w:szCs w:val="24"/>
        </w:rPr>
      </w:pPr>
      <w:r>
        <w:rPr>
          <w:rFonts w:hint="eastAsia" w:hAnsi="宋体" w:cs="宋体"/>
          <w:b/>
          <w:bCs/>
          <w:sz w:val="24"/>
          <w:szCs w:val="24"/>
        </w:rPr>
        <w:t>主要材料单价（5分）</w:t>
      </w:r>
    </w:p>
    <w:p>
      <w:pPr>
        <w:snapToGrid w:val="0"/>
        <w:spacing w:line="360" w:lineRule="auto"/>
        <w:ind w:firstLine="484"/>
        <w:rPr>
          <w:rFonts w:hAnsi="宋体" w:cs="宋体"/>
          <w:sz w:val="24"/>
          <w:szCs w:val="24"/>
        </w:rPr>
      </w:pPr>
      <w:r>
        <w:rPr>
          <w:rFonts w:hint="eastAsia" w:hAnsi="宋体" w:cs="宋体"/>
          <w:sz w:val="24"/>
          <w:szCs w:val="24"/>
        </w:rPr>
        <w:t>从招标控制价中材料总价权重最大的前10-20项材料中抽取6项，在剩余材料中抽取4项。</w:t>
      </w:r>
    </w:p>
    <w:p>
      <w:pPr>
        <w:snapToGrid w:val="0"/>
        <w:spacing w:line="360" w:lineRule="auto"/>
        <w:ind w:firstLine="484"/>
        <w:rPr>
          <w:rFonts w:hAnsi="宋体" w:cs="宋体"/>
          <w:sz w:val="24"/>
          <w:szCs w:val="24"/>
        </w:rPr>
      </w:pPr>
      <w:r>
        <w:rPr>
          <w:rFonts w:hint="eastAsia" w:hAnsi="宋体" w:cs="宋体"/>
          <w:sz w:val="24"/>
          <w:szCs w:val="24"/>
        </w:rPr>
        <w:t>主要材料单价基准值以各有效投标报价中（当有效投标人5名及以上时，去掉1个最高、1个最低值）对应抽取材料单价的算术平均值。</w:t>
      </w:r>
    </w:p>
    <w:p>
      <w:pPr>
        <w:snapToGrid w:val="0"/>
        <w:spacing w:line="360" w:lineRule="auto"/>
        <w:ind w:firstLine="484"/>
        <w:rPr>
          <w:rFonts w:hAnsi="宋体" w:cs="宋体"/>
          <w:sz w:val="24"/>
          <w:szCs w:val="24"/>
        </w:rPr>
      </w:pPr>
      <w:r>
        <w:rPr>
          <w:rFonts w:hint="eastAsia" w:hAnsi="宋体" w:cs="宋体"/>
          <w:sz w:val="24"/>
          <w:szCs w:val="24"/>
        </w:rPr>
        <w:t>当投标人报价在材料单价基准值95%—103%范围内（不含95%和103%）每项得0.5分，在材料基准值90%—95%范围内（含90%和95%）每项得0.25分。超出该范围的不得分。材料单价与综合单价组成中价格不一致时该项为0分。</w:t>
      </w:r>
    </w:p>
    <w:p>
      <w:pPr>
        <w:snapToGrid w:val="0"/>
        <w:spacing w:line="360" w:lineRule="auto"/>
        <w:ind w:firstLine="484"/>
        <w:rPr>
          <w:rFonts w:hAnsi="宋体" w:cs="宋体"/>
          <w:b/>
          <w:bCs/>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70"/>
    <w:bookmarkEnd w:id="71"/>
    <w:bookmarkEnd w:id="72"/>
    <w:bookmarkEnd w:id="73"/>
    <w:p>
      <w:pPr>
        <w:spacing w:line="360" w:lineRule="auto"/>
        <w:rPr>
          <w:b/>
          <w:bCs/>
          <w:sz w:val="24"/>
          <w:szCs w:val="24"/>
        </w:rPr>
      </w:pPr>
      <w:r>
        <w:rPr>
          <w:rFonts w:hint="eastAsia" w:cs="宋体"/>
          <w:b/>
          <w:bCs/>
          <w:sz w:val="24"/>
          <w:szCs w:val="24"/>
        </w:rPr>
        <w:t>（三）综合（信用）标的评标分值（25分）</w:t>
      </w:r>
    </w:p>
    <w:tbl>
      <w:tblPr>
        <w:tblStyle w:val="30"/>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67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序号</w:t>
            </w:r>
          </w:p>
        </w:tc>
        <w:tc>
          <w:tcPr>
            <w:tcW w:w="1417" w:type="dxa"/>
            <w:vAlign w:val="center"/>
          </w:tcPr>
          <w:p>
            <w:pPr>
              <w:jc w:val="center"/>
              <w:rPr>
                <w:rFonts w:ascii="Times New Roman"/>
                <w:kern w:val="2"/>
                <w:sz w:val="21"/>
                <w:szCs w:val="21"/>
              </w:rPr>
            </w:pPr>
            <w:r>
              <w:rPr>
                <w:rFonts w:hint="eastAsia" w:ascii="Times New Roman"/>
                <w:kern w:val="2"/>
                <w:sz w:val="21"/>
                <w:szCs w:val="21"/>
              </w:rPr>
              <w:t>项目</w:t>
            </w:r>
          </w:p>
        </w:tc>
        <w:tc>
          <w:tcPr>
            <w:tcW w:w="4678" w:type="dxa"/>
            <w:vAlign w:val="center"/>
          </w:tcPr>
          <w:p>
            <w:pPr>
              <w:jc w:val="center"/>
              <w:rPr>
                <w:rFonts w:ascii="Times New Roman"/>
                <w:kern w:val="2"/>
                <w:sz w:val="21"/>
                <w:szCs w:val="21"/>
              </w:rPr>
            </w:pPr>
            <w:r>
              <w:rPr>
                <w:rFonts w:hint="eastAsia" w:ascii="Times New Roman"/>
                <w:kern w:val="2"/>
                <w:sz w:val="21"/>
                <w:szCs w:val="21"/>
              </w:rPr>
              <w:t>评审标准</w:t>
            </w:r>
          </w:p>
        </w:tc>
        <w:tc>
          <w:tcPr>
            <w:tcW w:w="1843" w:type="dxa"/>
            <w:vAlign w:val="center"/>
          </w:tcPr>
          <w:p>
            <w:pPr>
              <w:jc w:val="center"/>
              <w:rPr>
                <w:rFonts w:ascii="Times New Roman"/>
                <w:kern w:val="2"/>
                <w:sz w:val="21"/>
                <w:szCs w:val="21"/>
              </w:rPr>
            </w:pPr>
            <w:r>
              <w:rPr>
                <w:rFonts w:hint="eastAsia" w:ascii="Times New Roman"/>
                <w:kern w:val="2"/>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30" w:type="dxa"/>
            <w:vAlign w:val="center"/>
          </w:tcPr>
          <w:p>
            <w:pPr>
              <w:jc w:val="center"/>
              <w:rPr>
                <w:rFonts w:ascii="Times New Roman"/>
                <w:kern w:val="2"/>
                <w:sz w:val="21"/>
                <w:szCs w:val="21"/>
              </w:rPr>
            </w:pPr>
            <w:r>
              <w:rPr>
                <w:rFonts w:ascii="Times New Roman"/>
                <w:kern w:val="2"/>
                <w:sz w:val="21"/>
                <w:szCs w:val="21"/>
              </w:rPr>
              <w:t>1</w:t>
            </w:r>
          </w:p>
        </w:tc>
        <w:tc>
          <w:tcPr>
            <w:tcW w:w="1417" w:type="dxa"/>
            <w:vAlign w:val="center"/>
          </w:tcPr>
          <w:p>
            <w:pPr>
              <w:jc w:val="center"/>
              <w:rPr>
                <w:rFonts w:ascii="Times New Roman"/>
                <w:kern w:val="2"/>
                <w:sz w:val="21"/>
                <w:szCs w:val="21"/>
              </w:rPr>
            </w:pPr>
            <w:r>
              <w:rPr>
                <w:rFonts w:hint="eastAsia" w:ascii="Times New Roman"/>
                <w:kern w:val="2"/>
                <w:sz w:val="21"/>
                <w:szCs w:val="21"/>
              </w:rPr>
              <w:t>企业业绩</w:t>
            </w:r>
          </w:p>
        </w:tc>
        <w:tc>
          <w:tcPr>
            <w:tcW w:w="4678" w:type="dxa"/>
            <w:vAlign w:val="center"/>
          </w:tcPr>
          <w:p>
            <w:pPr>
              <w:spacing w:line="240" w:lineRule="exact"/>
              <w:jc w:val="left"/>
              <w:rPr>
                <w:rFonts w:ascii="Times New Roman"/>
                <w:color w:val="auto"/>
                <w:kern w:val="2"/>
                <w:sz w:val="21"/>
                <w:szCs w:val="21"/>
              </w:rPr>
            </w:pPr>
            <w:r>
              <w:rPr>
                <w:rFonts w:hint="eastAsia"/>
                <w:color w:val="auto"/>
                <w:sz w:val="21"/>
                <w:szCs w:val="21"/>
              </w:rPr>
              <w:t>自2017年1月1日以来（以合同签订时间为准）企业具有类似项目业绩者，每项得2分，最高得4分。（以中标通知书和施工合同为准，缺一不得分。）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30" w:type="dxa"/>
            <w:vAlign w:val="center"/>
          </w:tcPr>
          <w:p>
            <w:pPr>
              <w:jc w:val="center"/>
              <w:rPr>
                <w:rFonts w:ascii="Times New Roman"/>
                <w:kern w:val="2"/>
                <w:sz w:val="21"/>
                <w:szCs w:val="21"/>
              </w:rPr>
            </w:pPr>
            <w:r>
              <w:rPr>
                <w:rFonts w:ascii="Times New Roman"/>
                <w:kern w:val="2"/>
                <w:sz w:val="21"/>
                <w:szCs w:val="21"/>
              </w:rPr>
              <w:t>2</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项目负责人业绩</w:t>
            </w:r>
          </w:p>
        </w:tc>
        <w:tc>
          <w:tcPr>
            <w:tcW w:w="4678" w:type="dxa"/>
            <w:vAlign w:val="center"/>
          </w:tcPr>
          <w:p>
            <w:pPr>
              <w:spacing w:line="240" w:lineRule="exact"/>
              <w:jc w:val="left"/>
              <w:rPr>
                <w:rFonts w:ascii="Times New Roman"/>
                <w:color w:val="auto"/>
                <w:kern w:val="2"/>
                <w:sz w:val="21"/>
                <w:szCs w:val="21"/>
              </w:rPr>
            </w:pPr>
            <w:r>
              <w:rPr>
                <w:rFonts w:hint="eastAsia"/>
                <w:color w:val="auto"/>
                <w:sz w:val="21"/>
                <w:szCs w:val="21"/>
              </w:rPr>
              <w:t>自2017年1月1日以来（以合同签订时间为准）：拟派项目负责人具有类似项目业绩者得6分，最高得6分（以中标通知书和施工合同为准，缺一不得分。）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ascii="Times New Roman"/>
                <w:kern w:val="2"/>
                <w:sz w:val="21"/>
                <w:szCs w:val="21"/>
              </w:rPr>
            </w:pPr>
            <w:r>
              <w:rPr>
                <w:rFonts w:hint="eastAsia" w:ascii="Times New Roman"/>
                <w:kern w:val="2"/>
                <w:sz w:val="21"/>
                <w:szCs w:val="21"/>
              </w:rPr>
              <w:t>3</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优惠承诺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优惠承诺应是书面的符合工程实际情况，确保依法依规，优惠合理，详实可行。</w:t>
            </w:r>
          </w:p>
        </w:tc>
        <w:tc>
          <w:tcPr>
            <w:tcW w:w="1843" w:type="dxa"/>
            <w:vAlign w:val="center"/>
          </w:tcPr>
          <w:p>
            <w:pPr>
              <w:jc w:val="center"/>
              <w:rPr>
                <w:rFonts w:ascii="Times New Roman"/>
                <w:kern w:val="2"/>
                <w:sz w:val="21"/>
                <w:szCs w:val="21"/>
              </w:rPr>
            </w:pPr>
            <w:r>
              <w:rPr>
                <w:rFonts w:ascii="Times New Roman"/>
                <w:kern w:val="2"/>
                <w:sz w:val="21"/>
                <w:szCs w:val="21"/>
              </w:rPr>
              <w:t>3</w:t>
            </w:r>
            <w:r>
              <w:rPr>
                <w:rFonts w:hint="eastAsia" w:ascii="Times New Roman"/>
                <w:kern w:val="2"/>
                <w:sz w:val="21"/>
                <w:szCs w:val="21"/>
              </w:rPr>
              <w:t>＜得分</w:t>
            </w:r>
            <w:r>
              <w:rPr>
                <w:rFonts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优惠承诺符合工程实际情况，确保依法依规，优惠基本合理，基本详实可行。</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30" w:type="dxa"/>
            <w:vMerge w:val="restart"/>
            <w:vAlign w:val="center"/>
          </w:tcPr>
          <w:p>
            <w:pPr>
              <w:jc w:val="center"/>
              <w:rPr>
                <w:rFonts w:ascii="Times New Roman"/>
                <w:kern w:val="2"/>
                <w:sz w:val="21"/>
                <w:szCs w:val="21"/>
              </w:rPr>
            </w:pPr>
            <w:r>
              <w:rPr>
                <w:rFonts w:hint="eastAsia" w:ascii="Times New Roman"/>
                <w:kern w:val="2"/>
                <w:sz w:val="21"/>
                <w:szCs w:val="21"/>
              </w:rPr>
              <w:t>4</w:t>
            </w:r>
          </w:p>
        </w:tc>
        <w:tc>
          <w:tcPr>
            <w:tcW w:w="1417" w:type="dxa"/>
            <w:vMerge w:val="restart"/>
            <w:vAlign w:val="center"/>
          </w:tcPr>
          <w:p>
            <w:pPr>
              <w:jc w:val="center"/>
              <w:rPr>
                <w:rFonts w:ascii="Times New Roman"/>
                <w:kern w:val="2"/>
                <w:sz w:val="21"/>
                <w:szCs w:val="21"/>
              </w:rPr>
            </w:pPr>
            <w:r>
              <w:rPr>
                <w:rFonts w:hint="eastAsia" w:ascii="Times New Roman"/>
                <w:kern w:val="2"/>
                <w:sz w:val="21"/>
                <w:szCs w:val="21"/>
              </w:rPr>
              <w:t>履职尽责承诺</w:t>
            </w: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2</w:t>
            </w:r>
            <w:r>
              <w:rPr>
                <w:rFonts w:hint="eastAsia" w:ascii="Times New Roman"/>
                <w:kern w:val="2"/>
                <w:sz w:val="21"/>
                <w:szCs w:val="21"/>
              </w:rPr>
              <w:t>＜得分</w:t>
            </w:r>
            <w:r>
              <w:rPr>
                <w:rFonts w:ascii="Times New Roman"/>
                <w:kern w:val="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30" w:type="dxa"/>
            <w:vMerge w:val="continue"/>
            <w:vAlign w:val="center"/>
          </w:tcPr>
          <w:p>
            <w:pPr>
              <w:jc w:val="left"/>
              <w:rPr>
                <w:rFonts w:ascii="Times New Roman"/>
                <w:kern w:val="2"/>
                <w:sz w:val="21"/>
                <w:szCs w:val="21"/>
              </w:rPr>
            </w:pPr>
          </w:p>
        </w:tc>
        <w:tc>
          <w:tcPr>
            <w:tcW w:w="1417" w:type="dxa"/>
            <w:vMerge w:val="continue"/>
            <w:vAlign w:val="center"/>
          </w:tcPr>
          <w:p>
            <w:pPr>
              <w:jc w:val="left"/>
              <w:rPr>
                <w:rFonts w:ascii="Times New Roman"/>
                <w:kern w:val="2"/>
                <w:sz w:val="21"/>
                <w:szCs w:val="21"/>
              </w:rPr>
            </w:pPr>
          </w:p>
        </w:tc>
        <w:tc>
          <w:tcPr>
            <w:tcW w:w="4678" w:type="dxa"/>
            <w:vAlign w:val="center"/>
          </w:tcPr>
          <w:p>
            <w:pPr>
              <w:spacing w:line="240" w:lineRule="exact"/>
              <w:jc w:val="left"/>
              <w:rPr>
                <w:rFonts w:ascii="Times New Roman"/>
                <w:kern w:val="2"/>
                <w:sz w:val="21"/>
                <w:szCs w:val="21"/>
              </w:rPr>
            </w:pPr>
            <w:r>
              <w:rPr>
                <w:rFonts w:hint="eastAsia" w:ascii="Times New Roman"/>
                <w:kern w:val="2"/>
                <w:sz w:val="21"/>
                <w:szCs w:val="21"/>
              </w:rPr>
              <w:t>具有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pPr>
              <w:jc w:val="center"/>
              <w:rPr>
                <w:rFonts w:ascii="Times New Roman"/>
                <w:kern w:val="2"/>
                <w:sz w:val="21"/>
                <w:szCs w:val="21"/>
              </w:rPr>
            </w:pPr>
            <w:r>
              <w:rPr>
                <w:rFonts w:ascii="Times New Roman"/>
                <w:kern w:val="2"/>
                <w:sz w:val="21"/>
                <w:szCs w:val="21"/>
              </w:rPr>
              <w:t>1≤</w:t>
            </w:r>
            <w:r>
              <w:rPr>
                <w:rFonts w:hint="eastAsia" w:ascii="Times New Roman"/>
                <w:kern w:val="2"/>
                <w:sz w:val="21"/>
                <w:szCs w:val="21"/>
              </w:rPr>
              <w:t>得分</w:t>
            </w:r>
            <w:r>
              <w:rPr>
                <w:rFonts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5</w:t>
            </w:r>
          </w:p>
        </w:tc>
        <w:tc>
          <w:tcPr>
            <w:tcW w:w="1417" w:type="dxa"/>
            <w:vAlign w:val="center"/>
          </w:tcPr>
          <w:p>
            <w:pPr>
              <w:jc w:val="center"/>
              <w:rPr>
                <w:rFonts w:ascii="Times New Roman"/>
                <w:kern w:val="2"/>
                <w:sz w:val="21"/>
                <w:szCs w:val="21"/>
              </w:rPr>
            </w:pPr>
            <w:r>
              <w:rPr>
                <w:rFonts w:hint="eastAsia" w:ascii="Times New Roman"/>
                <w:kern w:val="2"/>
                <w:sz w:val="21"/>
                <w:szCs w:val="21"/>
              </w:rPr>
              <w:t>企业信用（含纳税诚信）</w:t>
            </w:r>
          </w:p>
        </w:tc>
        <w:tc>
          <w:tcPr>
            <w:tcW w:w="4678" w:type="dxa"/>
            <w:vAlign w:val="center"/>
          </w:tcPr>
          <w:p>
            <w:pPr>
              <w:jc w:val="left"/>
              <w:rPr>
                <w:rFonts w:ascii="Times New Roman"/>
                <w:color w:val="auto"/>
                <w:kern w:val="2"/>
                <w:sz w:val="21"/>
                <w:szCs w:val="21"/>
              </w:rPr>
            </w:pPr>
            <w:r>
              <w:rPr>
                <w:rFonts w:hint="eastAsia" w:ascii="Times New Roman"/>
                <w:color w:val="auto"/>
                <w:kern w:val="2"/>
                <w:sz w:val="21"/>
                <w:szCs w:val="21"/>
              </w:rPr>
              <w:t>企业2017年1月1日以来获得</w:t>
            </w:r>
            <w:r>
              <w:rPr>
                <w:rFonts w:hint="eastAsia" w:ascii="Times New Roman"/>
                <w:color w:val="auto"/>
                <w:kern w:val="2"/>
                <w:sz w:val="21"/>
                <w:szCs w:val="21"/>
                <w:lang w:eastAsia="zh-CN"/>
              </w:rPr>
              <w:t>省级建设主管部门颁发的工程质量奖</w:t>
            </w:r>
            <w:r>
              <w:rPr>
                <w:rFonts w:hint="eastAsia" w:ascii="Times New Roman"/>
                <w:color w:val="auto"/>
                <w:kern w:val="2"/>
                <w:sz w:val="21"/>
                <w:szCs w:val="21"/>
              </w:rPr>
              <w:t>的得2分，最高得2分；发明专利每项得2分，最高得2分（提供相关奖项获奖证书原件的扫描件或图片，时间以颁发时间为准。）</w:t>
            </w:r>
          </w:p>
          <w:p>
            <w:pPr>
              <w:jc w:val="left"/>
              <w:rPr>
                <w:rFonts w:ascii="Times New Roman"/>
                <w:color w:val="auto"/>
                <w:kern w:val="2"/>
                <w:sz w:val="21"/>
                <w:szCs w:val="21"/>
              </w:rPr>
            </w:pPr>
            <w:r>
              <w:rPr>
                <w:rFonts w:hint="eastAsia" w:ascii="Times New Roman"/>
                <w:color w:val="auto"/>
                <w:kern w:val="2"/>
                <w:sz w:val="21"/>
                <w:szCs w:val="21"/>
              </w:rPr>
              <w:t>（提供相关奖项获奖证书原件的扫描件或图片，时间以颁发时间为准。）</w:t>
            </w:r>
          </w:p>
        </w:tc>
        <w:tc>
          <w:tcPr>
            <w:tcW w:w="1843" w:type="dxa"/>
            <w:vAlign w:val="center"/>
          </w:tcPr>
          <w:p>
            <w:pPr>
              <w:jc w:val="center"/>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ascii="Times New Roman"/>
                <w:kern w:val="2"/>
                <w:sz w:val="21"/>
                <w:szCs w:val="21"/>
              </w:rPr>
            </w:pPr>
            <w:r>
              <w:rPr>
                <w:rFonts w:hint="eastAsia" w:ascii="Times New Roman"/>
                <w:kern w:val="2"/>
                <w:sz w:val="21"/>
                <w:szCs w:val="21"/>
              </w:rPr>
              <w:t>6</w:t>
            </w:r>
          </w:p>
        </w:tc>
        <w:tc>
          <w:tcPr>
            <w:tcW w:w="1417" w:type="dxa"/>
            <w:vAlign w:val="center"/>
          </w:tcPr>
          <w:p>
            <w:pPr>
              <w:jc w:val="center"/>
              <w:rPr>
                <w:rFonts w:ascii="Times New Roman"/>
                <w:kern w:val="2"/>
                <w:sz w:val="21"/>
                <w:szCs w:val="21"/>
              </w:rPr>
            </w:pPr>
            <w:r>
              <w:rPr>
                <w:rFonts w:hint="eastAsia" w:ascii="Times New Roman"/>
                <w:kern w:val="2"/>
                <w:sz w:val="21"/>
                <w:szCs w:val="21"/>
              </w:rPr>
              <w:t>项目负责人信用</w:t>
            </w:r>
          </w:p>
        </w:tc>
        <w:tc>
          <w:tcPr>
            <w:tcW w:w="4678" w:type="dxa"/>
            <w:vAlign w:val="center"/>
          </w:tcPr>
          <w:p>
            <w:pPr>
              <w:rPr>
                <w:rFonts w:ascii="Times New Roman"/>
                <w:color w:val="auto"/>
                <w:kern w:val="2"/>
                <w:sz w:val="21"/>
                <w:szCs w:val="21"/>
              </w:rPr>
            </w:pPr>
            <w:r>
              <w:rPr>
                <w:rFonts w:hint="eastAsia" w:ascii="Times New Roman"/>
                <w:color w:val="auto"/>
                <w:kern w:val="2"/>
                <w:sz w:val="21"/>
                <w:szCs w:val="21"/>
              </w:rPr>
              <w:t>自2017年1月1日以来项目经理获得过</w:t>
            </w:r>
            <w:r>
              <w:rPr>
                <w:rFonts w:hint="eastAsia" w:ascii="Times New Roman"/>
                <w:color w:val="auto"/>
                <w:kern w:val="2"/>
                <w:sz w:val="21"/>
                <w:szCs w:val="21"/>
                <w:lang w:eastAsia="zh-CN"/>
              </w:rPr>
              <w:t>省级建设主管部门颁发的工程质量奖</w:t>
            </w:r>
            <w:r>
              <w:rPr>
                <w:rFonts w:hint="eastAsia" w:ascii="Times New Roman"/>
                <w:color w:val="auto"/>
                <w:kern w:val="2"/>
                <w:sz w:val="21"/>
                <w:szCs w:val="21"/>
              </w:rPr>
              <w:t>的得2分。</w:t>
            </w:r>
          </w:p>
          <w:p>
            <w:pPr>
              <w:rPr>
                <w:rFonts w:ascii="Times New Roman"/>
                <w:color w:val="auto"/>
                <w:kern w:val="2"/>
                <w:sz w:val="21"/>
                <w:szCs w:val="21"/>
              </w:rPr>
            </w:pPr>
            <w:r>
              <w:rPr>
                <w:rFonts w:hint="eastAsia" w:ascii="Times New Roman"/>
                <w:b/>
                <w:color w:val="auto"/>
                <w:kern w:val="2"/>
                <w:sz w:val="21"/>
                <w:szCs w:val="21"/>
              </w:rPr>
              <w:t>（提供相关奖项获奖证书原件的扫描件或图片，时间以颁发时间为准。）</w:t>
            </w:r>
          </w:p>
        </w:tc>
        <w:tc>
          <w:tcPr>
            <w:tcW w:w="1843" w:type="dxa"/>
            <w:vAlign w:val="center"/>
          </w:tcPr>
          <w:p>
            <w:pPr>
              <w:ind w:firstLine="315" w:firstLineChars="150"/>
              <w:jc w:val="left"/>
              <w:rPr>
                <w:rFonts w:ascii="Times New Roman"/>
                <w:kern w:val="2"/>
                <w:sz w:val="21"/>
                <w:szCs w:val="21"/>
              </w:rPr>
            </w:pPr>
            <w:r>
              <w:rPr>
                <w:rFonts w:hint="eastAsia" w:ascii="Times New Roman"/>
                <w:kern w:val="2"/>
                <w:sz w:val="21"/>
                <w:szCs w:val="21"/>
              </w:rPr>
              <w:t>0</w:t>
            </w:r>
            <w:r>
              <w:rPr>
                <w:rFonts w:ascii="Times New Roman"/>
                <w:kern w:val="2"/>
                <w:sz w:val="21"/>
                <w:szCs w:val="21"/>
              </w:rPr>
              <w:t>≤</w:t>
            </w:r>
            <w:r>
              <w:rPr>
                <w:rFonts w:hint="eastAsia" w:ascii="Times New Roman"/>
                <w:kern w:val="2"/>
                <w:sz w:val="21"/>
                <w:szCs w:val="21"/>
              </w:rPr>
              <w:t>得分</w:t>
            </w:r>
            <w:r>
              <w:rPr>
                <w:rFonts w:ascii="Times New Roman"/>
                <w:kern w:val="2"/>
                <w:sz w:val="21"/>
                <w:szCs w:val="21"/>
              </w:rPr>
              <w:t>≤</w:t>
            </w:r>
            <w:r>
              <w:rPr>
                <w:rFonts w:hint="eastAsia" w:ascii="Times New Roman"/>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ascii="Times New Roman"/>
                <w:kern w:val="2"/>
                <w:sz w:val="21"/>
                <w:szCs w:val="21"/>
              </w:rPr>
            </w:pPr>
            <w:r>
              <w:rPr>
                <w:rFonts w:hint="eastAsia" w:ascii="Times New Roman"/>
                <w:kern w:val="2"/>
                <w:sz w:val="21"/>
                <w:szCs w:val="21"/>
              </w:rPr>
              <w:t>7</w:t>
            </w:r>
          </w:p>
        </w:tc>
        <w:tc>
          <w:tcPr>
            <w:tcW w:w="1417" w:type="dxa"/>
            <w:vAlign w:val="center"/>
          </w:tcPr>
          <w:p>
            <w:pPr>
              <w:jc w:val="center"/>
              <w:rPr>
                <w:rFonts w:ascii="Times New Roman"/>
                <w:kern w:val="2"/>
                <w:sz w:val="21"/>
                <w:szCs w:val="21"/>
              </w:rPr>
            </w:pPr>
            <w:r>
              <w:rPr>
                <w:rFonts w:hint="eastAsia" w:ascii="Times New Roman"/>
                <w:kern w:val="2"/>
                <w:sz w:val="21"/>
                <w:szCs w:val="21"/>
              </w:rPr>
              <w:t>招标人意见</w:t>
            </w:r>
          </w:p>
        </w:tc>
        <w:tc>
          <w:tcPr>
            <w:tcW w:w="4678" w:type="dxa"/>
            <w:vAlign w:val="center"/>
          </w:tcPr>
          <w:p>
            <w:pPr>
              <w:jc w:val="center"/>
              <w:rPr>
                <w:rFonts w:ascii="Times New Roman"/>
                <w:kern w:val="2"/>
                <w:sz w:val="21"/>
                <w:szCs w:val="21"/>
              </w:rPr>
            </w:pPr>
            <w:r>
              <w:rPr>
                <w:rFonts w:hint="eastAsia" w:ascii="Times New Roman"/>
                <w:kern w:val="2"/>
                <w:sz w:val="21"/>
                <w:szCs w:val="21"/>
              </w:rPr>
              <w:t>招标人意见均为2分</w:t>
            </w:r>
          </w:p>
        </w:tc>
        <w:tc>
          <w:tcPr>
            <w:tcW w:w="1843" w:type="dxa"/>
            <w:vAlign w:val="center"/>
          </w:tcPr>
          <w:p>
            <w:pPr>
              <w:jc w:val="center"/>
              <w:rPr>
                <w:rFonts w:ascii="Times New Roman"/>
                <w:kern w:val="2"/>
                <w:sz w:val="21"/>
                <w:szCs w:val="21"/>
              </w:rPr>
            </w:pPr>
            <w:r>
              <w:rPr>
                <w:rFonts w:ascii="Times New Roman"/>
                <w:kern w:val="2"/>
                <w:sz w:val="21"/>
                <w:szCs w:val="21"/>
              </w:rPr>
              <w:t>0≤</w:t>
            </w:r>
            <w:r>
              <w:rPr>
                <w:rFonts w:hint="eastAsia" w:ascii="Times New Roman"/>
                <w:kern w:val="2"/>
                <w:sz w:val="21"/>
                <w:szCs w:val="21"/>
              </w:rPr>
              <w:t>得分</w:t>
            </w:r>
            <w:r>
              <w:rPr>
                <w:rFonts w:ascii="Times New Roman"/>
                <w:kern w:val="2"/>
                <w:sz w:val="21"/>
                <w:szCs w:val="21"/>
              </w:rPr>
              <w:t>≤2</w:t>
            </w:r>
            <w:r>
              <w:rPr>
                <w:rFonts w:hint="eastAsia" w:ascii="Times New Roman"/>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668" w:type="dxa"/>
            <w:gridSpan w:val="4"/>
            <w:vAlign w:val="center"/>
          </w:tcPr>
          <w:p>
            <w:pPr>
              <w:jc w:val="center"/>
              <w:rPr>
                <w:rFonts w:ascii="Times New Roman"/>
                <w:kern w:val="2"/>
                <w:sz w:val="21"/>
                <w:szCs w:val="21"/>
              </w:rPr>
            </w:pPr>
            <w:r>
              <w:rPr>
                <w:rFonts w:hint="eastAsia" w:ascii="Times New Roman"/>
                <w:kern w:val="2"/>
                <w:sz w:val="21"/>
                <w:szCs w:val="21"/>
              </w:rPr>
              <w:t>以上各项评审内容缺项不得分</w:t>
            </w:r>
          </w:p>
        </w:tc>
      </w:tr>
    </w:tbl>
    <w:p>
      <w:pPr>
        <w:spacing w:line="360" w:lineRule="auto"/>
        <w:ind w:firstLine="480" w:firstLineChars="200"/>
        <w:rPr>
          <w:b/>
          <w:bCs/>
          <w:sz w:val="24"/>
          <w:szCs w:val="24"/>
        </w:rPr>
      </w:pPr>
    </w:p>
    <w:p>
      <w:pPr>
        <w:snapToGrid w:val="0"/>
        <w:spacing w:line="420" w:lineRule="exact"/>
        <w:ind w:firstLine="480" w:firstLineChars="200"/>
        <w:rPr>
          <w:rFonts w:hAnsi="宋体" w:cs="宋体"/>
          <w:b/>
          <w:bCs/>
          <w:sz w:val="24"/>
          <w:szCs w:val="22"/>
        </w:rPr>
      </w:pPr>
      <w:r>
        <w:rPr>
          <w:rFonts w:hint="eastAsia" w:hAnsi="宋体" w:cs="宋体"/>
          <w:b/>
          <w:bCs/>
          <w:sz w:val="24"/>
        </w:rPr>
        <w:t>注：</w:t>
      </w:r>
      <w:r>
        <w:rPr>
          <w:rFonts w:hint="eastAsia" w:hAnsi="宋体" w:cs="宋体"/>
          <w:b/>
          <w:bCs/>
          <w:sz w:val="24"/>
          <w:szCs w:val="22"/>
        </w:rPr>
        <w:t>1）近年年份要求：2017年1月1日以来；</w:t>
      </w:r>
    </w:p>
    <w:p>
      <w:pPr>
        <w:snapToGrid w:val="0"/>
        <w:spacing w:line="420" w:lineRule="exact"/>
        <w:ind w:firstLine="960" w:firstLineChars="400"/>
        <w:rPr>
          <w:rFonts w:hAnsi="宋体" w:cs="宋体"/>
          <w:b/>
          <w:bCs/>
          <w:color w:val="FF0000"/>
          <w:sz w:val="24"/>
          <w:szCs w:val="22"/>
        </w:rPr>
      </w:pPr>
      <w:r>
        <w:rPr>
          <w:rFonts w:hint="eastAsia" w:hAnsi="宋体" w:cs="宋体"/>
          <w:b/>
          <w:bCs/>
          <w:sz w:val="24"/>
          <w:szCs w:val="22"/>
        </w:rPr>
        <w:t>2）类似项目：</w:t>
      </w:r>
      <w:r>
        <w:rPr>
          <w:rFonts w:hint="eastAsia" w:hAnsi="宋体" w:cs="宋体"/>
          <w:b/>
          <w:bCs/>
          <w:color w:val="FF0000"/>
          <w:sz w:val="24"/>
          <w:szCs w:val="22"/>
        </w:rPr>
        <w:t xml:space="preserve"> </w:t>
      </w:r>
      <w:r>
        <w:rPr>
          <w:rFonts w:hint="eastAsia" w:hAnsi="宋体" w:cs="宋体"/>
          <w:b/>
          <w:bCs/>
          <w:sz w:val="24"/>
          <w:szCs w:val="22"/>
        </w:rPr>
        <w:t>指2017年1月1日以来（以合同签订时间为准）</w:t>
      </w:r>
      <w:r>
        <w:rPr>
          <w:rFonts w:hint="eastAsia" w:hAnsi="宋体" w:cs="宋体"/>
          <w:b/>
          <w:bCs/>
          <w:color w:val="auto"/>
          <w:sz w:val="24"/>
          <w:szCs w:val="22"/>
        </w:rPr>
        <w:t>承建的市政桥梁工程。</w:t>
      </w:r>
    </w:p>
    <w:p>
      <w:pPr>
        <w:snapToGrid w:val="0"/>
        <w:spacing w:line="420" w:lineRule="exact"/>
        <w:ind w:firstLine="480" w:firstLineChars="200"/>
        <w:rPr>
          <w:rFonts w:hint="eastAsia" w:hAnsi="宋体" w:cs="宋体"/>
          <w:b/>
          <w:bCs/>
          <w:sz w:val="24"/>
          <w:szCs w:val="22"/>
        </w:rPr>
      </w:pPr>
      <w:r>
        <w:rPr>
          <w:rFonts w:hint="eastAsia" w:hAnsi="宋体" w:cs="宋体"/>
          <w:b/>
          <w:bCs/>
          <w:sz w:val="24"/>
          <w:szCs w:val="22"/>
        </w:rPr>
        <w:t>3）业绩合同以合同签订日期为准；</w:t>
      </w:r>
    </w:p>
    <w:p>
      <w:pPr>
        <w:snapToGrid w:val="0"/>
        <w:spacing w:line="420" w:lineRule="exact"/>
        <w:ind w:firstLine="480" w:firstLineChars="200"/>
        <w:rPr>
          <w:rFonts w:hint="eastAsia" w:hAnsi="宋体" w:cs="宋体"/>
          <w:b/>
          <w:bCs/>
          <w:sz w:val="24"/>
          <w:szCs w:val="22"/>
        </w:rPr>
      </w:pPr>
      <w:r>
        <w:rPr>
          <w:rFonts w:hint="eastAsia" w:hAnsi="宋体" w:cs="宋体"/>
          <w:b/>
          <w:bCs/>
          <w:sz w:val="24"/>
          <w:szCs w:val="22"/>
        </w:rPr>
        <w:t>4）项目负责人业绩与企业业绩不可重复计分。</w:t>
      </w:r>
    </w:p>
    <w:p>
      <w:pPr>
        <w:snapToGrid w:val="0"/>
        <w:spacing w:line="420" w:lineRule="exact"/>
        <w:ind w:firstLine="240" w:firstLineChars="100"/>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7"/>
        <w:keepNext w:val="0"/>
        <w:keepLines w:val="0"/>
        <w:snapToGrid w:val="0"/>
        <w:spacing w:line="336"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7"/>
        <w:keepNext w:val="0"/>
        <w:keepLines w:val="0"/>
        <w:snapToGrid w:val="0"/>
        <w:spacing w:line="336"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ind w:firstLine="340"/>
      </w:pPr>
    </w:p>
    <w:p>
      <w:pPr>
        <w:widowControl/>
        <w:jc w:val="left"/>
        <w:rPr>
          <w:rFonts w:ascii="方正小标宋简体" w:hAnsi="黑体" w:eastAsia="方正小标宋简体"/>
          <w:b/>
          <w:bCs/>
          <w:sz w:val="32"/>
          <w:szCs w:val="32"/>
        </w:rPr>
      </w:pPr>
      <w:r>
        <w:rPr>
          <w:rFonts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szCs w:val="22"/>
              </w:rPr>
            </w:pPr>
            <w:r>
              <w:rPr>
                <w:rFonts w:hint="eastAsia" w:hAnsi="宋体"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Ansi="宋体" w:cs="宋体"/>
                <w:sz w:val="24"/>
                <w:szCs w:val="22"/>
              </w:rPr>
            </w:pPr>
            <w:r>
              <w:rPr>
                <w:rFonts w:hint="eastAsia" w:hAnsi="宋体" w:cs="宋体"/>
                <w:sz w:val="24"/>
                <w:szCs w:val="22"/>
              </w:rPr>
              <w:t>建安建工公字〔2020〕</w:t>
            </w:r>
            <w:r>
              <w:rPr>
                <w:rFonts w:hint="default" w:hAnsi="宋体" w:cs="宋体"/>
                <w:sz w:val="24"/>
                <w:szCs w:val="22"/>
                <w:lang w:val="en-US"/>
              </w:rPr>
              <w:t>29</w:t>
            </w:r>
            <w:r>
              <w:rPr>
                <w:rFonts w:hint="eastAsia" w:hAnsi="宋体"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szCs w:val="22"/>
              </w:rPr>
              <w:t>许昌市建安区高铁北站组团上航路、经二路、中航路三座景观桥工程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szCs w:val="22"/>
              </w:rPr>
            </w:pPr>
            <w:r>
              <w:rPr>
                <w:rFonts w:hint="eastAsia" w:hAnsi="宋体"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jc w:val="center"/>
              <w:rPr>
                <w:rFonts w:hAnsi="宋体" w:cs="宋体"/>
                <w:sz w:val="24"/>
                <w:szCs w:val="22"/>
              </w:rPr>
            </w:pPr>
            <w:r>
              <w:rPr>
                <w:rFonts w:hint="eastAsia" w:hAnsi="宋体"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hAnsi="宋体" w:cs="宋体"/>
                <w:sz w:val="24"/>
                <w:szCs w:val="22"/>
              </w:rPr>
            </w:pPr>
            <w:r>
              <w:rPr>
                <w:rFonts w:hint="eastAsia" w:hAnsi="宋体" w:cs="宋体"/>
                <w:sz w:val="24"/>
                <w:szCs w:val="22"/>
              </w:rPr>
              <w:t>金额：人民币</w:t>
            </w:r>
            <w:r>
              <w:rPr>
                <w:rFonts w:hint="eastAsia" w:hAnsi="宋体" w:cs="宋体"/>
                <w:sz w:val="24"/>
                <w:szCs w:val="22"/>
                <w:lang w:eastAsia="zh-CN"/>
              </w:rPr>
              <w:t>伍拾</w:t>
            </w:r>
            <w:bookmarkStart w:id="631" w:name="_GoBack"/>
            <w:bookmarkEnd w:id="631"/>
            <w:r>
              <w:rPr>
                <w:rFonts w:hint="eastAsia" w:hAnsi="宋体" w:cs="宋体"/>
                <w:sz w:val="24"/>
                <w:szCs w:val="22"/>
              </w:rPr>
              <w:t>万元整（</w:t>
            </w:r>
            <w:r>
              <w:rPr>
                <w:rFonts w:hint="default" w:hAnsi="宋体" w:cs="宋体"/>
                <w:sz w:val="24"/>
                <w:szCs w:val="22"/>
                <w:lang w:val="en-US"/>
              </w:rPr>
              <w:t>50</w:t>
            </w:r>
            <w:r>
              <w:rPr>
                <w:rFonts w:hint="eastAsia" w:hAnsi="宋体" w:cs="宋体"/>
                <w:sz w:val="24"/>
                <w:szCs w:val="22"/>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(1)因投标人的原因无法及时退还投标（竞买）保证金、滞留三年以上的，投标（竞买）保证金上缴财政。</w:t>
            </w:r>
          </w:p>
          <w:p>
            <w:pPr>
              <w:autoSpaceDE w:val="0"/>
              <w:autoSpaceDN w:val="0"/>
              <w:adjustRightInd w:val="0"/>
              <w:spacing w:line="340" w:lineRule="exact"/>
              <w:rPr>
                <w:rFonts w:hAnsi="宋体" w:cs="宋体"/>
                <w:sz w:val="24"/>
              </w:rPr>
            </w:pPr>
            <w:r>
              <w:rPr>
                <w:rFonts w:hint="eastAsia" w:hAnsi="宋体" w:cs="宋体"/>
                <w:sz w:val="24"/>
              </w:rPr>
              <w:t xml:space="preserve">   (2)自文件发布之日起，投标人需进行基本户备案，已备案的基本户开户银行、账户发生变化的，须重新办理备案手续。备案后方可提交投标（竞买）保证金。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rPr>
            </w:pPr>
            <w:r>
              <w:rPr>
                <w:rFonts w:hint="eastAsia" w:hAnsi="宋体" w:cs="宋体"/>
                <w:sz w:val="24"/>
              </w:rPr>
              <w:t xml:space="preserve">  (4)特殊情况处理</w:t>
            </w:r>
          </w:p>
          <w:p>
            <w:pPr>
              <w:autoSpaceDE w:val="0"/>
              <w:autoSpaceDN w:val="0"/>
              <w:adjustRightInd w:val="0"/>
              <w:spacing w:line="340" w:lineRule="exact"/>
              <w:rPr>
                <w:rFonts w:hAnsi="宋体" w:cs="宋体"/>
                <w:sz w:val="24"/>
                <w:lang w:val="zh-CN"/>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rPr>
                <w:rFonts w:hAnsi="宋体" w:cs="宋体"/>
                <w:sz w:val="24"/>
                <w:lang w:val="zh-CN"/>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spacing w:line="360" w:lineRule="exact"/>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4、特殊情况处理</w:t>
            </w:r>
          </w:p>
          <w:p>
            <w:pPr>
              <w:adjustRightInd w:val="0"/>
              <w:spacing w:line="360" w:lineRule="exact"/>
              <w:ind w:firstLine="470" w:firstLineChars="196"/>
              <w:rPr>
                <w:rFonts w:cs="仿宋_GB2312" w:asciiTheme="minorEastAsia" w:hAnsiTheme="minorEastAsia" w:eastAsiaTheme="minorEastAsia"/>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vAlign w:val="center"/>
          </w:tcPr>
          <w:p>
            <w:pPr>
              <w:spacing w:line="360" w:lineRule="exact"/>
              <w:jc w:val="center"/>
              <w:rPr>
                <w:rFonts w:hAnsi="宋体"/>
                <w:sz w:val="24"/>
              </w:rPr>
            </w:pPr>
            <w:r>
              <w:rPr>
                <w:rFonts w:hint="eastAsia" w:hAnsi="宋体" w:cs="新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cs="新宋体"/>
                <w:sz w:val="24"/>
              </w:rPr>
              <w:t>是否中标</w:t>
            </w:r>
          </w:p>
        </w:tc>
        <w:tc>
          <w:tcPr>
            <w:tcW w:w="2162" w:type="dxa"/>
            <w:vAlign w:val="center"/>
          </w:tcPr>
          <w:p>
            <w:pPr>
              <w:spacing w:line="360" w:lineRule="exact"/>
              <w:ind w:firstLine="240" w:firstLineChars="100"/>
              <w:rPr>
                <w:rFonts w:hAnsi="宋体"/>
                <w:sz w:val="24"/>
              </w:rPr>
            </w:pPr>
            <w:r>
              <w:rPr>
                <w:rFonts w:hint="eastAsia" w:hAnsi="宋体"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vAlign w:val="center"/>
          </w:tcPr>
          <w:p>
            <w:pPr>
              <w:spacing w:line="360" w:lineRule="exact"/>
              <w:jc w:val="center"/>
              <w:rPr>
                <w:rFonts w:hAnsi="宋体"/>
                <w:sz w:val="24"/>
              </w:rPr>
            </w:pPr>
            <w:r>
              <w:rPr>
                <w:rFonts w:hint="eastAsia" w:hAnsi="宋体" w:cs="新宋体"/>
                <w:sz w:val="24"/>
              </w:rPr>
              <w:t>申请单位（签章）</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vAlign w:val="center"/>
          </w:tcPr>
          <w:p>
            <w:pPr>
              <w:spacing w:line="360" w:lineRule="exact"/>
              <w:ind w:firstLine="480" w:firstLineChars="200"/>
              <w:rPr>
                <w:rFonts w:hAnsi="宋体"/>
                <w:sz w:val="24"/>
              </w:rPr>
            </w:pPr>
            <w:r>
              <w:rPr>
                <w:rFonts w:hint="eastAsia" w:hAnsi="宋体" w:cs="新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cs="新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vAlign w:val="center"/>
          </w:tcPr>
          <w:p>
            <w:pPr>
              <w:spacing w:line="360" w:lineRule="exact"/>
              <w:ind w:firstLine="480" w:firstLineChars="200"/>
              <w:rPr>
                <w:rFonts w:hAnsi="宋体"/>
                <w:sz w:val="24"/>
              </w:rPr>
            </w:pPr>
            <w:r>
              <w:rPr>
                <w:rFonts w:hint="eastAsia" w:hAnsi="宋体" w:cs="新宋体"/>
                <w:sz w:val="24"/>
              </w:rPr>
              <w:t>申请金额</w:t>
            </w:r>
          </w:p>
        </w:tc>
        <w:tc>
          <w:tcPr>
            <w:tcW w:w="7742" w:type="dxa"/>
            <w:gridSpan w:val="5"/>
            <w:vAlign w:val="center"/>
          </w:tcPr>
          <w:p>
            <w:pPr>
              <w:spacing w:line="360" w:lineRule="exact"/>
              <w:rPr>
                <w:rFonts w:hAnsi="宋体"/>
                <w:sz w:val="24"/>
              </w:rPr>
            </w:pPr>
            <w:r>
              <w:rPr>
                <w:rFonts w:hint="eastAsia" w:hAnsi="宋体" w:cs="新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vAlign w:val="center"/>
          </w:tcPr>
          <w:p>
            <w:pPr>
              <w:spacing w:line="360" w:lineRule="exact"/>
              <w:jc w:val="center"/>
              <w:rPr>
                <w:rFonts w:hAnsi="宋体"/>
                <w:sz w:val="24"/>
              </w:rPr>
            </w:pPr>
            <w:r>
              <w:rPr>
                <w:rFonts w:hint="eastAsia" w:hAnsi="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Pr>
          <w:p>
            <w:pPr>
              <w:wordWrap w:val="0"/>
              <w:jc w:val="right"/>
              <w:rPr>
                <w:rFonts w:hAnsi="宋体" w:cs="新宋体"/>
                <w:sz w:val="24"/>
              </w:rPr>
            </w:pPr>
          </w:p>
          <w:p>
            <w:pPr>
              <w:ind w:right="480" w:firstLine="5880" w:firstLineChars="2450"/>
              <w:rPr>
                <w:rFonts w:hAnsi="宋体" w:cs="新宋体"/>
                <w:sz w:val="24"/>
              </w:rPr>
            </w:pPr>
          </w:p>
          <w:p>
            <w:pPr>
              <w:ind w:right="480" w:firstLine="5880" w:firstLineChars="2450"/>
              <w:rPr>
                <w:rFonts w:hAnsi="宋体" w:cs="新宋体"/>
                <w:sz w:val="24"/>
              </w:rPr>
            </w:pPr>
          </w:p>
          <w:p>
            <w:pPr>
              <w:pStyle w:val="2"/>
              <w:ind w:firstLine="340"/>
            </w:pPr>
          </w:p>
          <w:p>
            <w:pPr>
              <w:ind w:right="480" w:firstLine="5880" w:firstLineChars="2450"/>
              <w:rPr>
                <w:rFonts w:hAnsi="宋体" w:cs="新宋体"/>
                <w:sz w:val="24"/>
              </w:rPr>
            </w:pPr>
          </w:p>
          <w:p>
            <w:pPr>
              <w:ind w:right="480" w:firstLine="5880" w:firstLineChars="2450"/>
              <w:rPr>
                <w:rFonts w:hAnsi="宋体"/>
                <w:sz w:val="24"/>
              </w:rPr>
            </w:pPr>
            <w:r>
              <w:rPr>
                <w:rFonts w:hint="eastAsia" w:hAnsi="宋体" w:cs="新宋体"/>
                <w:sz w:val="24"/>
              </w:rPr>
              <w:t>年   月   日</w:t>
            </w:r>
          </w:p>
        </w:tc>
      </w:tr>
    </w:tbl>
    <w:p>
      <w:pPr>
        <w:rPr>
          <w:rFonts w:hAnsi="宋体"/>
          <w:sz w:val="24"/>
        </w:rPr>
      </w:pPr>
    </w:p>
    <w:p>
      <w:pPr>
        <w:rPr>
          <w:rFonts w:hAnsi="宋体"/>
          <w:sz w:val="24"/>
        </w:rPr>
      </w:pPr>
    </w:p>
    <w:p>
      <w:pPr>
        <w:rPr>
          <w:rFonts w:hAnsi="宋体"/>
          <w:b/>
          <w:bCs/>
          <w:sz w:val="32"/>
          <w:szCs w:val="32"/>
        </w:rPr>
      </w:pPr>
      <w:r>
        <w:rPr>
          <w:rFonts w:hint="eastAsia" w:hAnsi="宋体"/>
          <w:sz w:val="24"/>
        </w:rPr>
        <w:t>备注：中标单位使用此表退还保证金时，此表格大小及格式不得改变</w:t>
      </w:r>
      <w:r>
        <w:rPr>
          <w:rFonts w:hint="eastAsia" w:hAnsi="宋体"/>
          <w:sz w:val="28"/>
          <w:szCs w:val="28"/>
        </w:rPr>
        <w:t>。</w:t>
      </w:r>
    </w:p>
    <w:p>
      <w:pPr>
        <w:widowControl/>
        <w:spacing w:line="520" w:lineRule="exact"/>
        <w:rPr>
          <w:rFonts w:ascii="仿宋_GB2312" w:hAnsi="Arial" w:eastAsia="仿宋_GB2312" w:cs="Arial"/>
          <w:b/>
          <w:bCs/>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3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8"/>
        <w:jc w:val="center"/>
        <w:rPr>
          <w:rFonts w:hAnsi="宋体"/>
          <w:b w:val="0"/>
          <w:sz w:val="44"/>
          <w:szCs w:val="44"/>
        </w:rPr>
      </w:pPr>
      <w:r>
        <w:rPr>
          <w:rFonts w:hAnsi="宋体"/>
          <w:sz w:val="44"/>
          <w:szCs w:val="44"/>
        </w:rPr>
        <w:t>第一部分 合同协议书</w:t>
      </w:r>
    </w:p>
    <w:p>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pPr>
        <w:spacing w:line="480" w:lineRule="exact"/>
        <w:ind w:firstLine="480" w:firstLineChars="20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hint="eastAsia" w:ascii="Times New Roman" w:eastAsia="仿宋_GB2312"/>
          <w:sz w:val="24"/>
          <w:szCs w:val="24"/>
        </w:rPr>
        <w:t>，</w:t>
      </w:r>
      <w:r>
        <w:rPr>
          <w:rFonts w:ascii="Times New Roman" w:eastAsia="仿宋_GB2312"/>
          <w:sz w:val="24"/>
          <w:szCs w:val="24"/>
        </w:rPr>
        <w:t>共同达成如下协议：</w:t>
      </w:r>
    </w:p>
    <w:p>
      <w:pPr>
        <w:pStyle w:val="9"/>
        <w:spacing w:line="480" w:lineRule="exact"/>
        <w:rPr>
          <w:rFonts w:ascii="Times New Roman" w:hAnsi="Times New Roman" w:eastAsia="黑体"/>
          <w:bCs w:val="0"/>
          <w:sz w:val="24"/>
          <w:szCs w:val="24"/>
        </w:rPr>
      </w:pPr>
      <w:bookmarkStart w:id="79" w:name="_Toc351203481"/>
      <w:r>
        <w:rPr>
          <w:rFonts w:ascii="Times New Roman" w:hAnsi="Times New Roman" w:eastAsia="黑体"/>
          <w:b w:val="0"/>
          <w:sz w:val="24"/>
          <w:szCs w:val="24"/>
        </w:rPr>
        <w:t>一、工程概况</w:t>
      </w:r>
      <w:bookmarkEnd w:id="79"/>
    </w:p>
    <w:p>
      <w:pPr>
        <w:spacing w:line="480" w:lineRule="exact"/>
        <w:ind w:firstLine="470" w:firstLineChars="196"/>
        <w:rPr>
          <w:rFonts w:ascii="Times New Roman" w:eastAsia="仿宋_GB2312"/>
          <w:sz w:val="24"/>
          <w:szCs w:val="24"/>
          <w:u w:val="single"/>
        </w:rPr>
      </w:pPr>
      <w:r>
        <w:rPr>
          <w:rFonts w:ascii="Times New Roman" w:eastAsia="仿宋_GB2312"/>
          <w:bCs/>
          <w:sz w:val="24"/>
          <w:szCs w:val="24"/>
        </w:rPr>
        <w:t>1.工程名称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2.工程地点：</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3.工程立项批准文号：</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4.资金来源：</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5.工程内容：</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sz w:val="24"/>
          <w:szCs w:val="24"/>
        </w:rPr>
        <w:t>群体工程应附《</w:t>
      </w:r>
      <w:r>
        <w:rPr>
          <w:rFonts w:ascii="Times New Roman" w:eastAsia="仿宋_GB2312"/>
          <w:sz w:val="24"/>
          <w:szCs w:val="24"/>
        </w:rPr>
        <w:t>承包人承揽工程项目一览表</w:t>
      </w:r>
      <w:r>
        <w:rPr>
          <w:rFonts w:hint="eastAsia" w:ascii="Times New Roman" w:eastAsia="仿宋_GB2312"/>
          <w:sz w:val="24"/>
          <w:szCs w:val="24"/>
        </w:rPr>
        <w:t>》（附件1）。</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6</w:t>
      </w:r>
      <w:r>
        <w:rPr>
          <w:rFonts w:ascii="Times New Roman" w:eastAsia="仿宋_GB2312"/>
          <w:bCs/>
          <w:sz w:val="24"/>
          <w:szCs w:val="24"/>
        </w:rPr>
        <w:t>.工程承包范围：</w:t>
      </w:r>
    </w:p>
    <w:p>
      <w:pPr>
        <w:spacing w:line="480" w:lineRule="exact"/>
        <w:ind w:firstLine="463" w:firstLineChars="193"/>
        <w:rPr>
          <w:rFonts w:ascii="Times New Roman" w:eastAsia="仿宋_GB2312"/>
          <w:sz w:val="24"/>
          <w:szCs w:val="24"/>
        </w:rPr>
      </w:pP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80" w:name="_Toc351203482"/>
      <w:r>
        <w:rPr>
          <w:rFonts w:ascii="Times New Roman" w:hAnsi="Times New Roman" w:eastAsia="黑体"/>
          <w:b w:val="0"/>
          <w:sz w:val="24"/>
          <w:szCs w:val="24"/>
        </w:rPr>
        <w:t>二、合同工期</w:t>
      </w:r>
      <w:bookmarkEnd w:id="80"/>
    </w:p>
    <w:p>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pPr>
        <w:pStyle w:val="9"/>
        <w:spacing w:line="480" w:lineRule="exact"/>
        <w:rPr>
          <w:rFonts w:ascii="Times New Roman" w:hAnsi="Times New Roman" w:eastAsia="黑体"/>
          <w:bCs w:val="0"/>
          <w:sz w:val="24"/>
          <w:szCs w:val="24"/>
        </w:rPr>
      </w:pPr>
      <w:bookmarkStart w:id="81" w:name="_Toc351203483"/>
      <w:r>
        <w:rPr>
          <w:rFonts w:ascii="Times New Roman" w:hAnsi="Times New Roman" w:eastAsia="黑体"/>
          <w:b w:val="0"/>
          <w:sz w:val="24"/>
          <w:szCs w:val="24"/>
        </w:rPr>
        <w:t>三、质量标准</w:t>
      </w:r>
      <w:bookmarkEnd w:id="81"/>
    </w:p>
    <w:p>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pPr>
        <w:pStyle w:val="9"/>
        <w:spacing w:line="480" w:lineRule="exact"/>
        <w:rPr>
          <w:rFonts w:ascii="Times New Roman" w:hAnsi="Times New Roman" w:eastAsia="黑体"/>
          <w:bCs w:val="0"/>
          <w:sz w:val="24"/>
          <w:szCs w:val="24"/>
        </w:rPr>
      </w:pPr>
      <w:bookmarkStart w:id="82" w:name="_Toc351203484"/>
      <w:r>
        <w:rPr>
          <w:rFonts w:ascii="Times New Roman" w:hAnsi="Times New Roman" w:eastAsia="黑体"/>
          <w:b w:val="0"/>
          <w:sz w:val="24"/>
          <w:szCs w:val="24"/>
        </w:rPr>
        <w:t>四、签约合同价与合同价格形式</w:t>
      </w:r>
      <w:bookmarkEnd w:id="82"/>
      <w:r>
        <w:rPr>
          <w:rFonts w:ascii="Times New Roman" w:hAnsi="Times New Roman" w:eastAsia="黑体"/>
          <w:b w:val="0"/>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1.签约合同价为：</w:t>
      </w:r>
    </w:p>
    <w:p>
      <w:pPr>
        <w:spacing w:line="480" w:lineRule="exact"/>
        <w:ind w:firstLine="600" w:firstLineChars="250"/>
        <w:rPr>
          <w:rFonts w:ascii="Times New Roman" w:eastAsia="仿宋_GB2312"/>
          <w:sz w:val="24"/>
          <w:szCs w:val="24"/>
        </w:rPr>
      </w:pPr>
      <w:r>
        <w:rPr>
          <w:rFonts w:ascii="Times New Roman" w:eastAsia="仿宋_GB2312"/>
          <w:sz w:val="24"/>
          <w:szCs w:val="24"/>
        </w:rPr>
        <w:t>人民币（大写）(¥元)；</w:t>
      </w:r>
    </w:p>
    <w:p>
      <w:pPr>
        <w:spacing w:line="480" w:lineRule="exact"/>
        <w:ind w:firstLine="480" w:firstLineChars="200"/>
        <w:rPr>
          <w:rFonts w:ascii="Times New Roman" w:eastAsia="仿宋_GB2312"/>
          <w:sz w:val="24"/>
          <w:szCs w:val="24"/>
        </w:rPr>
      </w:pPr>
      <w:r>
        <w:rPr>
          <w:rFonts w:ascii="Times New Roman" w:eastAsia="仿宋_GB2312"/>
          <w:sz w:val="24"/>
          <w:szCs w:val="24"/>
        </w:rPr>
        <w:t>其中：</w:t>
      </w:r>
    </w:p>
    <w:p>
      <w:pPr>
        <w:spacing w:line="480" w:lineRule="exact"/>
        <w:ind w:firstLine="480" w:firstLineChars="200"/>
        <w:rPr>
          <w:rFonts w:ascii="Times New Roman" w:eastAsia="仿宋_GB2312"/>
          <w:sz w:val="24"/>
          <w:szCs w:val="24"/>
        </w:rPr>
      </w:pPr>
      <w:r>
        <w:rPr>
          <w:rFonts w:ascii="Times New Roman" w:eastAsia="仿宋_GB2312"/>
          <w:sz w:val="24"/>
          <w:szCs w:val="24"/>
        </w:rPr>
        <w:t>（1）安全文明施工费：</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（2）材料和工程设备暂估价金额：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（3）专业工程暂估价金额：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（4）暂列金额：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2.合同价格形式：</w:t>
      </w:r>
      <w:r>
        <w:rPr>
          <w:rFonts w:ascii="Times New Roman" w:eastAsia="仿宋_GB2312"/>
          <w:sz w:val="24"/>
          <w:szCs w:val="24"/>
          <w:u w:val="single"/>
        </w:rPr>
        <w:t>           </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83" w:name="_Toc351203485"/>
      <w:r>
        <w:rPr>
          <w:rFonts w:ascii="Times New Roman" w:hAnsi="Times New Roman" w:eastAsia="黑体"/>
          <w:b w:val="0"/>
          <w:sz w:val="24"/>
          <w:szCs w:val="24"/>
        </w:rPr>
        <w:t>五、</w:t>
      </w:r>
      <w:bookmarkEnd w:id="83"/>
      <w:r>
        <w:rPr>
          <w:rFonts w:hint="eastAsia" w:ascii="Times New Roman" w:hAnsi="Times New Roman" w:eastAsia="黑体"/>
          <w:b w:val="0"/>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w:t>
      </w:r>
      <w:r>
        <w:rPr>
          <w:rFonts w:hint="eastAsia" w:ascii="Times New Roman" w:eastAsia="仿宋_GB2312"/>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pPr>
        <w:pStyle w:val="9"/>
        <w:spacing w:line="480" w:lineRule="exact"/>
        <w:rPr>
          <w:rFonts w:ascii="Times New Roman" w:hAnsi="Times New Roman" w:eastAsia="黑体"/>
          <w:bCs w:val="0"/>
          <w:sz w:val="24"/>
          <w:szCs w:val="24"/>
        </w:rPr>
      </w:pPr>
      <w:bookmarkStart w:id="84" w:name="_Toc351203486"/>
      <w:r>
        <w:rPr>
          <w:rFonts w:ascii="Times New Roman" w:hAnsi="Times New Roman" w:eastAsia="黑体"/>
          <w:b w:val="0"/>
          <w:sz w:val="24"/>
          <w:szCs w:val="24"/>
        </w:rPr>
        <w:t>六、合同文件构成</w:t>
      </w:r>
      <w:bookmarkEnd w:id="84"/>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（1）中标通知书（如果有）；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（2）投标函及其附录（如果有）；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（4）通用合同条款；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（5）技术标准和要求；</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（6）图纸；</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（8）其他合同文件。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hint="eastAsia" w:ascii="Times New Roman" w:eastAsia="仿宋_GB2312"/>
          <w:sz w:val="24"/>
          <w:szCs w:val="24"/>
        </w:rPr>
        <w:t>专用合同条款及其附件须经合同当事人签字或盖章。</w:t>
      </w:r>
    </w:p>
    <w:p>
      <w:pPr>
        <w:pStyle w:val="9"/>
        <w:spacing w:line="480" w:lineRule="exact"/>
        <w:rPr>
          <w:rFonts w:ascii="Times New Roman" w:hAnsi="Times New Roman" w:eastAsia="黑体"/>
          <w:b w:val="0"/>
          <w:bCs w:val="0"/>
          <w:sz w:val="24"/>
          <w:szCs w:val="24"/>
        </w:rPr>
      </w:pPr>
      <w:bookmarkStart w:id="85" w:name="_Toc351203487"/>
      <w:r>
        <w:rPr>
          <w:rFonts w:ascii="Times New Roman" w:hAnsi="Times New Roman" w:eastAsia="黑体"/>
          <w:b w:val="0"/>
          <w:sz w:val="24"/>
          <w:szCs w:val="24"/>
        </w:rPr>
        <w:t>七、承诺</w:t>
      </w:r>
      <w:bookmarkEnd w:id="85"/>
    </w:p>
    <w:p>
      <w:pPr>
        <w:spacing w:line="480" w:lineRule="exact"/>
        <w:ind w:firstLine="480" w:firstLineChars="200"/>
        <w:rPr>
          <w:rFonts w:ascii="Times New Roman" w:eastAsia="仿宋_GB2312"/>
          <w:bCs/>
          <w:sz w:val="24"/>
          <w:szCs w:val="24"/>
        </w:rPr>
      </w:pPr>
      <w:r>
        <w:rPr>
          <w:rFonts w:ascii="Times New Roman" w:eastAsia="仿宋_GB2312"/>
          <w:bCs/>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3.发包人和承包人通过招投标形式签订合同的，双方理解并</w:t>
      </w:r>
      <w:r>
        <w:rPr>
          <w:rFonts w:hint="eastAsia" w:ascii="Times New Roman" w:eastAsia="仿宋_GB2312"/>
          <w:bCs/>
          <w:sz w:val="24"/>
          <w:szCs w:val="24"/>
        </w:rPr>
        <w:t>承诺</w:t>
      </w:r>
      <w:r>
        <w:rPr>
          <w:rFonts w:ascii="Times New Roman" w:eastAsia="仿宋_GB2312"/>
          <w:bCs/>
          <w:sz w:val="24"/>
          <w:szCs w:val="24"/>
        </w:rPr>
        <w:t>不再就同一工程另行签订与合同实质性内容相背离的协议。</w:t>
      </w:r>
    </w:p>
    <w:p>
      <w:pPr>
        <w:spacing w:line="480" w:lineRule="exact"/>
        <w:rPr>
          <w:rFonts w:ascii="Times New Roman" w:eastAsia="黑体"/>
          <w:bCs/>
          <w:sz w:val="24"/>
          <w:szCs w:val="24"/>
        </w:rPr>
      </w:pPr>
      <w:bookmarkStart w:id="86" w:name="_Toc351203488"/>
      <w:r>
        <w:rPr>
          <w:rFonts w:ascii="Times New Roman" w:eastAsia="黑体"/>
          <w:b/>
          <w:sz w:val="24"/>
          <w:szCs w:val="24"/>
        </w:rPr>
        <w:t>八、词语含义</w:t>
      </w:r>
      <w:bookmarkEnd w:id="86"/>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pPr>
        <w:pStyle w:val="9"/>
        <w:spacing w:line="480" w:lineRule="exact"/>
        <w:rPr>
          <w:rFonts w:ascii="Times New Roman" w:hAnsi="Times New Roman" w:eastAsia="黑体"/>
          <w:bCs w:val="0"/>
          <w:sz w:val="24"/>
          <w:szCs w:val="24"/>
        </w:rPr>
      </w:pPr>
      <w:bookmarkStart w:id="87" w:name="_Toc351203489"/>
      <w:r>
        <w:rPr>
          <w:rFonts w:ascii="Times New Roman" w:hAnsi="Times New Roman" w:eastAsia="黑体"/>
          <w:b w:val="0"/>
          <w:sz w:val="24"/>
          <w:szCs w:val="24"/>
        </w:rPr>
        <w:t>九、签订时间</w:t>
      </w:r>
      <w:bookmarkEnd w:id="87"/>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本合同于年月日签订。</w:t>
      </w:r>
    </w:p>
    <w:p>
      <w:pPr>
        <w:pStyle w:val="9"/>
        <w:spacing w:line="480" w:lineRule="exact"/>
        <w:rPr>
          <w:rFonts w:ascii="Times New Roman" w:hAnsi="Times New Roman" w:eastAsia="黑体"/>
          <w:bCs w:val="0"/>
          <w:sz w:val="24"/>
          <w:szCs w:val="24"/>
        </w:rPr>
      </w:pPr>
      <w:bookmarkStart w:id="88" w:name="_Toc351203490"/>
      <w:r>
        <w:rPr>
          <w:rFonts w:ascii="Times New Roman" w:hAnsi="Times New Roman" w:eastAsia="黑体"/>
          <w:b w:val="0"/>
          <w:sz w:val="24"/>
          <w:szCs w:val="24"/>
        </w:rPr>
        <w:t>十、签订地点</w:t>
      </w:r>
      <w:bookmarkEnd w:id="88"/>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本合同在签订。</w:t>
      </w:r>
    </w:p>
    <w:p>
      <w:pPr>
        <w:pStyle w:val="9"/>
        <w:spacing w:line="480" w:lineRule="exact"/>
        <w:rPr>
          <w:rFonts w:ascii="Times New Roman" w:hAnsi="Times New Roman" w:eastAsia="黑体"/>
          <w:bCs w:val="0"/>
          <w:sz w:val="24"/>
          <w:szCs w:val="24"/>
        </w:rPr>
      </w:pPr>
      <w:bookmarkStart w:id="89" w:name="_Toc351203491"/>
      <w:r>
        <w:rPr>
          <w:rFonts w:ascii="Times New Roman" w:hAnsi="Times New Roman" w:eastAsia="黑体"/>
          <w:b w:val="0"/>
          <w:sz w:val="24"/>
          <w:szCs w:val="24"/>
        </w:rPr>
        <w:t>十一、补充协议</w:t>
      </w:r>
      <w:bookmarkEnd w:id="89"/>
    </w:p>
    <w:p>
      <w:pPr>
        <w:spacing w:line="480" w:lineRule="exact"/>
        <w:ind w:firstLine="480" w:firstLineChars="200"/>
        <w:rPr>
          <w:rFonts w:ascii="Times New Roman" w:eastAsia="仿宋_GB2312"/>
          <w:b/>
          <w:bCs/>
          <w:sz w:val="24"/>
          <w:szCs w:val="24"/>
        </w:rPr>
      </w:pPr>
      <w:r>
        <w:rPr>
          <w:rFonts w:ascii="Times New Roman" w:eastAsia="仿宋_GB2312"/>
          <w:bCs/>
          <w:sz w:val="24"/>
          <w:szCs w:val="24"/>
        </w:rPr>
        <w:t>合同未尽事宜，合同当事人另行签订补充协议</w:t>
      </w:r>
      <w:r>
        <w:rPr>
          <w:rFonts w:hint="eastAsia" w:ascii="Times New Roman" w:eastAsia="仿宋_GB2312"/>
          <w:bCs/>
          <w:sz w:val="24"/>
          <w:szCs w:val="24"/>
        </w:rPr>
        <w:t>，</w:t>
      </w:r>
      <w:r>
        <w:rPr>
          <w:rFonts w:ascii="Times New Roman" w:eastAsia="仿宋_GB2312"/>
          <w:bCs/>
          <w:sz w:val="24"/>
          <w:szCs w:val="24"/>
        </w:rPr>
        <w:t>补充协议是合同的组成部分。</w:t>
      </w:r>
    </w:p>
    <w:p>
      <w:pPr>
        <w:pStyle w:val="9"/>
        <w:spacing w:line="480" w:lineRule="exact"/>
        <w:rPr>
          <w:rFonts w:ascii="Times New Roman" w:hAnsi="Times New Roman" w:eastAsia="黑体"/>
          <w:bCs w:val="0"/>
          <w:sz w:val="24"/>
          <w:szCs w:val="24"/>
        </w:rPr>
      </w:pPr>
      <w:bookmarkStart w:id="90" w:name="_Toc351203492"/>
      <w:r>
        <w:rPr>
          <w:rFonts w:ascii="Times New Roman" w:hAnsi="Times New Roman" w:eastAsia="黑体"/>
          <w:b w:val="0"/>
          <w:sz w:val="24"/>
          <w:szCs w:val="24"/>
        </w:rPr>
        <w:t>十二、合同生效</w:t>
      </w:r>
      <w:bookmarkEnd w:id="90"/>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本合同自生效。</w:t>
      </w:r>
    </w:p>
    <w:p>
      <w:pPr>
        <w:pStyle w:val="9"/>
        <w:spacing w:line="480" w:lineRule="exact"/>
        <w:rPr>
          <w:rFonts w:ascii="Times New Roman" w:hAnsi="Times New Roman" w:eastAsia="黑体"/>
          <w:bCs w:val="0"/>
          <w:sz w:val="24"/>
          <w:szCs w:val="24"/>
        </w:rPr>
      </w:pPr>
      <w:bookmarkStart w:id="91" w:name="_Toc351203493"/>
      <w:r>
        <w:rPr>
          <w:rFonts w:ascii="Times New Roman" w:hAnsi="Times New Roman" w:eastAsia="黑体"/>
          <w:b w:val="0"/>
          <w:sz w:val="24"/>
          <w:szCs w:val="24"/>
        </w:rPr>
        <w:t>十三、合同份数</w:t>
      </w:r>
      <w:bookmarkEnd w:id="91"/>
    </w:p>
    <w:p>
      <w:pPr>
        <w:spacing w:line="480" w:lineRule="exact"/>
        <w:ind w:firstLine="480" w:firstLineChars="200"/>
        <w:rPr>
          <w:rFonts w:ascii="Times New Roman" w:eastAsia="仿宋_GB2312"/>
          <w:sz w:val="24"/>
          <w:szCs w:val="24"/>
        </w:rPr>
      </w:pPr>
      <w:r>
        <w:rPr>
          <w:rFonts w:ascii="Times New Roman" w:eastAsia="仿宋_GB2312"/>
          <w:bCs/>
          <w:sz w:val="24"/>
          <w:szCs w:val="24"/>
        </w:rPr>
        <w:t>本合同一式份，均具有同等法律效力，发包人执份，承包人执份。</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w:t>
      </w:r>
      <w:r>
        <w:rPr>
          <w:rFonts w:hint="eastAsia" w:ascii="Times New Roman" w:eastAsia="仿宋_GB2312"/>
          <w:sz w:val="24"/>
          <w:szCs w:val="24"/>
        </w:rPr>
        <w:t>：</w:t>
      </w:r>
      <w:r>
        <w:rPr>
          <w:rFonts w:ascii="Times New Roman" w:eastAsia="仿宋_GB2312"/>
          <w:sz w:val="24"/>
          <w:szCs w:val="24"/>
        </w:rPr>
        <w:t>(公章)承包人</w:t>
      </w:r>
      <w:r>
        <w:rPr>
          <w:rFonts w:hint="eastAsia" w:ascii="Times New Roman" w:eastAsia="仿宋_GB2312"/>
          <w:sz w:val="24"/>
          <w:szCs w:val="24"/>
        </w:rPr>
        <w:t>：</w:t>
      </w:r>
      <w:r>
        <w:rPr>
          <w:rFonts w:ascii="Times New Roman" w:eastAsia="仿宋_GB2312"/>
          <w:sz w:val="24"/>
          <w:szCs w:val="24"/>
        </w:rPr>
        <w:t>(公章)</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法定代表人或其委托代理人：法定代表人或其委托代理人：</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（签字）（签字）</w:t>
      </w:r>
    </w:p>
    <w:p>
      <w:pPr>
        <w:tabs>
          <w:tab w:val="left" w:pos="4410"/>
        </w:tabs>
        <w:spacing w:line="480" w:lineRule="exact"/>
        <w:ind w:firstLine="480" w:firstLineChars="200"/>
        <w:rPr>
          <w:rFonts w:ascii="Times New Roman" w:eastAsia="仿宋_GB2312"/>
          <w:sz w:val="24"/>
          <w:szCs w:val="24"/>
        </w:rPr>
      </w:pPr>
      <w:r>
        <w:rPr>
          <w:rFonts w:hint="eastAsia" w:ascii="Times New Roman" w:eastAsia="仿宋_GB2312"/>
          <w:sz w:val="24"/>
          <w:szCs w:val="24"/>
        </w:rPr>
        <w:t>组织机构代码：</w:t>
      </w:r>
      <w:r>
        <w:rPr>
          <w:rFonts w:ascii="Times New Roman" w:eastAsia="仿宋_GB2312"/>
          <w:sz w:val="24"/>
          <w:szCs w:val="24"/>
          <w:u w:val="single"/>
        </w:rPr>
        <w:t xml:space="preserve">      </w:t>
      </w:r>
      <w:r>
        <w:rPr>
          <w:rFonts w:hint="eastAsia" w:ascii="Times New Roman" w:eastAsia="仿宋_GB2312"/>
          <w:sz w:val="24"/>
          <w:szCs w:val="24"/>
        </w:rPr>
        <w:t>组织机构代码：</w:t>
      </w:r>
      <w:r>
        <w:rPr>
          <w:rFonts w:ascii="Times New Roman" w:eastAsia="仿宋_GB2312"/>
          <w:sz w:val="24"/>
          <w:szCs w:val="24"/>
          <w:u w:val="single"/>
        </w:rPr>
        <w:t xml:space="preserve">   </w:t>
      </w:r>
    </w:p>
    <w:p>
      <w:pPr>
        <w:spacing w:line="480" w:lineRule="exact"/>
        <w:ind w:firstLine="480" w:firstLineChars="20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pPr>
        <w:pStyle w:val="8"/>
        <w:jc w:val="center"/>
        <w:rPr>
          <w:rFonts w:hAnsi="宋体"/>
          <w:sz w:val="44"/>
          <w:szCs w:val="44"/>
        </w:rPr>
      </w:pPr>
      <w:r>
        <w:rPr>
          <w:rFonts w:eastAsia="仿宋_GB2312"/>
        </w:rPr>
        <w:br w:type="page"/>
      </w:r>
      <w:bookmarkStart w:id="92" w:name="_Toc351203494"/>
      <w:r>
        <w:rPr>
          <w:rFonts w:hAnsi="宋体"/>
          <w:sz w:val="44"/>
          <w:szCs w:val="44"/>
        </w:rPr>
        <w:t>第二部分 通用合同条款</w:t>
      </w:r>
      <w:bookmarkEnd w:id="92"/>
      <w:r>
        <w:rPr>
          <w:rFonts w:hint="eastAsia" w:hAnsi="宋体"/>
          <w:sz w:val="44"/>
          <w:szCs w:val="44"/>
        </w:rPr>
        <w:t>（略）</w:t>
      </w: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8"/>
        <w:ind w:firstLine="2640" w:firstLineChars="600"/>
        <w:rPr>
          <w:rFonts w:ascii="华文中宋" w:hAnsi="华文中宋" w:eastAsia="华文中宋"/>
          <w:sz w:val="44"/>
          <w:szCs w:val="44"/>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pStyle w:val="8"/>
        <w:ind w:firstLine="2640" w:firstLineChars="600"/>
        <w:rPr>
          <w:rFonts w:hAnsi="宋体"/>
          <w:sz w:val="44"/>
          <w:szCs w:val="44"/>
        </w:rPr>
      </w:pPr>
      <w:r>
        <w:rPr>
          <w:rFonts w:hAnsi="宋体"/>
          <w:sz w:val="44"/>
          <w:szCs w:val="44"/>
        </w:rPr>
        <w:t xml:space="preserve">第三部分 </w:t>
      </w:r>
      <w:r>
        <w:rPr>
          <w:rFonts w:hint="eastAsia" w:hAnsi="宋体"/>
          <w:sz w:val="44"/>
          <w:szCs w:val="44"/>
        </w:rPr>
        <w:t>专用合同条款</w:t>
      </w:r>
    </w:p>
    <w:p>
      <w:pPr>
        <w:pStyle w:val="9"/>
        <w:spacing w:line="480" w:lineRule="exact"/>
        <w:rPr>
          <w:rFonts w:ascii="Times New Roman" w:hAnsi="Times New Roman" w:eastAsia="黑体"/>
          <w:b w:val="0"/>
          <w:sz w:val="24"/>
          <w:szCs w:val="24"/>
        </w:rPr>
      </w:pPr>
      <w:bookmarkStart w:id="93" w:name="_Toc351203633"/>
      <w:r>
        <w:rPr>
          <w:rFonts w:ascii="Times New Roman" w:hAnsi="Times New Roman" w:eastAsia="黑体"/>
          <w:b w:val="0"/>
          <w:sz w:val="24"/>
          <w:szCs w:val="24"/>
        </w:rPr>
        <w:t>1</w:t>
      </w:r>
      <w:bookmarkStart w:id="94" w:name="_Toc292559361"/>
      <w:bookmarkStart w:id="95" w:name="_Toc297120456"/>
      <w:bookmarkStart w:id="96" w:name="_Toc296347155"/>
      <w:bookmarkStart w:id="97" w:name="_Toc296346657"/>
      <w:bookmarkStart w:id="98" w:name="_Toc292559866"/>
      <w:bookmarkStart w:id="99" w:name="_Toc296891196"/>
      <w:bookmarkStart w:id="100" w:name="_Toc296890984"/>
      <w:bookmarkStart w:id="101" w:name="_Toc297048342"/>
      <w:bookmarkStart w:id="102" w:name="_Toc296944495"/>
      <w:bookmarkStart w:id="103" w:name="_Toc296503156"/>
      <w:r>
        <w:rPr>
          <w:rFonts w:ascii="Times New Roman" w:hAnsi="Times New Roman" w:eastAsia="黑体"/>
          <w:b w:val="0"/>
          <w:sz w:val="24"/>
          <w:szCs w:val="24"/>
        </w:rPr>
        <w:t>. 一般约定</w:t>
      </w:r>
      <w:bookmarkEnd w:id="93"/>
    </w:p>
    <w:bookmarkEnd w:id="94"/>
    <w:bookmarkEnd w:id="95"/>
    <w:bookmarkEnd w:id="96"/>
    <w:bookmarkEnd w:id="97"/>
    <w:bookmarkEnd w:id="98"/>
    <w:bookmarkEnd w:id="99"/>
    <w:bookmarkEnd w:id="100"/>
    <w:bookmarkEnd w:id="101"/>
    <w:bookmarkEnd w:id="102"/>
    <w:bookmarkEnd w:id="103"/>
    <w:p>
      <w:pPr>
        <w:spacing w:line="480" w:lineRule="exact"/>
        <w:ind w:firstLine="480" w:firstLineChars="200"/>
        <w:outlineLvl w:val="0"/>
        <w:rPr>
          <w:rFonts w:ascii="Times New Roman" w:eastAsia="黑体"/>
          <w:sz w:val="24"/>
          <w:szCs w:val="24"/>
        </w:rPr>
      </w:pPr>
      <w:r>
        <w:rPr>
          <w:rFonts w:ascii="Times New Roman" w:eastAsia="黑体"/>
          <w:sz w:val="24"/>
          <w:szCs w:val="24"/>
        </w:rPr>
        <w:t>1.1 词语定义</w:t>
      </w:r>
    </w:p>
    <w:p>
      <w:pPr>
        <w:spacing w:line="480" w:lineRule="exact"/>
        <w:ind w:firstLine="480" w:firstLineChars="200"/>
        <w:rPr>
          <w:rFonts w:ascii="Times New Roman" w:eastAsia="仿宋_GB2312"/>
          <w:sz w:val="24"/>
          <w:szCs w:val="24"/>
        </w:rPr>
      </w:pPr>
      <w:r>
        <w:rPr>
          <w:rFonts w:ascii="Times New Roman" w:eastAsia="仿宋_GB2312"/>
          <w:sz w:val="24"/>
          <w:szCs w:val="24"/>
        </w:rPr>
        <w:t>1.1.1合同</w:t>
      </w:r>
    </w:p>
    <w:p>
      <w:pPr>
        <w:spacing w:line="480" w:lineRule="exact"/>
        <w:ind w:firstLine="480" w:firstLineChars="200"/>
        <w:rPr>
          <w:rFonts w:ascii="Times New Roman" w:eastAsia="仿宋_GB2312"/>
          <w:sz w:val="24"/>
          <w:szCs w:val="24"/>
        </w:rPr>
      </w:pPr>
      <w:r>
        <w:rPr>
          <w:rFonts w:ascii="Times New Roman" w:eastAsia="仿宋_GB2312"/>
          <w:sz w:val="24"/>
          <w:szCs w:val="24"/>
        </w:rPr>
        <w:t>1.1.1.10其他合同文件包括：</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 合同当事人及其他相关方</w:t>
      </w:r>
    </w:p>
    <w:p>
      <w:pPr>
        <w:spacing w:line="480" w:lineRule="exact"/>
        <w:ind w:firstLine="480" w:firstLineChars="200"/>
        <w:rPr>
          <w:rFonts w:ascii="Times New Roman" w:eastAsia="仿宋_GB2312"/>
          <w:sz w:val="24"/>
          <w:szCs w:val="24"/>
        </w:rPr>
      </w:pPr>
      <w:r>
        <w:rPr>
          <w:rFonts w:ascii="Times New Roman" w:eastAsia="仿宋_GB2312"/>
          <w:sz w:val="24"/>
          <w:szCs w:val="24"/>
        </w:rPr>
        <w:t>1.1.2.4监理人：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1.1.2.5 设计人：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1.1.3 工程和设备</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1.1.3.7 作为施工现场组成部分的其他场所包括：</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1.1.3.9 永久占地包括：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1.1.3.10 临时占地包括：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1.3法律</w:t>
      </w:r>
    </w:p>
    <w:p>
      <w:pPr>
        <w:autoSpaceDE w:val="0"/>
        <w:autoSpaceDN w:val="0"/>
        <w:adjustRightInd w:val="0"/>
        <w:spacing w:line="480" w:lineRule="exact"/>
        <w:ind w:left="965" w:leftChars="284"/>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 标准和规范</w:t>
      </w:r>
    </w:p>
    <w:p>
      <w:pPr>
        <w:spacing w:line="480" w:lineRule="exact"/>
        <w:ind w:firstLine="480" w:firstLineChars="200"/>
        <w:rPr>
          <w:rFonts w:ascii="Times New Roman" w:eastAsia="仿宋_GB2312"/>
          <w:sz w:val="24"/>
          <w:szCs w:val="24"/>
        </w:rPr>
      </w:pPr>
      <w:r>
        <w:rPr>
          <w:rFonts w:ascii="Times New Roman" w:eastAsia="仿宋_GB2312"/>
          <w:sz w:val="24"/>
          <w:szCs w:val="24"/>
        </w:rPr>
        <w:t>1.4.1适用于工程的标准规范包括：</w:t>
      </w:r>
      <w:r>
        <w:rPr>
          <w:rFonts w:ascii="Times New Roman" w:eastAsia="仿宋_GB2312"/>
          <w:sz w:val="24"/>
          <w:szCs w:val="24"/>
          <w:u w:val="single"/>
        </w:rPr>
        <w:t></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1.4.2 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发包人提供国外标准、规范的份数：；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1.4.3发包人对工程的技术标准和功能要求的特殊要求：</w:t>
      </w:r>
    </w:p>
    <w:p>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pPr>
        <w:spacing w:after="120" w:line="480" w:lineRule="exact"/>
        <w:ind w:firstLine="480" w:firstLineChars="200"/>
        <w:outlineLvl w:val="0"/>
        <w:rPr>
          <w:rFonts w:ascii="Times New Roman" w:eastAsia="黑体"/>
          <w:sz w:val="24"/>
          <w:szCs w:val="24"/>
        </w:rPr>
      </w:pPr>
      <w:r>
        <w:rPr>
          <w:rFonts w:ascii="Times New Roman" w:eastAsia="黑体"/>
          <w:sz w:val="24"/>
          <w:szCs w:val="24"/>
        </w:rPr>
        <w:t>1.5 合同文件的优先顺序</w:t>
      </w:r>
    </w:p>
    <w:p>
      <w:pPr>
        <w:spacing w:line="480" w:lineRule="exact"/>
        <w:ind w:firstLine="480" w:firstLineChars="20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1.6 图纸和承包人文件</w:t>
      </w:r>
      <w:r>
        <w:rPr>
          <w:rFonts w:ascii="Times New Roman" w:eastAsia="黑体"/>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1.6.1 图纸的提供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1.6.4 承包人文件</w:t>
      </w:r>
    </w:p>
    <w:p>
      <w:pPr>
        <w:spacing w:line="480" w:lineRule="exact"/>
        <w:ind w:left="965" w:leftChars="284"/>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pPr>
        <w:spacing w:line="480" w:lineRule="exact"/>
        <w:ind w:left="965" w:leftChars="284"/>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1.6.5 现场图纸准备</w:t>
      </w:r>
    </w:p>
    <w:p>
      <w:pPr>
        <w:spacing w:line="480" w:lineRule="exact"/>
        <w:ind w:firstLine="480" w:firstLineChars="20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1.7 联络</w:t>
      </w:r>
    </w:p>
    <w:p>
      <w:pPr>
        <w:spacing w:line="480" w:lineRule="exact"/>
        <w:ind w:firstLine="480" w:firstLineChars="200"/>
        <w:rPr>
          <w:rFonts w:ascii="Times New Roman" w:eastAsia="仿宋_GB2312"/>
          <w:sz w:val="24"/>
          <w:szCs w:val="24"/>
        </w:rPr>
      </w:pPr>
      <w:r>
        <w:rPr>
          <w:rFonts w:ascii="Times New Roman" w:eastAsia="仿宋_GB2312"/>
          <w:sz w:val="24"/>
          <w:szCs w:val="24"/>
        </w:rPr>
        <w:t>1.7.1发包人和承包人应当在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hint="eastAsia"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1.7.2 发包人接收文件的地点：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4" w:name="_Toc304295521"/>
      <w:bookmarkStart w:id="105" w:name="_Toc318581155"/>
      <w:bookmarkStart w:id="106" w:name="_Toc300934943"/>
      <w:bookmarkStart w:id="107" w:name="_Toc303539100"/>
      <w:bookmarkStart w:id="108" w:name="_Toc312677986"/>
      <w:r>
        <w:rPr>
          <w:rFonts w:ascii="Times New Roman" w:eastAsia="仿宋_GB2312"/>
          <w:sz w:val="24"/>
          <w:szCs w:val="24"/>
        </w:rPr>
        <w:t>.10.1 出入现场的权利</w:t>
      </w:r>
    </w:p>
    <w:p>
      <w:pPr>
        <w:spacing w:line="480" w:lineRule="exact"/>
        <w:ind w:left="965" w:leftChars="284"/>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4"/>
    <w:bookmarkEnd w:id="105"/>
    <w:bookmarkEnd w:id="106"/>
    <w:bookmarkEnd w:id="107"/>
    <w:bookmarkEnd w:id="108"/>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9" w:name="_Toc312677987"/>
      <w:bookmarkStart w:id="110" w:name="_Toc304295522"/>
      <w:bookmarkStart w:id="111" w:name="_Toc300934944"/>
      <w:bookmarkStart w:id="112" w:name="_Toc318581156"/>
      <w:bookmarkStart w:id="113" w:name="_Toc303539101"/>
      <w:r>
        <w:rPr>
          <w:rFonts w:ascii="Times New Roman" w:eastAsia="仿宋_GB2312"/>
          <w:sz w:val="24"/>
          <w:szCs w:val="24"/>
        </w:rPr>
        <w:t>.10.3 场内交通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End w:id="109"/>
      <w:bookmarkEnd w:id="110"/>
      <w:bookmarkEnd w:id="111"/>
      <w:bookmarkEnd w:id="112"/>
      <w:bookmarkEnd w:id="113"/>
      <w:bookmarkStart w:id="114"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4"/>
    <w:p>
      <w:pPr>
        <w:spacing w:line="480" w:lineRule="exact"/>
        <w:ind w:firstLine="480" w:firstLineChars="200"/>
        <w:outlineLvl w:val="0"/>
        <w:rPr>
          <w:rFonts w:ascii="Times New Roman" w:eastAsia="黑体"/>
          <w:sz w:val="24"/>
          <w:szCs w:val="24"/>
        </w:rPr>
      </w:pPr>
      <w:r>
        <w:rPr>
          <w:rFonts w:ascii="Times New Roman" w:eastAsia="黑体"/>
          <w:sz w:val="24"/>
          <w:szCs w:val="24"/>
        </w:rPr>
        <w:t>1.11 知识产权</w:t>
      </w:r>
    </w:p>
    <w:p>
      <w:pPr>
        <w:spacing w:line="480" w:lineRule="exact"/>
        <w:ind w:firstLine="480" w:firstLineChars="200"/>
        <w:rPr>
          <w:rFonts w:ascii="Times New Roman" w:eastAsia="仿宋_GB2312"/>
          <w:sz w:val="24"/>
          <w:szCs w:val="24"/>
        </w:rPr>
      </w:pPr>
      <w:r>
        <w:rPr>
          <w:rFonts w:ascii="Times New Roman" w:eastAsia="仿宋_GB2312"/>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pPr>
        <w:spacing w:line="480" w:lineRule="exact"/>
        <w:ind w:left="965" w:leftChars="284"/>
        <w:rPr>
          <w:rFonts w:ascii="Times New Roman" w:eastAsia="仿宋_GB2312"/>
          <w:sz w:val="24"/>
          <w:szCs w:val="24"/>
        </w:rPr>
      </w:pPr>
      <w:r>
        <w:rPr>
          <w:rFonts w:ascii="Times New Roman" w:eastAsia="仿宋_GB2312"/>
          <w:sz w:val="24"/>
          <w:szCs w:val="24"/>
        </w:rPr>
        <w:t>关于发包人提供的上述文件的使用限制的要求：</w:t>
      </w:r>
    </w:p>
    <w:p>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1.11.2 关于承包人为实施工程所编制文件的著作权的归属：</w:t>
      </w:r>
    </w:p>
    <w:p>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1.11.4 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1.13工程量清单错误的修正</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115" w:name="_Toc351203634"/>
      <w:r>
        <w:rPr>
          <w:rFonts w:ascii="Times New Roman" w:hAnsi="Times New Roman" w:eastAsia="黑体"/>
          <w:b w:val="0"/>
          <w:sz w:val="24"/>
          <w:szCs w:val="24"/>
        </w:rPr>
        <w:t>2</w:t>
      </w:r>
      <w:bookmarkStart w:id="116" w:name="_Toc296891197"/>
      <w:bookmarkStart w:id="117" w:name="_Toc296503157"/>
      <w:bookmarkStart w:id="118" w:name="_Toc296944496"/>
      <w:bookmarkStart w:id="119" w:name="_Toc296890985"/>
      <w:bookmarkStart w:id="120" w:name="_Toc297048343"/>
      <w:bookmarkStart w:id="121" w:name="_Toc297120457"/>
      <w:bookmarkStart w:id="122" w:name="_Toc296346658"/>
      <w:bookmarkStart w:id="123" w:name="_Toc292559867"/>
      <w:bookmarkStart w:id="124" w:name="_Toc292559362"/>
      <w:bookmarkStart w:id="125" w:name="_Toc296347156"/>
      <w:r>
        <w:rPr>
          <w:rFonts w:ascii="Times New Roman" w:hAnsi="Times New Roman" w:eastAsia="黑体"/>
          <w:b w:val="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spacing w:line="480" w:lineRule="exact"/>
        <w:ind w:firstLine="480" w:firstLineChars="200"/>
        <w:outlineLvl w:val="0"/>
        <w:rPr>
          <w:rFonts w:ascii="Times New Roman" w:eastAsia="黑体"/>
          <w:sz w:val="24"/>
          <w:szCs w:val="24"/>
        </w:rPr>
      </w:pPr>
      <w:r>
        <w:rPr>
          <w:rFonts w:ascii="Times New Roman" w:eastAsia="黑体"/>
          <w:sz w:val="24"/>
          <w:szCs w:val="24"/>
        </w:rPr>
        <w:t>2.2 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2.4 施工现场、施工条件和基础资料的提供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2.4.1 提供施工现场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2.4.2 提供施工条件</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关于发包人应负责提供施工</w:t>
      </w:r>
      <w:r>
        <w:rPr>
          <w:rFonts w:hint="eastAsia" w:ascii="Times New Roman" w:eastAsia="仿宋_GB2312"/>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2.5 资金来源证明及支付担保</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126" w:name="_Toc351203635"/>
      <w:r>
        <w:rPr>
          <w:rFonts w:ascii="Times New Roman" w:hAnsi="Times New Roman" w:eastAsia="黑体"/>
          <w:b w:val="0"/>
          <w:sz w:val="24"/>
          <w:szCs w:val="24"/>
        </w:rPr>
        <w:t>3</w:t>
      </w:r>
      <w:bookmarkStart w:id="127" w:name="_Toc297048344"/>
      <w:bookmarkStart w:id="128" w:name="_Toc296944497"/>
      <w:bookmarkStart w:id="129" w:name="_Toc296346659"/>
      <w:bookmarkStart w:id="130" w:name="_Toc296891198"/>
      <w:bookmarkStart w:id="131" w:name="_Toc296503158"/>
      <w:bookmarkStart w:id="132" w:name="_Toc296347157"/>
      <w:bookmarkStart w:id="133" w:name="_Toc297120458"/>
      <w:bookmarkStart w:id="134" w:name="_Toc292559363"/>
      <w:bookmarkStart w:id="135" w:name="_Toc292559868"/>
      <w:bookmarkStart w:id="136" w:name="_Toc296890986"/>
      <w:r>
        <w:rPr>
          <w:rFonts w:ascii="Times New Roman" w:hAnsi="Times New Roman" w:eastAsia="黑体"/>
          <w:b w:val="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spacing w:line="480" w:lineRule="exact"/>
        <w:ind w:firstLine="480" w:firstLineChars="200"/>
        <w:rPr>
          <w:rFonts w:ascii="Times New Roman" w:eastAsia="黑体"/>
          <w:sz w:val="24"/>
          <w:szCs w:val="24"/>
        </w:rPr>
      </w:pPr>
      <w:r>
        <w:rPr>
          <w:rFonts w:ascii="Times New Roman" w:eastAsia="黑体"/>
          <w:sz w:val="24"/>
          <w:szCs w:val="24"/>
        </w:rPr>
        <w:t>3.1 承包人的一般义务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9</w:t>
      </w:r>
      <w:r>
        <w:rPr>
          <w:rFonts w:ascii="Times New Roman" w:eastAsia="仿宋_GB2312"/>
          <w:sz w:val="24"/>
          <w:szCs w:val="24"/>
        </w:rPr>
        <w:t>）承包人提交的竣工资料的内容：。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承包人需要提交的竣工资料套数：。</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承包人提交的竣工资料的费用承担：。</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承包人提交的竣工资料移交时间：。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承包人提交的竣工资料形式要求：。</w:t>
      </w:r>
    </w:p>
    <w:p>
      <w:pPr>
        <w:spacing w:line="480" w:lineRule="exact"/>
        <w:ind w:firstLine="480" w:firstLineChars="200"/>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 xml:space="preserve">3.2 </w:t>
      </w:r>
      <w:r>
        <w:rPr>
          <w:rFonts w:hint="eastAsia" w:ascii="Times New Roman" w:eastAsia="黑体"/>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 xml:space="preserve">3.2.1 </w:t>
      </w:r>
      <w:r>
        <w:rPr>
          <w:rFonts w:hint="eastAsia" w:ascii="Times New Roman" w:eastAsia="仿宋_GB2312"/>
          <w:sz w:val="24"/>
          <w:szCs w:val="24"/>
        </w:rPr>
        <w:t>项目负责人</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承包人对</w:t>
      </w:r>
      <w:r>
        <w:rPr>
          <w:rFonts w:hint="eastAsia" w:ascii="Times New Roman" w:eastAsia="仿宋_GB2312"/>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w:t>
      </w:r>
      <w:r>
        <w:rPr>
          <w:rFonts w:hint="eastAsia" w:ascii="Times New Roman" w:eastAsia="仿宋_GB2312"/>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承包人未提交劳动合同，以及没有为</w:t>
      </w:r>
      <w:r>
        <w:rPr>
          <w:rFonts w:hint="eastAsia" w:ascii="Times New Roman" w:eastAsia="仿宋_GB2312"/>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3.2.3 承包人擅自更换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pPr>
        <w:spacing w:line="480" w:lineRule="exact"/>
        <w:outlineLvl w:val="0"/>
        <w:rPr>
          <w:rFonts w:ascii="Times New Roman" w:eastAsia="仿宋_GB2312"/>
          <w:sz w:val="24"/>
          <w:szCs w:val="24"/>
        </w:rPr>
      </w:pPr>
      <w:r>
        <w:rPr>
          <w:rFonts w:ascii="Times New Roman" w:eastAsia="仿宋_GB2312"/>
          <w:sz w:val="24"/>
          <w:szCs w:val="24"/>
        </w:rPr>
        <w:t xml:space="preserve">    3.2.4 承包人无正当理由拒绝更换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pPr>
        <w:spacing w:after="120" w:line="480" w:lineRule="exact"/>
        <w:ind w:firstLine="480" w:firstLineChars="200"/>
        <w:rPr>
          <w:rFonts w:ascii="Times New Roman" w:eastAsia="黑体"/>
          <w:sz w:val="24"/>
          <w:szCs w:val="24"/>
        </w:rPr>
      </w:pPr>
      <w:r>
        <w:rPr>
          <w:rFonts w:ascii="Times New Roman" w:eastAsia="黑体"/>
          <w:sz w:val="24"/>
          <w:szCs w:val="24"/>
        </w:rPr>
        <w:t>3.3 承包人人员</w:t>
      </w:r>
    </w:p>
    <w:p>
      <w:pPr>
        <w:spacing w:line="480" w:lineRule="exact"/>
        <w:ind w:firstLine="480" w:firstLineChars="200"/>
        <w:rPr>
          <w:rFonts w:ascii="Times New Roman" w:eastAsia="仿宋_GB2312"/>
          <w:sz w:val="24"/>
          <w:szCs w:val="24"/>
        </w:rPr>
      </w:pPr>
      <w:r>
        <w:rPr>
          <w:rFonts w:ascii="Times New Roman" w:eastAsia="仿宋_GB2312"/>
          <w:sz w:val="24"/>
          <w:szCs w:val="24"/>
        </w:rPr>
        <w:t>3.3.1 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3.3.3 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3.3.4 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3.3.5承包人擅自更换主要施工管理人员的违约责任：</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3</w:t>
      </w:r>
      <w:bookmarkStart w:id="137" w:name="_Toc296347158"/>
      <w:bookmarkStart w:id="138" w:name="_Toc297120459"/>
      <w:bookmarkStart w:id="139" w:name="_Toc292559364"/>
      <w:bookmarkStart w:id="140" w:name="_Toc296503159"/>
      <w:bookmarkStart w:id="141" w:name="_Toc296944498"/>
      <w:bookmarkStart w:id="142" w:name="_Toc292559869"/>
      <w:bookmarkStart w:id="143" w:name="_Toc312677988"/>
      <w:bookmarkStart w:id="144" w:name="_Toc297216151"/>
      <w:bookmarkStart w:id="145" w:name="_Toc297123492"/>
      <w:bookmarkStart w:id="146" w:name="_Toc296346660"/>
      <w:bookmarkStart w:id="147" w:name="_Toc296890987"/>
      <w:bookmarkStart w:id="148" w:name="_Toc296891199"/>
      <w:bookmarkStart w:id="149" w:name="_Toc303539102"/>
      <w:bookmarkStart w:id="150" w:name="_Toc297048345"/>
      <w:bookmarkStart w:id="151" w:name="_Toc304295523"/>
      <w:bookmarkStart w:id="152" w:name="_Toc300934945"/>
      <w:r>
        <w:rPr>
          <w:rFonts w:ascii="Times New Roman" w:eastAsia="黑体"/>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3" w:name="_Toc292559365"/>
      <w:bookmarkStart w:id="154" w:name="_Toc300934946"/>
      <w:bookmarkStart w:id="155" w:name="_Toc297048346"/>
      <w:bookmarkStart w:id="156" w:name="_Toc304295524"/>
      <w:bookmarkStart w:id="157" w:name="_Toc296890988"/>
      <w:bookmarkStart w:id="158" w:name="_Toc297123493"/>
      <w:bookmarkStart w:id="159" w:name="_Toc292559870"/>
      <w:bookmarkStart w:id="160" w:name="_Toc297120460"/>
      <w:bookmarkStart w:id="161" w:name="_Toc296891200"/>
      <w:bookmarkStart w:id="162" w:name="_Toc303539103"/>
      <w:bookmarkStart w:id="163" w:name="_Toc297216152"/>
      <w:bookmarkStart w:id="164" w:name="_Toc296944499"/>
      <w:bookmarkStart w:id="165" w:name="_Toc296347159"/>
      <w:bookmarkStart w:id="166" w:name="_Toc296346661"/>
      <w:bookmarkStart w:id="167" w:name="_Toc296503160"/>
      <w:bookmarkStart w:id="168" w:name="_Toc312677989"/>
      <w:bookmarkStart w:id="169"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300934947"/>
      <w:bookmarkStart w:id="171" w:name="_Toc297123494"/>
      <w:bookmarkStart w:id="172" w:name="_Toc303539104"/>
      <w:bookmarkStart w:id="173" w:name="_Toc296503161"/>
      <w:bookmarkStart w:id="174" w:name="_Toc296944500"/>
      <w:bookmarkStart w:id="175" w:name="_Toc297120461"/>
      <w:bookmarkStart w:id="176" w:name="_Toc304295525"/>
      <w:bookmarkStart w:id="177" w:name="_Toc297048347"/>
      <w:bookmarkStart w:id="178" w:name="_Toc296890989"/>
      <w:bookmarkStart w:id="179" w:name="_Toc297216153"/>
      <w:bookmarkStart w:id="180" w:name="_Toc296347160"/>
      <w:bookmarkStart w:id="181" w:name="_Toc296891201"/>
      <w:bookmarkStart w:id="182" w:name="_Toc296346662"/>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80" w:lineRule="exact"/>
        <w:rPr>
          <w:rFonts w:ascii="Times New Roman" w:eastAsia="仿宋_GB2312"/>
          <w:sz w:val="24"/>
          <w:szCs w:val="24"/>
        </w:rPr>
      </w:pPr>
      <w:r>
        <w:rPr>
          <w:rFonts w:ascii="Times New Roman" w:eastAsia="仿宋_GB2312"/>
          <w:sz w:val="24"/>
          <w:szCs w:val="24"/>
        </w:rPr>
        <w:t xml:space="preserve">    3</w:t>
      </w:r>
      <w:bookmarkStart w:id="183" w:name="_Toc312677990"/>
      <w:bookmarkStart w:id="184" w:name="_Toc318581159"/>
      <w:r>
        <w:rPr>
          <w:rFonts w:ascii="Times New Roman" w:eastAsia="仿宋_GB2312"/>
          <w:sz w:val="24"/>
          <w:szCs w:val="24"/>
        </w:rPr>
        <w:t>.5.2分包的确定</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3"/>
    <w:bookmarkEnd w:id="184"/>
    <w:p>
      <w:pPr>
        <w:spacing w:line="480" w:lineRule="exact"/>
        <w:ind w:firstLine="480" w:firstLineChars="200"/>
        <w:rPr>
          <w:rFonts w:ascii="Times New Roman" w:eastAsia="黑体"/>
          <w:sz w:val="24"/>
          <w:szCs w:val="24"/>
        </w:rPr>
      </w:pPr>
      <w:r>
        <w:rPr>
          <w:rFonts w:ascii="Times New Roman" w:eastAsia="黑体"/>
          <w:sz w:val="24"/>
          <w:szCs w:val="24"/>
        </w:rPr>
        <w:t>3.6 工程照管与成品、半成品保护</w:t>
      </w:r>
    </w:p>
    <w:p>
      <w:pPr>
        <w:spacing w:before="120" w:after="120" w:line="480" w:lineRule="exact"/>
        <w:ind w:firstLine="480" w:firstLineChars="20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pPr>
        <w:spacing w:line="480" w:lineRule="exact"/>
        <w:ind w:firstLine="480" w:firstLineChars="200"/>
        <w:rPr>
          <w:rFonts w:ascii="Times New Roman" w:eastAsia="黑体"/>
          <w:sz w:val="24"/>
          <w:szCs w:val="24"/>
        </w:rPr>
      </w:pPr>
      <w:r>
        <w:rPr>
          <w:rFonts w:ascii="Times New Roman" w:eastAsia="黑体"/>
          <w:sz w:val="24"/>
          <w:szCs w:val="24"/>
        </w:rPr>
        <w:t>3.7 履约担保</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承包人是否提供履约担保：</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承包人提供履约担保的形式</w:t>
      </w:r>
      <w:r>
        <w:rPr>
          <w:rFonts w:hint="eastAsia" w:ascii="Times New Roman" w:eastAsia="仿宋_GB2312"/>
          <w:sz w:val="24"/>
          <w:szCs w:val="24"/>
        </w:rPr>
        <w:t>、金额及期限的</w:t>
      </w:r>
      <w:r>
        <w:rPr>
          <w:rFonts w:ascii="Times New Roman" w:eastAsia="仿宋_GB2312"/>
          <w:sz w:val="24"/>
          <w:szCs w:val="24"/>
        </w:rPr>
        <w:t>：。</w:t>
      </w:r>
    </w:p>
    <w:p>
      <w:pPr>
        <w:pStyle w:val="9"/>
        <w:spacing w:line="480" w:lineRule="exact"/>
        <w:rPr>
          <w:rFonts w:ascii="Times New Roman" w:hAnsi="Times New Roman" w:eastAsia="黑体"/>
          <w:b w:val="0"/>
          <w:sz w:val="24"/>
          <w:szCs w:val="24"/>
        </w:rPr>
      </w:pPr>
      <w:bookmarkStart w:id="185" w:name="_Toc351203636"/>
      <w:r>
        <w:rPr>
          <w:rFonts w:ascii="Times New Roman" w:hAnsi="Times New Roman" w:eastAsia="黑体"/>
          <w:b w:val="0"/>
          <w:sz w:val="24"/>
          <w:szCs w:val="24"/>
        </w:rPr>
        <w:t>4</w:t>
      </w:r>
      <w:bookmarkStart w:id="186" w:name="_Toc296346663"/>
      <w:bookmarkStart w:id="187" w:name="_Toc292559871"/>
      <w:bookmarkStart w:id="188" w:name="_Toc296944501"/>
      <w:bookmarkStart w:id="189" w:name="_Toc296890990"/>
      <w:bookmarkStart w:id="190" w:name="_Toc297120462"/>
      <w:bookmarkStart w:id="191" w:name="_Toc296503162"/>
      <w:bookmarkStart w:id="192" w:name="_Toc267251413"/>
      <w:bookmarkStart w:id="193" w:name="_Toc296347161"/>
      <w:bookmarkStart w:id="194" w:name="_Toc296891202"/>
      <w:bookmarkStart w:id="195" w:name="_Toc292559366"/>
      <w:bookmarkStart w:id="196" w:name="_Toc297048348"/>
      <w:r>
        <w:rPr>
          <w:rFonts w:ascii="Times New Roman" w:hAnsi="Times New Roman" w:eastAsia="黑体"/>
          <w:b w:val="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sz w:val="24"/>
          <w:szCs w:val="24"/>
        </w:rPr>
        <w:t>理人</w:t>
      </w:r>
      <w:bookmarkEnd w:id="185"/>
    </w:p>
    <w:p>
      <w:pPr>
        <w:spacing w:line="480" w:lineRule="exact"/>
        <w:ind w:firstLine="480" w:firstLineChars="200"/>
        <w:rPr>
          <w:rFonts w:ascii="Times New Roman" w:eastAsia="黑体"/>
          <w:sz w:val="24"/>
          <w:szCs w:val="24"/>
        </w:rPr>
      </w:pPr>
      <w:r>
        <w:rPr>
          <w:rFonts w:ascii="Times New Roman" w:eastAsia="黑体"/>
          <w:sz w:val="24"/>
          <w:szCs w:val="24"/>
        </w:rPr>
        <w:t>4.1监理人的一般规定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关于监理人的监理权限：。</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pPr>
        <w:spacing w:line="480" w:lineRule="exact"/>
        <w:ind w:firstLine="480" w:firstLineChars="200"/>
        <w:rPr>
          <w:rFonts w:ascii="Times New Roman" w:eastAsia="黑体"/>
          <w:sz w:val="24"/>
          <w:szCs w:val="24"/>
        </w:rPr>
      </w:pPr>
      <w:r>
        <w:rPr>
          <w:rFonts w:ascii="Times New Roman" w:eastAsia="黑体"/>
          <w:sz w:val="24"/>
          <w:szCs w:val="24"/>
        </w:rPr>
        <w:t>4.2 监理人员</w:t>
      </w:r>
    </w:p>
    <w:p>
      <w:pPr>
        <w:spacing w:line="480" w:lineRule="exact"/>
        <w:ind w:firstLine="480" w:firstLineChars="200"/>
        <w:rPr>
          <w:rFonts w:ascii="Times New Roman" w:eastAsia="仿宋_GB2312"/>
          <w:sz w:val="24"/>
          <w:szCs w:val="24"/>
        </w:rPr>
      </w:pPr>
      <w:r>
        <w:rPr>
          <w:rFonts w:ascii="Times New Roman" w:eastAsia="仿宋_GB2312"/>
          <w:sz w:val="24"/>
          <w:szCs w:val="24"/>
        </w:rPr>
        <w:t>总监理工程师：</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4.4 商定或确定</w:t>
      </w:r>
    </w:p>
    <w:p>
      <w:pPr>
        <w:spacing w:line="480" w:lineRule="exact"/>
        <w:ind w:firstLine="480" w:firstLineChars="200"/>
        <w:rPr>
          <w:rFonts w:ascii="Times New Roman" w:eastAsia="仿宋_GB2312"/>
          <w:sz w:val="24"/>
          <w:szCs w:val="24"/>
        </w:rPr>
      </w:pPr>
      <w:bookmarkStart w:id="197" w:name="_Toc267251418"/>
      <w:r>
        <w:rPr>
          <w:rFonts w:ascii="Times New Roman" w:eastAsia="仿宋_GB2312"/>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pStyle w:val="9"/>
        <w:spacing w:line="480" w:lineRule="exact"/>
        <w:rPr>
          <w:rFonts w:ascii="Times New Roman" w:hAnsi="Times New Roman" w:eastAsia="黑体"/>
          <w:b w:val="0"/>
          <w:sz w:val="24"/>
          <w:szCs w:val="24"/>
        </w:rPr>
      </w:pPr>
      <w:bookmarkStart w:id="198" w:name="_Toc351203637"/>
      <w:r>
        <w:rPr>
          <w:rFonts w:ascii="Times New Roman" w:hAnsi="Times New Roman" w:eastAsia="黑体"/>
          <w:b w:val="0"/>
          <w:sz w:val="24"/>
          <w:szCs w:val="24"/>
        </w:rPr>
        <w:t>5</w:t>
      </w:r>
      <w:bookmarkEnd w:id="197"/>
      <w:bookmarkStart w:id="199" w:name="_Toc292559872"/>
      <w:bookmarkStart w:id="200" w:name="_Toc296944502"/>
      <w:bookmarkStart w:id="201" w:name="_Toc296891203"/>
      <w:bookmarkStart w:id="202" w:name="_Toc296503163"/>
      <w:bookmarkStart w:id="203" w:name="_Toc292559367"/>
      <w:bookmarkStart w:id="204" w:name="_Toc297120463"/>
      <w:bookmarkStart w:id="205" w:name="_Toc296890991"/>
      <w:bookmarkStart w:id="206" w:name="_Toc296346664"/>
      <w:bookmarkStart w:id="207" w:name="_Toc297048349"/>
      <w:bookmarkStart w:id="208" w:name="_Toc296347162"/>
      <w:r>
        <w:rPr>
          <w:rFonts w:ascii="Times New Roman" w:hAnsi="Times New Roman" w:eastAsia="黑体"/>
          <w:b w:val="0"/>
          <w:sz w:val="24"/>
          <w:szCs w:val="24"/>
        </w:rPr>
        <w:t>. 工程质量</w:t>
      </w:r>
      <w:bookmarkEnd w:id="198"/>
    </w:p>
    <w:p>
      <w:pPr>
        <w:spacing w:line="480" w:lineRule="exact"/>
        <w:ind w:firstLine="480" w:firstLineChars="200"/>
        <w:outlineLvl w:val="0"/>
        <w:rPr>
          <w:rFonts w:ascii="Times New Roman" w:eastAsia="黑体"/>
          <w:sz w:val="24"/>
          <w:szCs w:val="24"/>
        </w:rPr>
      </w:pPr>
      <w:r>
        <w:rPr>
          <w:rFonts w:ascii="Times New Roman" w:eastAsia="黑体"/>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9" w:name="_Toc297216155"/>
      <w:bookmarkStart w:id="210" w:name="_Toc297123496"/>
      <w:bookmarkStart w:id="211" w:name="_Toc304295527"/>
      <w:bookmarkStart w:id="212" w:name="_Toc312677997"/>
      <w:bookmarkStart w:id="213" w:name="_Toc300934949"/>
      <w:bookmarkStart w:id="214" w:name="_Toc318581164"/>
      <w:bookmarkStart w:id="215"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9"/>
        <w:spacing w:line="480" w:lineRule="exact"/>
        <w:rPr>
          <w:rFonts w:ascii="Times New Roman" w:hAnsi="Times New Roman" w:eastAsia="黑体"/>
          <w:b w:val="0"/>
          <w:sz w:val="24"/>
          <w:szCs w:val="24"/>
        </w:rPr>
      </w:pPr>
      <w:bookmarkStart w:id="216" w:name="_Toc351203638"/>
      <w:r>
        <w:rPr>
          <w:rFonts w:ascii="Times New Roman" w:hAnsi="Times New Roman" w:eastAsia="黑体"/>
          <w:b w:val="0"/>
          <w:sz w:val="24"/>
          <w:szCs w:val="24"/>
        </w:rPr>
        <w:t>6. 安全文明施工与环境保护</w:t>
      </w:r>
      <w:bookmarkEnd w:id="216"/>
    </w:p>
    <w:p>
      <w:pPr>
        <w:spacing w:line="480" w:lineRule="exact"/>
        <w:ind w:firstLine="480" w:firstLineChars="200"/>
        <w:rPr>
          <w:rFonts w:ascii="Times New Roman" w:eastAsia="黑体"/>
          <w:sz w:val="24"/>
          <w:szCs w:val="24"/>
        </w:rPr>
      </w:pPr>
      <w:r>
        <w:rPr>
          <w:rFonts w:ascii="Times New Roman" w:eastAsia="黑体"/>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6.1.1项目安全生产的达标目标及相应事项的约定：。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9"/>
    <w:bookmarkEnd w:id="210"/>
    <w:bookmarkEnd w:id="211"/>
    <w:bookmarkEnd w:id="212"/>
    <w:bookmarkEnd w:id="213"/>
    <w:bookmarkEnd w:id="214"/>
    <w:bookmarkEnd w:id="215"/>
    <w:p>
      <w:pPr>
        <w:pStyle w:val="9"/>
        <w:spacing w:line="480" w:lineRule="exact"/>
        <w:rPr>
          <w:rFonts w:ascii="Times New Roman" w:hAnsi="Times New Roman" w:eastAsia="黑体"/>
          <w:b w:val="0"/>
          <w:sz w:val="24"/>
          <w:szCs w:val="24"/>
        </w:rPr>
      </w:pPr>
      <w:bookmarkStart w:id="217" w:name="_Toc351203639"/>
      <w:r>
        <w:rPr>
          <w:rFonts w:ascii="Times New Roman" w:hAnsi="Times New Roman" w:eastAsia="黑体"/>
          <w:b w:val="0"/>
          <w:sz w:val="24"/>
          <w:szCs w:val="24"/>
        </w:rPr>
        <w:t>7. 工期和进度</w:t>
      </w:r>
      <w:bookmarkEnd w:id="217"/>
    </w:p>
    <w:p>
      <w:pPr>
        <w:spacing w:line="480" w:lineRule="exact"/>
        <w:ind w:firstLine="480" w:firstLineChars="200"/>
        <w:rPr>
          <w:rFonts w:ascii="Times New Roman" w:eastAsia="黑体"/>
          <w:sz w:val="24"/>
          <w:szCs w:val="24"/>
        </w:rPr>
      </w:pPr>
      <w:r>
        <w:rPr>
          <w:rFonts w:ascii="Times New Roman" w:eastAsia="黑体"/>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w:t>
      </w:r>
      <w:r>
        <w:rPr>
          <w:rFonts w:hint="eastAsia" w:ascii="Times New Roman" w:eastAsia="仿宋_GB2312"/>
          <w:sz w:val="24"/>
          <w:szCs w:val="24"/>
        </w:rPr>
        <w:t>1 合同当事人约定的</w:t>
      </w:r>
      <w:r>
        <w:rPr>
          <w:rFonts w:ascii="Times New Roman" w:eastAsia="仿宋_GB2312"/>
          <w:sz w:val="24"/>
          <w:szCs w:val="24"/>
        </w:rPr>
        <w:t>施工组织设计</w:t>
      </w:r>
      <w:r>
        <w:rPr>
          <w:rFonts w:hint="eastAsia" w:ascii="Times New Roman" w:eastAsia="仿宋_GB2312"/>
          <w:sz w:val="24"/>
          <w:szCs w:val="24"/>
        </w:rPr>
        <w:t>应包括的其他内容</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7.1.2施工组织设计的提交和修改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承包人提交详细施工组织设计的期限的约定：。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w:t>
      </w:r>
      <w:r>
        <w:rPr>
          <w:rFonts w:hint="eastAsia" w:ascii="Times New Roman" w:eastAsia="仿宋_GB2312"/>
          <w:sz w:val="24"/>
          <w:szCs w:val="24"/>
        </w:rPr>
        <w:t>详细的施工组织设计</w:t>
      </w:r>
      <w:r>
        <w:rPr>
          <w:rFonts w:ascii="Times New Roman" w:eastAsia="仿宋_GB2312"/>
          <w:sz w:val="24"/>
          <w:szCs w:val="24"/>
        </w:rPr>
        <w:t>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18" w:name="_Toc297123514"/>
      <w:bookmarkStart w:id="219" w:name="_Toc297216173"/>
      <w:bookmarkStart w:id="220" w:name="_Toc312678005"/>
      <w:bookmarkStart w:id="221" w:name="_Toc303539123"/>
      <w:bookmarkStart w:id="222" w:name="_Toc304295541"/>
      <w:bookmarkStart w:id="223" w:name="_Toc312677479"/>
      <w:bookmarkStart w:id="224" w:name="_Toc300934966"/>
      <w:r>
        <w:rPr>
          <w:rFonts w:ascii="Times New Roman" w:eastAsia="黑体"/>
          <w:sz w:val="24"/>
          <w:szCs w:val="24"/>
        </w:rPr>
        <w:t>.2 施工进度计划</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7.2.2 施工进度计划的修订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7.3 开工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关于承包人应完成的其他开工准备工作及期限：。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7.3.2开工通知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8"/>
    <w:bookmarkEnd w:id="219"/>
    <w:bookmarkEnd w:id="220"/>
    <w:bookmarkEnd w:id="221"/>
    <w:bookmarkEnd w:id="222"/>
    <w:bookmarkEnd w:id="223"/>
    <w:bookmarkEnd w:id="224"/>
    <w:p>
      <w:pPr>
        <w:spacing w:line="480" w:lineRule="exact"/>
        <w:ind w:firstLine="480" w:firstLineChars="200"/>
        <w:rPr>
          <w:rFonts w:ascii="Times New Roman" w:eastAsia="黑体"/>
          <w:sz w:val="24"/>
          <w:szCs w:val="24"/>
        </w:rPr>
      </w:pPr>
      <w:r>
        <w:rPr>
          <w:rFonts w:ascii="Times New Roman" w:eastAsia="黑体"/>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25" w:name="_Toc303539125"/>
      <w:bookmarkStart w:id="226" w:name="_Toc312678010"/>
      <w:bookmarkStart w:id="227" w:name="_Toc312677484"/>
      <w:bookmarkStart w:id="228" w:name="_Toc300934968"/>
      <w:bookmarkStart w:id="229" w:name="_Toc297216175"/>
      <w:bookmarkStart w:id="230" w:name="_Toc304295546"/>
      <w:bookmarkStart w:id="231" w:name="_Toc297123516"/>
      <w:r>
        <w:rPr>
          <w:rFonts w:ascii="Times New Roman" w:eastAsia="黑体"/>
          <w:sz w:val="24"/>
          <w:szCs w:val="24"/>
        </w:rPr>
        <w:t>.5 工期延误</w:t>
      </w:r>
    </w:p>
    <w:bookmarkEnd w:id="225"/>
    <w:bookmarkEnd w:id="226"/>
    <w:bookmarkEnd w:id="227"/>
    <w:bookmarkEnd w:id="228"/>
    <w:bookmarkEnd w:id="229"/>
    <w:bookmarkEnd w:id="230"/>
    <w:bookmarkEnd w:id="231"/>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2" w:name="_Toc312678012"/>
      <w:bookmarkStart w:id="233" w:name="_Toc312677486"/>
      <w:bookmarkStart w:id="234" w:name="_Toc318581169"/>
      <w:bookmarkStart w:id="235" w:name="_Toc300934970"/>
      <w:bookmarkStart w:id="236" w:name="_Toc297123518"/>
      <w:bookmarkStart w:id="237" w:name="_Toc304295548"/>
      <w:bookmarkStart w:id="238" w:name="_Toc303539127"/>
      <w:bookmarkStart w:id="239" w:name="_Toc297216177"/>
      <w:r>
        <w:rPr>
          <w:rFonts w:ascii="Times New Roman" w:eastAsia="仿宋_GB2312"/>
          <w:sz w:val="24"/>
          <w:szCs w:val="24"/>
        </w:rPr>
        <w:t>.5.2 因承包人原因导致工期延误</w:t>
      </w:r>
    </w:p>
    <w:bookmarkEnd w:id="232"/>
    <w:bookmarkEnd w:id="233"/>
    <w:bookmarkEnd w:id="234"/>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40" w:name="_Toc312677487"/>
      <w:bookmarkStart w:id="241" w:name="_Toc312678013"/>
      <w:bookmarkStart w:id="242" w:name="_Toc318581170"/>
      <w:r>
        <w:rPr>
          <w:rFonts w:ascii="Times New Roman" w:eastAsia="仿宋_GB2312"/>
          <w:sz w:val="24"/>
          <w:szCs w:val="24"/>
        </w:rPr>
        <w:t>承包人原因造成工期延误，逾期竣工违约金的计算方法为：。</w:t>
      </w:r>
      <w:bookmarkEnd w:id="235"/>
      <w:bookmarkEnd w:id="236"/>
      <w:bookmarkEnd w:id="237"/>
      <w:bookmarkEnd w:id="238"/>
      <w:bookmarkEnd w:id="239"/>
      <w:bookmarkEnd w:id="240"/>
      <w:bookmarkEnd w:id="241"/>
    </w:p>
    <w:bookmarkEnd w:id="24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3" w:name="_Toc318581171"/>
      <w:bookmarkStart w:id="244" w:name="_Toc312678014"/>
      <w:r>
        <w:rPr>
          <w:rFonts w:ascii="Times New Roman" w:eastAsia="仿宋_GB2312"/>
          <w:sz w:val="24"/>
          <w:szCs w:val="24"/>
        </w:rPr>
        <w:t>期竣工违约金的上限：。</w:t>
      </w:r>
    </w:p>
    <w:bookmarkEnd w:id="243"/>
    <w:bookmarkEnd w:id="244"/>
    <w:p>
      <w:pPr>
        <w:spacing w:line="480" w:lineRule="exact"/>
        <w:ind w:firstLine="480" w:firstLineChars="200"/>
        <w:rPr>
          <w:rFonts w:ascii="Times New Roman" w:eastAsia="黑体"/>
          <w:sz w:val="24"/>
          <w:szCs w:val="24"/>
        </w:rPr>
      </w:pPr>
      <w:r>
        <w:rPr>
          <w:rFonts w:ascii="Times New Roman" w:eastAsia="黑体"/>
          <w:sz w:val="24"/>
          <w:szCs w:val="24"/>
        </w:rPr>
        <w:t>7</w:t>
      </w:r>
      <w:bookmarkStart w:id="245" w:name="_Toc304295549"/>
      <w:bookmarkStart w:id="246" w:name="_Toc300934971"/>
      <w:bookmarkStart w:id="247" w:name="_Toc297216178"/>
      <w:bookmarkStart w:id="248" w:name="_Toc303539128"/>
      <w:bookmarkStart w:id="249" w:name="_Toc297123519"/>
      <w:bookmarkStart w:id="250" w:name="_Toc312678015"/>
      <w:r>
        <w:rPr>
          <w:rFonts w:ascii="Times New Roman" w:eastAsia="黑体"/>
          <w:sz w:val="24"/>
          <w:szCs w:val="24"/>
        </w:rPr>
        <w:t>.6 不</w:t>
      </w:r>
      <w:bookmarkEnd w:id="245"/>
      <w:bookmarkEnd w:id="246"/>
      <w:bookmarkEnd w:id="247"/>
      <w:bookmarkEnd w:id="248"/>
      <w:bookmarkEnd w:id="249"/>
      <w:bookmarkEnd w:id="250"/>
      <w:r>
        <w:rPr>
          <w:rFonts w:ascii="Times New Roman" w:eastAsia="黑体"/>
          <w:sz w:val="24"/>
          <w:szCs w:val="24"/>
        </w:rPr>
        <w:t>利物质条件</w:t>
      </w:r>
    </w:p>
    <w:p>
      <w:pPr>
        <w:spacing w:line="480" w:lineRule="exact"/>
        <w:ind w:firstLine="480" w:firstLineChars="200"/>
        <w:jc w:val="left"/>
        <w:rPr>
          <w:rFonts w:ascii="Times New Roman" w:eastAsia="仿宋_GB2312"/>
          <w:sz w:val="24"/>
          <w:szCs w:val="24"/>
        </w:rPr>
      </w:pPr>
      <w:bookmarkStart w:id="251" w:name="_Toc303539129"/>
      <w:bookmarkStart w:id="252" w:name="_Toc312678016"/>
      <w:bookmarkStart w:id="253" w:name="_Toc304295550"/>
      <w:bookmarkStart w:id="254" w:name="_Toc318581172"/>
      <w:bookmarkStart w:id="255" w:name="_Toc300934972"/>
      <w:bookmarkStart w:id="256" w:name="_Toc297216179"/>
      <w:bookmarkStart w:id="257" w:name="_Toc297123520"/>
      <w:r>
        <w:rPr>
          <w:rFonts w:ascii="Times New Roman" w:eastAsia="仿宋_GB2312"/>
          <w:sz w:val="24"/>
          <w:szCs w:val="24"/>
        </w:rPr>
        <w:t>不利物质条件的其他情形和有关约定：。</w:t>
      </w:r>
    </w:p>
    <w:bookmarkEnd w:id="251"/>
    <w:bookmarkEnd w:id="252"/>
    <w:bookmarkEnd w:id="253"/>
    <w:bookmarkEnd w:id="254"/>
    <w:bookmarkEnd w:id="255"/>
    <w:bookmarkEnd w:id="256"/>
    <w:bookmarkEnd w:id="257"/>
    <w:p>
      <w:pPr>
        <w:spacing w:line="480" w:lineRule="exact"/>
        <w:ind w:firstLine="480" w:firstLineChars="200"/>
        <w:rPr>
          <w:rFonts w:ascii="Times New Roman" w:eastAsia="黑体"/>
          <w:sz w:val="24"/>
          <w:szCs w:val="24"/>
        </w:rPr>
      </w:pPr>
      <w:r>
        <w:rPr>
          <w:rFonts w:ascii="Times New Roman" w:eastAsia="黑体"/>
          <w:sz w:val="24"/>
          <w:szCs w:val="24"/>
        </w:rPr>
        <w:t>7</w:t>
      </w:r>
      <w:bookmarkStart w:id="258" w:name="_Toc300934973"/>
      <w:bookmarkStart w:id="259" w:name="_Toc297216180"/>
      <w:bookmarkStart w:id="260" w:name="_Toc303539130"/>
      <w:bookmarkStart w:id="261" w:name="_Toc312678017"/>
      <w:bookmarkStart w:id="262" w:name="_Toc304295551"/>
      <w:bookmarkStart w:id="263" w:name="_Toc297123521"/>
      <w:r>
        <w:rPr>
          <w:rFonts w:ascii="Times New Roman" w:eastAsia="黑体"/>
          <w:sz w:val="24"/>
          <w:szCs w:val="24"/>
        </w:rPr>
        <w:t>.7异常恶劣的气候条件</w:t>
      </w:r>
    </w:p>
    <w:bookmarkEnd w:id="258"/>
    <w:bookmarkEnd w:id="259"/>
    <w:bookmarkEnd w:id="260"/>
    <w:bookmarkEnd w:id="261"/>
    <w:bookmarkEnd w:id="262"/>
    <w:bookmarkEnd w:id="263"/>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sz w:val="24"/>
          <w:szCs w:val="24"/>
        </w:rPr>
      </w:pPr>
      <w:r>
        <w:rPr>
          <w:rFonts w:ascii="Times New Roman" w:eastAsia="黑体"/>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9"/>
        <w:spacing w:line="480" w:lineRule="exact"/>
        <w:rPr>
          <w:rFonts w:ascii="Times New Roman" w:hAnsi="Times New Roman" w:eastAsia="黑体"/>
          <w:b w:val="0"/>
          <w:sz w:val="24"/>
          <w:szCs w:val="24"/>
        </w:rPr>
      </w:pPr>
      <w:bookmarkStart w:id="264" w:name="_Toc351203640"/>
      <w:r>
        <w:rPr>
          <w:rFonts w:ascii="Times New Roman" w:hAnsi="Times New Roman" w:eastAsia="黑体"/>
          <w:b w:val="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spacing w:line="480" w:lineRule="exact"/>
        <w:ind w:firstLine="480" w:firstLineChars="200"/>
        <w:rPr>
          <w:rFonts w:ascii="Times New Roman" w:eastAsia="黑体"/>
          <w:sz w:val="24"/>
          <w:szCs w:val="24"/>
        </w:rPr>
      </w:pPr>
      <w:r>
        <w:rPr>
          <w:rFonts w:ascii="Times New Roman" w:eastAsia="黑体"/>
          <w:sz w:val="24"/>
          <w:szCs w:val="24"/>
        </w:rPr>
        <w:t>8</w:t>
      </w:r>
      <w:bookmarkStart w:id="265" w:name="_Toc296347166"/>
      <w:bookmarkStart w:id="266" w:name="_Toc303539136"/>
      <w:bookmarkStart w:id="267" w:name="_Toc296890995"/>
      <w:bookmarkStart w:id="268" w:name="_Toc297216186"/>
      <w:bookmarkStart w:id="269" w:name="_Toc292559877"/>
      <w:bookmarkStart w:id="270" w:name="_Toc297048353"/>
      <w:bookmarkStart w:id="271" w:name="_Toc297123527"/>
      <w:bookmarkStart w:id="272" w:name="_Toc296944506"/>
      <w:bookmarkStart w:id="273" w:name="_Toc312677493"/>
      <w:bookmarkStart w:id="274" w:name="_Toc296891207"/>
      <w:bookmarkStart w:id="275" w:name="_Toc292559372"/>
      <w:bookmarkStart w:id="276" w:name="_Toc296503167"/>
      <w:bookmarkStart w:id="277" w:name="_Toc300934979"/>
      <w:bookmarkStart w:id="278" w:name="_Toc304295556"/>
      <w:bookmarkStart w:id="279" w:name="_Toc312678019"/>
      <w:bookmarkStart w:id="280" w:name="_Toc280868654"/>
      <w:bookmarkStart w:id="281" w:name="_Toc297120467"/>
      <w:bookmarkStart w:id="282" w:name="_Toc296346668"/>
      <w:bookmarkStart w:id="283" w:name="_Toc267251424"/>
      <w:bookmarkStart w:id="284" w:name="_Toc280868656"/>
      <w:bookmarkStart w:id="285" w:name="_Toc280868655"/>
      <w:r>
        <w:rPr>
          <w:rFonts w:ascii="Times New Roman" w:eastAsia="黑体"/>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6" w:name="_Toc292559878"/>
      <w:bookmarkStart w:id="287" w:name="_Toc292559373"/>
      <w:bookmarkStart w:id="288" w:name="_Toc297123528"/>
      <w:bookmarkStart w:id="289" w:name="_Toc296347167"/>
      <w:bookmarkStart w:id="290" w:name="_Toc296944507"/>
      <w:bookmarkStart w:id="291" w:name="_Toc303539137"/>
      <w:bookmarkStart w:id="292" w:name="_Toc296891208"/>
      <w:bookmarkStart w:id="293" w:name="_Toc296346669"/>
      <w:bookmarkStart w:id="294" w:name="_Toc304295557"/>
      <w:bookmarkStart w:id="295" w:name="_Toc312677494"/>
      <w:bookmarkStart w:id="296" w:name="_Toc312678020"/>
      <w:bookmarkStart w:id="297" w:name="_Toc297120468"/>
      <w:bookmarkStart w:id="298" w:name="_Toc300934980"/>
      <w:bookmarkStart w:id="299" w:name="_Toc296890996"/>
      <w:bookmarkStart w:id="300" w:name="_Toc297216187"/>
      <w:bookmarkStart w:id="301" w:name="_Toc296503168"/>
      <w:bookmarkStart w:id="302" w:name="_Toc297048354"/>
      <w:bookmarkStart w:id="303" w:name="_Toc318581173"/>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6"/>
      <w:bookmarkEnd w:id="287"/>
    </w:p>
    <w:p>
      <w:pPr>
        <w:spacing w:line="480" w:lineRule="exact"/>
        <w:ind w:firstLine="480" w:firstLineChars="200"/>
        <w:outlineLvl w:val="0"/>
        <w:rPr>
          <w:rFonts w:ascii="Times New Roman" w:eastAsia="黑体"/>
          <w:sz w:val="24"/>
          <w:szCs w:val="24"/>
        </w:rPr>
      </w:pPr>
      <w:r>
        <w:rPr>
          <w:rFonts w:ascii="Times New Roman" w:eastAsia="黑体"/>
          <w:sz w:val="24"/>
          <w:szCs w:val="24"/>
        </w:rPr>
        <w:t>8.6 样品</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hint="eastAsia" w:ascii="Times New Roman" w:eastAsia="仿宋_GB2312"/>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pPr>
        <w:spacing w:line="480" w:lineRule="exact"/>
        <w:ind w:firstLine="480" w:firstLineChars="200"/>
        <w:outlineLvl w:val="0"/>
        <w:rPr>
          <w:rFonts w:ascii="Times New Roman" w:eastAsia="黑体"/>
          <w:sz w:val="24"/>
          <w:szCs w:val="24"/>
        </w:rPr>
      </w:pPr>
      <w:r>
        <w:rPr>
          <w:rFonts w:ascii="Times New Roman" w:eastAsia="黑体"/>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9"/>
        <w:spacing w:line="480" w:lineRule="exact"/>
        <w:rPr>
          <w:rFonts w:ascii="Times New Roman" w:hAnsi="Times New Roman" w:eastAsia="黑体"/>
          <w:b w:val="0"/>
          <w:sz w:val="24"/>
          <w:szCs w:val="24"/>
        </w:rPr>
      </w:pPr>
      <w:bookmarkStart w:id="304" w:name="_Toc351203641"/>
      <w:r>
        <w:rPr>
          <w:rFonts w:ascii="Times New Roman" w:hAnsi="Times New Roman" w:eastAsia="黑体"/>
          <w:b w:val="0"/>
          <w:sz w:val="24"/>
          <w:szCs w:val="24"/>
        </w:rPr>
        <w:t>9</w:t>
      </w:r>
      <w:bookmarkEnd w:id="283"/>
      <w:bookmarkEnd w:id="284"/>
      <w:bookmarkEnd w:id="285"/>
      <w:bookmarkStart w:id="305" w:name="_Toc312677495"/>
      <w:bookmarkStart w:id="306" w:name="_Toc312678021"/>
      <w:bookmarkStart w:id="307" w:name="_Toc303539139"/>
      <w:bookmarkStart w:id="308" w:name="_Toc300934982"/>
      <w:bookmarkStart w:id="309" w:name="_Toc304295559"/>
      <w:bookmarkStart w:id="310" w:name="_Toc297123533"/>
      <w:bookmarkStart w:id="311" w:name="_Toc297216192"/>
      <w:bookmarkStart w:id="312" w:name="_Toc296944512"/>
      <w:bookmarkStart w:id="313" w:name="_Toc267251427"/>
      <w:bookmarkStart w:id="314" w:name="_Toc292559883"/>
      <w:bookmarkStart w:id="315" w:name="_Toc296503173"/>
      <w:bookmarkStart w:id="316" w:name="_Toc296891213"/>
      <w:bookmarkStart w:id="317" w:name="_Toc267251428"/>
      <w:bookmarkStart w:id="318" w:name="_Toc296891001"/>
      <w:bookmarkStart w:id="319" w:name="_Toc296346674"/>
      <w:bookmarkStart w:id="320" w:name="_Toc296347172"/>
      <w:bookmarkStart w:id="321" w:name="_Toc292559378"/>
      <w:bookmarkStart w:id="322" w:name="_Toc297120473"/>
      <w:bookmarkStart w:id="323" w:name="_Toc297048359"/>
      <w:r>
        <w:rPr>
          <w:rFonts w:ascii="Times New Roman" w:hAnsi="Times New Roman" w:eastAsia="黑体"/>
          <w:b w:val="0"/>
          <w:sz w:val="24"/>
          <w:szCs w:val="24"/>
        </w:rPr>
        <w:t>. 试验与检验</w:t>
      </w:r>
      <w:bookmarkEnd w:id="304"/>
    </w:p>
    <w:bookmarkEnd w:id="305"/>
    <w:bookmarkEnd w:id="306"/>
    <w:bookmarkEnd w:id="307"/>
    <w:bookmarkEnd w:id="308"/>
    <w:bookmarkEnd w:id="309"/>
    <w:bookmarkEnd w:id="310"/>
    <w:bookmarkEnd w:id="311"/>
    <w:p>
      <w:pPr>
        <w:spacing w:line="480" w:lineRule="exact"/>
        <w:ind w:firstLine="480" w:firstLineChars="200"/>
        <w:rPr>
          <w:rFonts w:ascii="Times New Roman" w:eastAsia="黑体"/>
          <w:sz w:val="24"/>
          <w:szCs w:val="24"/>
        </w:rPr>
      </w:pPr>
      <w:r>
        <w:rPr>
          <w:rFonts w:ascii="Times New Roman" w:eastAsia="黑体"/>
          <w:sz w:val="24"/>
          <w:szCs w:val="24"/>
        </w:rPr>
        <w:t>9</w:t>
      </w:r>
      <w:bookmarkStart w:id="324" w:name="_Toc297123534"/>
      <w:bookmarkStart w:id="325" w:name="_Toc297216193"/>
      <w:bookmarkStart w:id="326" w:name="_Toc300934983"/>
      <w:bookmarkStart w:id="327" w:name="_Toc312677496"/>
      <w:bookmarkStart w:id="328" w:name="_Toc312678022"/>
      <w:bookmarkStart w:id="329" w:name="_Toc304295560"/>
      <w:bookmarkStart w:id="330" w:name="_Toc303539140"/>
      <w:r>
        <w:rPr>
          <w:rFonts w:ascii="Times New Roman" w:eastAsia="黑体"/>
          <w:sz w:val="24"/>
          <w:szCs w:val="24"/>
        </w:rPr>
        <w:t>.1试验设备与试验人员</w:t>
      </w:r>
    </w:p>
    <w:bookmarkEnd w:id="324"/>
    <w:bookmarkEnd w:id="325"/>
    <w:bookmarkEnd w:id="326"/>
    <w:bookmarkEnd w:id="327"/>
    <w:bookmarkEnd w:id="328"/>
    <w:bookmarkEnd w:id="329"/>
    <w:bookmarkEnd w:id="330"/>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31" w:name="_Toc297123535"/>
      <w:bookmarkStart w:id="332" w:name="_Toc303539141"/>
      <w:bookmarkStart w:id="333" w:name="_Toc312677497"/>
      <w:bookmarkStart w:id="334" w:name="_Toc312678023"/>
      <w:bookmarkStart w:id="335" w:name="_Toc297216194"/>
      <w:bookmarkStart w:id="336" w:name="_Toc300934984"/>
      <w:bookmarkStart w:id="337" w:name="_Toc304295561"/>
      <w:bookmarkStart w:id="338"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300934985"/>
      <w:bookmarkStart w:id="340" w:name="_Toc304295562"/>
      <w:bookmarkStart w:id="341" w:name="_Toc312678024"/>
      <w:bookmarkStart w:id="342" w:name="_Toc297216195"/>
      <w:bookmarkStart w:id="343" w:name="_Toc303539142"/>
      <w:bookmarkStart w:id="344" w:name="_Toc312677498"/>
      <w:bookmarkStart w:id="345" w:name="_Toc297123536"/>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sz w:val="24"/>
          <w:szCs w:val="24"/>
        </w:rPr>
      </w:pPr>
      <w:r>
        <w:rPr>
          <w:rFonts w:ascii="Times New Roman" w:eastAsia="黑体"/>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8"/>
    <w:bookmarkEnd w:id="339"/>
    <w:bookmarkEnd w:id="340"/>
    <w:bookmarkEnd w:id="341"/>
    <w:bookmarkEnd w:id="342"/>
    <w:bookmarkEnd w:id="343"/>
    <w:bookmarkEnd w:id="344"/>
    <w:bookmarkEnd w:id="345"/>
    <w:p>
      <w:pPr>
        <w:pStyle w:val="9"/>
        <w:spacing w:line="480" w:lineRule="exact"/>
        <w:rPr>
          <w:rFonts w:ascii="Times New Roman" w:hAnsi="Times New Roman" w:eastAsia="黑体"/>
          <w:b w:val="0"/>
          <w:sz w:val="24"/>
          <w:szCs w:val="24"/>
        </w:rPr>
      </w:pPr>
      <w:bookmarkStart w:id="346" w:name="_Toc351203642"/>
      <w:r>
        <w:rPr>
          <w:rFonts w:ascii="Times New Roman" w:hAnsi="Times New Roman" w:eastAsia="黑体"/>
          <w:b w:val="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304295566"/>
      <w:bookmarkStart w:id="348" w:name="_Toc296503193"/>
      <w:bookmarkStart w:id="349" w:name="_Toc296347192"/>
      <w:bookmarkStart w:id="350" w:name="_Toc296346694"/>
      <w:bookmarkStart w:id="351" w:name="_Toc296891021"/>
      <w:bookmarkStart w:id="352" w:name="_Toc296944532"/>
      <w:bookmarkStart w:id="353" w:name="_Toc297120493"/>
      <w:bookmarkStart w:id="354" w:name="_Toc303539146"/>
      <w:bookmarkStart w:id="355" w:name="_Toc297048379"/>
      <w:bookmarkStart w:id="356" w:name="_Toc300934989"/>
      <w:bookmarkStart w:id="357" w:name="_Toc297123540"/>
      <w:bookmarkStart w:id="358" w:name="_Toc296891233"/>
      <w:bookmarkStart w:id="359" w:name="_Toc297216199"/>
      <w:bookmarkStart w:id="360" w:name="_Toc292559903"/>
      <w:bookmarkStart w:id="361" w:name="_Toc292559398"/>
      <w:bookmarkStart w:id="362" w:name="_Toc312677499"/>
      <w:bookmarkStart w:id="363" w:name="_Toc312678025"/>
      <w:bookmarkStart w:id="364" w:name="_Toc267251441"/>
      <w:bookmarkStart w:id="365" w:name="_Toc267251439"/>
      <w:bookmarkStart w:id="366" w:name="_Toc267251437"/>
      <w:bookmarkStart w:id="367" w:name="_Toc267251435"/>
      <w:bookmarkStart w:id="368" w:name="_Toc267251440"/>
      <w:bookmarkStart w:id="369" w:name="_Toc267251433"/>
      <w:bookmarkStart w:id="370" w:name="_Toc267251442"/>
      <w:r>
        <w:rPr>
          <w:rFonts w:ascii="Times New Roman" w:hAnsi="Times New Roman" w:eastAsia="黑体"/>
          <w:b w:val="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line="480" w:lineRule="exact"/>
        <w:ind w:firstLine="480" w:firstLineChars="200"/>
        <w:rPr>
          <w:rFonts w:ascii="Times New Roman" w:eastAsia="黑体"/>
          <w:sz w:val="24"/>
          <w:szCs w:val="24"/>
        </w:rPr>
      </w:pPr>
      <w:r>
        <w:rPr>
          <w:rFonts w:ascii="Times New Roman" w:eastAsia="黑体"/>
          <w:sz w:val="24"/>
          <w:szCs w:val="24"/>
        </w:rPr>
        <w:t>1</w:t>
      </w:r>
      <w:bookmarkStart w:id="371" w:name="_Toc303539147"/>
      <w:bookmarkStart w:id="372" w:name="_Toc297123541"/>
      <w:bookmarkStart w:id="373" w:name="_Toc297216200"/>
      <w:bookmarkStart w:id="374" w:name="_Toc297048380"/>
      <w:bookmarkStart w:id="375" w:name="_Toc296891022"/>
      <w:bookmarkStart w:id="376" w:name="_Toc292559904"/>
      <w:bookmarkStart w:id="377" w:name="_Toc296891234"/>
      <w:bookmarkStart w:id="378" w:name="_Toc300934990"/>
      <w:bookmarkStart w:id="379" w:name="_Toc296346695"/>
      <w:bookmarkStart w:id="380" w:name="_Toc296944533"/>
      <w:bookmarkStart w:id="381" w:name="_Toc297120494"/>
      <w:bookmarkStart w:id="382" w:name="_Toc292559399"/>
      <w:bookmarkStart w:id="383" w:name="_Toc304295567"/>
      <w:bookmarkStart w:id="384" w:name="_Toc296347193"/>
      <w:bookmarkStart w:id="385" w:name="_Toc296503194"/>
      <w:bookmarkStart w:id="386" w:name="_Toc312678026"/>
      <w:bookmarkStart w:id="387" w:name="_Toc312677500"/>
      <w:r>
        <w:rPr>
          <w:rFonts w:ascii="Times New Roman" w:eastAsia="黑体"/>
          <w:sz w:val="24"/>
          <w:szCs w:val="24"/>
        </w:rPr>
        <w:t>0.1变更的范围</w:t>
      </w:r>
    </w:p>
    <w:p>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关于变更估价的约定: 。</w:t>
      </w:r>
    </w:p>
    <w:p>
      <w:pPr>
        <w:spacing w:line="480" w:lineRule="exact"/>
        <w:ind w:firstLine="480" w:firstLineChars="200"/>
        <w:rPr>
          <w:rFonts w:ascii="Times New Roman" w:eastAsia="黑体"/>
          <w:sz w:val="24"/>
          <w:szCs w:val="24"/>
        </w:rPr>
      </w:pPr>
      <w:r>
        <w:rPr>
          <w:rFonts w:ascii="Times New Roman" w:eastAsia="黑体"/>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300934993"/>
      <w:bookmarkStart w:id="389" w:name="_Toc296346698"/>
      <w:bookmarkStart w:id="390" w:name="_Toc296891025"/>
      <w:bookmarkStart w:id="391" w:name="_Toc297048383"/>
      <w:bookmarkStart w:id="392" w:name="_Toc296503197"/>
      <w:bookmarkStart w:id="393" w:name="_Toc296347196"/>
      <w:bookmarkStart w:id="394" w:name="_Toc292559402"/>
      <w:bookmarkStart w:id="395" w:name="_Toc297216203"/>
      <w:bookmarkStart w:id="396" w:name="_Toc303539150"/>
      <w:bookmarkStart w:id="397" w:name="_Toc297120497"/>
      <w:bookmarkStart w:id="398" w:name="_Toc297123544"/>
      <w:bookmarkStart w:id="399" w:name="_Toc296891237"/>
      <w:bookmarkStart w:id="400" w:name="_Toc292559907"/>
      <w:bookmarkStart w:id="401" w:name="_Toc296944536"/>
      <w:bookmarkStart w:id="402" w:name="_Toc304295570"/>
      <w:bookmarkStart w:id="403" w:name="_Toc312677503"/>
      <w:bookmarkStart w:id="404" w:name="_Toc312678029"/>
      <w:r>
        <w:rPr>
          <w:rFonts w:ascii="Times New Roman" w:eastAsia="黑体"/>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6944542"/>
      <w:bookmarkStart w:id="406" w:name="_Toc296503203"/>
      <w:bookmarkStart w:id="407" w:name="_Toc297120503"/>
      <w:bookmarkStart w:id="408" w:name="_Toc297123545"/>
      <w:bookmarkStart w:id="409" w:name="_Toc297216204"/>
      <w:bookmarkStart w:id="410" w:name="_Toc296346704"/>
      <w:bookmarkStart w:id="411" w:name="_Toc292559408"/>
      <w:bookmarkStart w:id="412" w:name="_Toc297048389"/>
      <w:bookmarkStart w:id="413" w:name="_Toc296891243"/>
      <w:bookmarkStart w:id="414" w:name="_Toc292559913"/>
      <w:bookmarkStart w:id="415" w:name="_Toc296347202"/>
      <w:bookmarkStart w:id="416" w:name="_Toc300934994"/>
      <w:bookmarkStart w:id="417" w:name="_Toc303539151"/>
      <w:bookmarkStart w:id="418" w:name="_Toc296891031"/>
      <w:r>
        <w:rPr>
          <w:rFonts w:ascii="Times New Roman" w:eastAsia="黑体"/>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9" w:name="_Toc297048390"/>
      <w:bookmarkStart w:id="420" w:name="_Toc303539152"/>
      <w:bookmarkStart w:id="421" w:name="_Toc296347203"/>
      <w:bookmarkStart w:id="422" w:name="_Toc296891244"/>
      <w:bookmarkStart w:id="423" w:name="_Toc296944543"/>
      <w:bookmarkStart w:id="424" w:name="_Toc296503204"/>
      <w:bookmarkStart w:id="425" w:name="_Toc312678030"/>
      <w:bookmarkStart w:id="426" w:name="_Toc318581175"/>
      <w:bookmarkStart w:id="427" w:name="_Toc297123546"/>
      <w:bookmarkStart w:id="428" w:name="_Toc292559409"/>
      <w:bookmarkStart w:id="429" w:name="_Toc300934995"/>
      <w:bookmarkStart w:id="430" w:name="_Toc296891032"/>
      <w:bookmarkStart w:id="431" w:name="_Toc312677504"/>
      <w:bookmarkStart w:id="432" w:name="_Toc296346705"/>
      <w:bookmarkStart w:id="433" w:name="_Toc297216205"/>
      <w:bookmarkStart w:id="434" w:name="_Toc292559914"/>
      <w:bookmarkStart w:id="435" w:name="_Toc297120504"/>
      <w:bookmarkStart w:id="436" w:name="_Toc304295571"/>
      <w:r>
        <w:rPr>
          <w:rFonts w:ascii="Times New Roman" w:eastAsia="仿宋_GB2312"/>
          <w:sz w:val="24"/>
          <w:szCs w:val="24"/>
        </w:rPr>
        <w:t>包人提出的合理化建议降低了合同价格或者提高了工程经济效益的奖励的方法和金额为：。</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line="480" w:lineRule="exact"/>
        <w:ind w:firstLine="480" w:firstLineChars="200"/>
        <w:outlineLvl w:val="0"/>
        <w:rPr>
          <w:rFonts w:ascii="Times New Roman" w:eastAsia="黑体"/>
          <w:sz w:val="24"/>
          <w:szCs w:val="24"/>
        </w:rPr>
      </w:pPr>
      <w:r>
        <w:rPr>
          <w:rFonts w:ascii="Times New Roman" w:eastAsia="黑体"/>
          <w:sz w:val="24"/>
          <w:szCs w:val="24"/>
        </w:rPr>
        <w:t>1</w:t>
      </w:r>
      <w:bookmarkStart w:id="437" w:name="_Toc303539154"/>
      <w:bookmarkStart w:id="438" w:name="_Toc296891239"/>
      <w:bookmarkStart w:id="439" w:name="_Toc304295574"/>
      <w:bookmarkStart w:id="440" w:name="_Toc296944538"/>
      <w:bookmarkStart w:id="441" w:name="_Toc296891027"/>
      <w:bookmarkStart w:id="442" w:name="_Toc297216207"/>
      <w:bookmarkStart w:id="443" w:name="_Toc296346700"/>
      <w:bookmarkStart w:id="444" w:name="_Toc292559404"/>
      <w:bookmarkStart w:id="445" w:name="_Toc297123548"/>
      <w:bookmarkStart w:id="446" w:name="_Toc297048385"/>
      <w:bookmarkStart w:id="447" w:name="_Toc312678033"/>
      <w:bookmarkStart w:id="448" w:name="_Toc300934997"/>
      <w:bookmarkStart w:id="449" w:name="_Toc296503199"/>
      <w:bookmarkStart w:id="450" w:name="_Toc296347198"/>
      <w:bookmarkStart w:id="451" w:name="_Toc292559909"/>
      <w:bookmarkStart w:id="452" w:name="_Toc312677507"/>
      <w:bookmarkStart w:id="453" w:name="_Toc297120499"/>
      <w:r>
        <w:rPr>
          <w:rFonts w:ascii="Times New Roman" w:eastAsia="黑体"/>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4" w:name="_Toc312677508"/>
      <w:bookmarkStart w:id="455" w:name="_Toc318581176"/>
      <w:bookmarkStart w:id="456" w:name="_Toc312678034"/>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sz w:val="24"/>
          <w:szCs w:val="24"/>
        </w:rPr>
        <w:t>暂估价一览表</w:t>
      </w:r>
      <w:r>
        <w:rPr>
          <w:rFonts w:hint="eastAsia" w:ascii="Times New Roman" w:eastAsia="仿宋_GB2312"/>
          <w:sz w:val="24"/>
          <w:szCs w:val="24"/>
        </w:rPr>
        <w:t>》。</w:t>
      </w:r>
    </w:p>
    <w:bookmarkEnd w:id="454"/>
    <w:bookmarkEnd w:id="455"/>
    <w:bookmarkEnd w:id="456"/>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7" w:name="_Toc312677509"/>
      <w:bookmarkStart w:id="458" w:name="_Toc318581177"/>
      <w:bookmarkStart w:id="459" w:name="_Toc312678035"/>
      <w:r>
        <w:rPr>
          <w:rFonts w:ascii="Times New Roman" w:eastAsia="仿宋_GB2312"/>
          <w:sz w:val="24"/>
          <w:szCs w:val="24"/>
        </w:rPr>
        <w:t>0.7.1 依法必须招标的暂估价项目</w:t>
      </w:r>
    </w:p>
    <w:bookmarkEnd w:id="457"/>
    <w:bookmarkEnd w:id="458"/>
    <w:bookmarkEnd w:id="459"/>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sz w:val="24"/>
          <w:szCs w:val="24"/>
        </w:rPr>
      </w:pPr>
      <w:r>
        <w:rPr>
          <w:rFonts w:ascii="Times New Roman" w:eastAsia="黑体"/>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合同当事人关于暂列金额使用的约定：。</w:t>
      </w:r>
    </w:p>
    <w:p>
      <w:pPr>
        <w:pStyle w:val="9"/>
        <w:spacing w:line="480" w:lineRule="exact"/>
        <w:rPr>
          <w:rFonts w:ascii="Times New Roman" w:hAnsi="Times New Roman" w:eastAsia="黑体"/>
          <w:b w:val="0"/>
          <w:sz w:val="24"/>
          <w:szCs w:val="24"/>
        </w:rPr>
      </w:pPr>
      <w:bookmarkStart w:id="460" w:name="_Toc351203643"/>
      <w:r>
        <w:rPr>
          <w:rFonts w:ascii="Times New Roman" w:hAnsi="Times New Roman" w:eastAsia="黑体"/>
          <w:b w:val="0"/>
          <w:sz w:val="24"/>
          <w:szCs w:val="24"/>
        </w:rPr>
        <w:t>11. 价格调整</w:t>
      </w:r>
      <w:bookmarkEnd w:id="460"/>
    </w:p>
    <w:p>
      <w:pPr>
        <w:spacing w:line="480" w:lineRule="exact"/>
        <w:ind w:firstLine="480" w:firstLineChars="200"/>
        <w:rPr>
          <w:rFonts w:ascii="Times New Roman" w:eastAsia="黑体"/>
          <w:sz w:val="24"/>
          <w:szCs w:val="24"/>
        </w:rPr>
      </w:pPr>
      <w:bookmarkStart w:id="461" w:name="_Toc296347200"/>
      <w:bookmarkStart w:id="462" w:name="_Toc297216209"/>
      <w:bookmarkStart w:id="463" w:name="_Toc292559911"/>
      <w:bookmarkStart w:id="464" w:name="_Toc312678039"/>
      <w:bookmarkStart w:id="465" w:name="_Toc297048387"/>
      <w:bookmarkStart w:id="466" w:name="_Toc296503201"/>
      <w:bookmarkStart w:id="467" w:name="_Toc303539157"/>
      <w:bookmarkStart w:id="468" w:name="_Toc300935000"/>
      <w:bookmarkStart w:id="469" w:name="_Toc292559406"/>
      <w:bookmarkStart w:id="470" w:name="_Toc297123550"/>
      <w:bookmarkStart w:id="471" w:name="_Toc296944540"/>
      <w:bookmarkStart w:id="472" w:name="_Toc296891029"/>
      <w:bookmarkStart w:id="473" w:name="_Toc296891241"/>
      <w:bookmarkStart w:id="474" w:name="_Toc297120501"/>
      <w:bookmarkStart w:id="475" w:name="_Toc296346702"/>
      <w:bookmarkStart w:id="476" w:name="_Toc304295577"/>
      <w:r>
        <w:rPr>
          <w:rFonts w:ascii="Times New Roman" w:eastAsia="黑体"/>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80" w:lineRule="exact"/>
        <w:ind w:firstLine="480" w:firstLineChars="200"/>
        <w:jc w:val="left"/>
        <w:rPr>
          <w:rFonts w:ascii="Times New Roman" w:eastAsia="仿宋_GB2312"/>
          <w:sz w:val="24"/>
          <w:szCs w:val="24"/>
        </w:rPr>
      </w:pPr>
      <w:r>
        <w:rPr>
          <w:rFonts w:ascii="Times New Roman" w:eastAsia="仿宋_GB2312"/>
          <w:sz w:val="24"/>
          <w:szCs w:val="24"/>
        </w:rPr>
        <w:t>市场价格波动是否调整合同价格的约定：。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第1种方式：采用价格指数</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第2种方式：采用造价信息</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（2）关于基准价格的约定：。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专用合同条款</w:t>
      </w:r>
      <w:r>
        <w:rPr>
          <w:rFonts w:hint="eastAsia" w:hAnsi="宋体" w:cs="宋体"/>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sz w:val="24"/>
          <w:szCs w:val="24"/>
        </w:rPr>
      </w:pPr>
      <w:r>
        <w:rPr>
          <w:rFonts w:hint="eastAsia" w:hAnsi="宋体" w:cs="宋体"/>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sz w:val="24"/>
          <w:szCs w:val="24"/>
        </w:rPr>
      </w:pPr>
      <w:r>
        <w:rPr>
          <w:rFonts w:hint="eastAsia" w:hAnsi="宋体" w:cs="宋体"/>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sz w:val="24"/>
          <w:szCs w:val="24"/>
        </w:rPr>
      </w:pPr>
      <w:r>
        <w:rPr>
          <w:rFonts w:ascii="Times New Roman" w:eastAsia="仿宋_GB2312"/>
          <w:sz w:val="24"/>
          <w:szCs w:val="24"/>
        </w:rPr>
        <w:t>第3种方式：其他价格调整方式：。</w:t>
      </w:r>
    </w:p>
    <w:bookmarkEnd w:id="364"/>
    <w:bookmarkEnd w:id="365"/>
    <w:bookmarkEnd w:id="366"/>
    <w:bookmarkEnd w:id="367"/>
    <w:bookmarkEnd w:id="368"/>
    <w:bookmarkEnd w:id="369"/>
    <w:p>
      <w:pPr>
        <w:pStyle w:val="9"/>
        <w:spacing w:line="480" w:lineRule="exact"/>
        <w:rPr>
          <w:rFonts w:ascii="Times New Roman" w:hAnsi="Times New Roman" w:eastAsia="黑体"/>
          <w:b w:val="0"/>
          <w:sz w:val="24"/>
          <w:szCs w:val="24"/>
        </w:rPr>
      </w:pPr>
      <w:bookmarkStart w:id="477" w:name="_Toc296891033"/>
      <w:bookmarkStart w:id="478" w:name="_Toc297120505"/>
      <w:bookmarkStart w:id="479" w:name="_Toc296891245"/>
      <w:bookmarkStart w:id="480" w:name="_Toc296944544"/>
      <w:bookmarkStart w:id="481" w:name="_Toc297048391"/>
      <w:bookmarkStart w:id="482" w:name="_Toc296503205"/>
      <w:bookmarkStart w:id="483" w:name="_Toc296347204"/>
      <w:bookmarkStart w:id="484" w:name="_Toc292559915"/>
      <w:bookmarkStart w:id="485" w:name="_Toc292559410"/>
      <w:bookmarkStart w:id="486" w:name="_Toc296346706"/>
      <w:bookmarkStart w:id="487" w:name="_Toc351203644"/>
      <w:bookmarkStart w:id="488" w:name="_Toc297123552"/>
      <w:bookmarkStart w:id="489" w:name="_Toc312678040"/>
      <w:bookmarkStart w:id="490" w:name="_Toc304295579"/>
      <w:bookmarkStart w:id="491" w:name="_Toc297216211"/>
      <w:bookmarkStart w:id="492" w:name="_Toc300935002"/>
      <w:bookmarkStart w:id="493" w:name="_Toc303539159"/>
      <w:r>
        <w:rPr>
          <w:rFonts w:ascii="Times New Roman" w:hAnsi="Times New Roman" w:eastAsia="黑体"/>
          <w:b w:val="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sz w:val="24"/>
          <w:szCs w:val="24"/>
        </w:rPr>
        <w:t>合同价格、计量与支付</w:t>
      </w:r>
      <w:bookmarkEnd w:id="487"/>
    </w:p>
    <w:bookmarkEnd w:id="488"/>
    <w:bookmarkEnd w:id="489"/>
    <w:bookmarkEnd w:id="490"/>
    <w:bookmarkEnd w:id="491"/>
    <w:bookmarkEnd w:id="492"/>
    <w:bookmarkEnd w:id="493"/>
    <w:p>
      <w:pPr>
        <w:spacing w:line="480" w:lineRule="exact"/>
        <w:ind w:firstLine="480" w:firstLineChars="200"/>
        <w:rPr>
          <w:rFonts w:ascii="Times New Roman" w:eastAsia="黑体"/>
          <w:sz w:val="24"/>
          <w:szCs w:val="24"/>
        </w:rPr>
      </w:pPr>
      <w:bookmarkStart w:id="494" w:name="_Toc292559411"/>
      <w:bookmarkStart w:id="495" w:name="_Toc267251461"/>
      <w:bookmarkStart w:id="496" w:name="_Toc292559916"/>
      <w:bookmarkStart w:id="497" w:name="_Toc297120506"/>
      <w:bookmarkStart w:id="498" w:name="_Toc296891034"/>
      <w:bookmarkStart w:id="499" w:name="_Toc296944545"/>
      <w:bookmarkStart w:id="500" w:name="_Toc297048392"/>
      <w:bookmarkStart w:id="501" w:name="_Toc296346707"/>
      <w:bookmarkStart w:id="502" w:name="_Toc296347205"/>
      <w:bookmarkStart w:id="503" w:name="_Toc296503206"/>
      <w:bookmarkStart w:id="504" w:name="_Toc296891246"/>
      <w:bookmarkStart w:id="505" w:name="_Toc304295580"/>
      <w:bookmarkStart w:id="506" w:name="_Toc312678041"/>
      <w:bookmarkStart w:id="507" w:name="_Toc303539160"/>
      <w:bookmarkStart w:id="508" w:name="_Toc300935003"/>
      <w:bookmarkStart w:id="509" w:name="_Toc297123553"/>
      <w:bookmarkStart w:id="510" w:name="_Toc297216212"/>
      <w:r>
        <w:rPr>
          <w:rFonts w:ascii="Times New Roman" w:eastAsia="黑体"/>
          <w:sz w:val="24"/>
          <w:szCs w:val="24"/>
        </w:rPr>
        <w:t>12.1 合</w:t>
      </w:r>
      <w:bookmarkEnd w:id="494"/>
      <w:bookmarkEnd w:id="495"/>
      <w:bookmarkEnd w:id="496"/>
      <w:r>
        <w:rPr>
          <w:rFonts w:ascii="Times New Roman" w:eastAsia="黑体"/>
          <w:sz w:val="24"/>
          <w:szCs w:val="24"/>
        </w:rPr>
        <w:t>同价</w:t>
      </w:r>
      <w:bookmarkEnd w:id="497"/>
      <w:bookmarkEnd w:id="498"/>
      <w:bookmarkEnd w:id="499"/>
      <w:bookmarkEnd w:id="500"/>
      <w:bookmarkEnd w:id="501"/>
      <w:bookmarkEnd w:id="502"/>
      <w:bookmarkEnd w:id="503"/>
      <w:bookmarkEnd w:id="504"/>
      <w:r>
        <w:rPr>
          <w:rFonts w:ascii="Times New Roman" w:eastAsia="黑体"/>
          <w:sz w:val="24"/>
          <w:szCs w:val="24"/>
        </w:rPr>
        <w:t>格形式</w:t>
      </w:r>
    </w:p>
    <w:bookmarkEnd w:id="505"/>
    <w:bookmarkEnd w:id="506"/>
    <w:bookmarkEnd w:id="507"/>
    <w:bookmarkEnd w:id="508"/>
    <w:bookmarkEnd w:id="509"/>
    <w:bookmarkEnd w:id="510"/>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综合单价包含的风险范围：。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总价包含的风险范围：。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numPr>
          <w:ilvl w:val="0"/>
          <w:numId w:val="7"/>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pPr>
        <w:spacing w:line="480" w:lineRule="exact"/>
        <w:ind w:firstLine="480" w:firstLineChars="200"/>
        <w:rPr>
          <w:rFonts w:ascii="Times New Roman" w:eastAsia="黑体"/>
          <w:sz w:val="24"/>
          <w:szCs w:val="24"/>
        </w:rPr>
      </w:pPr>
      <w:bookmarkStart w:id="511" w:name="_Toc297123554"/>
      <w:bookmarkStart w:id="512" w:name="_Toc304295581"/>
      <w:bookmarkStart w:id="513" w:name="_Toc300935004"/>
      <w:bookmarkStart w:id="514" w:name="_Toc312678042"/>
      <w:bookmarkStart w:id="515" w:name="_Toc303539161"/>
      <w:bookmarkStart w:id="516" w:name="_Toc297216213"/>
      <w:bookmarkStart w:id="517" w:name="_Toc297120507"/>
      <w:bookmarkStart w:id="518" w:name="_Toc296944546"/>
      <w:bookmarkStart w:id="519" w:name="_Toc296347206"/>
      <w:bookmarkStart w:id="520" w:name="_Toc296891035"/>
      <w:bookmarkStart w:id="521" w:name="_Toc296891247"/>
      <w:bookmarkStart w:id="522" w:name="_Toc292559917"/>
      <w:bookmarkStart w:id="523" w:name="_Toc296503207"/>
      <w:bookmarkStart w:id="524" w:name="_Toc297048393"/>
      <w:bookmarkStart w:id="525" w:name="_Toc296346708"/>
      <w:bookmarkStart w:id="526" w:name="_Toc292559412"/>
      <w:r>
        <w:rPr>
          <w:rFonts w:ascii="Times New Roman" w:eastAsia="黑体"/>
          <w:sz w:val="24"/>
          <w:szCs w:val="24"/>
        </w:rPr>
        <w:t>12.2 预付款</w:t>
      </w:r>
    </w:p>
    <w:bookmarkEnd w:id="511"/>
    <w:bookmarkEnd w:id="512"/>
    <w:bookmarkEnd w:id="513"/>
    <w:bookmarkEnd w:id="514"/>
    <w:bookmarkEnd w:id="515"/>
    <w:bookmarkEnd w:id="516"/>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12.2.1 预付款的支付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预付款支付比例或金额：。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预付款扣回的方式：。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12.2.2 预付款担保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承包人提交预付款担保的期限：。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预付款担保的形式为：。</w:t>
      </w:r>
    </w:p>
    <w:bookmarkEnd w:id="517"/>
    <w:bookmarkEnd w:id="518"/>
    <w:bookmarkEnd w:id="519"/>
    <w:bookmarkEnd w:id="520"/>
    <w:bookmarkEnd w:id="521"/>
    <w:bookmarkEnd w:id="522"/>
    <w:bookmarkEnd w:id="523"/>
    <w:bookmarkEnd w:id="524"/>
    <w:bookmarkEnd w:id="525"/>
    <w:bookmarkEnd w:id="526"/>
    <w:p>
      <w:pPr>
        <w:spacing w:line="480" w:lineRule="exact"/>
        <w:ind w:firstLine="480" w:firstLineChars="200"/>
        <w:rPr>
          <w:rFonts w:ascii="Times New Roman" w:eastAsia="黑体"/>
          <w:sz w:val="24"/>
          <w:szCs w:val="24"/>
        </w:rPr>
      </w:pPr>
      <w:r>
        <w:rPr>
          <w:rFonts w:ascii="Times New Roman" w:eastAsia="黑体"/>
          <w:sz w:val="24"/>
          <w:szCs w:val="24"/>
        </w:rPr>
        <w:t>12.3 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12.3.1 计量原则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工程量计算规则：。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12.3.2 计量周期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关于计量周期的约定：。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12.3.3 单价合同的计量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关于单价合同计量的约定：。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12.3.4 总价合同的计量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关于总价合同计量的约定：。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12.3.5总价合同采用支付分解表计量支付的，是否适用第12.3.4 项</w:t>
      </w:r>
      <w:r>
        <w:rPr>
          <w:rFonts w:hint="eastAsia" w:ascii="Times New Roman" w:eastAsia="仿宋_GB2312"/>
          <w:sz w:val="24"/>
          <w:szCs w:val="24"/>
        </w:rPr>
        <w:t>〔</w:t>
      </w:r>
      <w:r>
        <w:rPr>
          <w:rFonts w:ascii="Times New Roman" w:eastAsia="仿宋_GB2312"/>
          <w:sz w:val="24"/>
          <w:szCs w:val="24"/>
        </w:rPr>
        <w:t>总价合同的计量</w:t>
      </w:r>
      <w:r>
        <w:rPr>
          <w:rFonts w:hint="eastAsia" w:ascii="Times New Roman" w:eastAsia="仿宋_GB2312"/>
          <w:sz w:val="24"/>
          <w:szCs w:val="24"/>
        </w:rPr>
        <w:t>〕</w:t>
      </w:r>
      <w:r>
        <w:rPr>
          <w:rFonts w:ascii="Times New Roman" w:eastAsia="仿宋_GB2312"/>
          <w:sz w:val="24"/>
          <w:szCs w:val="24"/>
        </w:rPr>
        <w:t>约定</w:t>
      </w:r>
      <w:r>
        <w:rPr>
          <w:rFonts w:hint="eastAsia" w:ascii="Times New Roman" w:eastAsia="仿宋_GB2312"/>
          <w:sz w:val="24"/>
          <w:szCs w:val="24"/>
        </w:rPr>
        <w:t>进行计量：</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12.3.6 其他价格形式合同的计量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其他价格形式的计量方式和程序：。</w:t>
      </w:r>
    </w:p>
    <w:p>
      <w:pPr>
        <w:spacing w:line="480" w:lineRule="exact"/>
        <w:ind w:firstLine="480" w:firstLineChars="200"/>
        <w:rPr>
          <w:rFonts w:ascii="Times New Roman" w:eastAsia="黑体"/>
          <w:sz w:val="24"/>
          <w:szCs w:val="24"/>
        </w:rPr>
      </w:pPr>
      <w:r>
        <w:rPr>
          <w:rFonts w:ascii="Times New Roman" w:eastAsia="黑体"/>
          <w:sz w:val="24"/>
          <w:szCs w:val="24"/>
        </w:rPr>
        <w:t>12.4 工程进度款支付</w:t>
      </w:r>
    </w:p>
    <w:p>
      <w:pPr>
        <w:spacing w:line="480" w:lineRule="exact"/>
        <w:ind w:firstLine="480" w:firstLineChars="200"/>
        <w:jc w:val="left"/>
        <w:rPr>
          <w:rFonts w:ascii="Times New Roman" w:eastAsia="仿宋_GB2312"/>
          <w:sz w:val="24"/>
          <w:szCs w:val="24"/>
        </w:rPr>
      </w:pPr>
      <w:bookmarkStart w:id="527" w:name="_Toc303539163"/>
      <w:bookmarkStart w:id="528" w:name="_Toc297216215"/>
      <w:bookmarkStart w:id="529" w:name="_Toc296944550"/>
      <w:bookmarkStart w:id="530" w:name="_Toc300935006"/>
      <w:bookmarkStart w:id="531" w:name="_Toc292559921"/>
      <w:bookmarkStart w:id="532" w:name="_Toc296347210"/>
      <w:bookmarkStart w:id="533" w:name="_Toc297120511"/>
      <w:bookmarkStart w:id="534" w:name="_Toc297123556"/>
      <w:bookmarkStart w:id="535" w:name="_Toc296891251"/>
      <w:bookmarkStart w:id="536" w:name="_Toc296503211"/>
      <w:bookmarkStart w:id="537" w:name="_Toc292559416"/>
      <w:bookmarkStart w:id="538" w:name="_Toc296346712"/>
      <w:bookmarkStart w:id="539" w:name="_Toc296891039"/>
      <w:bookmarkStart w:id="540" w:name="_Toc297048397"/>
      <w:r>
        <w:rPr>
          <w:rFonts w:ascii="Times New Roman" w:eastAsia="仿宋_GB2312"/>
          <w:sz w:val="24"/>
          <w:szCs w:val="24"/>
        </w:rPr>
        <w:t>12.4.1 付款周期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关于付款周期的约定：。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12.4.2 进度付款申请单的编制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关于进度付款申请单编制的约定：。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eastAsia="仿宋_GB2312"/>
          <w:sz w:val="24"/>
          <w:szCs w:val="24"/>
        </w:rPr>
        <w:t>2.4.3 进度付款申请单的提交</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（3）其他价格形式合同进度付款申请单提交的约定：。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12.4.4 进度款审核和支付</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（1）监理人审查并报送发包人的期限：。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pPr>
        <w:spacing w:line="480" w:lineRule="exact"/>
        <w:jc w:val="left"/>
        <w:rPr>
          <w:rFonts w:ascii="Times New Roman" w:eastAsia="仿宋_GB2312"/>
          <w:sz w:val="24"/>
          <w:szCs w:val="24"/>
        </w:rPr>
      </w:pP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（2）发包人支付进度款的期限：。</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发包人逾期支付进度款的违约金的计算方式：。</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12.4.6 支付分解表的编制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2、总价合同支付分解表的编制与审批：。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3、单价合同的总价项目支付分解表的编制与审批：。</w:t>
      </w:r>
    </w:p>
    <w:bookmarkEnd w:id="370"/>
    <w:p>
      <w:pPr>
        <w:pStyle w:val="9"/>
        <w:spacing w:line="480" w:lineRule="exact"/>
        <w:rPr>
          <w:rFonts w:ascii="Times New Roman" w:hAnsi="Times New Roman" w:eastAsia="黑体"/>
          <w:b w:val="0"/>
          <w:sz w:val="24"/>
          <w:szCs w:val="24"/>
        </w:rPr>
      </w:pPr>
      <w:bookmarkStart w:id="541" w:name="_Toc351203645"/>
      <w:bookmarkStart w:id="542" w:name="_Toc296944558"/>
      <w:bookmarkStart w:id="543" w:name="_Toc297216223"/>
      <w:bookmarkStart w:id="544" w:name="_Toc297048405"/>
      <w:bookmarkStart w:id="545" w:name="_Toc300935015"/>
      <w:bookmarkStart w:id="546" w:name="_Toc296347218"/>
      <w:bookmarkStart w:id="547" w:name="_Toc292559424"/>
      <w:bookmarkStart w:id="548" w:name="_Toc297123564"/>
      <w:bookmarkStart w:id="549" w:name="_Toc296346720"/>
      <w:bookmarkStart w:id="550" w:name="_Toc312678053"/>
      <w:bookmarkStart w:id="551" w:name="_Toc296891259"/>
      <w:bookmarkStart w:id="552" w:name="_Toc292559929"/>
      <w:bookmarkStart w:id="553" w:name="_Toc296891047"/>
      <w:bookmarkStart w:id="554" w:name="_Toc304295593"/>
      <w:bookmarkStart w:id="555" w:name="_Toc296503219"/>
      <w:bookmarkStart w:id="556" w:name="_Toc297120519"/>
      <w:bookmarkStart w:id="557" w:name="_Toc303539172"/>
      <w:r>
        <w:rPr>
          <w:rFonts w:ascii="Times New Roman" w:hAnsi="Times New Roman" w:eastAsia="黑体"/>
          <w:b w:val="0"/>
          <w:sz w:val="24"/>
          <w:szCs w:val="24"/>
        </w:rPr>
        <w:t>13.验收和工程试车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480" w:lineRule="exact"/>
        <w:ind w:firstLine="480" w:firstLineChars="200"/>
        <w:rPr>
          <w:rFonts w:ascii="Times New Roman" w:eastAsia="黑体"/>
          <w:sz w:val="24"/>
          <w:szCs w:val="24"/>
        </w:rPr>
      </w:pPr>
      <w:r>
        <w:rPr>
          <w:rFonts w:ascii="Times New Roman" w:eastAsia="黑体"/>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sz w:val="24"/>
          <w:szCs w:val="24"/>
        </w:rPr>
      </w:pPr>
      <w:bookmarkStart w:id="558" w:name="_Toc312678056"/>
      <w:bookmarkStart w:id="559" w:name="_Toc296346724"/>
      <w:bookmarkStart w:id="560" w:name="_Toc297048409"/>
      <w:bookmarkStart w:id="561" w:name="_Toc303539173"/>
      <w:bookmarkStart w:id="562" w:name="_Toc296347222"/>
      <w:bookmarkStart w:id="563" w:name="_Toc292559428"/>
      <w:bookmarkStart w:id="564" w:name="_Toc296891051"/>
      <w:bookmarkStart w:id="565" w:name="_Toc297120523"/>
      <w:bookmarkStart w:id="566" w:name="_Toc296891263"/>
      <w:bookmarkStart w:id="567" w:name="_Toc304295596"/>
      <w:bookmarkStart w:id="568" w:name="_Toc297123565"/>
      <w:bookmarkStart w:id="569" w:name="_Toc297216224"/>
      <w:bookmarkStart w:id="570" w:name="_Toc300935016"/>
      <w:bookmarkStart w:id="571" w:name="_Toc296503223"/>
      <w:bookmarkStart w:id="572" w:name="_Toc296944562"/>
      <w:bookmarkStart w:id="573" w:name="_Toc292559933"/>
      <w:bookmarkStart w:id="574" w:name="_Toc267251472"/>
      <w:bookmarkStart w:id="575" w:name="_Toc267251470"/>
      <w:bookmarkStart w:id="576" w:name="_Toc267251474"/>
      <w:bookmarkStart w:id="577" w:name="_Toc267251475"/>
      <w:bookmarkStart w:id="578" w:name="_Toc267251476"/>
      <w:bookmarkStart w:id="579" w:name="_Toc267251471"/>
      <w:bookmarkStart w:id="580" w:name="_Toc267251473"/>
      <w:r>
        <w:rPr>
          <w:rFonts w:ascii="Times New Roman" w:eastAsia="黑体"/>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80" w:lineRule="exact"/>
        <w:ind w:firstLine="480" w:firstLineChars="200"/>
        <w:jc w:val="left"/>
        <w:rPr>
          <w:rFonts w:ascii="Times New Roman" w:eastAsia="仿宋_GB2312"/>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eastAsia="仿宋_GB2312"/>
          <w:sz w:val="24"/>
          <w:szCs w:val="24"/>
        </w:rPr>
        <w:t>13.2.2竣工验收程序</w:t>
      </w:r>
    </w:p>
    <w:bookmarkEnd w:id="581"/>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关于竣工验收程序的约定：。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2"/>
    <w:p>
      <w:pPr>
        <w:spacing w:line="480" w:lineRule="exact"/>
        <w:ind w:firstLine="480" w:firstLineChars="200"/>
        <w:jc w:val="left"/>
        <w:rPr>
          <w:rFonts w:ascii="Times New Roman" w:eastAsia="仿宋_GB2312"/>
          <w:sz w:val="24"/>
          <w:szCs w:val="24"/>
        </w:rPr>
      </w:pPr>
      <w:r>
        <w:rPr>
          <w:rFonts w:ascii="Times New Roman" w:eastAsia="仿宋_GB2312"/>
          <w:sz w:val="24"/>
          <w:szCs w:val="24"/>
        </w:rPr>
        <w:t>13.2.5移交、接收全部与部分工程</w:t>
      </w:r>
    </w:p>
    <w:bookmarkEnd w:id="583"/>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承包人向发包人移交工程的期限：。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4"/>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承包人未按时移交工程的，违约金的计算方法为：。</w:t>
      </w:r>
    </w:p>
    <w:p>
      <w:pPr>
        <w:spacing w:line="480" w:lineRule="exact"/>
        <w:ind w:firstLine="480" w:firstLineChars="200"/>
        <w:rPr>
          <w:rFonts w:ascii="Times New Roman" w:eastAsia="黑体"/>
          <w:sz w:val="24"/>
          <w:szCs w:val="24"/>
        </w:rPr>
      </w:pPr>
      <w:r>
        <w:rPr>
          <w:rFonts w:ascii="Times New Roman" w:eastAsia="黑体"/>
          <w:sz w:val="24"/>
          <w:szCs w:val="24"/>
        </w:rPr>
        <w:t>13.3 工程试车</w:t>
      </w:r>
    </w:p>
    <w:bookmarkEnd w:id="585"/>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13.3.1 试车程序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工程试车内容：。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（1）单机无负荷试车费用由承担；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（2）无负荷联动试车费用由承担。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13.3.3 投料试车</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关于投料试车相关事项的约定：</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13.6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13.6.1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承包人完成竣工退场的期限：。</w:t>
      </w:r>
    </w:p>
    <w:p>
      <w:pPr>
        <w:pStyle w:val="9"/>
        <w:spacing w:line="480" w:lineRule="exact"/>
        <w:rPr>
          <w:rFonts w:ascii="Times New Roman" w:hAnsi="Times New Roman" w:eastAsia="黑体"/>
          <w:b w:val="0"/>
          <w:sz w:val="24"/>
          <w:szCs w:val="24"/>
        </w:rPr>
      </w:pPr>
      <w:bookmarkStart w:id="587" w:name="_Toc351203646"/>
      <w:r>
        <w:rPr>
          <w:rFonts w:ascii="Times New Roman" w:hAnsi="Times New Roman" w:eastAsia="黑体"/>
          <w:b w:val="0"/>
          <w:sz w:val="24"/>
          <w:szCs w:val="24"/>
        </w:rPr>
        <w:t>14. 竣工结算</w:t>
      </w:r>
      <w:bookmarkEnd w:id="587"/>
    </w:p>
    <w:p>
      <w:pPr>
        <w:spacing w:line="480" w:lineRule="exact"/>
        <w:ind w:firstLine="480" w:firstLineChars="200"/>
        <w:rPr>
          <w:rFonts w:ascii="Times New Roman" w:eastAsia="黑体"/>
          <w:sz w:val="24"/>
          <w:szCs w:val="24"/>
        </w:rPr>
      </w:pPr>
      <w:r>
        <w:rPr>
          <w:rFonts w:ascii="Times New Roman" w:eastAsia="黑体"/>
          <w:sz w:val="24"/>
          <w:szCs w:val="24"/>
        </w:rPr>
        <w:t>14.1 竣工</w:t>
      </w:r>
      <w:r>
        <w:rPr>
          <w:rFonts w:hint="eastAsia" w:ascii="Times New Roman" w:eastAsia="黑体"/>
          <w:sz w:val="24"/>
          <w:szCs w:val="24"/>
        </w:rPr>
        <w:t>结算</w:t>
      </w:r>
      <w:r>
        <w:rPr>
          <w:rFonts w:ascii="Times New Roman" w:eastAsia="黑体"/>
          <w:sz w:val="24"/>
          <w:szCs w:val="24"/>
        </w:rPr>
        <w:t>申请</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竣工</w:t>
      </w:r>
      <w:r>
        <w:rPr>
          <w:rFonts w:hint="eastAsia" w:ascii="Times New Roman" w:eastAsia="仿宋_GB2312"/>
          <w:sz w:val="24"/>
          <w:szCs w:val="24"/>
        </w:rPr>
        <w:t>结算</w:t>
      </w:r>
      <w:r>
        <w:rPr>
          <w:rFonts w:ascii="Times New Roman" w:eastAsia="仿宋_GB2312"/>
          <w:sz w:val="24"/>
          <w:szCs w:val="24"/>
        </w:rPr>
        <w:t>申请单应包括的内容：。</w:t>
      </w:r>
    </w:p>
    <w:p>
      <w:pPr>
        <w:spacing w:line="480" w:lineRule="exact"/>
        <w:ind w:firstLine="480" w:firstLineChars="200"/>
        <w:outlineLvl w:val="0"/>
        <w:rPr>
          <w:rFonts w:ascii="Times New Roman" w:eastAsia="黑体"/>
          <w:sz w:val="24"/>
          <w:szCs w:val="24"/>
        </w:rPr>
      </w:pPr>
      <w:r>
        <w:rPr>
          <w:rFonts w:ascii="Times New Roman" w:eastAsia="黑体"/>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发包人完成竣工付款的期限：。</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关于竣工付款证书异议部分复核的方式和程序：</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14.4 最终结清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14.4.1 最终结清申请单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p>
    <w:bookmarkEnd w:id="574"/>
    <w:bookmarkEnd w:id="575"/>
    <w:bookmarkEnd w:id="576"/>
    <w:bookmarkEnd w:id="577"/>
    <w:bookmarkEnd w:id="578"/>
    <w:bookmarkEnd w:id="579"/>
    <w:bookmarkEnd w:id="580"/>
    <w:bookmarkEnd w:id="586"/>
    <w:p>
      <w:pPr>
        <w:pStyle w:val="9"/>
        <w:spacing w:line="480" w:lineRule="exact"/>
        <w:rPr>
          <w:rFonts w:ascii="Times New Roman" w:hAnsi="Times New Roman" w:eastAsia="黑体"/>
          <w:b w:val="0"/>
          <w:sz w:val="24"/>
          <w:szCs w:val="24"/>
        </w:rPr>
      </w:pPr>
      <w:bookmarkStart w:id="588" w:name="_Toc351203647"/>
      <w:bookmarkStart w:id="589" w:name="_Toc267251483"/>
      <w:bookmarkStart w:id="590" w:name="_Toc267251484"/>
      <w:bookmarkStart w:id="591" w:name="_Toc267251482"/>
      <w:bookmarkStart w:id="592" w:name="_Toc267251485"/>
      <w:bookmarkStart w:id="593" w:name="_Toc267251490"/>
      <w:bookmarkStart w:id="594" w:name="_Toc267251488"/>
      <w:bookmarkStart w:id="595" w:name="_Toc267251486"/>
      <w:bookmarkStart w:id="596" w:name="_Toc267251489"/>
      <w:bookmarkStart w:id="597" w:name="_Toc267251491"/>
      <w:bookmarkStart w:id="598" w:name="_Toc267251493"/>
      <w:bookmarkStart w:id="599" w:name="_Toc267251495"/>
      <w:bookmarkStart w:id="600" w:name="_Toc267251499"/>
      <w:bookmarkStart w:id="601" w:name="_Toc267251492"/>
      <w:bookmarkStart w:id="602" w:name="_Toc267251503"/>
      <w:bookmarkStart w:id="603" w:name="_Toc267251497"/>
      <w:bookmarkStart w:id="604" w:name="_Toc267251494"/>
      <w:bookmarkStart w:id="605" w:name="_Toc267251502"/>
      <w:bookmarkStart w:id="606" w:name="_Toc267251501"/>
      <w:bookmarkStart w:id="607" w:name="_Toc267251496"/>
      <w:bookmarkStart w:id="608" w:name="_Toc267251498"/>
      <w:bookmarkStart w:id="609" w:name="_Toc267251504"/>
      <w:bookmarkStart w:id="610" w:name="_Toc267251506"/>
      <w:bookmarkStart w:id="611" w:name="_Toc267251507"/>
      <w:bookmarkStart w:id="612" w:name="_Toc267251508"/>
      <w:bookmarkStart w:id="613" w:name="_Toc267251510"/>
      <w:bookmarkStart w:id="614" w:name="_Toc267251511"/>
      <w:bookmarkStart w:id="615" w:name="_Toc267251509"/>
      <w:bookmarkStart w:id="616" w:name="_Toc267251514"/>
      <w:bookmarkStart w:id="617" w:name="_Toc267251515"/>
      <w:bookmarkStart w:id="618" w:name="_Toc267251513"/>
      <w:r>
        <w:rPr>
          <w:rFonts w:ascii="Times New Roman" w:hAnsi="Times New Roman" w:eastAsia="黑体"/>
          <w:b w:val="0"/>
          <w:sz w:val="24"/>
          <w:szCs w:val="24"/>
        </w:rPr>
        <w:t>15. 缺陷责任期与保修</w:t>
      </w:r>
      <w:bookmarkEnd w:id="588"/>
    </w:p>
    <w:p>
      <w:pPr>
        <w:spacing w:line="480" w:lineRule="exact"/>
        <w:ind w:firstLine="480" w:firstLineChars="200"/>
        <w:rPr>
          <w:rFonts w:ascii="Times New Roman" w:eastAsia="黑体"/>
          <w:sz w:val="24"/>
          <w:szCs w:val="24"/>
        </w:rPr>
      </w:pPr>
      <w:r>
        <w:rPr>
          <w:rFonts w:ascii="Times New Roman" w:eastAsia="黑体"/>
          <w:sz w:val="24"/>
          <w:szCs w:val="24"/>
        </w:rPr>
        <w:t>15.2缺陷责任期</w:t>
      </w:r>
      <w:bookmarkEnd w:id="589"/>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缺陷责任期的具体期限：。</w:t>
      </w:r>
    </w:p>
    <w:p>
      <w:pPr>
        <w:spacing w:line="480" w:lineRule="exact"/>
        <w:ind w:firstLine="480" w:firstLineChars="200"/>
        <w:outlineLvl w:val="0"/>
        <w:rPr>
          <w:rFonts w:ascii="Times New Roman" w:eastAsia="黑体"/>
          <w:sz w:val="24"/>
          <w:szCs w:val="24"/>
        </w:rPr>
      </w:pPr>
      <w:r>
        <w:rPr>
          <w:rFonts w:ascii="Times New Roman" w:eastAsia="黑体"/>
          <w:sz w:val="24"/>
          <w:szCs w:val="24"/>
        </w:rPr>
        <w:t>15.3 质量保证金</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关于是否扣留质量保证金的约定：</w:t>
      </w:r>
      <w:r>
        <w:rPr>
          <w:rFonts w:ascii="Times New Roman" w:eastAsia="仿宋_GB2312"/>
          <w:sz w:val="24"/>
          <w:szCs w:val="24"/>
        </w:rPr>
        <w:t>。</w:t>
      </w:r>
      <w:r>
        <w:rPr>
          <w:rFonts w:hint="eastAsia" w:eastAsia="仿宋_GB2312"/>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 xml:space="preserve">15.3.1 </w:t>
      </w:r>
      <w:r>
        <w:rPr>
          <w:rFonts w:hint="eastAsia" w:ascii="Times New Roman" w:eastAsia="仿宋_GB2312"/>
          <w:sz w:val="24"/>
          <w:szCs w:val="24"/>
        </w:rPr>
        <w:t>承包人提供</w:t>
      </w:r>
      <w:r>
        <w:rPr>
          <w:rFonts w:ascii="Times New Roman" w:eastAsia="仿宋_GB2312"/>
          <w:sz w:val="24"/>
          <w:szCs w:val="24"/>
        </w:rPr>
        <w:t>质量保证金的</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（1）质量保证金保函，保证金额为：；</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（2）%的工程款；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15.3.2 质量保证金的扣留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（3）其他扣留方式:。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关于质量保证金的补充约定：。</w:t>
      </w:r>
    </w:p>
    <w:bookmarkEnd w:id="590"/>
    <w:bookmarkEnd w:id="591"/>
    <w:p>
      <w:pPr>
        <w:spacing w:line="480" w:lineRule="exact"/>
        <w:ind w:firstLine="480" w:firstLineChars="200"/>
        <w:rPr>
          <w:rFonts w:ascii="Times New Roman" w:eastAsia="黑体"/>
          <w:sz w:val="24"/>
          <w:szCs w:val="24"/>
        </w:rPr>
      </w:pPr>
      <w:r>
        <w:rPr>
          <w:rFonts w:ascii="Times New Roman" w:eastAsia="黑体"/>
          <w:sz w:val="24"/>
          <w:szCs w:val="24"/>
        </w:rPr>
        <w:t>15.4保修</w:t>
      </w:r>
    </w:p>
    <w:bookmarkEnd w:id="592"/>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15.4.1 保修责任</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工程保修期为：。</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15.4.3 修复通知</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承包人收到保修通知并到达工程现场的合理时间：。</w:t>
      </w:r>
    </w:p>
    <w:bookmarkEnd w:id="593"/>
    <w:bookmarkEnd w:id="594"/>
    <w:bookmarkEnd w:id="595"/>
    <w:bookmarkEnd w:id="596"/>
    <w:p>
      <w:pPr>
        <w:pStyle w:val="9"/>
        <w:spacing w:line="480" w:lineRule="exact"/>
        <w:rPr>
          <w:rFonts w:ascii="Times New Roman" w:hAnsi="Times New Roman" w:eastAsia="黑体"/>
          <w:b w:val="0"/>
          <w:sz w:val="24"/>
          <w:szCs w:val="24"/>
        </w:rPr>
      </w:pPr>
      <w:bookmarkStart w:id="619" w:name="_Toc351203648"/>
      <w:bookmarkStart w:id="620" w:name="_Toc280868717"/>
      <w:bookmarkStart w:id="621" w:name="_Toc280868718"/>
      <w:r>
        <w:rPr>
          <w:rFonts w:ascii="Times New Roman" w:hAnsi="Times New Roman" w:eastAsia="黑体"/>
          <w:b w:val="0"/>
          <w:sz w:val="24"/>
          <w:szCs w:val="24"/>
        </w:rPr>
        <w:t>16. 违约</w:t>
      </w:r>
      <w:bookmarkEnd w:id="619"/>
    </w:p>
    <w:p>
      <w:pPr>
        <w:spacing w:line="480" w:lineRule="exact"/>
        <w:ind w:firstLine="480" w:firstLineChars="200"/>
        <w:outlineLvl w:val="0"/>
        <w:rPr>
          <w:rFonts w:ascii="Times New Roman" w:eastAsia="黑体"/>
          <w:sz w:val="24"/>
          <w:szCs w:val="24"/>
        </w:rPr>
      </w:pPr>
      <w:r>
        <w:rPr>
          <w:rFonts w:ascii="Times New Roman" w:eastAsia="黑体"/>
          <w:sz w:val="24"/>
          <w:szCs w:val="24"/>
        </w:rPr>
        <w:t>16.1 发包人违约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16.1.1发包人违约的情形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发包人违约的其他情形：。</w:t>
      </w:r>
    </w:p>
    <w:p>
      <w:pPr>
        <w:spacing w:line="480" w:lineRule="exact"/>
        <w:ind w:left="1200" w:hanging="1200" w:hangingChars="500"/>
        <w:jc w:val="left"/>
        <w:rPr>
          <w:rFonts w:ascii="Times New Roman" w:eastAsia="仿宋_GB2312"/>
          <w:sz w:val="24"/>
          <w:szCs w:val="24"/>
        </w:rPr>
      </w:pPr>
      <w:r>
        <w:rPr>
          <w:rFonts w:ascii="Times New Roman" w:eastAsia="仿宋_GB2312"/>
          <w:sz w:val="24"/>
          <w:szCs w:val="24"/>
        </w:rPr>
        <w:t xml:space="preserve">    16.1.2 发包人违约的责任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发包人违约责任的承担方式和计算方法：</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（2）因发包人原因未能按合同约定支付合同价款的违约责任：。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（3）发包人违反第10.1款</w:t>
      </w:r>
      <w:r>
        <w:rPr>
          <w:rFonts w:hint="eastAsia" w:ascii="Times New Roman" w:eastAsia="仿宋_GB2312"/>
          <w:sz w:val="24"/>
          <w:szCs w:val="24"/>
        </w:rPr>
        <w:t>〔</w:t>
      </w:r>
      <w:r>
        <w:rPr>
          <w:rFonts w:ascii="Times New Roman" w:eastAsia="仿宋_GB2312"/>
          <w:sz w:val="24"/>
          <w:szCs w:val="24"/>
        </w:rPr>
        <w:t>变更的范围</w:t>
      </w:r>
      <w:r>
        <w:rPr>
          <w:rFonts w:hint="eastAsia" w:ascii="Times New Roman" w:eastAsia="仿宋_GB2312"/>
          <w:sz w:val="24"/>
          <w:szCs w:val="24"/>
        </w:rPr>
        <w:t>〕</w:t>
      </w:r>
      <w:r>
        <w:rPr>
          <w:rFonts w:ascii="Times New Roman" w:eastAsia="仿宋_GB2312"/>
          <w:sz w:val="24"/>
          <w:szCs w:val="24"/>
        </w:rPr>
        <w:t>第（2）项约定，自行实施被取消的工作或转由他人实施的违约责任：。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（5）因发包人违反合同约定造成暂停施工的违约责任：。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r>
        <w:rPr>
          <w:rFonts w:hint="eastAsia" w:ascii="Times New Roman" w:eastAsia="仿宋_GB2312"/>
          <w:sz w:val="24"/>
          <w:szCs w:val="24"/>
        </w:rPr>
        <w:t>其他：</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承包人按16.1.1项</w:t>
      </w:r>
      <w:r>
        <w:rPr>
          <w:rFonts w:hint="eastAsia" w:ascii="Times New Roman" w:eastAsia="仿宋_GB2312"/>
          <w:sz w:val="24"/>
          <w:szCs w:val="24"/>
        </w:rPr>
        <w:t>〔</w:t>
      </w:r>
      <w:r>
        <w:rPr>
          <w:rFonts w:ascii="Times New Roman" w:eastAsia="仿宋_GB2312"/>
          <w:sz w:val="24"/>
          <w:szCs w:val="24"/>
        </w:rPr>
        <w:t>发包人违约的情形</w:t>
      </w:r>
      <w:r>
        <w:rPr>
          <w:rFonts w:hint="eastAsia" w:ascii="Times New Roman" w:eastAsia="仿宋_GB2312"/>
          <w:sz w:val="24"/>
          <w:szCs w:val="24"/>
        </w:rPr>
        <w:t>〕</w:t>
      </w:r>
      <w:r>
        <w:rPr>
          <w:rFonts w:ascii="Times New Roman" w:eastAsia="仿宋_GB2312"/>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sz w:val="24"/>
          <w:szCs w:val="24"/>
        </w:rPr>
      </w:pPr>
      <w:r>
        <w:rPr>
          <w:rFonts w:ascii="Times New Roman" w:eastAsia="黑体"/>
          <w:sz w:val="24"/>
          <w:szCs w:val="24"/>
        </w:rPr>
        <w:t>16.2 承包人违约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16.2.1 承包人违约的情形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承包人违约的其他情形：。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16.2.2承包人违约的责任</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承包人违约责任的承担方式和计算方法：。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16.2.3 因承包人违约解除合同</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关于承包人违约解除合同的特别约定：。</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hint="eastAsia" w:ascii="Times New Roman" w:eastAsia="仿宋_GB2312"/>
          <w:sz w:val="24"/>
          <w:szCs w:val="24"/>
        </w:rPr>
        <w:t>的费用承担方式</w:t>
      </w:r>
      <w:r>
        <w:rPr>
          <w:rFonts w:ascii="Times New Roman" w:eastAsia="仿宋_GB2312"/>
          <w:sz w:val="24"/>
          <w:szCs w:val="24"/>
        </w:rPr>
        <w:t>：</w:t>
      </w:r>
      <w:r>
        <w:rPr>
          <w:rFonts w:hint="eastAsia" w:ascii="Times New Roman" w:eastAsia="仿宋_GB2312"/>
          <w:sz w:val="24"/>
          <w:szCs w:val="24"/>
        </w:rPr>
        <w:t>。</w:t>
      </w:r>
    </w:p>
    <w:p>
      <w:pPr>
        <w:pStyle w:val="9"/>
        <w:spacing w:line="480" w:lineRule="exact"/>
        <w:rPr>
          <w:rFonts w:ascii="Times New Roman" w:hAnsi="Times New Roman" w:eastAsia="黑体"/>
          <w:b w:val="0"/>
          <w:sz w:val="24"/>
          <w:szCs w:val="24"/>
        </w:rPr>
      </w:pPr>
      <w:bookmarkStart w:id="622" w:name="_Toc351203649"/>
      <w:r>
        <w:rPr>
          <w:rFonts w:ascii="Times New Roman" w:hAnsi="Times New Roman" w:eastAsia="黑体"/>
          <w:b w:val="0"/>
          <w:sz w:val="24"/>
          <w:szCs w:val="24"/>
        </w:rPr>
        <w:t>17. 不可抗力</w:t>
      </w:r>
      <w:bookmarkEnd w:id="620"/>
      <w:bookmarkEnd w:id="622"/>
    </w:p>
    <w:p>
      <w:pPr>
        <w:spacing w:line="480" w:lineRule="exact"/>
        <w:ind w:firstLine="480" w:firstLineChars="200"/>
        <w:rPr>
          <w:rFonts w:ascii="Times New Roman" w:eastAsia="黑体"/>
          <w:sz w:val="24"/>
          <w:szCs w:val="24"/>
        </w:rPr>
      </w:pPr>
      <w:r>
        <w:rPr>
          <w:rFonts w:ascii="Times New Roman" w:eastAsia="黑体"/>
          <w:sz w:val="24"/>
          <w:szCs w:val="24"/>
        </w:rPr>
        <w:t>17.1 不可抗力的确认</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pPr>
        <w:spacing w:line="480" w:lineRule="exact"/>
        <w:ind w:firstLine="480" w:firstLineChars="200"/>
        <w:outlineLvl w:val="0"/>
        <w:rPr>
          <w:rFonts w:ascii="Times New Roman" w:eastAsia="黑体"/>
          <w:sz w:val="24"/>
          <w:szCs w:val="24"/>
        </w:rPr>
      </w:pPr>
      <w:r>
        <w:rPr>
          <w:rFonts w:ascii="Times New Roman" w:eastAsia="黑体"/>
          <w:sz w:val="24"/>
          <w:szCs w:val="24"/>
        </w:rPr>
        <w:t>17.4 因不可抗力解除合同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pPr>
        <w:pStyle w:val="9"/>
        <w:spacing w:line="480" w:lineRule="exact"/>
        <w:rPr>
          <w:rFonts w:ascii="Times New Roman" w:hAnsi="Times New Roman" w:eastAsia="黑体"/>
          <w:b w:val="0"/>
          <w:sz w:val="24"/>
          <w:szCs w:val="24"/>
        </w:rPr>
      </w:pPr>
      <w:bookmarkStart w:id="623" w:name="_Toc351203650"/>
      <w:r>
        <w:rPr>
          <w:rFonts w:ascii="Times New Roman" w:hAnsi="Times New Roman" w:eastAsia="黑体"/>
          <w:b w:val="0"/>
          <w:sz w:val="24"/>
          <w:szCs w:val="24"/>
        </w:rPr>
        <w:t>18. 保险</w:t>
      </w:r>
      <w:bookmarkEnd w:id="623"/>
    </w:p>
    <w:bookmarkEnd w:id="621"/>
    <w:p>
      <w:pPr>
        <w:spacing w:line="480" w:lineRule="exact"/>
        <w:ind w:firstLine="480" w:firstLineChars="200"/>
        <w:rPr>
          <w:rFonts w:ascii="Times New Roman" w:eastAsia="黑体"/>
          <w:sz w:val="24"/>
          <w:szCs w:val="24"/>
        </w:rPr>
      </w:pPr>
      <w:r>
        <w:rPr>
          <w:rFonts w:ascii="Times New Roman" w:eastAsia="黑体"/>
          <w:sz w:val="24"/>
          <w:szCs w:val="24"/>
        </w:rPr>
        <w:t>18.1 工程保险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关于工程保险的特别约定：。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18.3 其他保险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关于其他保险的约定：。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承包人是否应为其施工设备等办理财产保险：。</w:t>
      </w:r>
    </w:p>
    <w:p>
      <w:pPr>
        <w:spacing w:line="480" w:lineRule="exact"/>
        <w:ind w:firstLine="480" w:firstLineChars="200"/>
        <w:rPr>
          <w:rFonts w:ascii="Times New Roman" w:eastAsia="黑体"/>
          <w:sz w:val="24"/>
          <w:szCs w:val="24"/>
        </w:rPr>
      </w:pPr>
      <w:r>
        <w:rPr>
          <w:rFonts w:ascii="Times New Roman" w:eastAsia="黑体"/>
          <w:sz w:val="24"/>
          <w:szCs w:val="24"/>
        </w:rPr>
        <w:t>18.7 通知义务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关于变更保险合同时的通知义务的约定：。</w:t>
      </w:r>
    </w:p>
    <w:bookmarkEnd w:id="597"/>
    <w:bookmarkEnd w:id="598"/>
    <w:bookmarkEnd w:id="599"/>
    <w:bookmarkEnd w:id="600"/>
    <w:bookmarkEnd w:id="601"/>
    <w:bookmarkEnd w:id="602"/>
    <w:bookmarkEnd w:id="603"/>
    <w:bookmarkEnd w:id="604"/>
    <w:bookmarkEnd w:id="605"/>
    <w:bookmarkEnd w:id="606"/>
    <w:bookmarkEnd w:id="607"/>
    <w:bookmarkEnd w:id="608"/>
    <w:p>
      <w:pPr>
        <w:pStyle w:val="9"/>
        <w:spacing w:line="480" w:lineRule="exact"/>
        <w:rPr>
          <w:rFonts w:ascii="Times New Roman" w:hAnsi="Times New Roman" w:eastAsia="黑体"/>
          <w:b w:val="0"/>
          <w:sz w:val="24"/>
          <w:szCs w:val="24"/>
        </w:rPr>
      </w:pPr>
      <w:bookmarkStart w:id="624" w:name="_Toc351203651"/>
      <w:r>
        <w:rPr>
          <w:rFonts w:ascii="Times New Roman" w:hAnsi="Times New Roman" w:eastAsia="黑体"/>
          <w:b w:val="0"/>
          <w:sz w:val="24"/>
          <w:szCs w:val="24"/>
        </w:rPr>
        <w:t>20. 争议解决</w:t>
      </w:r>
      <w:bookmarkEnd w:id="624"/>
    </w:p>
    <w:bookmarkEnd w:id="609"/>
    <w:bookmarkEnd w:id="610"/>
    <w:p>
      <w:pPr>
        <w:spacing w:line="480" w:lineRule="exact"/>
        <w:ind w:firstLine="480" w:firstLineChars="200"/>
        <w:outlineLvl w:val="0"/>
        <w:rPr>
          <w:rFonts w:ascii="Times New Roman" w:eastAsia="黑体"/>
          <w:sz w:val="24"/>
          <w:szCs w:val="24"/>
        </w:rPr>
      </w:pPr>
      <w:r>
        <w:rPr>
          <w:rFonts w:ascii="Times New Roman" w:eastAsia="黑体"/>
          <w:sz w:val="24"/>
          <w:szCs w:val="24"/>
        </w:rPr>
        <w:t>20.3 争</w:t>
      </w:r>
      <w:bookmarkEnd w:id="611"/>
      <w:r>
        <w:rPr>
          <w:rFonts w:ascii="Times New Roman" w:eastAsia="黑体"/>
          <w:sz w:val="24"/>
          <w:szCs w:val="24"/>
        </w:rPr>
        <w:t>议评审</w:t>
      </w:r>
    </w:p>
    <w:p>
      <w:pPr>
        <w:spacing w:line="480" w:lineRule="exact"/>
        <w:ind w:left="241" w:leftChars="71" w:firstLine="360" w:firstLineChars="15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hint="eastAsia" w:ascii="Times New Roman" w:eastAsia="仿宋_GB2312"/>
          <w:sz w:val="24"/>
          <w:szCs w:val="24"/>
        </w:rPr>
        <w:t>定：。</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20.3.1 争议评审小组的确定</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争议评审小组成员的确定：。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选定争议评审员的期限：。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争议评审小组成员的报酬承担方式：。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20.3.2 争议评审小组的决定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合同当事人关于本项的约定：。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20.4仲裁或诉讼</w:t>
      </w:r>
      <w:bookmarkEnd w:id="612"/>
    </w:p>
    <w:p>
      <w:pPr>
        <w:spacing w:after="120" w:line="480" w:lineRule="exact"/>
        <w:ind w:firstLine="480" w:firstLineChars="200"/>
        <w:rPr>
          <w:rFonts w:ascii="Times New Roman" w:eastAsia="黑体"/>
          <w:sz w:val="24"/>
          <w:szCs w:val="24"/>
        </w:rPr>
      </w:pPr>
      <w:r>
        <w:rPr>
          <w:rFonts w:ascii="Times New Roman" w:eastAsia="仿宋_GB2312"/>
          <w:sz w:val="24"/>
          <w:szCs w:val="24"/>
        </w:rPr>
        <w:t>因合同及合同有关事项发生的争议，按下列第种方式</w:t>
      </w:r>
      <w:r>
        <w:rPr>
          <w:rFonts w:hint="eastAsia" w:ascii="Times New Roman" w:eastAsia="仿宋_GB2312"/>
          <w:sz w:val="24"/>
          <w:szCs w:val="24"/>
        </w:rPr>
        <w:t>解</w:t>
      </w:r>
      <w:r>
        <w:rPr>
          <w:rFonts w:ascii="Times New Roman" w:eastAsia="仿宋_GB2312"/>
          <w:sz w:val="24"/>
          <w:szCs w:val="24"/>
        </w:rPr>
        <w:t>决：</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（1）向仲裁委员会申请仲裁；</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（2）向人民法院起诉。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4"/>
        <w:ind w:left="0" w:leftChars="0" w:firstLine="0" w:firstLineChars="0"/>
        <w:rPr>
          <w:rFonts w:hint="default" w:hAnsi="宋体" w:cs="黑体"/>
          <w:b/>
          <w:sz w:val="36"/>
          <w:szCs w:val="36"/>
          <w:lang w:eastAsia="zh-CN"/>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（2）工程量清单采用《建设工程工程量清单计价规范》GB 50500-2013、《市政工程工程量计算规范GB50857-2013》及相关配套文件和有关规定；定额采用《河南省市政工程预算定额》（HAA1-31-2016）、《河南省房屋建筑与装饰工程预算定额（HA01-31-2016）》及其他有关配套文件规定；</w:t>
      </w:r>
    </w:p>
    <w:p>
      <w:pPr>
        <w:spacing w:line="440" w:lineRule="exact"/>
        <w:ind w:firstLine="240" w:firstLineChars="100"/>
        <w:rPr>
          <w:rFonts w:hAnsi="宋体" w:cs="宋体"/>
          <w:sz w:val="24"/>
        </w:rPr>
      </w:pPr>
      <w:r>
        <w:rPr>
          <w:rFonts w:hint="eastAsia" w:hAnsi="宋体" w:cs="宋体"/>
          <w:sz w:val="24"/>
        </w:rPr>
        <w:t>（3）人工价格指数依据《许昌工程造价信息》（2019年第六期12月份），结合市场调查价，综合考虑。</w:t>
      </w:r>
    </w:p>
    <w:p>
      <w:pPr>
        <w:spacing w:line="440" w:lineRule="exact"/>
        <w:ind w:firstLine="240" w:firstLineChars="100"/>
        <w:rPr>
          <w:rFonts w:hint="eastAsia" w:hAnsi="宋体" w:cs="宋体"/>
          <w:sz w:val="24"/>
          <w:szCs w:val="22"/>
        </w:rPr>
      </w:pPr>
      <w:r>
        <w:rPr>
          <w:rFonts w:hint="eastAsia" w:hAnsi="宋体" w:cs="宋体"/>
          <w:sz w:val="24"/>
          <w:szCs w:val="22"/>
        </w:rPr>
        <w:t>（4）税金按9%计入；</w:t>
      </w:r>
    </w:p>
    <w:p>
      <w:pPr>
        <w:spacing w:line="440" w:lineRule="exact"/>
        <w:ind w:firstLine="240" w:firstLineChars="100"/>
        <w:rPr>
          <w:rFonts w:hint="eastAsia" w:hAnsi="宋体" w:cs="宋体"/>
          <w:sz w:val="24"/>
          <w:szCs w:val="22"/>
        </w:rPr>
      </w:pPr>
      <w:r>
        <w:rPr>
          <w:rFonts w:hint="eastAsia" w:hAnsi="宋体" w:cs="宋体"/>
          <w:sz w:val="24"/>
          <w:szCs w:val="22"/>
        </w:rPr>
        <w:t>（5）主要材料价格依据《许昌工程造价信息》2019年12月份材料价格及市场询价。</w:t>
      </w:r>
    </w:p>
    <w:p>
      <w:pPr>
        <w:spacing w:line="440" w:lineRule="exact"/>
        <w:ind w:firstLine="240" w:firstLineChars="100"/>
        <w:rPr>
          <w:rFonts w:hint="eastAsia" w:hAnsi="宋体" w:cs="宋体"/>
          <w:sz w:val="24"/>
          <w:szCs w:val="22"/>
        </w:rPr>
      </w:pPr>
      <w:r>
        <w:rPr>
          <w:rFonts w:hint="eastAsia" w:hAnsi="宋体" w:cs="宋体"/>
          <w:sz w:val="24"/>
          <w:szCs w:val="22"/>
        </w:rPr>
        <w:t>（6）余土外运的运距按10KM计取。</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8"/>
    <w:p>
      <w:pPr>
        <w:autoSpaceDE w:val="0"/>
        <w:autoSpaceDN w:val="0"/>
        <w:adjustRightInd w:val="0"/>
        <w:jc w:val="center"/>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p>
    <w:p>
      <w:pPr>
        <w:autoSpaceDE w:val="0"/>
        <w:autoSpaceDN w:val="0"/>
        <w:adjustRightInd w:val="0"/>
        <w:jc w:val="both"/>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312" w:beforeLines="100" w:after="312" w:afterLines="100"/>
        <w:jc w:val="center"/>
        <w:outlineLvl w:val="0"/>
        <w:rPr>
          <w:rFonts w:hAnsi="宋体" w:cs="黑体"/>
          <w:b/>
          <w:sz w:val="44"/>
          <w:szCs w:val="44"/>
        </w:rPr>
      </w:pPr>
      <w:bookmarkStart w:id="626" w:name="_Toc278443525"/>
    </w:p>
    <w:p>
      <w:pPr>
        <w:autoSpaceDE w:val="0"/>
        <w:autoSpaceDN w:val="0"/>
        <w:adjustRightInd w:val="0"/>
        <w:spacing w:before="312" w:beforeLines="100" w:after="312" w:afterLines="100"/>
        <w:jc w:val="center"/>
        <w:outlineLvl w:val="0"/>
        <w:rPr>
          <w:rFonts w:hAnsi="宋体" w:cs="黑体"/>
          <w:b/>
          <w:sz w:val="44"/>
          <w:szCs w:val="44"/>
        </w:rPr>
      </w:pPr>
    </w:p>
    <w:p>
      <w:pPr>
        <w:autoSpaceDE w:val="0"/>
        <w:autoSpaceDN w:val="0"/>
        <w:adjustRightInd w:val="0"/>
        <w:spacing w:before="312" w:beforeLines="100" w:after="312" w:afterLines="100"/>
        <w:jc w:val="center"/>
        <w:outlineLvl w:val="0"/>
        <w:rPr>
          <w:rFonts w:hAnsi="宋体" w:cs="黑体"/>
          <w:b/>
          <w:sz w:val="44"/>
          <w:szCs w:val="44"/>
        </w:rPr>
      </w:pPr>
    </w:p>
    <w:p>
      <w:pPr>
        <w:pStyle w:val="2"/>
        <w:rPr>
          <w:rFonts w:hAnsi="宋体" w:cs="黑体"/>
          <w:b/>
          <w:sz w:val="44"/>
          <w:szCs w:val="44"/>
        </w:rPr>
      </w:pPr>
    </w:p>
    <w:p>
      <w:pPr>
        <w:pStyle w:val="4"/>
        <w:rPr>
          <w:rFonts w:hAnsi="宋体" w:cs="黑体"/>
          <w:b/>
          <w:sz w:val="44"/>
          <w:szCs w:val="44"/>
        </w:rPr>
      </w:pPr>
    </w:p>
    <w:p>
      <w:pPr>
        <w:pStyle w:val="4"/>
        <w:rPr>
          <w:rFonts w:hAnsi="宋体" w:cs="黑体"/>
          <w:b/>
          <w:sz w:val="44"/>
          <w:szCs w:val="44"/>
        </w:rPr>
      </w:pPr>
    </w:p>
    <w:p>
      <w:pPr>
        <w:pStyle w:val="4"/>
        <w:rPr>
          <w:rFonts w:hAnsi="宋体" w:cs="黑体"/>
          <w:b/>
          <w:sz w:val="44"/>
          <w:szCs w:val="44"/>
        </w:rPr>
      </w:pPr>
    </w:p>
    <w:p>
      <w:pPr>
        <w:autoSpaceDE w:val="0"/>
        <w:autoSpaceDN w:val="0"/>
        <w:adjustRightInd w:val="0"/>
        <w:spacing w:before="312" w:beforeLines="100" w:after="312" w:afterLines="100"/>
        <w:jc w:val="center"/>
        <w:outlineLvl w:val="0"/>
        <w:rPr>
          <w:rFonts w:hAnsi="宋体" w:cs="黑体"/>
          <w:b/>
          <w:sz w:val="44"/>
          <w:szCs w:val="44"/>
        </w:rPr>
      </w:pPr>
    </w:p>
    <w:p>
      <w:pPr>
        <w:autoSpaceDE w:val="0"/>
        <w:autoSpaceDN w:val="0"/>
        <w:adjustRightInd w:val="0"/>
        <w:spacing w:before="312" w:beforeLines="100" w:after="312" w:afterLines="100"/>
        <w:jc w:val="both"/>
        <w:outlineLvl w:val="0"/>
        <w:rPr>
          <w:rFonts w:hAnsi="宋体" w:cs="黑体"/>
          <w:b/>
          <w:sz w:val="44"/>
          <w:szCs w:val="44"/>
        </w:rPr>
      </w:pPr>
    </w:p>
    <w:p>
      <w:pPr>
        <w:autoSpaceDE w:val="0"/>
        <w:autoSpaceDN w:val="0"/>
        <w:adjustRightInd w:val="0"/>
        <w:spacing w:before="312" w:beforeLines="100" w:after="312"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pStyle w:val="2"/>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w:t>
      </w:r>
      <w:r>
        <w:rPr>
          <w:rFonts w:hint="default" w:hAnsi="宋体" w:cs="宋体"/>
          <w:bCs/>
          <w:sz w:val="32"/>
          <w:szCs w:val="22"/>
          <w:lang w:val="en-US"/>
        </w:rPr>
        <w:t>29</w:t>
      </w:r>
      <w:r>
        <w:rPr>
          <w:rFonts w:hint="eastAsia" w:hAnsi="宋体" w:cs="宋体"/>
          <w:bCs/>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jc w:val="center"/>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w:t>
      </w:r>
      <w:r>
        <w:rPr>
          <w:rFonts w:hint="default" w:hAnsi="宋体" w:cs="宋体"/>
          <w:bCs/>
          <w:sz w:val="32"/>
          <w:szCs w:val="22"/>
          <w:lang w:val="en-US"/>
        </w:rPr>
        <w:t>29</w:t>
      </w:r>
      <w:r>
        <w:rPr>
          <w:rFonts w:hint="eastAsia" w:hAnsi="宋体" w:cs="宋体"/>
          <w:bCs/>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9"/>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312" w:beforeLines="100" w:line="510" w:lineRule="exact"/>
        <w:jc w:val="center"/>
        <w:rPr>
          <w:rFonts w:ascii="黑体" w:hAnsi="宋体" w:eastAsia="黑体"/>
          <w:sz w:val="24"/>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spacing w:before="312"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一、投标函</w:t>
      </w:r>
    </w:p>
    <w:p>
      <w:pPr>
        <w:spacing w:before="312" w:beforeLines="100" w:after="156"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0"/>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级别</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color w:val="auto"/>
                <w:sz w:val="24"/>
              </w:rPr>
            </w:pPr>
            <w:r>
              <w:rPr>
                <w:rFonts w:hint="eastAsia" w:ascii="新宋体" w:hAnsi="新宋体" w:eastAsia="新宋体"/>
                <w:color w:val="auto"/>
                <w:sz w:val="24"/>
              </w:rPr>
              <w:t>注册编号</w:t>
            </w:r>
          </w:p>
        </w:tc>
        <w:tc>
          <w:tcPr>
            <w:tcW w:w="3204" w:type="dxa"/>
            <w:gridSpan w:val="2"/>
            <w:vAlign w:val="center"/>
          </w:tcPr>
          <w:p>
            <w:pPr>
              <w:jc w:val="center"/>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税金RMB￥：元</w:t>
            </w:r>
          </w:p>
          <w:p>
            <w:pPr>
              <w:spacing w:before="100" w:beforeAutospacing="1"/>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spacing w:line="360" w:lineRule="auto"/>
        <w:ind w:right="131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sz w:val="32"/>
        </w:rPr>
      </w:pPr>
    </w:p>
    <w:p>
      <w:pPr>
        <w:spacing w:line="360" w:lineRule="auto"/>
        <w:jc w:val="center"/>
        <w:rPr>
          <w:rFonts w:hAnsi="宋体"/>
          <w:b/>
          <w:sz w:val="32"/>
        </w:rPr>
      </w:pPr>
      <w:r>
        <w:rPr>
          <w:rFonts w:hint="eastAsia" w:hAnsi="宋体"/>
          <w:b/>
          <w:bCs/>
          <w:sz w:val="32"/>
          <w:szCs w:val="32"/>
        </w:rPr>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026" name="Picture 2" descr="66"/>
            <wp:cNvGraphicFramePr/>
            <a:graphic xmlns:a="http://schemas.openxmlformats.org/drawingml/2006/main">
              <a:graphicData uri="http://schemas.openxmlformats.org/drawingml/2006/picture">
                <pic:pic xmlns:pic="http://schemas.openxmlformats.org/drawingml/2006/picture">
                  <pic:nvPicPr>
                    <pic:cNvPr id="1026" name="Picture 2" descr="66"/>
                    <pic:cNvPicPr/>
                  </pic:nvPicPr>
                  <pic:blipFill>
                    <a:blip r:embed="rId10" cstate="print"/>
                    <a:srcRect/>
                    <a:stretch>
                      <a:fillRect/>
                    </a:stretch>
                  </pic:blipFill>
                  <pic:spPr>
                    <a:xfrm>
                      <a:off x="0" y="0"/>
                      <a:ext cx="952499" cy="927099"/>
                    </a:xfrm>
                    <a:prstGeom prst="rect">
                      <a:avLst/>
                    </a:prstGeom>
                    <a:ln>
                      <a:noFill/>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340" w:lineRule="exact"/>
        <w:rPr>
          <w:rFonts w:hAnsi="宋体" w:cs="宋体"/>
          <w:sz w:val="24"/>
        </w:rPr>
      </w:pPr>
    </w:p>
    <w:p>
      <w:pPr>
        <w:autoSpaceDE w:val="0"/>
        <w:autoSpaceDN w:val="0"/>
        <w:adjustRightInd w:val="0"/>
        <w:spacing w:line="440" w:lineRule="exact"/>
        <w:jc w:val="left"/>
        <w:rPr>
          <w:rFonts w:hAnsi="宋体" w:cs="仿宋_GB2312"/>
          <w:sz w:val="24"/>
        </w:rPr>
      </w:pPr>
      <w:r>
        <w:rPr>
          <w:rFonts w:hint="eastAsia" w:hAnsi="宋体" w:cs="仿宋_GB2312"/>
          <w:sz w:val="24"/>
        </w:rPr>
        <w:t>附提交凭证：</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1、银行转帐、银行电汇方式的，于截止时间前通过投标人基本账户将款项一次足额递交、成功绑定，以收款人到账时间为准，在途资金无效。附本项目本标段“许昌市建安区公共资源交易中心保证金缴纳回执”。</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0"/>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69"/>
        <w:gridCol w:w="969"/>
        <w:gridCol w:w="1441"/>
        <w:gridCol w:w="969"/>
        <w:gridCol w:w="969"/>
        <w:gridCol w:w="969"/>
        <w:gridCol w:w="143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83"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68"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1441"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34"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9"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r>
              <w:rPr>
                <w:rFonts w:hint="eastAsia" w:hAnsi="宋体"/>
                <w:sz w:val="24"/>
              </w:rPr>
              <w:t>……</w:t>
            </w: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bl>
    <w:p>
      <w:pPr>
        <w:spacing w:before="156" w:beforeLines="50" w:after="312"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30"/>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9"/>
        <w:gridCol w:w="1279"/>
        <w:gridCol w:w="1439"/>
        <w:gridCol w:w="208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姓  名</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年  龄</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学历</w:t>
            </w: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职  称</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职  务</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拟在本工程任职</w:t>
            </w:r>
          </w:p>
        </w:tc>
        <w:tc>
          <w:tcPr>
            <w:tcW w:w="2399"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80" w:type="dxa"/>
            <w:gridSpan w:val="3"/>
            <w:vAlign w:val="center"/>
          </w:tcPr>
          <w:p>
            <w:pPr>
              <w:jc w:val="center"/>
              <w:rPr>
                <w:rFonts w:hAnsi="宋体"/>
                <w:sz w:val="24"/>
              </w:rPr>
            </w:pPr>
            <w:r>
              <w:rPr>
                <w:rFonts w:hint="eastAsia" w:hAnsi="宋体"/>
                <w:sz w:val="24"/>
              </w:rPr>
              <w:t>注册建造师执业资格等级</w:t>
            </w:r>
          </w:p>
        </w:tc>
        <w:tc>
          <w:tcPr>
            <w:tcW w:w="1439" w:type="dxa"/>
            <w:vAlign w:val="center"/>
          </w:tcPr>
          <w:p>
            <w:pPr>
              <w:jc w:val="center"/>
              <w:rPr>
                <w:rFonts w:hAnsi="宋体"/>
                <w:sz w:val="24"/>
              </w:rPr>
            </w:pPr>
            <w:r>
              <w:rPr>
                <w:rFonts w:hAnsi="宋体"/>
                <w:sz w:val="24"/>
              </w:rPr>
              <w:t>级</w:t>
            </w:r>
          </w:p>
        </w:tc>
        <w:tc>
          <w:tcPr>
            <w:tcW w:w="2081" w:type="dxa"/>
            <w:vAlign w:val="center"/>
          </w:tcPr>
          <w:p>
            <w:pPr>
              <w:jc w:val="center"/>
              <w:rPr>
                <w:rFonts w:hAnsi="宋体"/>
                <w:sz w:val="24"/>
              </w:rPr>
            </w:pPr>
            <w:r>
              <w:rPr>
                <w:rFonts w:hint="eastAsia" w:hAnsi="宋体"/>
                <w:sz w:val="24"/>
              </w:rPr>
              <w:t>建造师专业</w:t>
            </w:r>
          </w:p>
        </w:tc>
        <w:tc>
          <w:tcPr>
            <w:tcW w:w="23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80" w:type="dxa"/>
            <w:gridSpan w:val="3"/>
            <w:vAlign w:val="center"/>
          </w:tcPr>
          <w:p>
            <w:pPr>
              <w:jc w:val="center"/>
              <w:rPr>
                <w:rFonts w:hAnsi="宋体"/>
                <w:sz w:val="24"/>
              </w:rPr>
            </w:pPr>
            <w:r>
              <w:rPr>
                <w:rFonts w:hint="eastAsia" w:hAnsi="宋体"/>
                <w:sz w:val="24"/>
              </w:rPr>
              <w:t>安全生产考核合格证书</w:t>
            </w:r>
          </w:p>
        </w:tc>
        <w:tc>
          <w:tcPr>
            <w:tcW w:w="591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毕业学校</w:t>
            </w:r>
          </w:p>
        </w:tc>
        <w:tc>
          <w:tcPr>
            <w:tcW w:w="8367"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9"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时  间</w:t>
            </w:r>
          </w:p>
        </w:tc>
        <w:tc>
          <w:tcPr>
            <w:tcW w:w="3887" w:type="dxa"/>
            <w:gridSpan w:val="3"/>
            <w:vAlign w:val="center"/>
          </w:tcPr>
          <w:p>
            <w:pPr>
              <w:jc w:val="center"/>
              <w:rPr>
                <w:rFonts w:hAnsi="宋体"/>
                <w:sz w:val="24"/>
              </w:rPr>
            </w:pPr>
            <w:r>
              <w:rPr>
                <w:rFonts w:hint="eastAsia" w:hAnsi="宋体"/>
                <w:sz w:val="24"/>
              </w:rPr>
              <w:t>参加过的类似项目名称</w:t>
            </w:r>
          </w:p>
        </w:tc>
        <w:tc>
          <w:tcPr>
            <w:tcW w:w="2081" w:type="dxa"/>
            <w:vAlign w:val="center"/>
          </w:tcPr>
          <w:p>
            <w:pPr>
              <w:jc w:val="center"/>
              <w:rPr>
                <w:rFonts w:hAnsi="宋体"/>
                <w:sz w:val="24"/>
              </w:rPr>
            </w:pPr>
            <w:r>
              <w:rPr>
                <w:rFonts w:hint="eastAsia" w:hAnsi="宋体"/>
                <w:sz w:val="24"/>
              </w:rPr>
              <w:t>工程概况说明</w:t>
            </w:r>
          </w:p>
        </w:tc>
        <w:tc>
          <w:tcPr>
            <w:tcW w:w="239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312"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2"/>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0"/>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sz w:val="52"/>
          <w:szCs w:val="22"/>
        </w:rPr>
      </w:pPr>
      <w:r>
        <w:rPr>
          <w:rFonts w:hint="eastAsia" w:hAnsi="宋体" w:cs="宋体"/>
          <w:bCs/>
          <w:sz w:val="32"/>
          <w:szCs w:val="22"/>
        </w:rPr>
        <w:t>建安建工公字〔2020〕</w:t>
      </w:r>
      <w:r>
        <w:rPr>
          <w:rFonts w:hint="default" w:hAnsi="宋体" w:cs="宋体"/>
          <w:bCs/>
          <w:sz w:val="32"/>
          <w:szCs w:val="22"/>
          <w:lang w:val="en-US"/>
        </w:rPr>
        <w:t>29</w:t>
      </w:r>
      <w:r>
        <w:rPr>
          <w:rFonts w:hint="eastAsia" w:hAnsi="宋体" w:cs="宋体"/>
          <w:bCs/>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8"/>
        <w:jc w:val="center"/>
        <w:rPr>
          <w:rFonts w:hAnsi="宋体"/>
          <w:color w:val="auto"/>
          <w:sz w:val="23"/>
          <w:u w:val="single"/>
        </w:rPr>
      </w:pPr>
    </w:p>
    <w:p>
      <w:pPr>
        <w:pStyle w:val="68"/>
        <w:spacing w:line="400" w:lineRule="exact"/>
        <w:jc w:val="center"/>
        <w:rPr>
          <w:rFonts w:hAnsi="宋体"/>
          <w:color w:val="auto"/>
          <w:sz w:val="23"/>
        </w:rPr>
      </w:pPr>
    </w:p>
    <w:p>
      <w:pPr>
        <w:pStyle w:val="68"/>
        <w:spacing w:line="400" w:lineRule="exact"/>
        <w:jc w:val="center"/>
        <w:rPr>
          <w:rFonts w:hAnsi="宋体"/>
          <w:color w:val="auto"/>
          <w:sz w:val="23"/>
        </w:rPr>
      </w:pPr>
    </w:p>
    <w:p>
      <w:pPr>
        <w:pStyle w:val="68"/>
        <w:spacing w:line="400" w:lineRule="exact"/>
        <w:jc w:val="center"/>
        <w:rPr>
          <w:rFonts w:hAnsi="宋体"/>
          <w:color w:val="auto"/>
          <w:sz w:val="23"/>
          <w:u w:val="single"/>
        </w:rPr>
      </w:pPr>
      <w:r>
        <w:rPr>
          <w:rFonts w:hint="eastAsia" w:hAnsi="宋体"/>
          <w:color w:val="auto"/>
          <w:sz w:val="23"/>
        </w:rPr>
        <w:t>投标人：（盖单位章）</w:t>
      </w:r>
    </w:p>
    <w:p>
      <w:pPr>
        <w:pStyle w:val="68"/>
        <w:spacing w:line="400" w:lineRule="exact"/>
        <w:jc w:val="center"/>
        <w:rPr>
          <w:rFonts w:hAnsi="宋体"/>
          <w:color w:val="auto"/>
          <w:sz w:val="23"/>
          <w:u w:val="single"/>
        </w:rPr>
      </w:pPr>
      <w:r>
        <w:rPr>
          <w:rFonts w:hint="eastAsia" w:hAnsi="宋体"/>
          <w:color w:val="auto"/>
          <w:sz w:val="23"/>
        </w:rPr>
        <w:t>法定代表人或其委托代理人：（签字）</w:t>
      </w:r>
    </w:p>
    <w:p>
      <w:pPr>
        <w:pStyle w:val="68"/>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sectPr>
      <w:footerReference r:id="rId8" w:type="first"/>
      <w:footerReference r:id="rId7"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hakuyoxingshu7000"/>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新魏">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altName w:val="hakuyoxingshu7000"/>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14935" cy="280035"/>
              <wp:effectExtent l="0" t="0" r="0" b="4445"/>
              <wp:wrapNone/>
              <wp:docPr id="6" name="4098"/>
              <wp:cNvGraphicFramePr/>
              <a:graphic xmlns:a="http://schemas.openxmlformats.org/drawingml/2006/main">
                <a:graphicData uri="http://schemas.microsoft.com/office/word/2010/wordprocessingShape">
                  <wps:wsp>
                    <wps:cNvSpPr txBox="1">
                      <a:spLocks noChangeArrowheads="1"/>
                    </wps:cNvSpPr>
                    <wps:spPr bwMode="auto">
                      <a:xfrm>
                        <a:off x="0" y="0"/>
                        <a:ext cx="114935" cy="280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4098" o:spid="_x0000_s1026" o:spt="202" type="#_x0000_t202" style="position:absolute;left:0pt;margin-top:0pt;height:22.05pt;width:9.05pt;mso-position-horizontal:center;mso-position-horizontal-relative:margin;mso-wrap-style:none;z-index:251655168;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AHJs0AAAAAMBAAAPAAAAAAAAAAEAIAAA&#10;ACIAAABkcnMvZG93bnJldi54bWxQSwECFAAUAAAACACHTuJArckrbNsBAACtAwAADgAAAAAAAAAB&#10;ACAAAAAfAQAAZHJzL2Uyb0RvYy54bWxQSwUGAAAAAAYABgBZAQAAb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4099" o:spid="_x0000_s1026" o:spt="202" type="#_x0000_t202" style="position:absolute;left:0pt;margin-top:0pt;height:11.65pt;width:4.55pt;mso-position-horizontal:center;mso-position-horizontal-relative:margin;mso-wrap-style:none;z-index:25165619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fLHALRAAAAAgEAAA8AAAAAAAAAAQAg&#10;AAAAIgAAAGRycy9kb3ducmV2LnhtbFBLAQIUABQAAAAIAIdO4kBmziqj3AEAAKwDAAAOAAAAAAAA&#10;AAEAIAAAACABAABkcnMvZTJvRG9jLnhtbFBLBQYAAAAABgAGAFkBAABu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47955"/>
              <wp:effectExtent l="0" t="0" r="0" b="4445"/>
              <wp:wrapNone/>
              <wp:docPr id="4" name="4100"/>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snapToGrid w:val="0"/>
                            <w:rPr>
                              <w:sz w:val="18"/>
                            </w:rPr>
                          </w:pPr>
                          <w:r>
                            <w:rPr>
                              <w:rFonts w:hint="eastAsia"/>
                              <w:sz w:val="18"/>
                            </w:rPr>
                            <w:t>1</w:t>
                          </w:r>
                        </w:p>
                      </w:txbxContent>
                    </wps:txbx>
                    <wps:bodyPr rot="0" vert="horz" wrap="none" lIns="0" tIns="0" rIns="0" bIns="0" anchor="t" anchorCtr="0" upright="1">
                      <a:spAutoFit/>
                    </wps:bodyPr>
                  </wps:wsp>
                </a:graphicData>
              </a:graphic>
            </wp:anchor>
          </w:drawing>
        </mc:Choice>
        <mc:Fallback>
          <w:pict>
            <v:shape id="4100" o:spid="_x0000_s1026" o:spt="202" type="#_x0000_t202" style="position:absolute;left:0pt;margin-top:0pt;height:11.65pt;width:4.55pt;mso-position-horizontal:center;mso-position-horizontal-relative:margin;mso-wrap-style:none;z-index:251657216;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yxwC0QAAAAIBAAAPAAAAAAAAAAEA&#10;IAAAACIAAABkcnMvZG93bnJldi54bWxQSwECFAAUAAAACACHTuJAY4WGWN0BAACsAwAADgAAAAAA&#10;AAABACAAAAAg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410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4101"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6W/D9EAAAADAQAADwAAAAAAAAABACAA&#10;AAAiAAAAZHJzL2Rvd25yZXYueG1sUEsBAhQAFAAAAAgAh07iQLgF7RrbAQAArQMAAA4AAAAAAAAA&#10;AQAgAAAAIAEAAGRycy9lMm9Eb2MueG1sUEsFBgAAAAAGAAYAWQEAAG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3119755</wp:posOffset>
              </wp:positionH>
              <wp:positionV relativeFrom="paragraph">
                <wp:posOffset>-13335</wp:posOffset>
              </wp:positionV>
              <wp:extent cx="114935" cy="147955"/>
              <wp:effectExtent l="0" t="0" r="3810" b="0"/>
              <wp:wrapNone/>
              <wp:docPr id="2" name="410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4102" o:spid="_x0000_s1026" o:spt="202" type="#_x0000_t202" style="position:absolute;left:0pt;margin-left:245.65pt;margin-top:-1.05pt;height:11.65pt;width:9.05pt;mso-position-horizontal-relative:margin;mso-wrap-style:none;z-index:251660288;mso-width-relative:page;mso-height-relative:page;" filled="f" stroked="f" coordsize="21600,21600" o:gfxdata="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vq+1rWAAAACQEAAA8AAAAA&#10;AAAAAQAgAAAAIgAAAGRycy9kb3ducmV2LnhtbFBLAQIUABQAAAAIAIdO4kAWcAqr3QEAAK0DAAAO&#10;AAAAAAAAAAEAIAAAACUBAABkcnMvZTJvRG9jLnhtbFBLBQYAAAAABgAGAFkBAAB0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4103"/>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4103"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fLHALRAAAAAgEAAA8AAAAAAAAAAQAg&#10;AAAAIgAAAGRycy9kb3ducmV2LnhtbFBLAQIUABQAAAAIAIdO4kAmo6hO3AEAAKwDAAAOAAAAAAAA&#10;AAEAIAAAACABAABkcnMvZTJvRG9jLnhtbFBLBQYAAAAABgAGAFkBAABu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singleLevel"/>
    <w:tmpl w:val="00000007"/>
    <w:lvl w:ilvl="0" w:tentative="0">
      <w:start w:val="2"/>
      <w:numFmt w:val="decimal"/>
      <w:suff w:val="nothing"/>
      <w:lvlText w:val="%1、"/>
      <w:lvlJc w:val="left"/>
    </w:lvl>
  </w:abstractNum>
  <w:abstractNum w:abstractNumId="4">
    <w:nsid w:val="00000008"/>
    <w:multiLevelType w:val="singleLevel"/>
    <w:tmpl w:val="00000008"/>
    <w:lvl w:ilvl="0" w:tentative="0">
      <w:start w:val="4"/>
      <w:numFmt w:val="decimal"/>
      <w:suff w:val="nothing"/>
      <w:lvlText w:val="%1、"/>
      <w:lvlJc w:val="left"/>
    </w:lvl>
  </w:abstractNum>
  <w:abstractNum w:abstractNumId="5">
    <w:nsid w:val="00000009"/>
    <w:multiLevelType w:val="singleLevel"/>
    <w:tmpl w:val="00000009"/>
    <w:lvl w:ilvl="0" w:tentative="0">
      <w:start w:val="1"/>
      <w:numFmt w:val="chineseCounting"/>
      <w:suff w:val="nothing"/>
      <w:lvlText w:val="%1、"/>
      <w:lvlJc w:val="left"/>
    </w:lvl>
  </w:abstractNum>
  <w:abstractNum w:abstractNumId="6">
    <w:nsid w:val="0000000A"/>
    <w:multiLevelType w:val="singleLevel"/>
    <w:tmpl w:val="0000000A"/>
    <w:lvl w:ilvl="0" w:tentative="0">
      <w:start w:val="1"/>
      <w:numFmt w:val="chineseCounting"/>
      <w:suff w:val="space"/>
      <w:lvlText w:val="第%1章"/>
      <w:lvlJc w:val="left"/>
    </w:lvl>
  </w:abstractNum>
  <w:abstractNum w:abstractNumId="7">
    <w:nsid w:val="0000000B"/>
    <w:multiLevelType w:val="multilevel"/>
    <w:tmpl w:val="0000000B"/>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E"/>
    <w:multiLevelType w:val="singleLevel"/>
    <w:tmpl w:val="0000000E"/>
    <w:lvl w:ilvl="0" w:tentative="0">
      <w:start w:val="1"/>
      <w:numFmt w:val="chineseCounting"/>
      <w:suff w:val="space"/>
      <w:lvlText w:val="第%1章"/>
      <w:lvlJc w:val="left"/>
      <w:rPr>
        <w:rFonts w:hint="eastAsia"/>
      </w:rPr>
    </w:lvl>
  </w:abstractNum>
  <w:num w:numId="1">
    <w:abstractNumId w:val="8"/>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C1"/>
    <w:rsid w:val="00000F15"/>
    <w:rsid w:val="00005FE9"/>
    <w:rsid w:val="00010D18"/>
    <w:rsid w:val="0002369E"/>
    <w:rsid w:val="0002439D"/>
    <w:rsid w:val="000270CE"/>
    <w:rsid w:val="000331D7"/>
    <w:rsid w:val="00033471"/>
    <w:rsid w:val="0003368E"/>
    <w:rsid w:val="000407E5"/>
    <w:rsid w:val="00047EC4"/>
    <w:rsid w:val="00060D24"/>
    <w:rsid w:val="000618E7"/>
    <w:rsid w:val="0006749D"/>
    <w:rsid w:val="00072228"/>
    <w:rsid w:val="00075CC3"/>
    <w:rsid w:val="00080FAC"/>
    <w:rsid w:val="000819B7"/>
    <w:rsid w:val="00081FEA"/>
    <w:rsid w:val="0008487A"/>
    <w:rsid w:val="0008498A"/>
    <w:rsid w:val="00085490"/>
    <w:rsid w:val="00086D49"/>
    <w:rsid w:val="00087125"/>
    <w:rsid w:val="0008779E"/>
    <w:rsid w:val="0009024D"/>
    <w:rsid w:val="0009097E"/>
    <w:rsid w:val="00091241"/>
    <w:rsid w:val="000A4C3B"/>
    <w:rsid w:val="000B4E54"/>
    <w:rsid w:val="000B6A49"/>
    <w:rsid w:val="000C0107"/>
    <w:rsid w:val="000C2D30"/>
    <w:rsid w:val="000C3F47"/>
    <w:rsid w:val="000C6E9C"/>
    <w:rsid w:val="000C7616"/>
    <w:rsid w:val="000D7447"/>
    <w:rsid w:val="000E472F"/>
    <w:rsid w:val="000E6B5F"/>
    <w:rsid w:val="000F1377"/>
    <w:rsid w:val="000F3F41"/>
    <w:rsid w:val="00101372"/>
    <w:rsid w:val="001020BC"/>
    <w:rsid w:val="001066F6"/>
    <w:rsid w:val="00114529"/>
    <w:rsid w:val="00120EC3"/>
    <w:rsid w:val="00120FF9"/>
    <w:rsid w:val="001230D9"/>
    <w:rsid w:val="0013011D"/>
    <w:rsid w:val="00131397"/>
    <w:rsid w:val="00140CBB"/>
    <w:rsid w:val="001410E1"/>
    <w:rsid w:val="0014310C"/>
    <w:rsid w:val="001456BF"/>
    <w:rsid w:val="00145BEA"/>
    <w:rsid w:val="0016098E"/>
    <w:rsid w:val="00161F5E"/>
    <w:rsid w:val="0016272A"/>
    <w:rsid w:val="00180F94"/>
    <w:rsid w:val="00182326"/>
    <w:rsid w:val="00187D92"/>
    <w:rsid w:val="001A26E8"/>
    <w:rsid w:val="001B0596"/>
    <w:rsid w:val="001B46C4"/>
    <w:rsid w:val="001D70ED"/>
    <w:rsid w:val="00200E21"/>
    <w:rsid w:val="002028F0"/>
    <w:rsid w:val="00202A86"/>
    <w:rsid w:val="002054C2"/>
    <w:rsid w:val="002059D6"/>
    <w:rsid w:val="00206ED0"/>
    <w:rsid w:val="00213282"/>
    <w:rsid w:val="0021458D"/>
    <w:rsid w:val="002146F2"/>
    <w:rsid w:val="002174AA"/>
    <w:rsid w:val="00232337"/>
    <w:rsid w:val="00237B2D"/>
    <w:rsid w:val="00244D5C"/>
    <w:rsid w:val="0026660C"/>
    <w:rsid w:val="0027211B"/>
    <w:rsid w:val="0028398F"/>
    <w:rsid w:val="002965A0"/>
    <w:rsid w:val="002A3941"/>
    <w:rsid w:val="002B41EB"/>
    <w:rsid w:val="002B5354"/>
    <w:rsid w:val="002B7128"/>
    <w:rsid w:val="002D2F43"/>
    <w:rsid w:val="002D41A9"/>
    <w:rsid w:val="002D4448"/>
    <w:rsid w:val="002D611D"/>
    <w:rsid w:val="002E1EDA"/>
    <w:rsid w:val="002E5F69"/>
    <w:rsid w:val="002F6110"/>
    <w:rsid w:val="003053B8"/>
    <w:rsid w:val="0030736E"/>
    <w:rsid w:val="00310D60"/>
    <w:rsid w:val="0032659D"/>
    <w:rsid w:val="003272F0"/>
    <w:rsid w:val="00327F5F"/>
    <w:rsid w:val="00330627"/>
    <w:rsid w:val="00331894"/>
    <w:rsid w:val="00334665"/>
    <w:rsid w:val="00344370"/>
    <w:rsid w:val="0035113A"/>
    <w:rsid w:val="00352C32"/>
    <w:rsid w:val="00362376"/>
    <w:rsid w:val="00363C23"/>
    <w:rsid w:val="00363E47"/>
    <w:rsid w:val="00375EE6"/>
    <w:rsid w:val="0038154A"/>
    <w:rsid w:val="003817B6"/>
    <w:rsid w:val="00383B1E"/>
    <w:rsid w:val="00392A52"/>
    <w:rsid w:val="003B0839"/>
    <w:rsid w:val="003B31E5"/>
    <w:rsid w:val="003D4300"/>
    <w:rsid w:val="003E28E7"/>
    <w:rsid w:val="003E30E0"/>
    <w:rsid w:val="003E4892"/>
    <w:rsid w:val="003E4EB7"/>
    <w:rsid w:val="003F0CE3"/>
    <w:rsid w:val="003F14A3"/>
    <w:rsid w:val="00402A30"/>
    <w:rsid w:val="00412337"/>
    <w:rsid w:val="00413319"/>
    <w:rsid w:val="00416881"/>
    <w:rsid w:val="00431644"/>
    <w:rsid w:val="00433432"/>
    <w:rsid w:val="0045597C"/>
    <w:rsid w:val="00457400"/>
    <w:rsid w:val="00465A56"/>
    <w:rsid w:val="00477133"/>
    <w:rsid w:val="004859BF"/>
    <w:rsid w:val="00486AC6"/>
    <w:rsid w:val="0049169A"/>
    <w:rsid w:val="00492217"/>
    <w:rsid w:val="004A7C89"/>
    <w:rsid w:val="004B7A35"/>
    <w:rsid w:val="004C61A8"/>
    <w:rsid w:val="004E20D7"/>
    <w:rsid w:val="004E2EFF"/>
    <w:rsid w:val="004E3C63"/>
    <w:rsid w:val="004E6EBD"/>
    <w:rsid w:val="004E7C23"/>
    <w:rsid w:val="004F6DE5"/>
    <w:rsid w:val="005078BC"/>
    <w:rsid w:val="00516D52"/>
    <w:rsid w:val="00521158"/>
    <w:rsid w:val="00533D58"/>
    <w:rsid w:val="005356CE"/>
    <w:rsid w:val="00535822"/>
    <w:rsid w:val="005411D4"/>
    <w:rsid w:val="00555BC1"/>
    <w:rsid w:val="00560022"/>
    <w:rsid w:val="005634A5"/>
    <w:rsid w:val="00573EF5"/>
    <w:rsid w:val="0058258C"/>
    <w:rsid w:val="00586506"/>
    <w:rsid w:val="005930E9"/>
    <w:rsid w:val="00595696"/>
    <w:rsid w:val="00597113"/>
    <w:rsid w:val="00597C38"/>
    <w:rsid w:val="005C76DA"/>
    <w:rsid w:val="005F01AC"/>
    <w:rsid w:val="005F359A"/>
    <w:rsid w:val="006067A5"/>
    <w:rsid w:val="00606F12"/>
    <w:rsid w:val="00610AB1"/>
    <w:rsid w:val="006132A7"/>
    <w:rsid w:val="00617762"/>
    <w:rsid w:val="006327CB"/>
    <w:rsid w:val="00632FE0"/>
    <w:rsid w:val="006349BA"/>
    <w:rsid w:val="006410DE"/>
    <w:rsid w:val="00651089"/>
    <w:rsid w:val="00656E98"/>
    <w:rsid w:val="00661051"/>
    <w:rsid w:val="0066196D"/>
    <w:rsid w:val="00664398"/>
    <w:rsid w:val="00667C89"/>
    <w:rsid w:val="0067182D"/>
    <w:rsid w:val="00672DD7"/>
    <w:rsid w:val="006956E9"/>
    <w:rsid w:val="0069625A"/>
    <w:rsid w:val="006A5FEE"/>
    <w:rsid w:val="006B672C"/>
    <w:rsid w:val="006B68BA"/>
    <w:rsid w:val="006C3857"/>
    <w:rsid w:val="006D5906"/>
    <w:rsid w:val="006F1AE2"/>
    <w:rsid w:val="006F3A46"/>
    <w:rsid w:val="006F5265"/>
    <w:rsid w:val="007004A3"/>
    <w:rsid w:val="007044AF"/>
    <w:rsid w:val="00712F87"/>
    <w:rsid w:val="00713BA7"/>
    <w:rsid w:val="0071626E"/>
    <w:rsid w:val="00716C9A"/>
    <w:rsid w:val="00716D7B"/>
    <w:rsid w:val="00732964"/>
    <w:rsid w:val="007371AD"/>
    <w:rsid w:val="00742CDC"/>
    <w:rsid w:val="007451EF"/>
    <w:rsid w:val="00747CA5"/>
    <w:rsid w:val="00750ABB"/>
    <w:rsid w:val="00754FFC"/>
    <w:rsid w:val="007609ED"/>
    <w:rsid w:val="0076348D"/>
    <w:rsid w:val="00764F8A"/>
    <w:rsid w:val="00765ECD"/>
    <w:rsid w:val="0077387A"/>
    <w:rsid w:val="007900A8"/>
    <w:rsid w:val="0079473F"/>
    <w:rsid w:val="007B2CB2"/>
    <w:rsid w:val="007B7568"/>
    <w:rsid w:val="007C00BD"/>
    <w:rsid w:val="007C21B4"/>
    <w:rsid w:val="007D0375"/>
    <w:rsid w:val="007D1358"/>
    <w:rsid w:val="007D2AA5"/>
    <w:rsid w:val="007D73DB"/>
    <w:rsid w:val="007E2050"/>
    <w:rsid w:val="007E7EF7"/>
    <w:rsid w:val="007F0DC8"/>
    <w:rsid w:val="007F6DB9"/>
    <w:rsid w:val="00802645"/>
    <w:rsid w:val="008029C6"/>
    <w:rsid w:val="00820B52"/>
    <w:rsid w:val="00822754"/>
    <w:rsid w:val="008314C7"/>
    <w:rsid w:val="00834EA5"/>
    <w:rsid w:val="008515B7"/>
    <w:rsid w:val="00856384"/>
    <w:rsid w:val="00875FE8"/>
    <w:rsid w:val="00876F42"/>
    <w:rsid w:val="00890C47"/>
    <w:rsid w:val="00890F01"/>
    <w:rsid w:val="008976BB"/>
    <w:rsid w:val="008A4266"/>
    <w:rsid w:val="008A426A"/>
    <w:rsid w:val="008A6F41"/>
    <w:rsid w:val="008C1636"/>
    <w:rsid w:val="008D05D8"/>
    <w:rsid w:val="008D6011"/>
    <w:rsid w:val="008D7DE7"/>
    <w:rsid w:val="008E214E"/>
    <w:rsid w:val="008E559F"/>
    <w:rsid w:val="008E59E7"/>
    <w:rsid w:val="0090384B"/>
    <w:rsid w:val="00906CC6"/>
    <w:rsid w:val="00906EC9"/>
    <w:rsid w:val="00911CDD"/>
    <w:rsid w:val="00912AF1"/>
    <w:rsid w:val="0092644A"/>
    <w:rsid w:val="009360A9"/>
    <w:rsid w:val="00944D46"/>
    <w:rsid w:val="00944E9E"/>
    <w:rsid w:val="00952CE4"/>
    <w:rsid w:val="009733FB"/>
    <w:rsid w:val="00980279"/>
    <w:rsid w:val="00984AFA"/>
    <w:rsid w:val="0099798C"/>
    <w:rsid w:val="009A1AF2"/>
    <w:rsid w:val="009A4012"/>
    <w:rsid w:val="009C3C54"/>
    <w:rsid w:val="009D2B52"/>
    <w:rsid w:val="009E1329"/>
    <w:rsid w:val="009E3249"/>
    <w:rsid w:val="009E5C64"/>
    <w:rsid w:val="009E6E0A"/>
    <w:rsid w:val="009E70DC"/>
    <w:rsid w:val="00A00B21"/>
    <w:rsid w:val="00A13BE2"/>
    <w:rsid w:val="00A15E1F"/>
    <w:rsid w:val="00A219E7"/>
    <w:rsid w:val="00A27740"/>
    <w:rsid w:val="00A3567D"/>
    <w:rsid w:val="00A452F0"/>
    <w:rsid w:val="00A5013C"/>
    <w:rsid w:val="00A533C3"/>
    <w:rsid w:val="00A553C6"/>
    <w:rsid w:val="00A67585"/>
    <w:rsid w:val="00A705C5"/>
    <w:rsid w:val="00A7174A"/>
    <w:rsid w:val="00A719D0"/>
    <w:rsid w:val="00A8154A"/>
    <w:rsid w:val="00A82F85"/>
    <w:rsid w:val="00A8325B"/>
    <w:rsid w:val="00A86CDF"/>
    <w:rsid w:val="00A91245"/>
    <w:rsid w:val="00A9175A"/>
    <w:rsid w:val="00AA01D2"/>
    <w:rsid w:val="00AA1B13"/>
    <w:rsid w:val="00AA7204"/>
    <w:rsid w:val="00AB471E"/>
    <w:rsid w:val="00AC00B0"/>
    <w:rsid w:val="00AD3EF7"/>
    <w:rsid w:val="00AE1784"/>
    <w:rsid w:val="00AE4B0B"/>
    <w:rsid w:val="00B051A3"/>
    <w:rsid w:val="00B15108"/>
    <w:rsid w:val="00B20EF7"/>
    <w:rsid w:val="00B36031"/>
    <w:rsid w:val="00B379F8"/>
    <w:rsid w:val="00B40209"/>
    <w:rsid w:val="00B448A1"/>
    <w:rsid w:val="00B522C4"/>
    <w:rsid w:val="00B61D47"/>
    <w:rsid w:val="00B61EFB"/>
    <w:rsid w:val="00B70B4C"/>
    <w:rsid w:val="00B85063"/>
    <w:rsid w:val="00B94536"/>
    <w:rsid w:val="00B97FF3"/>
    <w:rsid w:val="00BA6034"/>
    <w:rsid w:val="00BA708E"/>
    <w:rsid w:val="00BB319B"/>
    <w:rsid w:val="00BD60F9"/>
    <w:rsid w:val="00BE02ED"/>
    <w:rsid w:val="00BE11EE"/>
    <w:rsid w:val="00BE5BAE"/>
    <w:rsid w:val="00BF05B9"/>
    <w:rsid w:val="00BF3165"/>
    <w:rsid w:val="00BF31A1"/>
    <w:rsid w:val="00C054FE"/>
    <w:rsid w:val="00C12FB6"/>
    <w:rsid w:val="00C1448A"/>
    <w:rsid w:val="00C1715B"/>
    <w:rsid w:val="00C2020E"/>
    <w:rsid w:val="00C2039E"/>
    <w:rsid w:val="00C23AC1"/>
    <w:rsid w:val="00C2713A"/>
    <w:rsid w:val="00C3532F"/>
    <w:rsid w:val="00C368EB"/>
    <w:rsid w:val="00C40DC1"/>
    <w:rsid w:val="00C45973"/>
    <w:rsid w:val="00C52EE1"/>
    <w:rsid w:val="00C56900"/>
    <w:rsid w:val="00C57590"/>
    <w:rsid w:val="00C60D81"/>
    <w:rsid w:val="00C72650"/>
    <w:rsid w:val="00C745D2"/>
    <w:rsid w:val="00C75DD9"/>
    <w:rsid w:val="00C81B2B"/>
    <w:rsid w:val="00C96223"/>
    <w:rsid w:val="00C971E4"/>
    <w:rsid w:val="00CA29B5"/>
    <w:rsid w:val="00CB52C5"/>
    <w:rsid w:val="00CB5620"/>
    <w:rsid w:val="00CB60D7"/>
    <w:rsid w:val="00CC583A"/>
    <w:rsid w:val="00CC6F2C"/>
    <w:rsid w:val="00CD11CC"/>
    <w:rsid w:val="00CD16DB"/>
    <w:rsid w:val="00CD44A8"/>
    <w:rsid w:val="00CD44F8"/>
    <w:rsid w:val="00CE3626"/>
    <w:rsid w:val="00CE5D42"/>
    <w:rsid w:val="00CF68DE"/>
    <w:rsid w:val="00D05D46"/>
    <w:rsid w:val="00D06D38"/>
    <w:rsid w:val="00D1590E"/>
    <w:rsid w:val="00D15F4D"/>
    <w:rsid w:val="00D17873"/>
    <w:rsid w:val="00D437E6"/>
    <w:rsid w:val="00D517C4"/>
    <w:rsid w:val="00D529D3"/>
    <w:rsid w:val="00D5383A"/>
    <w:rsid w:val="00D54156"/>
    <w:rsid w:val="00D5423A"/>
    <w:rsid w:val="00D555EF"/>
    <w:rsid w:val="00D622B8"/>
    <w:rsid w:val="00D647D8"/>
    <w:rsid w:val="00D6548A"/>
    <w:rsid w:val="00D67047"/>
    <w:rsid w:val="00D70A0E"/>
    <w:rsid w:val="00D71261"/>
    <w:rsid w:val="00D8059D"/>
    <w:rsid w:val="00D94B4C"/>
    <w:rsid w:val="00DA1883"/>
    <w:rsid w:val="00DA7A27"/>
    <w:rsid w:val="00DB04D1"/>
    <w:rsid w:val="00DB16C7"/>
    <w:rsid w:val="00DB377B"/>
    <w:rsid w:val="00DC0844"/>
    <w:rsid w:val="00DC11D4"/>
    <w:rsid w:val="00DC728F"/>
    <w:rsid w:val="00DE4E1A"/>
    <w:rsid w:val="00DF2F28"/>
    <w:rsid w:val="00E0138E"/>
    <w:rsid w:val="00E04CDB"/>
    <w:rsid w:val="00E12885"/>
    <w:rsid w:val="00E27E85"/>
    <w:rsid w:val="00E3176E"/>
    <w:rsid w:val="00E3743D"/>
    <w:rsid w:val="00E404CA"/>
    <w:rsid w:val="00E4490B"/>
    <w:rsid w:val="00E54034"/>
    <w:rsid w:val="00E7409D"/>
    <w:rsid w:val="00E82A4C"/>
    <w:rsid w:val="00E94979"/>
    <w:rsid w:val="00EA0210"/>
    <w:rsid w:val="00EA083F"/>
    <w:rsid w:val="00EA7826"/>
    <w:rsid w:val="00EB39BE"/>
    <w:rsid w:val="00EC771C"/>
    <w:rsid w:val="00EE1283"/>
    <w:rsid w:val="00EF1943"/>
    <w:rsid w:val="00F041DF"/>
    <w:rsid w:val="00F057D2"/>
    <w:rsid w:val="00F367F9"/>
    <w:rsid w:val="00F37D0C"/>
    <w:rsid w:val="00F456C0"/>
    <w:rsid w:val="00F45BAB"/>
    <w:rsid w:val="00F51C30"/>
    <w:rsid w:val="00F555B9"/>
    <w:rsid w:val="00F5631B"/>
    <w:rsid w:val="00F578DC"/>
    <w:rsid w:val="00F603C6"/>
    <w:rsid w:val="00F63F84"/>
    <w:rsid w:val="00F65973"/>
    <w:rsid w:val="00F672F5"/>
    <w:rsid w:val="00F72ECA"/>
    <w:rsid w:val="00F72F06"/>
    <w:rsid w:val="00F763BE"/>
    <w:rsid w:val="00F91BA3"/>
    <w:rsid w:val="00F97DE5"/>
    <w:rsid w:val="00FA09D2"/>
    <w:rsid w:val="00FA5321"/>
    <w:rsid w:val="00FA73A7"/>
    <w:rsid w:val="00FB0A8E"/>
    <w:rsid w:val="00FB20D3"/>
    <w:rsid w:val="00FC3C41"/>
    <w:rsid w:val="00FC7F6E"/>
    <w:rsid w:val="00FE1DC9"/>
    <w:rsid w:val="00FE60C1"/>
    <w:rsid w:val="00FF0F7D"/>
    <w:rsid w:val="00FF311C"/>
    <w:rsid w:val="00FF41CD"/>
    <w:rsid w:val="01E95D4F"/>
    <w:rsid w:val="024C7E53"/>
    <w:rsid w:val="02E5379D"/>
    <w:rsid w:val="03ED6C28"/>
    <w:rsid w:val="05BA3968"/>
    <w:rsid w:val="07211503"/>
    <w:rsid w:val="088D5921"/>
    <w:rsid w:val="08FF34FB"/>
    <w:rsid w:val="0A1E0875"/>
    <w:rsid w:val="0BEC610F"/>
    <w:rsid w:val="0DB8668A"/>
    <w:rsid w:val="0DE259E0"/>
    <w:rsid w:val="0ED43C09"/>
    <w:rsid w:val="10617579"/>
    <w:rsid w:val="172761C1"/>
    <w:rsid w:val="17395CE6"/>
    <w:rsid w:val="18595153"/>
    <w:rsid w:val="1B695BE2"/>
    <w:rsid w:val="1B7E1236"/>
    <w:rsid w:val="1BC930B7"/>
    <w:rsid w:val="1DC80FFF"/>
    <w:rsid w:val="1E6748DD"/>
    <w:rsid w:val="1EB339D9"/>
    <w:rsid w:val="20B5077A"/>
    <w:rsid w:val="21B6178C"/>
    <w:rsid w:val="21D25BC2"/>
    <w:rsid w:val="22194E8F"/>
    <w:rsid w:val="24A1575C"/>
    <w:rsid w:val="27327F4E"/>
    <w:rsid w:val="273D7DC6"/>
    <w:rsid w:val="28B467BC"/>
    <w:rsid w:val="2A7C48C7"/>
    <w:rsid w:val="2AE16354"/>
    <w:rsid w:val="2AED0B56"/>
    <w:rsid w:val="2C0E6F98"/>
    <w:rsid w:val="2C3264DD"/>
    <w:rsid w:val="2C697AFC"/>
    <w:rsid w:val="2CD93CD7"/>
    <w:rsid w:val="2FBF17DF"/>
    <w:rsid w:val="334F6193"/>
    <w:rsid w:val="33C26C9D"/>
    <w:rsid w:val="350B3B25"/>
    <w:rsid w:val="38B65798"/>
    <w:rsid w:val="3C332468"/>
    <w:rsid w:val="3C627C6D"/>
    <w:rsid w:val="3C7E7276"/>
    <w:rsid w:val="3CCA7333"/>
    <w:rsid w:val="408F480C"/>
    <w:rsid w:val="40991429"/>
    <w:rsid w:val="41EE54C6"/>
    <w:rsid w:val="42997898"/>
    <w:rsid w:val="443817C4"/>
    <w:rsid w:val="451977AB"/>
    <w:rsid w:val="46EC0E95"/>
    <w:rsid w:val="48416A6B"/>
    <w:rsid w:val="488D2BC0"/>
    <w:rsid w:val="49D739D5"/>
    <w:rsid w:val="4A7F5878"/>
    <w:rsid w:val="4C982608"/>
    <w:rsid w:val="4E822D54"/>
    <w:rsid w:val="52BF2A56"/>
    <w:rsid w:val="54B54702"/>
    <w:rsid w:val="55E16BE2"/>
    <w:rsid w:val="56461351"/>
    <w:rsid w:val="56FF10CB"/>
    <w:rsid w:val="57532B86"/>
    <w:rsid w:val="57E41F1D"/>
    <w:rsid w:val="599433D5"/>
    <w:rsid w:val="59CE2D2C"/>
    <w:rsid w:val="5A597430"/>
    <w:rsid w:val="5B172E7F"/>
    <w:rsid w:val="5CD9329E"/>
    <w:rsid w:val="5D315FC9"/>
    <w:rsid w:val="5D511066"/>
    <w:rsid w:val="5D897B41"/>
    <w:rsid w:val="5FBE2C7D"/>
    <w:rsid w:val="62324415"/>
    <w:rsid w:val="62563B98"/>
    <w:rsid w:val="63600548"/>
    <w:rsid w:val="63D37992"/>
    <w:rsid w:val="64AB5B91"/>
    <w:rsid w:val="652E50B8"/>
    <w:rsid w:val="65D9642E"/>
    <w:rsid w:val="65F03BF0"/>
    <w:rsid w:val="66CF7450"/>
    <w:rsid w:val="6A3B5FA9"/>
    <w:rsid w:val="6E5508C4"/>
    <w:rsid w:val="71DB0A2C"/>
    <w:rsid w:val="72FE2C64"/>
    <w:rsid w:val="73793A9E"/>
    <w:rsid w:val="75340578"/>
    <w:rsid w:val="76594E7A"/>
    <w:rsid w:val="76D35236"/>
    <w:rsid w:val="77492FE7"/>
    <w:rsid w:val="78A161FD"/>
    <w:rsid w:val="79BE6357"/>
    <w:rsid w:val="79D4167A"/>
    <w:rsid w:val="7B93675A"/>
    <w:rsid w:val="7C1E29D2"/>
    <w:rsid w:val="7D9B6FEE"/>
    <w:rsid w:val="7FD51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line="360" w:lineRule="auto"/>
      <w:outlineLvl w:val="3"/>
    </w:pPr>
    <w:rPr>
      <w:rFonts w:ascii="Arial" w:hAnsi="Arial"/>
      <w:b/>
      <w:bCs/>
      <w:szCs w:val="28"/>
    </w:rPr>
  </w:style>
  <w:style w:type="paragraph" w:styleId="10">
    <w:name w:val="heading 5"/>
    <w:basedOn w:val="1"/>
    <w:next w:val="1"/>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rPr>
  </w:style>
  <w:style w:type="paragraph" w:styleId="19">
    <w:name w:val="toc 3"/>
    <w:basedOn w:val="1"/>
    <w:next w:val="1"/>
    <w:qFormat/>
    <w:uiPriority w:val="0"/>
    <w:pPr>
      <w:ind w:left="840" w:leftChars="400"/>
    </w:pPr>
  </w:style>
  <w:style w:type="paragraph" w:styleId="20">
    <w:name w:val="Plain Text"/>
    <w:basedOn w:val="1"/>
    <w:link w:val="42"/>
    <w:qFormat/>
    <w:uiPriority w:val="0"/>
    <w:rPr>
      <w:rFonts w:hAnsi="Courier New" w:cs="Courier New"/>
      <w:kern w:val="2"/>
      <w:sz w:val="21"/>
      <w:szCs w:val="21"/>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rFonts w:ascii="Times New Roman"/>
      <w:kern w:val="2"/>
      <w:sz w:val="18"/>
      <w:szCs w:val="18"/>
    </w:rPr>
  </w:style>
  <w:style w:type="paragraph" w:styleId="25">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0"/>
      </w:tabs>
      <w:spacing w:line="580" w:lineRule="exact"/>
    </w:pPr>
    <w:rPr>
      <w:rFonts w:ascii="黑体" w:hAnsi="宋体" w:eastAsia="黑体" w:cs="TimesNewRomanPSMT"/>
    </w:rPr>
  </w:style>
  <w:style w:type="paragraph" w:styleId="27">
    <w:name w:val="Body Text Indent 3"/>
    <w:basedOn w:val="1"/>
    <w:qFormat/>
    <w:uiPriority w:val="0"/>
    <w:pPr>
      <w:ind w:firstLine="420" w:firstLineChars="200"/>
    </w:pPr>
    <w:rPr>
      <w:rFonts w:hAnsi="宋体"/>
    </w:rPr>
  </w:style>
  <w:style w:type="paragraph" w:styleId="28">
    <w:name w:val="Normal (Web)"/>
    <w:basedOn w:val="1"/>
    <w:qFormat/>
    <w:uiPriority w:val="0"/>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basedOn w:val="31"/>
    <w:qFormat/>
    <w:uiPriority w:val="0"/>
    <w:rPr>
      <w:color w:val="000000"/>
      <w:u w:val="none"/>
    </w:rPr>
  </w:style>
  <w:style w:type="character" w:customStyle="1" w:styleId="37">
    <w:name w:val="hover3"/>
    <w:qFormat/>
    <w:uiPriority w:val="0"/>
    <w:rPr>
      <w:bdr w:val="single" w:color="FFCC33" w:sz="6" w:space="0"/>
    </w:rPr>
  </w:style>
  <w:style w:type="character" w:customStyle="1" w:styleId="38">
    <w:name w:val="tit1"/>
    <w:basedOn w:val="31"/>
    <w:qFormat/>
    <w:uiPriority w:val="0"/>
  </w:style>
  <w:style w:type="character" w:customStyle="1" w:styleId="39">
    <w:name w:val="textcontents"/>
    <w:basedOn w:val="31"/>
    <w:qFormat/>
    <w:uiPriority w:val="0"/>
  </w:style>
  <w:style w:type="character" w:customStyle="1" w:styleId="40">
    <w:name w:val="down"/>
    <w:qFormat/>
    <w:uiPriority w:val="0"/>
    <w:rPr>
      <w:shd w:val="clear" w:color="auto" w:fill="DAEEF9"/>
    </w:rPr>
  </w:style>
  <w:style w:type="character" w:customStyle="1" w:styleId="41">
    <w:name w:val="标题 2 Char"/>
    <w:link w:val="7"/>
    <w:qFormat/>
    <w:uiPriority w:val="0"/>
    <w:rPr>
      <w:rFonts w:ascii="Arial" w:hAnsi="Arial" w:eastAsia="黑体"/>
      <w:b/>
      <w:bCs/>
      <w:kern w:val="2"/>
      <w:sz w:val="32"/>
      <w:szCs w:val="32"/>
      <w:lang w:val="en-US" w:eastAsia="zh-CN" w:bidi="ar-SA"/>
    </w:rPr>
  </w:style>
  <w:style w:type="character" w:customStyle="1" w:styleId="42">
    <w:name w:val="纯文本 Char"/>
    <w:link w:val="20"/>
    <w:qFormat/>
    <w:uiPriority w:val="0"/>
    <w:rPr>
      <w:rFonts w:ascii="宋体" w:hAnsi="Courier New" w:eastAsia="宋体" w:cs="Courier New"/>
      <w:kern w:val="2"/>
      <w:sz w:val="21"/>
      <w:szCs w:val="21"/>
      <w:lang w:val="en-US" w:eastAsia="zh-CN" w:bidi="ar-SA"/>
    </w:rPr>
  </w:style>
  <w:style w:type="character" w:customStyle="1" w:styleId="43">
    <w:name w:val="lsl"/>
    <w:basedOn w:val="31"/>
    <w:qFormat/>
    <w:uiPriority w:val="0"/>
  </w:style>
  <w:style w:type="character" w:customStyle="1" w:styleId="44">
    <w:name w:val="tit"/>
    <w:basedOn w:val="31"/>
    <w:qFormat/>
    <w:uiPriority w:val="0"/>
  </w:style>
  <w:style w:type="character" w:customStyle="1" w:styleId="45">
    <w:name w:val="sl"/>
    <w:basedOn w:val="31"/>
    <w:qFormat/>
    <w:uiPriority w:val="0"/>
  </w:style>
  <w:style w:type="character" w:customStyle="1" w:styleId="46">
    <w:name w:val="up"/>
    <w:basedOn w:val="31"/>
    <w:qFormat/>
    <w:uiPriority w:val="0"/>
  </w:style>
  <w:style w:type="character" w:customStyle="1" w:styleId="47">
    <w:name w:val="lsr"/>
    <w:basedOn w:val="31"/>
    <w:qFormat/>
    <w:uiPriority w:val="0"/>
  </w:style>
  <w:style w:type="character" w:customStyle="1" w:styleId="48">
    <w:name w:val="cpb"/>
    <w:qFormat/>
    <w:uiPriority w:val="0"/>
    <w:rPr>
      <w:color w:val="FFFFFF"/>
    </w:rPr>
  </w:style>
  <w:style w:type="character" w:customStyle="1" w:styleId="49">
    <w:name w:val="sr"/>
    <w:basedOn w:val="31"/>
    <w:qFormat/>
    <w:uiPriority w:val="0"/>
  </w:style>
  <w:style w:type="character" w:customStyle="1" w:styleId="50">
    <w:name w:val="apple-converted-space"/>
    <w:basedOn w:val="31"/>
    <w:qFormat/>
    <w:uiPriority w:val="0"/>
  </w:style>
  <w:style w:type="character" w:customStyle="1" w:styleId="51">
    <w:name w:val="页脚 Char"/>
    <w:link w:val="24"/>
    <w:qFormat/>
    <w:uiPriority w:val="0"/>
    <w:rPr>
      <w:kern w:val="2"/>
      <w:sz w:val="18"/>
      <w:szCs w:val="18"/>
    </w:rPr>
  </w:style>
  <w:style w:type="character" w:customStyle="1" w:styleId="52">
    <w:name w:val="font161"/>
    <w:qFormat/>
    <w:uiPriority w:val="0"/>
    <w:rPr>
      <w:b/>
      <w:bCs/>
      <w:sz w:val="32"/>
      <w:szCs w:val="32"/>
    </w:rPr>
  </w:style>
  <w:style w:type="paragraph" w:customStyle="1" w:styleId="53">
    <w:name w:val="z-窗体顶端1"/>
    <w:basedOn w:val="1"/>
    <w:next w:val="1"/>
    <w:qFormat/>
    <w:uiPriority w:val="0"/>
    <w:pPr>
      <w:pBdr>
        <w:bottom w:val="single" w:color="auto" w:sz="6" w:space="1"/>
      </w:pBdr>
      <w:jc w:val="center"/>
    </w:pPr>
    <w:rPr>
      <w:rFonts w:ascii="Arial"/>
      <w:vanish/>
      <w:sz w:val="16"/>
    </w:rPr>
  </w:style>
  <w:style w:type="paragraph" w:customStyle="1" w:styleId="54">
    <w:name w:val="表格"/>
    <w:basedOn w:val="1"/>
    <w:qFormat/>
    <w:uiPriority w:val="0"/>
    <w:pPr>
      <w:jc w:val="center"/>
      <w:textAlignment w:val="center"/>
    </w:pPr>
    <w:rPr>
      <w:rFonts w:ascii="华文细黑" w:hAnsi="华文细黑"/>
    </w:rPr>
  </w:style>
  <w:style w:type="paragraph" w:customStyle="1" w:styleId="5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6">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57">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5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5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Char1"/>
    <w:basedOn w:val="1"/>
    <w:qFormat/>
    <w:uiPriority w:val="0"/>
    <w:pPr>
      <w:adjustRightInd w:val="0"/>
      <w:spacing w:line="600" w:lineRule="exact"/>
      <w:ind w:firstLine="560" w:firstLineChars="200"/>
      <w:jc w:val="center"/>
    </w:pPr>
  </w:style>
  <w:style w:type="paragraph" w:customStyle="1" w:styleId="61">
    <w:name w:val="Char"/>
    <w:basedOn w:val="1"/>
    <w:qFormat/>
    <w:uiPriority w:val="0"/>
    <w:rPr>
      <w:rFonts w:ascii="仿宋_GB2312" w:eastAsia="仿宋_GB2312"/>
      <w:b/>
      <w:sz w:val="32"/>
      <w:szCs w:val="32"/>
    </w:rPr>
  </w:style>
  <w:style w:type="paragraph" w:customStyle="1" w:styleId="62">
    <w:name w:val="p0"/>
    <w:basedOn w:val="1"/>
    <w:qFormat/>
    <w:uiPriority w:val="0"/>
    <w:pPr>
      <w:widowControl/>
      <w:spacing w:line="408" w:lineRule="auto"/>
      <w:ind w:left="1"/>
      <w:textAlignment w:val="bottom"/>
    </w:pPr>
    <w:rPr>
      <w:color w:val="000000"/>
    </w:rPr>
  </w:style>
  <w:style w:type="paragraph" w:customStyle="1" w:styleId="63">
    <w:name w:val="1"/>
    <w:basedOn w:val="1"/>
    <w:next w:val="1"/>
    <w:qFormat/>
    <w:uiPriority w:val="0"/>
  </w:style>
  <w:style w:type="paragraph" w:customStyle="1" w:styleId="64">
    <w:name w:val="默认段落字体 Para Char Char Char Char Char Char Char"/>
    <w:basedOn w:val="1"/>
    <w:qFormat/>
    <w:uiPriority w:val="0"/>
    <w:rPr>
      <w:rFonts w:ascii="Tahoma" w:hAnsi="Tahoma"/>
      <w:sz w:val="24"/>
    </w:rPr>
  </w:style>
  <w:style w:type="paragraph" w:customStyle="1" w:styleId="6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1">
    <w:name w:val="cjk"/>
    <w:basedOn w:val="1"/>
    <w:qFormat/>
    <w:uiPriority w:val="0"/>
    <w:pPr>
      <w:widowControl/>
      <w:jc w:val="left"/>
    </w:pPr>
    <w:rPr>
      <w:rFonts w:hAnsi="宋体" w:cs="宋体"/>
      <w:sz w:val="24"/>
      <w:szCs w:val="24"/>
    </w:rPr>
  </w:style>
  <w:style w:type="character" w:customStyle="1" w:styleId="72">
    <w:name w:val="15"/>
    <w:qFormat/>
    <w:uiPriority w:val="0"/>
    <w:rPr>
      <w:rFonts w:hint="default" w:ascii="Times New Roman" w:hAnsi="Times New Roman" w:cs="Times New Roman"/>
      <w:color w:val="0000FF"/>
      <w:u w:val="single"/>
    </w:rPr>
  </w:style>
  <w:style w:type="character" w:customStyle="1" w:styleId="73">
    <w:name w:val="blue"/>
    <w:basedOn w:val="31"/>
    <w:qFormat/>
    <w:uiPriority w:val="0"/>
    <w:rPr>
      <w:color w:val="0371C6"/>
      <w:sz w:val="21"/>
      <w:szCs w:val="21"/>
    </w:rPr>
  </w:style>
  <w:style w:type="character" w:customStyle="1" w:styleId="74">
    <w:name w:val="gb-jt"/>
    <w:basedOn w:val="31"/>
    <w:qFormat/>
    <w:uiPriority w:val="0"/>
  </w:style>
  <w:style w:type="character" w:customStyle="1" w:styleId="75">
    <w:name w:val="red"/>
    <w:basedOn w:val="31"/>
    <w:qFormat/>
    <w:uiPriority w:val="0"/>
    <w:rPr>
      <w:color w:val="FF0000"/>
      <w:sz w:val="18"/>
      <w:szCs w:val="18"/>
    </w:rPr>
  </w:style>
  <w:style w:type="character" w:customStyle="1" w:styleId="76">
    <w:name w:val="red1"/>
    <w:basedOn w:val="31"/>
    <w:qFormat/>
    <w:uiPriority w:val="0"/>
    <w:rPr>
      <w:color w:val="FF0000"/>
      <w:sz w:val="18"/>
      <w:szCs w:val="18"/>
    </w:rPr>
  </w:style>
  <w:style w:type="character" w:customStyle="1" w:styleId="77">
    <w:name w:val="red2"/>
    <w:basedOn w:val="31"/>
    <w:qFormat/>
    <w:uiPriority w:val="0"/>
    <w:rPr>
      <w:color w:val="FF0000"/>
    </w:rPr>
  </w:style>
  <w:style w:type="character" w:customStyle="1" w:styleId="78">
    <w:name w:val="green"/>
    <w:basedOn w:val="31"/>
    <w:qFormat/>
    <w:uiPriority w:val="0"/>
    <w:rPr>
      <w:color w:val="66AE00"/>
      <w:sz w:val="18"/>
      <w:szCs w:val="18"/>
    </w:rPr>
  </w:style>
  <w:style w:type="character" w:customStyle="1" w:styleId="79">
    <w:name w:val="green1"/>
    <w:basedOn w:val="31"/>
    <w:qFormat/>
    <w:uiPriority w:val="0"/>
    <w:rPr>
      <w:color w:val="66AE00"/>
      <w:sz w:val="18"/>
      <w:szCs w:val="18"/>
    </w:rPr>
  </w:style>
  <w:style w:type="character" w:customStyle="1" w:styleId="80">
    <w:name w:val="hover25"/>
    <w:basedOn w:val="31"/>
    <w:qFormat/>
    <w:uiPriority w:val="0"/>
  </w:style>
  <w:style w:type="character" w:customStyle="1" w:styleId="81">
    <w:name w:val="right"/>
    <w:basedOn w:val="31"/>
    <w:qFormat/>
    <w:uiPriority w:val="0"/>
    <w:rPr>
      <w:color w:val="999999"/>
      <w:sz w:val="18"/>
      <w:szCs w:val="18"/>
    </w:rPr>
  </w:style>
  <w:style w:type="character" w:customStyle="1" w:styleId="82">
    <w:name w:val="hover"/>
    <w:basedOn w:val="31"/>
    <w:qFormat/>
    <w:uiPriority w:val="0"/>
  </w:style>
  <w:style w:type="character" w:customStyle="1" w:styleId="83">
    <w:name w:val="页眉 Char"/>
    <w:basedOn w:val="31"/>
    <w:link w:val="25"/>
    <w:qFormat/>
    <w:uiPriority w:val="0"/>
    <w:rPr>
      <w:rFonts w:ascii="宋体"/>
      <w:sz w:val="18"/>
      <w:szCs w:val="18"/>
    </w:rPr>
  </w:style>
  <w:style w:type="character" w:customStyle="1" w:styleId="84">
    <w:name w:val="red3"/>
    <w:basedOn w:val="31"/>
    <w:qFormat/>
    <w:uiPriority w:val="0"/>
    <w:rPr>
      <w:color w:val="FF0000"/>
    </w:rPr>
  </w:style>
  <w:style w:type="character" w:customStyle="1" w:styleId="85">
    <w:name w:val="hover24"/>
    <w:basedOn w:val="31"/>
    <w:qFormat/>
    <w:uiPriority w:val="0"/>
  </w:style>
  <w:style w:type="paragraph" w:styleId="8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02D8D-E19B-4DCA-B9B9-ADFC67890CD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6688</Words>
  <Characters>38123</Characters>
  <Lines>317</Lines>
  <Paragraphs>89</Paragraphs>
  <TotalTime>216</TotalTime>
  <ScaleCrop>false</ScaleCrop>
  <LinksUpToDate>false</LinksUpToDate>
  <CharactersWithSpaces>44722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2020-03-16T03:37:00Z</dcterms:created>
  <dc:creator>微软用户</dc:creator>
  <cp:lastModifiedBy>Administrator</cp:lastModifiedBy>
  <cp:lastPrinted>2020-03-19T02:08:00Z</cp:lastPrinted>
  <dcterms:modified xsi:type="dcterms:W3CDTF">2020-03-20T03:55:39Z</dcterms:modified>
  <dc:title>魏武大道曹操饮马河桥工程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