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color w:val="000000"/>
          <w:sz w:val="32"/>
          <w:szCs w:val="32"/>
        </w:rPr>
      </w:pPr>
      <w:bookmarkStart w:id="0" w:name="_Toc215282124"/>
      <w:bookmarkStart w:id="1" w:name="_Toc457468581"/>
      <w:r>
        <w:rPr>
          <w:rFonts w:hAnsi="宋体"/>
          <w:b/>
          <w:color w:val="000000"/>
          <w:sz w:val="32"/>
          <w:szCs w:val="32"/>
        </w:rPr>
        <w:drawing>
          <wp:anchor distT="0" distB="0" distL="114300" distR="114300" simplePos="0" relativeHeight="251659264" behindDoc="1" locked="0" layoutInCell="1" allowOverlap="1">
            <wp:simplePos x="0" y="0"/>
            <wp:positionH relativeFrom="page">
              <wp:posOffset>535305</wp:posOffset>
            </wp:positionH>
            <wp:positionV relativeFrom="page">
              <wp:posOffset>463550</wp:posOffset>
            </wp:positionV>
            <wp:extent cx="1504950" cy="1510665"/>
            <wp:effectExtent l="1905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cstate="print"/>
                    <a:srcRect/>
                    <a:stretch>
                      <a:fillRect/>
                    </a:stretch>
                  </pic:blipFill>
                  <pic:spPr>
                    <a:xfrm>
                      <a:off x="0" y="0"/>
                      <a:ext cx="1504950" cy="1510748"/>
                    </a:xfrm>
                    <a:prstGeom prst="rect">
                      <a:avLst/>
                    </a:prstGeom>
                    <a:noFill/>
                    <a:ln w="9525">
                      <a:noFill/>
                      <a:miter lim="800000"/>
                      <a:headEnd/>
                      <a:tailEnd/>
                    </a:ln>
                  </pic:spPr>
                </pic:pic>
              </a:graphicData>
            </a:graphic>
          </wp:anchor>
        </w:drawing>
      </w:r>
    </w:p>
    <w:p>
      <w:pPr>
        <w:pStyle w:val="2"/>
        <w:ind w:firstLine="99" w:firstLineChars="19"/>
        <w:jc w:val="center"/>
        <w:rPr>
          <w:rFonts w:hint="eastAsia" w:hAnsi="宋体"/>
          <w:b/>
          <w:color w:val="000000"/>
          <w:sz w:val="52"/>
          <w:szCs w:val="52"/>
          <w:lang w:eastAsia="zh-CN"/>
        </w:rPr>
      </w:pPr>
    </w:p>
    <w:p>
      <w:pPr>
        <w:pStyle w:val="2"/>
        <w:ind w:firstLine="461"/>
        <w:jc w:val="center"/>
        <w:rPr>
          <w:rFonts w:hint="default" w:eastAsia="宋体" w:cs="Times New Roman"/>
          <w:b/>
          <w:bCs/>
          <w:color w:val="000000"/>
          <w:spacing w:val="60"/>
          <w:sz w:val="32"/>
          <w:szCs w:val="32"/>
          <w:lang w:val="en-US" w:eastAsia="zh-CN"/>
        </w:rPr>
      </w:pPr>
      <w:r>
        <w:rPr>
          <w:rFonts w:hint="eastAsia" w:hAnsi="宋体"/>
          <w:b/>
          <w:color w:val="000000"/>
          <w:sz w:val="44"/>
          <w:szCs w:val="44"/>
          <w:lang w:eastAsia="zh-CN"/>
        </w:rPr>
        <w:t>浅井镇麻地川生态提升及麻地川至大鸿寨道路两侧绿化工程</w:t>
      </w:r>
    </w:p>
    <w:p>
      <w:pPr>
        <w:pStyle w:val="2"/>
        <w:ind w:firstLine="461"/>
        <w:rPr>
          <w:rFonts w:cs="Times New Roman"/>
          <w:b/>
          <w:bCs/>
          <w:color w:val="000000"/>
          <w:spacing w:val="60"/>
        </w:rPr>
      </w:pPr>
    </w:p>
    <w:p>
      <w:pPr>
        <w:pStyle w:val="2"/>
        <w:ind w:firstLine="461"/>
        <w:rPr>
          <w:rFonts w:cs="Times New Roman"/>
          <w:b/>
          <w:bCs/>
          <w:color w:val="000000"/>
          <w:spacing w:val="60"/>
        </w:rPr>
      </w:pPr>
    </w:p>
    <w:p>
      <w:pPr>
        <w:autoSpaceDE w:val="0"/>
        <w:autoSpaceDN w:val="0"/>
        <w:adjustRightInd w:val="0"/>
        <w:jc w:val="center"/>
        <w:rPr>
          <w:rFonts w:cs="Times New Roman"/>
          <w:b/>
          <w:bCs/>
          <w:color w:val="000000"/>
          <w:sz w:val="72"/>
          <w:szCs w:val="72"/>
        </w:rPr>
      </w:pPr>
      <w:r>
        <w:rPr>
          <w:rFonts w:hint="eastAsia"/>
          <w:b/>
          <w:bCs/>
          <w:color w:val="000000"/>
          <w:sz w:val="96"/>
          <w:szCs w:val="96"/>
        </w:rPr>
        <w:t>招</w:t>
      </w:r>
      <w:r>
        <w:rPr>
          <w:b/>
          <w:bCs/>
          <w:color w:val="000000"/>
          <w:sz w:val="96"/>
          <w:szCs w:val="96"/>
        </w:rPr>
        <w:t xml:space="preserve"> </w:t>
      </w:r>
      <w:r>
        <w:rPr>
          <w:rFonts w:hint="eastAsia"/>
          <w:b/>
          <w:bCs/>
          <w:color w:val="000000"/>
          <w:sz w:val="96"/>
          <w:szCs w:val="96"/>
        </w:rPr>
        <w:t>标</w:t>
      </w:r>
      <w:r>
        <w:rPr>
          <w:b/>
          <w:bCs/>
          <w:color w:val="000000"/>
          <w:sz w:val="96"/>
          <w:szCs w:val="96"/>
        </w:rPr>
        <w:t xml:space="preserve"> </w:t>
      </w:r>
      <w:r>
        <w:rPr>
          <w:rFonts w:hint="eastAsia"/>
          <w:b/>
          <w:bCs/>
          <w:color w:val="000000"/>
          <w:sz w:val="96"/>
          <w:szCs w:val="96"/>
        </w:rPr>
        <w:t>文</w:t>
      </w:r>
      <w:r>
        <w:rPr>
          <w:b/>
          <w:bCs/>
          <w:color w:val="000000"/>
          <w:sz w:val="96"/>
          <w:szCs w:val="96"/>
        </w:rPr>
        <w:t xml:space="preserve"> </w:t>
      </w:r>
      <w:r>
        <w:rPr>
          <w:rFonts w:hint="eastAsia"/>
          <w:b/>
          <w:bCs/>
          <w:color w:val="000000"/>
          <w:sz w:val="96"/>
          <w:szCs w:val="96"/>
        </w:rPr>
        <w:t>件</w:t>
      </w:r>
    </w:p>
    <w:p>
      <w:pPr>
        <w:autoSpaceDE w:val="0"/>
        <w:autoSpaceDN w:val="0"/>
        <w:adjustRightInd w:val="0"/>
        <w:rPr>
          <w:rFonts w:cs="Times New Roman"/>
          <w:color w:val="000000"/>
          <w:sz w:val="44"/>
          <w:szCs w:val="44"/>
        </w:rPr>
      </w:pPr>
    </w:p>
    <w:p>
      <w:pPr>
        <w:spacing w:beforeLines="50" w:afterLines="50" w:line="360" w:lineRule="auto"/>
        <w:rPr>
          <w:b/>
          <w:bCs/>
          <w:color w:val="000000"/>
          <w:sz w:val="30"/>
          <w:szCs w:val="30"/>
        </w:rPr>
      </w:pPr>
      <w:r>
        <w:rPr>
          <w:b/>
          <w:bCs/>
          <w:color w:val="000000"/>
          <w:sz w:val="30"/>
          <w:szCs w:val="30"/>
        </w:rPr>
        <w:t xml:space="preserve">        </w:t>
      </w:r>
    </w:p>
    <w:p>
      <w:pPr>
        <w:spacing w:beforeLines="50" w:afterLines="50" w:line="360" w:lineRule="auto"/>
        <w:rPr>
          <w:b/>
          <w:bCs/>
          <w:color w:val="000000"/>
          <w:sz w:val="30"/>
          <w:szCs w:val="30"/>
        </w:rPr>
      </w:pPr>
    </w:p>
    <w:p>
      <w:r>
        <w:rPr>
          <w:b/>
          <w:bCs/>
          <w:color w:val="000000"/>
          <w:sz w:val="32"/>
          <w:szCs w:val="32"/>
        </w:rPr>
        <w:t xml:space="preserve">                  </w:t>
      </w:r>
    </w:p>
    <w:p>
      <w:pPr>
        <w:spacing w:beforeLines="50" w:afterLines="50" w:line="360" w:lineRule="auto"/>
        <w:ind w:firstLine="1807" w:firstLineChars="600"/>
        <w:jc w:val="left"/>
        <w:rPr>
          <w:b/>
          <w:bCs/>
          <w:color w:val="000000"/>
          <w:sz w:val="30"/>
          <w:szCs w:val="30"/>
        </w:rPr>
      </w:pPr>
      <w:r>
        <w:rPr>
          <w:rFonts w:hint="eastAsia"/>
          <w:b/>
          <w:bCs/>
          <w:color w:val="000000"/>
          <w:sz w:val="30"/>
          <w:szCs w:val="30"/>
        </w:rPr>
        <w:t>招 标 人:</w:t>
      </w:r>
      <w:r>
        <w:rPr>
          <w:rFonts w:hint="eastAsia"/>
          <w:color w:val="000000"/>
          <w:sz w:val="30"/>
          <w:szCs w:val="30"/>
        </w:rPr>
        <w:t xml:space="preserve"> </w:t>
      </w:r>
      <w:r>
        <w:rPr>
          <w:rFonts w:hint="eastAsia"/>
          <w:b/>
          <w:bCs/>
          <w:color w:val="000000"/>
          <w:sz w:val="30"/>
          <w:szCs w:val="30"/>
        </w:rPr>
        <w:t>禹州市</w:t>
      </w:r>
      <w:r>
        <w:rPr>
          <w:rFonts w:hint="eastAsia"/>
          <w:b/>
          <w:bCs/>
          <w:color w:val="000000"/>
          <w:sz w:val="30"/>
          <w:szCs w:val="30"/>
          <w:lang w:eastAsia="zh-CN"/>
        </w:rPr>
        <w:t>浅井镇</w:t>
      </w:r>
      <w:r>
        <w:rPr>
          <w:rFonts w:hint="eastAsia"/>
          <w:b/>
          <w:bCs/>
          <w:color w:val="000000"/>
          <w:sz w:val="30"/>
          <w:szCs w:val="30"/>
        </w:rPr>
        <w:t>人民政府</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rPr>
        <w:t>代理机构：河南建标工程管理有限公司</w:t>
      </w:r>
    </w:p>
    <w:p>
      <w:pPr>
        <w:spacing w:beforeLines="50" w:afterLines="50" w:line="360" w:lineRule="auto"/>
        <w:ind w:firstLine="1807" w:firstLineChars="600"/>
        <w:jc w:val="left"/>
        <w:rPr>
          <w:rFonts w:hint="eastAsia"/>
          <w:b/>
          <w:bCs/>
          <w:color w:val="000000"/>
          <w:sz w:val="30"/>
          <w:szCs w:val="30"/>
        </w:rPr>
      </w:pPr>
      <w:r>
        <w:rPr>
          <w:rFonts w:hint="eastAsia"/>
          <w:b/>
          <w:bCs/>
          <w:color w:val="000000"/>
          <w:sz w:val="30"/>
          <w:szCs w:val="30"/>
          <w:lang w:val="en-US" w:eastAsia="zh-CN"/>
        </w:rPr>
        <w:t xml:space="preserve">监督部门：禹州市建设工程招标投标管理办公室 </w:t>
      </w:r>
    </w:p>
    <w:p>
      <w:pPr>
        <w:pStyle w:val="2"/>
        <w:ind w:firstLine="1807" w:firstLineChars="600"/>
        <w:jc w:val="left"/>
        <w:rPr>
          <w:b/>
          <w:bCs/>
          <w:color w:val="000000"/>
          <w:sz w:val="30"/>
          <w:szCs w:val="30"/>
        </w:rPr>
      </w:pPr>
      <w:r>
        <w:rPr>
          <w:rFonts w:hint="eastAsia"/>
          <w:b/>
          <w:bCs/>
          <w:color w:val="000000"/>
          <w:sz w:val="30"/>
          <w:szCs w:val="30"/>
        </w:rPr>
        <w:t>编制人：张小鸽       审核人：李松岳</w:t>
      </w:r>
    </w:p>
    <w:p>
      <w:pPr>
        <w:jc w:val="center"/>
        <w:rPr>
          <w:rFonts w:hAnsi="宋体"/>
          <w:b/>
          <w:sz w:val="52"/>
          <w:szCs w:val="28"/>
        </w:rPr>
        <w:sectPr>
          <w:footerReference r:id="rId3" w:type="default"/>
          <w:pgSz w:w="11906" w:h="16838"/>
          <w:pgMar w:top="1440" w:right="1701" w:bottom="1440" w:left="1701" w:header="851" w:footer="992" w:gutter="0"/>
          <w:pgNumType w:start="1"/>
          <w:cols w:space="0" w:num="1"/>
          <w:docGrid w:type="lines" w:linePitch="312" w:charSpace="0"/>
        </w:sectPr>
      </w:pPr>
      <w:r>
        <w:rPr>
          <w:rFonts w:hint="eastAsia"/>
          <w:b/>
          <w:bCs/>
          <w:color w:val="000000"/>
          <w:sz w:val="32"/>
          <w:szCs w:val="32"/>
        </w:rPr>
        <w:t>二〇</w:t>
      </w:r>
      <w:r>
        <w:rPr>
          <w:rFonts w:hint="eastAsia"/>
          <w:b/>
          <w:bCs/>
          <w:color w:val="000000"/>
          <w:sz w:val="32"/>
          <w:szCs w:val="32"/>
          <w:lang w:eastAsia="zh-CN"/>
        </w:rPr>
        <w:t>二〇</w:t>
      </w:r>
      <w:r>
        <w:rPr>
          <w:rFonts w:hint="eastAsia"/>
          <w:b/>
          <w:bCs/>
          <w:color w:val="000000"/>
          <w:sz w:val="32"/>
          <w:szCs w:val="32"/>
        </w:rPr>
        <w:t>年</w:t>
      </w:r>
      <w:r>
        <w:rPr>
          <w:rFonts w:hint="eastAsia"/>
          <w:b/>
          <w:bCs/>
          <w:color w:val="000000"/>
          <w:sz w:val="32"/>
          <w:szCs w:val="32"/>
          <w:lang w:eastAsia="zh-CN"/>
        </w:rPr>
        <w:t>三月</w:t>
      </w:r>
    </w:p>
    <w:p>
      <w:pPr>
        <w:jc w:val="center"/>
        <w:rPr>
          <w:rFonts w:hAnsi="宋体"/>
          <w:b/>
          <w:sz w:val="44"/>
        </w:rPr>
      </w:pPr>
      <w:r>
        <w:rPr>
          <w:rFonts w:hint="eastAsia" w:hAnsi="宋体"/>
          <w:b/>
          <w:sz w:val="52"/>
          <w:szCs w:val="28"/>
        </w:rPr>
        <w:t>目  录</w:t>
      </w:r>
    </w:p>
    <w:p>
      <w:pPr>
        <w:jc w:val="center"/>
        <w:rPr>
          <w:rFonts w:hAnsi="宋体"/>
          <w:b/>
          <w:sz w:val="44"/>
          <w:szCs w:val="32"/>
        </w:rPr>
      </w:pPr>
    </w:p>
    <w:p>
      <w:pPr>
        <w:pStyle w:val="80"/>
        <w:tabs>
          <w:tab w:val="right" w:leader="dot" w:pos="9638"/>
        </w:tabs>
        <w:spacing w:line="620" w:lineRule="exact"/>
        <w:ind w:firstLine="242" w:firstLineChars="121"/>
        <w:rPr>
          <w:sz w:val="28"/>
          <w:szCs w:val="28"/>
        </w:rPr>
      </w:pPr>
      <w:r>
        <w:fldChar w:fldCharType="begin"/>
      </w:r>
      <w:r>
        <w:instrText xml:space="preserve"> HYPERLINK \l "_Toc15651_WPSOffice_Level1" </w:instrText>
      </w:r>
      <w:r>
        <w:fldChar w:fldCharType="separate"/>
      </w:r>
      <w:r>
        <w:rPr>
          <w:rFonts w:hint="eastAsia" w:ascii="宋体" w:hAnsi="宋体" w:cs="宋体"/>
          <w:sz w:val="28"/>
          <w:szCs w:val="28"/>
        </w:rPr>
        <w:t>第一章  招标公告</w:t>
      </w:r>
      <w:bookmarkStart w:id="2" w:name="_Toc15651_WPSOffice_Level1Page"/>
      <w:r>
        <w:rPr>
          <w:rFonts w:hint="eastAsia" w:ascii="宋体" w:hAnsi="宋体" w:cs="宋体"/>
          <w:sz w:val="28"/>
          <w:szCs w:val="28"/>
        </w:rPr>
        <w:t>………………………………………………</w:t>
      </w:r>
      <w:r>
        <w:rPr>
          <w:sz w:val="28"/>
          <w:szCs w:val="28"/>
        </w:rPr>
        <w:t>1</w:t>
      </w:r>
      <w:bookmarkEnd w:id="2"/>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"_Toc9381_WPSOffice_Level1" </w:instrText>
      </w:r>
      <w:r>
        <w:fldChar w:fldCharType="separate"/>
      </w:r>
      <w:r>
        <w:rPr>
          <w:rFonts w:hint="eastAsia" w:ascii="宋体" w:hAnsi="Calibri"/>
          <w:sz w:val="28"/>
          <w:szCs w:val="28"/>
        </w:rPr>
        <w:t>第二章  投标人须知</w:t>
      </w:r>
      <w:bookmarkStart w:id="3" w:name="_Toc9381_WPSOffice_Level1Page"/>
      <w:r>
        <w:rPr>
          <w:rFonts w:hint="eastAsia" w:ascii="宋体" w:hAnsi="宋体" w:cs="宋体"/>
          <w:sz w:val="28"/>
          <w:szCs w:val="28"/>
        </w:rPr>
        <w:t>……………………………………………</w:t>
      </w:r>
      <w:bookmarkEnd w:id="3"/>
      <w:r>
        <w:rPr>
          <w:rFonts w:hint="eastAsia"/>
          <w:sz w:val="28"/>
          <w:szCs w:val="28"/>
        </w:rPr>
        <w:t>4</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"_Toc225_WPSOffice_Level1" </w:instrText>
      </w:r>
      <w:r>
        <w:fldChar w:fldCharType="separate"/>
      </w:r>
      <w:r>
        <w:rPr>
          <w:rFonts w:hint="eastAsia" w:ascii="宋体" w:hAnsi="Calibri"/>
          <w:sz w:val="28"/>
          <w:szCs w:val="28"/>
        </w:rPr>
        <w:t>第三章 评标办法（</w:t>
      </w:r>
      <w:r>
        <w:rPr>
          <w:rFonts w:hint="eastAsia" w:ascii="宋体" w:hAnsi="Calibri" w:cs="Times New Roman"/>
          <w:sz w:val="28"/>
          <w:szCs w:val="28"/>
        </w:rPr>
        <w:t>综合评标法</w:t>
      </w:r>
      <w:r>
        <w:rPr>
          <w:rFonts w:hint="eastAsia" w:ascii="宋体" w:hAnsi="Calibri"/>
          <w:sz w:val="28"/>
          <w:szCs w:val="28"/>
        </w:rPr>
        <w:t>）</w:t>
      </w:r>
      <w:bookmarkStart w:id="4" w:name="_Toc225_WPSOffice_Level1Page"/>
      <w:r>
        <w:rPr>
          <w:rFonts w:hint="eastAsia" w:ascii="宋体" w:hAnsi="宋体" w:cs="宋体"/>
          <w:sz w:val="28"/>
          <w:szCs w:val="28"/>
        </w:rPr>
        <w:t>……………………………</w:t>
      </w:r>
      <w:r>
        <w:rPr>
          <w:sz w:val="28"/>
          <w:szCs w:val="28"/>
        </w:rPr>
        <w:t>26</w:t>
      </w:r>
      <w:bookmarkEnd w:id="4"/>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"_Toc20051_WPSOffice_Level1" </w:instrText>
      </w:r>
      <w:r>
        <w:fldChar w:fldCharType="separate"/>
      </w:r>
      <w:r>
        <w:rPr>
          <w:rFonts w:hint="eastAsia" w:ascii="宋体" w:hAnsi="Calibri"/>
          <w:sz w:val="28"/>
          <w:szCs w:val="28"/>
        </w:rPr>
        <w:t>第四章 合同条款及格式</w:t>
      </w:r>
      <w:bookmarkStart w:id="5" w:name="_Toc20051_WPSOffice_Level1Page"/>
      <w:r>
        <w:rPr>
          <w:rFonts w:hint="eastAsia" w:ascii="宋体" w:hAnsi="宋体" w:cs="宋体"/>
          <w:sz w:val="28"/>
          <w:szCs w:val="28"/>
        </w:rPr>
        <w:t>………………………………………</w:t>
      </w:r>
      <w:r>
        <w:rPr>
          <w:sz w:val="28"/>
          <w:szCs w:val="28"/>
        </w:rPr>
        <w:t>3</w:t>
      </w:r>
      <w:bookmarkEnd w:id="5"/>
      <w:r>
        <w:rPr>
          <w:rFonts w:hint="eastAsia"/>
          <w:sz w:val="28"/>
          <w:szCs w:val="28"/>
          <w:lang w:val="en-US" w:eastAsia="zh-CN"/>
        </w:rPr>
        <w:t>6</w:t>
      </w:r>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"_Toc12352_WPSOffice_Level1" </w:instrText>
      </w:r>
      <w:r>
        <w:fldChar w:fldCharType="separate"/>
      </w:r>
      <w:r>
        <w:rPr>
          <w:rFonts w:hint="eastAsia" w:ascii="宋体" w:hAnsi="Calibri"/>
          <w:sz w:val="28"/>
          <w:szCs w:val="28"/>
        </w:rPr>
        <w:t>第五章 工程量清单</w:t>
      </w:r>
      <w:bookmarkStart w:id="6" w:name="_Toc12352_WPSOffice_Level1Page"/>
      <w:r>
        <w:rPr>
          <w:rFonts w:hint="eastAsia" w:ascii="宋体" w:hAnsi="宋体" w:cs="宋体"/>
          <w:sz w:val="28"/>
          <w:szCs w:val="28"/>
        </w:rPr>
        <w:t>……………………………………………</w:t>
      </w:r>
      <w:r>
        <w:rPr>
          <w:sz w:val="28"/>
          <w:szCs w:val="28"/>
        </w:rPr>
        <w:t>3</w:t>
      </w:r>
      <w:bookmarkEnd w:id="6"/>
      <w:r>
        <w:rPr>
          <w:rFonts w:hint="eastAsia"/>
          <w:sz w:val="28"/>
          <w:szCs w:val="28"/>
          <w:lang w:val="en-US" w:eastAsia="zh-CN"/>
        </w:rPr>
        <w:t>7</w:t>
      </w:r>
      <w:r>
        <w:rPr>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"_Toc6560_WPSOffice_Level1" </w:instrText>
      </w:r>
      <w:r>
        <w:fldChar w:fldCharType="separate"/>
      </w:r>
      <w:r>
        <w:rPr>
          <w:rFonts w:hint="eastAsia" w:ascii="宋体" w:hAnsi="Calibri"/>
          <w:sz w:val="28"/>
          <w:szCs w:val="28"/>
        </w:rPr>
        <w:t>第六章 图纸</w:t>
      </w:r>
      <w:bookmarkStart w:id="7" w:name="_Toc6560_WPSOffice_Level1Page"/>
      <w:r>
        <w:rPr>
          <w:rFonts w:hint="eastAsia" w:ascii="宋体" w:hAnsi="宋体" w:cs="宋体"/>
          <w:sz w:val="28"/>
          <w:szCs w:val="28"/>
        </w:rPr>
        <w:t>……………………………………………………</w:t>
      </w:r>
      <w:r>
        <w:rPr>
          <w:sz w:val="28"/>
          <w:szCs w:val="28"/>
        </w:rPr>
        <w:t>4</w:t>
      </w:r>
      <w:bookmarkEnd w:id="7"/>
      <w:r>
        <w:rPr>
          <w:rFonts w:hint="eastAsia"/>
          <w:sz w:val="28"/>
          <w:szCs w:val="28"/>
          <w:lang w:val="en-US" w:eastAsia="zh-CN"/>
        </w:rPr>
        <w:t>4</w:t>
      </w:r>
      <w:r>
        <w:rPr>
          <w:rFonts w:hint="eastAsia"/>
          <w:sz w:val="28"/>
          <w:szCs w:val="28"/>
        </w:rPr>
        <w:fldChar w:fldCharType="end"/>
      </w:r>
    </w:p>
    <w:p>
      <w:pPr>
        <w:pStyle w:val="80"/>
        <w:tabs>
          <w:tab w:val="right" w:leader="dot" w:pos="9638"/>
        </w:tabs>
        <w:spacing w:line="620" w:lineRule="exact"/>
        <w:ind w:firstLine="242" w:firstLineChars="121"/>
        <w:rPr>
          <w:sz w:val="28"/>
          <w:szCs w:val="28"/>
        </w:rPr>
      </w:pPr>
      <w:r>
        <w:fldChar w:fldCharType="begin"/>
      </w:r>
      <w:r>
        <w:instrText xml:space="preserve"> HYPERLINK \l "_Toc9784_WPSOffice_Level1" </w:instrText>
      </w:r>
      <w:r>
        <w:fldChar w:fldCharType="separate"/>
      </w:r>
      <w:r>
        <w:rPr>
          <w:rFonts w:hint="eastAsia" w:ascii="宋体" w:hAnsi="Calibri"/>
          <w:sz w:val="28"/>
          <w:szCs w:val="28"/>
        </w:rPr>
        <w:t>第七章 技术标准和要求</w:t>
      </w:r>
      <w:bookmarkStart w:id="8" w:name="_Toc9784_WPSOffice_Level1Page"/>
      <w:r>
        <w:rPr>
          <w:rFonts w:hint="eastAsia" w:ascii="宋体" w:hAnsi="宋体" w:cs="宋体"/>
          <w:sz w:val="28"/>
          <w:szCs w:val="28"/>
        </w:rPr>
        <w:t>………………………………………</w:t>
      </w:r>
      <w:r>
        <w:rPr>
          <w:sz w:val="28"/>
          <w:szCs w:val="28"/>
        </w:rPr>
        <w:t>4</w:t>
      </w:r>
      <w:bookmarkEnd w:id="8"/>
      <w:r>
        <w:rPr>
          <w:rFonts w:hint="eastAsia"/>
          <w:sz w:val="28"/>
          <w:szCs w:val="28"/>
          <w:lang w:val="en-US" w:eastAsia="zh-CN"/>
        </w:rPr>
        <w:t>5</w:t>
      </w:r>
      <w:r>
        <w:rPr>
          <w:rFonts w:hint="eastAsia"/>
          <w:sz w:val="28"/>
          <w:szCs w:val="28"/>
        </w:rPr>
        <w:fldChar w:fldCharType="end"/>
      </w:r>
    </w:p>
    <w:p>
      <w:pPr>
        <w:pStyle w:val="2"/>
        <w:spacing w:after="0" w:line="620" w:lineRule="exact"/>
        <w:ind w:firstLine="221" w:firstLineChars="79"/>
        <w:jc w:val="left"/>
        <w:rPr>
          <w:rFonts w:hint="eastAsia" w:eastAsia="宋体"/>
          <w:sz w:val="32"/>
          <w:szCs w:val="32"/>
          <w:lang w:val="en-US" w:eastAsia="zh-CN"/>
        </w:rPr>
      </w:pPr>
      <w:r>
        <w:rPr>
          <w:rFonts w:ascii="Times New Roman" w:hAnsi="Times New Roman" w:eastAsia="宋体" w:cs="Times New Roman"/>
          <w:sz w:val="28"/>
          <w:szCs w:val="28"/>
          <w:lang w:val="en-US" w:eastAsia="zh-CN" w:bidi="ar-SA"/>
        </w:rPr>
        <w:fldChar w:fldCharType="begin"/>
      </w:r>
      <w:r>
        <w:rPr>
          <w:rFonts w:ascii="Times New Roman" w:hAnsi="Times New Roman" w:eastAsia="宋体" w:cs="Times New Roman"/>
          <w:sz w:val="28"/>
          <w:szCs w:val="28"/>
          <w:lang w:val="en-US" w:eastAsia="zh-CN" w:bidi="ar-SA"/>
        </w:rPr>
        <w:instrText xml:space="preserve"> HYPERLINK \l "_Toc950_WPSOffice_Level1" </w:instrText>
      </w:r>
      <w:r>
        <w:rPr>
          <w:rFonts w:ascii="Times New Roman" w:hAnsi="Times New Roman" w:eastAsia="宋体" w:cs="Times New Roman"/>
          <w:sz w:val="28"/>
          <w:szCs w:val="28"/>
          <w:lang w:val="en-US" w:eastAsia="zh-CN" w:bidi="ar-SA"/>
        </w:rPr>
        <w:fldChar w:fldCharType="separate"/>
      </w:r>
      <w:r>
        <w:rPr>
          <w:rFonts w:hint="eastAsia" w:ascii="Times New Roman" w:hAnsi="Times New Roman" w:eastAsia="宋体" w:cs="Times New Roman"/>
          <w:sz w:val="28"/>
          <w:szCs w:val="28"/>
          <w:lang w:val="en-US" w:eastAsia="zh-CN" w:bidi="ar-SA"/>
        </w:rPr>
        <w:t>第八章 投标文件格式…………………………………………4</w:t>
      </w:r>
      <w:r>
        <w:rPr>
          <w:rFonts w:hint="eastAsia" w:ascii="Times New Roman" w:hAnsi="Times New Roman" w:eastAsia="宋体" w:cs="Times New Roman"/>
          <w:sz w:val="28"/>
          <w:szCs w:val="28"/>
          <w:lang w:val="en-US" w:eastAsia="zh-CN" w:bidi="ar-SA"/>
        </w:rPr>
        <w:fldChar w:fldCharType="end"/>
      </w:r>
      <w:r>
        <w:rPr>
          <w:rFonts w:hint="eastAsia" w:ascii="Times New Roman" w:hAnsi="Times New Roman" w:eastAsia="宋体" w:cs="Times New Roman"/>
          <w:sz w:val="28"/>
          <w:szCs w:val="28"/>
          <w:lang w:val="en-US" w:eastAsia="zh-CN" w:bidi="ar-SA"/>
        </w:rPr>
        <w:t>6</w:t>
      </w: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pPr>
    </w:p>
    <w:p>
      <w:pPr>
        <w:pStyle w:val="2"/>
        <w:spacing w:after="0" w:line="340" w:lineRule="exact"/>
        <w:ind w:firstLine="320"/>
        <w:jc w:val="center"/>
        <w:rPr>
          <w:sz w:val="32"/>
          <w:szCs w:val="32"/>
        </w:rPr>
        <w:sectPr>
          <w:footerReference r:id="rId4" w:type="default"/>
          <w:pgSz w:w="11906" w:h="16838"/>
          <w:pgMar w:top="1440" w:right="1701" w:bottom="1440" w:left="1701" w:header="851" w:footer="992" w:gutter="0"/>
          <w:pgNumType w:start="1"/>
          <w:cols w:space="0" w:num="1"/>
          <w:docGrid w:type="lines" w:linePitch="312" w:charSpace="0"/>
        </w:sectPr>
      </w:pPr>
    </w:p>
    <w:p>
      <w:pPr>
        <w:pStyle w:val="2"/>
        <w:numPr>
          <w:ilvl w:val="0"/>
          <w:numId w:val="2"/>
        </w:numPr>
        <w:spacing w:after="0" w:line="340" w:lineRule="exact"/>
        <w:ind w:firstLine="321"/>
        <w:jc w:val="center"/>
        <w:rPr>
          <w:b/>
          <w:bCs/>
          <w:sz w:val="32"/>
          <w:szCs w:val="32"/>
        </w:rPr>
      </w:pPr>
      <w:r>
        <w:rPr>
          <w:rFonts w:hint="eastAsia"/>
          <w:b/>
          <w:bCs/>
          <w:sz w:val="32"/>
          <w:szCs w:val="32"/>
        </w:rPr>
        <w:t>招标公告</w:t>
      </w:r>
    </w:p>
    <w:p>
      <w:pPr>
        <w:pStyle w:val="2"/>
        <w:spacing w:after="0" w:line="400" w:lineRule="exact"/>
        <w:ind w:firstLine="321"/>
        <w:jc w:val="center"/>
        <w:rPr>
          <w:rFonts w:hAnsi="宋体"/>
          <w:b/>
          <w:color w:val="000000"/>
          <w:sz w:val="32"/>
          <w:szCs w:val="32"/>
        </w:rPr>
      </w:pPr>
    </w:p>
    <w:p>
      <w:pPr>
        <w:pStyle w:val="2"/>
        <w:spacing w:after="0" w:line="400" w:lineRule="exact"/>
        <w:ind w:firstLine="321"/>
        <w:jc w:val="center"/>
        <w:rPr>
          <w:rFonts w:hint="eastAsia" w:hAnsi="宋体"/>
          <w:b/>
          <w:color w:val="000000"/>
          <w:sz w:val="32"/>
          <w:szCs w:val="32"/>
          <w:lang w:eastAsia="zh-CN"/>
        </w:rPr>
      </w:pPr>
      <w:r>
        <w:rPr>
          <w:rFonts w:hint="eastAsia" w:hAnsi="宋体"/>
          <w:b/>
          <w:color w:val="000000"/>
          <w:sz w:val="32"/>
          <w:szCs w:val="32"/>
          <w:lang w:eastAsia="zh-CN"/>
        </w:rPr>
        <w:t>浅井镇麻地川生态提升及麻地川至大鸿寨道路</w:t>
      </w:r>
    </w:p>
    <w:p>
      <w:pPr>
        <w:pStyle w:val="2"/>
        <w:spacing w:after="0" w:line="400" w:lineRule="exact"/>
        <w:ind w:firstLine="321"/>
        <w:jc w:val="center"/>
        <w:rPr>
          <w:rFonts w:hAnsi="宋体"/>
          <w:b/>
          <w:color w:val="000000"/>
          <w:sz w:val="32"/>
          <w:szCs w:val="32"/>
        </w:rPr>
      </w:pPr>
      <w:r>
        <w:rPr>
          <w:rFonts w:hint="eastAsia" w:hAnsi="宋体"/>
          <w:b/>
          <w:color w:val="000000"/>
          <w:sz w:val="32"/>
          <w:szCs w:val="32"/>
          <w:lang w:eastAsia="zh-CN"/>
        </w:rPr>
        <w:t>两侧绿化工程</w:t>
      </w:r>
      <w:r>
        <w:rPr>
          <w:rFonts w:hint="eastAsia" w:hAnsi="宋体"/>
          <w:b/>
          <w:color w:val="000000"/>
          <w:sz w:val="32"/>
          <w:szCs w:val="32"/>
        </w:rPr>
        <w:t>招标公告</w:t>
      </w:r>
    </w:p>
    <w:p>
      <w:pPr>
        <w:spacing w:line="340" w:lineRule="exact"/>
        <w:ind w:firstLine="482" w:firstLineChars="200"/>
        <w:rPr>
          <w:rFonts w:ascii="Calibri" w:hAnsi="宋体"/>
          <w:b/>
          <w:bCs/>
          <w:kern w:val="2"/>
          <w:sz w:val="24"/>
          <w:szCs w:val="24"/>
        </w:rPr>
      </w:pPr>
    </w:p>
    <w:p>
      <w:pPr>
        <w:spacing w:line="38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80" w:lineRule="exact"/>
        <w:ind w:firstLine="480" w:firstLineChars="200"/>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浅井镇麻地川生态提升及麻地川至大鸿寨道路两侧绿化工程</w:t>
      </w:r>
      <w:r>
        <w:rPr>
          <w:rFonts w:hint="eastAsia" w:ascii="Calibri" w:hAnsi="宋体"/>
          <w:kern w:val="2"/>
          <w:sz w:val="24"/>
          <w:szCs w:val="24"/>
        </w:rPr>
        <w:t>由主管部门批准建设，招标人</w:t>
      </w:r>
      <w:r>
        <w:rPr>
          <w:rFonts w:hint="eastAsia" w:ascii="Calibri" w:hAnsi="宋体"/>
          <w:color w:val="000000"/>
          <w:kern w:val="2"/>
          <w:sz w:val="24"/>
          <w:szCs w:val="24"/>
        </w:rPr>
        <w:t>为禹州市</w:t>
      </w:r>
      <w:r>
        <w:rPr>
          <w:rFonts w:hint="eastAsia" w:ascii="Calibri" w:hAnsi="宋体"/>
          <w:color w:val="000000"/>
          <w:kern w:val="2"/>
          <w:sz w:val="24"/>
          <w:szCs w:val="24"/>
          <w:lang w:eastAsia="zh-CN"/>
        </w:rPr>
        <w:t>浅井镇</w:t>
      </w:r>
      <w:r>
        <w:rPr>
          <w:rFonts w:hint="eastAsia" w:ascii="Calibri" w:hAnsi="宋体"/>
          <w:color w:val="000000"/>
          <w:kern w:val="2"/>
          <w:sz w:val="24"/>
          <w:szCs w:val="24"/>
        </w:rPr>
        <w:t>人民政府，</w:t>
      </w:r>
      <w:r>
        <w:rPr>
          <w:rFonts w:hint="eastAsia" w:ascii="Calibri" w:hAnsi="宋体"/>
          <w:kern w:val="2"/>
          <w:sz w:val="24"/>
          <w:szCs w:val="24"/>
        </w:rPr>
        <w:t>建设资金为</w:t>
      </w:r>
      <w:r>
        <w:rPr>
          <w:rFonts w:hint="eastAsia" w:ascii="Calibri" w:hAnsi="宋体"/>
          <w:kern w:val="2"/>
          <w:sz w:val="24"/>
          <w:szCs w:val="24"/>
          <w:lang w:eastAsia="zh-CN"/>
        </w:rPr>
        <w:t>财政</w:t>
      </w:r>
      <w:r>
        <w:rPr>
          <w:rFonts w:hint="eastAsia" w:ascii="Calibri" w:hAnsi="宋体"/>
          <w:kern w:val="2"/>
          <w:sz w:val="24"/>
          <w:szCs w:val="24"/>
        </w:rPr>
        <w:t>资金。项目已具备招标条件，现对该项目进行国内公开招标。</w:t>
      </w:r>
    </w:p>
    <w:p>
      <w:pPr>
        <w:spacing w:line="38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spacing w:after="0" w:line="380" w:lineRule="exact"/>
        <w:ind w:firstLine="240"/>
        <w:jc w:val="left"/>
        <w:rPr>
          <w:rFonts w:hint="default" w:ascii="Calibri" w:hAnsi="宋体" w:eastAsia="宋体"/>
          <w:kern w:val="2"/>
          <w:sz w:val="24"/>
          <w:szCs w:val="24"/>
          <w:lang w:val="en-US" w:eastAsia="zh-CN"/>
        </w:rPr>
      </w:pPr>
      <w:r>
        <w:rPr>
          <w:rFonts w:hint="eastAsia" w:ascii="Calibri" w:hAnsi="宋体"/>
          <w:kern w:val="2"/>
          <w:sz w:val="24"/>
          <w:szCs w:val="24"/>
        </w:rPr>
        <w:t>　</w:t>
      </w:r>
      <w:r>
        <w:rPr>
          <w:rFonts w:ascii="Calibri" w:hAnsi="宋体"/>
          <w:kern w:val="2"/>
          <w:sz w:val="24"/>
          <w:szCs w:val="24"/>
        </w:rPr>
        <w:t>2.1</w:t>
      </w:r>
      <w:r>
        <w:rPr>
          <w:rFonts w:hint="eastAsia" w:ascii="Calibri" w:hAnsi="宋体"/>
          <w:kern w:val="2"/>
          <w:sz w:val="24"/>
          <w:szCs w:val="24"/>
        </w:rPr>
        <w:t>工程名称：</w:t>
      </w:r>
      <w:r>
        <w:rPr>
          <w:rFonts w:hint="eastAsia" w:ascii="Calibri" w:hAnsi="宋体"/>
          <w:kern w:val="2"/>
          <w:sz w:val="24"/>
          <w:szCs w:val="24"/>
          <w:lang w:eastAsia="zh-CN"/>
        </w:rPr>
        <w:t>浅井镇麻地川生态提升及麻地川至大鸿寨道路两侧绿化工程</w:t>
      </w:r>
      <w:r>
        <w:rPr>
          <w:rFonts w:hint="eastAsia" w:ascii="Calibri" w:hAnsi="宋体"/>
          <w:kern w:val="2"/>
          <w:sz w:val="24"/>
          <w:szCs w:val="24"/>
          <w:lang w:val="en-US" w:eastAsia="zh-CN"/>
        </w:rPr>
        <w:t xml:space="preserve"> </w:t>
      </w:r>
    </w:p>
    <w:p>
      <w:pPr>
        <w:spacing w:line="380" w:lineRule="exact"/>
        <w:ind w:firstLine="480" w:firstLineChars="200"/>
        <w:rPr>
          <w:rFonts w:hint="eastAsia" w:ascii="Calibri" w:hAnsi="宋体" w:eastAsia="宋体"/>
          <w:kern w:val="2"/>
          <w:sz w:val="24"/>
          <w:szCs w:val="24"/>
          <w:lang w:val="en-US" w:eastAsia="zh-CN"/>
        </w:rPr>
      </w:pPr>
      <w:r>
        <w:rPr>
          <w:rFonts w:ascii="Calibri" w:hAnsi="宋体"/>
          <w:kern w:val="2"/>
          <w:sz w:val="24"/>
          <w:szCs w:val="24"/>
        </w:rPr>
        <w:t>2.2</w:t>
      </w:r>
      <w:r>
        <w:rPr>
          <w:rFonts w:hint="eastAsia" w:ascii="Calibri" w:hAnsi="宋体"/>
          <w:kern w:val="2"/>
          <w:sz w:val="24"/>
          <w:szCs w:val="24"/>
        </w:rPr>
        <w:t>工程编号：</w:t>
      </w:r>
      <w:r>
        <w:rPr>
          <w:rFonts w:hint="eastAsia" w:ascii="Calibri" w:hAnsi="宋体"/>
          <w:kern w:val="2"/>
          <w:sz w:val="24"/>
          <w:szCs w:val="24"/>
          <w:lang w:val="en-US" w:eastAsia="zh-CN"/>
        </w:rPr>
        <w:t>JSGC-SZ-2020022</w:t>
      </w:r>
    </w:p>
    <w:p>
      <w:pPr>
        <w:spacing w:line="380" w:lineRule="exact"/>
        <w:ind w:firstLine="480" w:firstLineChars="200"/>
        <w:rPr>
          <w:rFonts w:hint="eastAsia" w:hAnsi="宋体" w:eastAsia="宋体"/>
          <w:sz w:val="24"/>
          <w:szCs w:val="24"/>
          <w:lang w:eastAsia="zh-CN"/>
        </w:rPr>
      </w:pPr>
      <w:r>
        <w:rPr>
          <w:rFonts w:ascii="Calibri" w:hAnsi="宋体"/>
          <w:kern w:val="2"/>
          <w:sz w:val="24"/>
          <w:szCs w:val="24"/>
        </w:rPr>
        <w:t>2.3</w:t>
      </w:r>
      <w:r>
        <w:rPr>
          <w:rFonts w:hint="eastAsia" w:ascii="Calibri" w:hAnsi="宋体"/>
          <w:kern w:val="2"/>
          <w:sz w:val="24"/>
          <w:szCs w:val="24"/>
        </w:rPr>
        <w:t>工程地点：</w:t>
      </w:r>
      <w:r>
        <w:rPr>
          <w:rFonts w:hint="eastAsia" w:hAnsi="宋体"/>
          <w:sz w:val="24"/>
          <w:szCs w:val="24"/>
        </w:rPr>
        <w:t>禹州市</w:t>
      </w:r>
      <w:r>
        <w:rPr>
          <w:rFonts w:hint="eastAsia" w:hAnsi="宋体"/>
          <w:sz w:val="24"/>
          <w:szCs w:val="24"/>
          <w:lang w:eastAsia="zh-CN"/>
        </w:rPr>
        <w:t>浅井镇</w:t>
      </w:r>
    </w:p>
    <w:p>
      <w:pPr>
        <w:spacing w:line="380" w:lineRule="exact"/>
        <w:ind w:firstLine="480" w:firstLineChars="200"/>
        <w:rPr>
          <w:rFonts w:hint="eastAsia"/>
          <w:lang w:val="en-US" w:eastAsia="zh-CN"/>
        </w:rPr>
      </w:pPr>
      <w:r>
        <w:rPr>
          <w:rFonts w:ascii="Calibri" w:hAnsi="宋体"/>
          <w:kern w:val="2"/>
          <w:sz w:val="24"/>
          <w:szCs w:val="24"/>
        </w:rPr>
        <w:t>2.4</w:t>
      </w:r>
      <w:r>
        <w:rPr>
          <w:rFonts w:hint="eastAsia" w:ascii="Calibri" w:hAnsi="宋体"/>
          <w:kern w:val="2"/>
          <w:sz w:val="24"/>
          <w:szCs w:val="24"/>
        </w:rPr>
        <w:t>招标控制价：</w:t>
      </w:r>
      <w:r>
        <w:rPr>
          <w:rFonts w:hint="eastAsia" w:ascii="Calibri" w:hAnsi="宋体"/>
          <w:kern w:val="2"/>
          <w:sz w:val="24"/>
          <w:szCs w:val="24"/>
          <w:lang w:val="en-US" w:eastAsia="zh-CN"/>
        </w:rPr>
        <w:t>3176003.79元</w:t>
      </w:r>
      <w:r>
        <w:rPr>
          <w:rFonts w:hint="eastAsia" w:ascii="Calibri" w:hAnsi="宋体"/>
          <w:kern w:val="2"/>
          <w:sz w:val="24"/>
          <w:szCs w:val="24"/>
        </w:rPr>
        <w:t>（含规费、税金、安全文明施工费）</w:t>
      </w:r>
    </w:p>
    <w:p>
      <w:pPr>
        <w:spacing w:line="380" w:lineRule="exact"/>
        <w:ind w:firstLine="480" w:firstLineChars="200"/>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招标范围：招标文件、图纸、工程量清单、答疑纪要及补充文件（如有）范围内的所有工程内容。</w:t>
      </w:r>
    </w:p>
    <w:p>
      <w:pPr>
        <w:spacing w:line="380" w:lineRule="exact"/>
        <w:ind w:firstLine="480" w:firstLineChars="200"/>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spacing w:line="380" w:lineRule="exact"/>
        <w:ind w:firstLine="480" w:firstLineChars="200"/>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spacing w:line="380" w:lineRule="exact"/>
        <w:ind w:firstLine="480" w:firstLineChars="200"/>
        <w:rPr>
          <w:rFonts w:hint="eastAsia" w:ascii="Calibri" w:hAnsi="宋体"/>
          <w:kern w:val="2"/>
          <w:sz w:val="24"/>
          <w:szCs w:val="24"/>
        </w:rPr>
      </w:pPr>
      <w:r>
        <w:rPr>
          <w:rFonts w:ascii="Calibri" w:hAnsi="宋体"/>
          <w:kern w:val="2"/>
          <w:sz w:val="24"/>
          <w:szCs w:val="24"/>
        </w:rPr>
        <w:t>2.8</w:t>
      </w:r>
      <w:r>
        <w:rPr>
          <w:rFonts w:hint="eastAsia" w:ascii="Calibri" w:hAnsi="宋体"/>
          <w:kern w:val="2"/>
          <w:sz w:val="24"/>
          <w:szCs w:val="24"/>
        </w:rPr>
        <w:t>标段划分：本项目共设</w:t>
      </w:r>
      <w:r>
        <w:rPr>
          <w:rFonts w:hint="eastAsia" w:ascii="Calibri" w:hAnsi="宋体"/>
          <w:kern w:val="2"/>
          <w:sz w:val="24"/>
          <w:szCs w:val="24"/>
          <w:lang w:val="en-US" w:eastAsia="zh-CN"/>
        </w:rPr>
        <w:t>1</w:t>
      </w:r>
      <w:r>
        <w:rPr>
          <w:rFonts w:hint="eastAsia" w:ascii="Calibri" w:hAnsi="宋体"/>
          <w:kern w:val="2"/>
          <w:sz w:val="24"/>
          <w:szCs w:val="24"/>
        </w:rPr>
        <w:t>个标段</w:t>
      </w:r>
    </w:p>
    <w:p>
      <w:pPr>
        <w:spacing w:line="380" w:lineRule="exact"/>
        <w:ind w:firstLine="480" w:firstLineChars="200"/>
        <w:rPr>
          <w:rFonts w:hint="eastAsia" w:ascii="Calibri" w:hAnsi="宋体" w:eastAsia="宋体"/>
          <w:color w:val="000000"/>
          <w:kern w:val="2"/>
          <w:sz w:val="24"/>
          <w:szCs w:val="24"/>
          <w:lang w:val="en-US" w:eastAsia="zh-CN"/>
        </w:rPr>
      </w:pPr>
      <w:r>
        <w:rPr>
          <w:rFonts w:ascii="Calibri" w:hAnsi="宋体"/>
          <w:kern w:val="2"/>
          <w:sz w:val="24"/>
          <w:szCs w:val="24"/>
        </w:rPr>
        <w:t>2.9</w:t>
      </w:r>
      <w:r>
        <w:rPr>
          <w:rFonts w:hint="eastAsia" w:ascii="Calibri" w:hAnsi="宋体"/>
          <w:kern w:val="2"/>
          <w:sz w:val="24"/>
          <w:szCs w:val="24"/>
        </w:rPr>
        <w:t>计划工期：30日历天</w:t>
      </w:r>
    </w:p>
    <w:p>
      <w:pPr>
        <w:numPr>
          <w:ilvl w:val="0"/>
          <w:numId w:val="3"/>
        </w:numPr>
        <w:spacing w:line="380" w:lineRule="exact"/>
        <w:ind w:firstLine="482" w:firstLineChars="200"/>
        <w:rPr>
          <w:rFonts w:hint="eastAsia" w:ascii="Calibri" w:hAnsi="宋体"/>
          <w:b/>
          <w:bCs/>
          <w:kern w:val="2"/>
          <w:sz w:val="24"/>
          <w:szCs w:val="24"/>
        </w:rPr>
      </w:pPr>
      <w:r>
        <w:rPr>
          <w:rFonts w:hint="eastAsia" w:ascii="Calibri" w:hAnsi="宋体"/>
          <w:b/>
          <w:bCs/>
          <w:kern w:val="2"/>
          <w:sz w:val="24"/>
          <w:szCs w:val="24"/>
        </w:rPr>
        <w:t>投标人资格要求</w:t>
      </w:r>
    </w:p>
    <w:p>
      <w:pPr>
        <w:pStyle w:val="36"/>
        <w:spacing w:before="0" w:beforeAutospacing="0" w:after="0" w:afterAutospacing="0" w:line="380" w:lineRule="exact"/>
        <w:ind w:firstLine="480" w:firstLineChars="200"/>
        <w:contextualSpacing/>
        <w:jc w:val="both"/>
        <w:rPr>
          <w:rFonts w:hAnsi="宋体"/>
        </w:rPr>
      </w:pPr>
      <w:r>
        <w:rPr>
          <w:rFonts w:hint="eastAsia" w:hAnsi="宋体"/>
        </w:rPr>
        <w:t>3.</w:t>
      </w:r>
      <w:r>
        <w:rPr>
          <w:rFonts w:hint="eastAsia" w:hAnsi="宋体"/>
          <w:lang w:val="en-US" w:eastAsia="zh-CN"/>
        </w:rPr>
        <w:t>1</w:t>
      </w:r>
      <w:r>
        <w:rPr>
          <w:rFonts w:hint="eastAsia" w:hAnsi="宋体"/>
        </w:rPr>
        <w:t>须具备独立法人资格及有效的营业执照（</w:t>
      </w:r>
      <w:r>
        <w:rPr>
          <w:rFonts w:hint="eastAsia" w:ascii="宋体" w:hAnsi="宋体" w:eastAsia="宋体" w:cs="宋体"/>
          <w:b w:val="0"/>
          <w:i w:val="0"/>
          <w:color w:val="000000"/>
          <w:sz w:val="24"/>
          <w:szCs w:val="24"/>
          <w:u w:val="none"/>
          <w:shd w:val="clear" w:fill="FFFFFF"/>
        </w:rPr>
        <w:t>包含园林绿化经营范围</w:t>
      </w:r>
      <w:r>
        <w:rPr>
          <w:rFonts w:hint="eastAsia" w:hAnsi="宋体"/>
        </w:rPr>
        <w:t>），并在人员、设备、资金等方面具有相应的施工能力。</w:t>
      </w:r>
    </w:p>
    <w:p>
      <w:pPr>
        <w:pStyle w:val="36"/>
        <w:spacing w:before="0" w:beforeAutospacing="0" w:after="0" w:afterAutospacing="0" w:line="380" w:lineRule="exact"/>
        <w:ind w:firstLine="480" w:firstLineChars="200"/>
        <w:contextualSpacing/>
        <w:jc w:val="both"/>
        <w:rPr>
          <w:rFonts w:hint="default" w:hAnsi="宋体" w:cs="Times New Roman"/>
          <w:sz w:val="24"/>
          <w:szCs w:val="24"/>
          <w:lang w:val="en-US" w:eastAsia="zh-CN" w:bidi="ar-SA"/>
        </w:rPr>
      </w:pPr>
      <w:r>
        <w:rPr>
          <w:rFonts w:hint="eastAsia" w:hAnsi="宋体"/>
        </w:rPr>
        <w:t>3.2</w:t>
      </w:r>
      <w:r>
        <w:rPr>
          <w:rFonts w:hint="eastAsia" w:hAnsi="宋体"/>
          <w:lang w:val="en-US" w:eastAsia="zh-CN"/>
        </w:rPr>
        <w:t>.</w:t>
      </w:r>
      <w:r>
        <w:rPr>
          <w:rFonts w:hint="eastAsia" w:hAnsi="宋体"/>
        </w:rPr>
        <w:t>项目负责人须具有中级及以上职称；</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3.3投标人须具备良好的社会信誉：没有处于被责令停产、停业或投标资格被暂停取消状态。投标人需提供 “信用中国”网站（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"http://www.creditchina.gov.cn"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www.creditchina.gov.cn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）的“失信被执行人”和“重大税收违法案件当事人名单”、“中国政府采购”网站（</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"http://www.ccgp.gov.cn"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www.ccgp.gov.cn</w:t>
      </w:r>
      <w:r>
        <w:rPr>
          <w:rFonts w:hint="eastAsia" w:ascii="宋体" w:hAnsi="宋体" w:eastAsia="宋体" w:cs="宋体"/>
          <w:sz w:val="24"/>
          <w:szCs w:val="24"/>
          <w:lang w:val="en-US" w:eastAsia="zh-CN" w:bidi="ar-SA"/>
        </w:rPr>
        <w:fldChar w:fldCharType="end"/>
      </w:r>
      <w:r>
        <w:rPr>
          <w:rFonts w:hint="eastAsia" w:ascii="宋体" w:hAnsi="宋体" w:eastAsia="宋体" w:cs="宋体"/>
          <w:sz w:val="24"/>
          <w:szCs w:val="24"/>
          <w:lang w:val="en-US" w:eastAsia="zh-CN" w:bidi="ar-SA"/>
        </w:rPr>
        <w:t>）的“政府采购严重违法失信行为记录名单”查询结果页面截图，若有不良记录，报名无效（执行财库【2016】125号文）（以网上公示为准）。</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3.4</w:t>
      </w:r>
      <w:r>
        <w:rPr>
          <w:rFonts w:hint="eastAsia" w:ascii="宋体" w:hAnsi="宋体" w:eastAsia="宋体" w:cs="宋体"/>
          <w:sz w:val="24"/>
          <w:szCs w:val="24"/>
          <w:lang w:eastAsia="zh-CN" w:bidi="ar-SA"/>
        </w:rPr>
        <w:t>项目经理如有已中标项目工期内变更情况，请按照豫建建〔2015〕23号文件规定提供《项目经理（项目总监）变更备案表》等官方手续</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5</w:t>
      </w:r>
      <w:r>
        <w:rPr>
          <w:rFonts w:hint="eastAsia" w:ascii="宋体" w:hAnsi="宋体" w:eastAsia="宋体" w:cs="宋体"/>
          <w:sz w:val="24"/>
          <w:szCs w:val="24"/>
          <w:lang w:val="en-US" w:eastAsia="zh-CN" w:bidi="ar-SA"/>
        </w:rPr>
        <w:t>外省企业需在河南省建筑市场监管公共服务平台备案；</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6</w:t>
      </w:r>
      <w:r>
        <w:rPr>
          <w:rFonts w:hint="eastAsia" w:ascii="宋体" w:hAnsi="宋体" w:eastAsia="宋体" w:cs="宋体"/>
          <w:sz w:val="24"/>
          <w:szCs w:val="24"/>
          <w:lang w:val="en-US" w:eastAsia="zh-CN" w:bidi="ar-SA"/>
        </w:rPr>
        <w:t>本次招标实行资格后审。</w:t>
      </w:r>
    </w:p>
    <w:p>
      <w:pPr>
        <w:widowControl/>
        <w:snapToGrid w:val="0"/>
        <w:spacing w:line="38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w:t>
      </w:r>
      <w:r>
        <w:rPr>
          <w:rFonts w:hint="eastAsia" w:hAnsi="宋体" w:cs="宋体"/>
          <w:sz w:val="24"/>
          <w:szCs w:val="24"/>
          <w:lang w:val="en-US" w:eastAsia="zh-CN" w:bidi="ar-SA"/>
        </w:rPr>
        <w:t>7</w:t>
      </w:r>
      <w:r>
        <w:rPr>
          <w:rFonts w:hint="eastAsia" w:ascii="宋体" w:hAnsi="宋体" w:eastAsia="宋体" w:cs="宋体"/>
          <w:sz w:val="24"/>
          <w:szCs w:val="24"/>
          <w:lang w:val="en-US" w:eastAsia="zh-CN" w:bidi="ar-SA"/>
        </w:rPr>
        <w:t>本次招标不接受联合体投标。</w:t>
      </w:r>
    </w:p>
    <w:p>
      <w:pPr>
        <w:spacing w:line="38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8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fldChar w:fldCharType="begin"/>
      </w:r>
      <w:r>
        <w:rPr>
          <w:rFonts w:ascii="Calibri" w:hAnsi="宋体"/>
          <w:kern w:val="2"/>
          <w:sz w:val="24"/>
          <w:szCs w:val="24"/>
        </w:rPr>
        <w:instrText xml:space="preserve"> HYPERLINK "http://221.14.6.70:8088/ggzy/eps/public/RegistAllJcxx.html" </w:instrText>
      </w:r>
      <w:r>
        <w:rPr>
          <w:rFonts w:ascii="Calibri" w:hAnsi="宋体"/>
          <w:kern w:val="2"/>
          <w:sz w:val="24"/>
          <w:szCs w:val="24"/>
        </w:rPr>
        <w:fldChar w:fldCharType="separate"/>
      </w:r>
      <w:r>
        <w:rPr>
          <w:rStyle w:val="43"/>
          <w:rFonts w:ascii="Calibri" w:hAnsi="宋体"/>
          <w:kern w:val="2"/>
          <w:sz w:val="24"/>
          <w:szCs w:val="24"/>
        </w:rPr>
        <w:t>http://221.14.6.70:8088/ggzy/eps/public/RegistAllJcxx.html</w:t>
      </w:r>
      <w:r>
        <w:rPr>
          <w:rFonts w:ascii="Calibri" w:hAnsi="宋体"/>
          <w:kern w:val="2"/>
          <w:sz w:val="24"/>
          <w:szCs w:val="24"/>
        </w:rPr>
        <w:fldChar w:fldCharType="end"/>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508" w:firstLineChars="2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fldChar w:fldCharType="begin"/>
      </w:r>
      <w:r>
        <w:rPr>
          <w:rFonts w:ascii="Calibri" w:hAnsi="宋体"/>
          <w:kern w:val="2"/>
          <w:sz w:val="24"/>
          <w:szCs w:val="24"/>
        </w:rPr>
        <w:instrText xml:space="preserve"> HYPERLINK "http://221.14.6.70:8088/ggzy/" </w:instrText>
      </w:r>
      <w:r>
        <w:rPr>
          <w:rFonts w:ascii="Calibri" w:hAnsi="宋体"/>
          <w:kern w:val="2"/>
          <w:sz w:val="24"/>
          <w:szCs w:val="24"/>
        </w:rPr>
        <w:fldChar w:fldCharType="separate"/>
      </w:r>
      <w:r>
        <w:rPr>
          <w:rStyle w:val="43"/>
          <w:rFonts w:ascii="Calibri" w:hAnsi="宋体"/>
          <w:kern w:val="2"/>
          <w:sz w:val="24"/>
          <w:szCs w:val="24"/>
        </w:rPr>
        <w:t>http://221.14.6.70:8088/ggzy/</w:t>
      </w:r>
      <w:r>
        <w:rPr>
          <w:rFonts w:ascii="Calibri" w:hAnsi="宋体"/>
          <w:kern w:val="2"/>
          <w:sz w:val="24"/>
          <w:szCs w:val="24"/>
        </w:rPr>
        <w:fldChar w:fldCharType="end"/>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招标文件、工程量清单和施工图纸的获取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hint="eastAsia" w:hAnsi="宋体"/>
          <w:color w:val="000000"/>
          <w:sz w:val="24"/>
          <w:szCs w:val="24"/>
        </w:rPr>
        <w:t>（</w:t>
      </w:r>
      <w:r>
        <w:rPr>
          <w:rFonts w:hint="eastAsia" w:hAnsi="宋体"/>
          <w:color w:val="000000"/>
          <w:sz w:val="24"/>
          <w:szCs w:val="24"/>
        </w:rPr>
        <w:fldChar w:fldCharType="begin"/>
      </w:r>
      <w:r>
        <w:rPr>
          <w:rFonts w:hint="eastAsia" w:hAnsi="宋体"/>
          <w:color w:val="000000"/>
          <w:sz w:val="24"/>
          <w:szCs w:val="24"/>
        </w:rPr>
        <w:instrText xml:space="preserve"> HYPERLINK "http://ggzy.xuchang.gov.cn/" </w:instrText>
      </w:r>
      <w:r>
        <w:rPr>
          <w:rFonts w:hint="eastAsia" w:hAnsi="宋体"/>
          <w:color w:val="000000"/>
          <w:sz w:val="24"/>
          <w:szCs w:val="24"/>
        </w:rPr>
        <w:fldChar w:fldCharType="separate"/>
      </w:r>
      <w:r>
        <w:rPr>
          <w:rStyle w:val="43"/>
          <w:rFonts w:hint="eastAsia" w:hAnsi="宋体"/>
          <w:sz w:val="24"/>
          <w:szCs w:val="24"/>
        </w:rPr>
        <w:t>http://ggzy.xuchang.gov.cn/</w:t>
      </w:r>
      <w:r>
        <w:rPr>
          <w:rFonts w:hint="eastAsia" w:hAnsi="宋体"/>
          <w:color w:val="000000"/>
          <w:sz w:val="24"/>
          <w:szCs w:val="24"/>
        </w:rPr>
        <w:fldChar w:fldCharType="end"/>
      </w:r>
      <w:r>
        <w:rPr>
          <w:rFonts w:hint="eastAsia" w:hAnsi="宋体"/>
          <w:color w:val="000000"/>
          <w:sz w:val="24"/>
          <w:szCs w:val="24"/>
        </w:rPr>
        <w:t>）</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施工图纸的下载：按照施工招标文件中第二章投标人须知前附表第2.1项所给的网址自行下载。</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5.3招标文件每套售价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color w:val="000000" w:themeColor="text1"/>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w:t>
      </w:r>
      <w:r>
        <w:rPr>
          <w:rFonts w:hint="eastAsia" w:ascii="Calibri" w:hAnsi="宋体"/>
          <w:color w:val="000000" w:themeColor="text1"/>
          <w:kern w:val="2"/>
          <w:sz w:val="24"/>
          <w:szCs w:val="24"/>
        </w:rPr>
        <w:t>（正本</w:t>
      </w:r>
      <w:r>
        <w:rPr>
          <w:rFonts w:ascii="Calibri" w:hAnsi="宋体"/>
          <w:color w:val="000000" w:themeColor="text1"/>
          <w:kern w:val="2"/>
          <w:sz w:val="24"/>
          <w:szCs w:val="24"/>
        </w:rPr>
        <w:t>1</w:t>
      </w:r>
      <w:r>
        <w:rPr>
          <w:rFonts w:hint="eastAsia" w:ascii="Calibri" w:hAnsi="宋体"/>
          <w:color w:val="000000" w:themeColor="text1"/>
          <w:kern w:val="2"/>
          <w:sz w:val="24"/>
          <w:szCs w:val="24"/>
        </w:rPr>
        <w:t>份、副本</w:t>
      </w:r>
      <w:r>
        <w:rPr>
          <w:rFonts w:hint="eastAsia" w:ascii="Calibri" w:hAnsi="宋体"/>
          <w:color w:val="000000" w:themeColor="text1"/>
          <w:kern w:val="2"/>
          <w:sz w:val="24"/>
          <w:szCs w:val="24"/>
          <w:lang w:val="en-US" w:eastAsia="zh-CN"/>
        </w:rPr>
        <w:t>1</w:t>
      </w:r>
      <w:r>
        <w:rPr>
          <w:rFonts w:hint="eastAsia" w:ascii="Calibri" w:hAnsi="宋体"/>
          <w:color w:val="000000" w:themeColor="text1"/>
          <w:kern w:val="2"/>
          <w:sz w:val="24"/>
          <w:szCs w:val="24"/>
        </w:rPr>
        <w:t>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hint="eastAsia" w:ascii="Calibri" w:hAnsi="宋体"/>
          <w:kern w:val="2"/>
          <w:sz w:val="24"/>
          <w:szCs w:val="24"/>
          <w:lang w:val="en-US" w:eastAsia="zh-CN"/>
        </w:rPr>
        <w:t>2020</w:t>
      </w:r>
      <w:r>
        <w:rPr>
          <w:rFonts w:hint="eastAsia" w:ascii="Calibri" w:hAnsi="宋体"/>
          <w:kern w:val="2"/>
          <w:sz w:val="24"/>
          <w:szCs w:val="24"/>
        </w:rPr>
        <w:t>年</w:t>
      </w:r>
      <w:r>
        <w:rPr>
          <w:rFonts w:hint="eastAsia" w:ascii="Calibri" w:hAnsi="宋体"/>
          <w:kern w:val="2"/>
          <w:sz w:val="24"/>
          <w:szCs w:val="24"/>
          <w:lang w:val="en-US" w:eastAsia="zh-CN"/>
        </w:rPr>
        <w:t>4</w:t>
      </w:r>
      <w:r>
        <w:rPr>
          <w:rFonts w:hint="eastAsia" w:ascii="Calibri" w:hAnsi="宋体"/>
          <w:kern w:val="2"/>
          <w:sz w:val="24"/>
          <w:szCs w:val="24"/>
        </w:rPr>
        <w:t>月</w:t>
      </w:r>
      <w:r>
        <w:rPr>
          <w:rFonts w:hint="eastAsia" w:ascii="Calibri" w:hAnsi="宋体"/>
          <w:kern w:val="2"/>
          <w:sz w:val="24"/>
          <w:szCs w:val="24"/>
          <w:lang w:val="en-US" w:eastAsia="zh-CN"/>
        </w:rPr>
        <w:t>10</w:t>
      </w:r>
      <w:r>
        <w:rPr>
          <w:rFonts w:hint="eastAsia" w:ascii="Calibri" w:hAnsi="宋体"/>
          <w:kern w:val="2"/>
          <w:sz w:val="24"/>
          <w:szCs w:val="24"/>
        </w:rPr>
        <w:t>日上午</w:t>
      </w:r>
      <w:r>
        <w:rPr>
          <w:rFonts w:hint="eastAsia" w:ascii="Calibri" w:hAnsi="宋体"/>
          <w:kern w:val="2"/>
          <w:sz w:val="24"/>
          <w:szCs w:val="24"/>
          <w:lang w:val="en-US" w:eastAsia="zh-CN"/>
        </w:rPr>
        <w:t>9</w:t>
      </w:r>
      <w:r>
        <w:rPr>
          <w:rFonts w:hint="eastAsia" w:ascii="Calibri" w:hAnsi="宋体"/>
          <w:kern w:val="2"/>
          <w:sz w:val="24"/>
          <w:szCs w:val="24"/>
        </w:rPr>
        <w:t>时</w:t>
      </w:r>
      <w:r>
        <w:rPr>
          <w:rFonts w:hint="eastAsia" w:ascii="Calibri" w:hAnsi="宋体"/>
          <w:kern w:val="2"/>
          <w:sz w:val="24"/>
          <w:szCs w:val="24"/>
          <w:lang w:val="en-US" w:eastAsia="zh-CN"/>
        </w:rPr>
        <w:t>30</w:t>
      </w:r>
      <w:r>
        <w:rPr>
          <w:rFonts w:hint="eastAsia" w:ascii="Calibri" w:hAnsi="宋体"/>
          <w:kern w:val="2"/>
          <w:sz w:val="24"/>
          <w:szCs w:val="24"/>
        </w:rPr>
        <w:t>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招标人：</w:t>
      </w:r>
      <w:r>
        <w:rPr>
          <w:rFonts w:hint="eastAsia" w:hAnsi="宋体"/>
          <w:sz w:val="24"/>
          <w:szCs w:val="24"/>
          <w:lang w:eastAsia="zh-CN"/>
        </w:rPr>
        <w:t>禹州市浅井镇</w:t>
      </w:r>
      <w:r>
        <w:rPr>
          <w:rFonts w:hint="eastAsia" w:hAnsi="宋体"/>
          <w:sz w:val="24"/>
          <w:szCs w:val="24"/>
        </w:rPr>
        <w:t>人民政府</w:t>
      </w:r>
    </w:p>
    <w:p>
      <w:pPr>
        <w:tabs>
          <w:tab w:val="left" w:pos="4140"/>
          <w:tab w:val="left" w:pos="4260"/>
        </w:tabs>
        <w:spacing w:line="360" w:lineRule="auto"/>
        <w:ind w:right="-578" w:rightChars="-170" w:firstLine="240" w:firstLineChars="100"/>
        <w:rPr>
          <w:rFonts w:hint="eastAsia" w:hAnsi="宋体"/>
          <w:sz w:val="24"/>
          <w:szCs w:val="24"/>
          <w:lang w:eastAsia="zh-CN"/>
        </w:rPr>
      </w:pPr>
      <w:r>
        <w:rPr>
          <w:rFonts w:hint="eastAsia" w:hAnsi="宋体"/>
          <w:sz w:val="24"/>
          <w:szCs w:val="24"/>
        </w:rPr>
        <w:t>地  址：禹州市</w:t>
      </w:r>
      <w:r>
        <w:rPr>
          <w:rFonts w:hint="eastAsia" w:hAnsi="宋体"/>
          <w:sz w:val="24"/>
          <w:szCs w:val="24"/>
          <w:lang w:eastAsia="zh-CN"/>
        </w:rPr>
        <w:t>浅井镇</w:t>
      </w:r>
    </w:p>
    <w:p>
      <w:pPr>
        <w:tabs>
          <w:tab w:val="left" w:pos="4140"/>
          <w:tab w:val="left" w:pos="4260"/>
        </w:tabs>
        <w:spacing w:line="360" w:lineRule="auto"/>
        <w:ind w:right="-578" w:rightChars="-170" w:firstLine="240" w:firstLineChars="100"/>
        <w:rPr>
          <w:rFonts w:hAnsi="宋体"/>
          <w:sz w:val="24"/>
          <w:szCs w:val="24"/>
        </w:rPr>
      </w:pPr>
      <w:r>
        <w:rPr>
          <w:rFonts w:hint="eastAsia" w:hAnsi="宋体"/>
          <w:sz w:val="24"/>
          <w:szCs w:val="24"/>
        </w:rPr>
        <w:t>联系人：</w:t>
      </w:r>
      <w:r>
        <w:rPr>
          <w:rFonts w:hint="eastAsia" w:hAnsi="宋体"/>
          <w:sz w:val="24"/>
          <w:szCs w:val="24"/>
          <w:lang w:eastAsia="zh-CN"/>
        </w:rPr>
        <w:t>韦</w:t>
      </w:r>
      <w:r>
        <w:rPr>
          <w:rFonts w:hint="eastAsia" w:hAnsi="宋体"/>
          <w:sz w:val="24"/>
          <w:szCs w:val="24"/>
        </w:rPr>
        <w:t>先生</w:t>
      </w:r>
    </w:p>
    <w:p>
      <w:pPr>
        <w:tabs>
          <w:tab w:val="left" w:pos="4140"/>
          <w:tab w:val="left" w:pos="4260"/>
        </w:tabs>
        <w:spacing w:line="360" w:lineRule="auto"/>
        <w:ind w:right="-578" w:rightChars="-170" w:firstLine="240" w:firstLineChars="100"/>
        <w:rPr>
          <w:rFonts w:hint="default" w:hAnsi="宋体" w:eastAsia="宋体"/>
          <w:sz w:val="24"/>
          <w:szCs w:val="24"/>
          <w:lang w:val="en-US" w:eastAsia="zh-CN"/>
        </w:rPr>
      </w:pPr>
      <w:r>
        <w:rPr>
          <w:rFonts w:hint="eastAsia" w:hAnsi="宋体"/>
          <w:sz w:val="24"/>
          <w:szCs w:val="24"/>
        </w:rPr>
        <w:t>联系电话：</w:t>
      </w:r>
      <w:r>
        <w:rPr>
          <w:rFonts w:hint="eastAsia" w:cs="宋体"/>
          <w:sz w:val="24"/>
          <w:szCs w:val="24"/>
          <w:lang w:val="en-US" w:eastAsia="zh-CN"/>
        </w:rPr>
        <w:t>0374-8751005</w:t>
      </w:r>
    </w:p>
    <w:p>
      <w:pPr>
        <w:widowControl/>
        <w:spacing w:line="360" w:lineRule="auto"/>
        <w:ind w:firstLine="240" w:firstLineChars="100"/>
        <w:rPr>
          <w:rFonts w:hAnsi="宋体"/>
          <w:sz w:val="24"/>
          <w:szCs w:val="24"/>
        </w:rPr>
      </w:pPr>
      <w:r>
        <w:rPr>
          <w:rFonts w:hint="eastAsia" w:hAnsi="宋体"/>
          <w:sz w:val="24"/>
          <w:szCs w:val="24"/>
        </w:rPr>
        <w:t>招标代理机构：河南建标工程管理有限公司</w:t>
      </w:r>
    </w:p>
    <w:p>
      <w:pPr>
        <w:tabs>
          <w:tab w:val="left" w:pos="4140"/>
          <w:tab w:val="left" w:pos="4260"/>
        </w:tabs>
        <w:spacing w:line="360" w:lineRule="auto"/>
        <w:ind w:right="-578" w:rightChars="-170" w:firstLine="240" w:firstLineChars="100"/>
        <w:rPr>
          <w:rFonts w:hint="eastAsia" w:hAnsi="宋体" w:eastAsia="宋体"/>
          <w:sz w:val="24"/>
          <w:szCs w:val="24"/>
          <w:lang w:eastAsia="zh-CN"/>
        </w:rPr>
      </w:pPr>
      <w:r>
        <w:rPr>
          <w:rFonts w:hint="eastAsia" w:hAnsi="宋体"/>
          <w:sz w:val="24"/>
          <w:szCs w:val="24"/>
        </w:rPr>
        <w:t>联系人：</w:t>
      </w:r>
      <w:r>
        <w:rPr>
          <w:rFonts w:hint="eastAsia" w:hAnsi="宋体"/>
          <w:sz w:val="24"/>
          <w:szCs w:val="24"/>
          <w:lang w:eastAsia="zh-CN"/>
        </w:rPr>
        <w:t>张女士</w:t>
      </w:r>
    </w:p>
    <w:p>
      <w:pPr>
        <w:tabs>
          <w:tab w:val="left" w:pos="4140"/>
          <w:tab w:val="left" w:pos="4260"/>
        </w:tabs>
        <w:spacing w:line="360" w:lineRule="auto"/>
        <w:ind w:right="-578" w:rightChars="-170" w:firstLine="240" w:firstLineChars="100"/>
        <w:rPr>
          <w:rFonts w:hint="eastAsia" w:hAnsi="宋体"/>
          <w:b/>
          <w:color w:val="000000"/>
          <w:sz w:val="24"/>
          <w:szCs w:val="24"/>
        </w:rPr>
      </w:pPr>
      <w:r>
        <w:rPr>
          <w:rFonts w:hint="eastAsia" w:hAnsi="宋体"/>
          <w:sz w:val="24"/>
          <w:szCs w:val="24"/>
        </w:rPr>
        <w:t>联系电话：0374-7397667</w:t>
      </w:r>
      <w:r>
        <w:rPr>
          <w:rFonts w:hint="eastAsia" w:hAnsi="宋体"/>
          <w:sz w:val="24"/>
          <w:szCs w:val="22"/>
        </w:rPr>
        <w:t xml:space="preserve">         </w:t>
      </w:r>
    </w:p>
    <w:p>
      <w:pPr>
        <w:spacing w:line="400" w:lineRule="exact"/>
        <w:rPr>
          <w:rFonts w:hint="eastAsia" w:hAnsi="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b/>
          <w:color w:val="000000"/>
          <w:sz w:val="24"/>
          <w:szCs w:val="24"/>
        </w:rPr>
      </w:pPr>
      <w:r>
        <w:rPr>
          <w:rFonts w:hint="eastAsia" w:hAnsi="宋体"/>
          <w:b/>
          <w:color w:val="000000"/>
          <w:sz w:val="24"/>
          <w:szCs w:val="24"/>
        </w:rPr>
        <w:t>温馨提示：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3"/>
          <w:rFonts w:hAnsi="宋体"/>
          <w:sz w:val="24"/>
          <w:szCs w:val="24"/>
        </w:rPr>
        <w:t>http://221.14.6.70:8088/ggzy/</w:t>
      </w:r>
      <w:r>
        <w:rPr>
          <w:rStyle w:val="43"/>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left="170" w:leftChars="50" w:firstLine="360" w:firstLineChars="150"/>
        <w:contextualSpacing/>
        <w:textAlignment w:val="auto"/>
        <w:outlineLvl w:val="9"/>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left="170" w:leftChars="50" w:firstLine="360" w:firstLineChars="150"/>
        <w:contextualSpacing/>
        <w:textAlignment w:val="auto"/>
        <w:outlineLvl w:val="9"/>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left="170" w:leftChars="50" w:firstLine="360" w:firstLineChars="150"/>
        <w:contextualSpacing/>
        <w:textAlignment w:val="auto"/>
        <w:outlineLvl w:val="9"/>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3"/>
          <w:rFonts w:hAnsi="宋体"/>
          <w:sz w:val="24"/>
          <w:szCs w:val="24"/>
        </w:rPr>
        <w:t>http://221.14.6.70:8088/ggzy/</w:t>
      </w:r>
      <w:r>
        <w:rPr>
          <w:rStyle w:val="43"/>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2" w:firstLineChars="200"/>
        <w:contextualSpacing/>
        <w:textAlignment w:val="auto"/>
        <w:outlineLvl w:val="9"/>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360" w:lineRule="exact"/>
        <w:ind w:firstLine="480" w:firstLineChars="200"/>
        <w:contextualSpacing/>
        <w:textAlignment w:val="auto"/>
        <w:outlineLvl w:val="9"/>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9" w:name="_Toc283559940"/>
      <w:r>
        <w:rPr>
          <w:rFonts w:hint="eastAsia"/>
          <w:b/>
          <w:bCs/>
          <w:sz w:val="28"/>
          <w:szCs w:val="28"/>
        </w:rPr>
        <w:t>投标人须知前附表</w:t>
      </w:r>
      <w:bookmarkEnd w:id="9"/>
    </w:p>
    <w:tbl>
      <w:tblPr>
        <w:tblStyle w:val="44"/>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招标人</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招标人：禹州市</w:t>
            </w:r>
            <w:r>
              <w:rPr>
                <w:rFonts w:hint="eastAsia"/>
                <w:sz w:val="21"/>
                <w:szCs w:val="21"/>
                <w:lang w:eastAsia="zh-CN"/>
              </w:rPr>
              <w:t>浅井镇</w:t>
            </w:r>
            <w:r>
              <w:rPr>
                <w:rFonts w:hint="eastAsia"/>
                <w:sz w:val="21"/>
                <w:szCs w:val="21"/>
              </w:rPr>
              <w:t>人民政府</w:t>
            </w:r>
          </w:p>
          <w:p>
            <w:pPr>
              <w:autoSpaceDE w:val="0"/>
              <w:autoSpaceDN w:val="0"/>
              <w:adjustRightInd w:val="0"/>
              <w:spacing w:line="420" w:lineRule="exact"/>
              <w:jc w:val="left"/>
              <w:rPr>
                <w:sz w:val="21"/>
                <w:szCs w:val="21"/>
              </w:rPr>
            </w:pPr>
            <w:r>
              <w:rPr>
                <w:rFonts w:hint="eastAsia"/>
                <w:sz w:val="21"/>
                <w:szCs w:val="21"/>
              </w:rPr>
              <w:t>联系人：</w:t>
            </w:r>
            <w:r>
              <w:rPr>
                <w:rFonts w:hint="eastAsia"/>
                <w:sz w:val="21"/>
                <w:szCs w:val="21"/>
                <w:lang w:eastAsia="zh-CN"/>
              </w:rPr>
              <w:t>韦</w:t>
            </w:r>
            <w:r>
              <w:rPr>
                <w:rFonts w:hint="eastAsia"/>
                <w:sz w:val="21"/>
                <w:szCs w:val="21"/>
              </w:rPr>
              <w:t>先生</w:t>
            </w:r>
          </w:p>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联系电话：</w:t>
            </w:r>
            <w:r>
              <w:rPr>
                <w:rFonts w:hint="eastAsia"/>
                <w:sz w:val="21"/>
                <w:szCs w:val="21"/>
                <w:lang w:val="en-US" w:eastAsia="zh-CN"/>
              </w:rPr>
              <w:t>0374-8751005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项目名称</w:t>
            </w:r>
          </w:p>
        </w:tc>
        <w:tc>
          <w:tcPr>
            <w:tcW w:w="6045" w:type="dxa"/>
            <w:vAlign w:val="center"/>
          </w:tcPr>
          <w:p>
            <w:pPr>
              <w:pStyle w:val="2"/>
              <w:keepNext w:val="0"/>
              <w:keepLines w:val="0"/>
              <w:pageBreakBefore w:val="0"/>
              <w:kinsoku/>
              <w:wordWrap/>
              <w:overflowPunct/>
              <w:topLinePunct w:val="0"/>
              <w:autoSpaceDE/>
              <w:autoSpaceDN/>
              <w:bidi w:val="0"/>
              <w:adjustRightInd/>
              <w:spacing w:after="0" w:line="420" w:lineRule="exact"/>
              <w:ind w:left="0" w:leftChars="0" w:firstLine="0" w:firstLineChars="0"/>
              <w:jc w:val="left"/>
              <w:textAlignment w:val="auto"/>
              <w:outlineLvl w:val="9"/>
              <w:rPr>
                <w:rFonts w:hint="eastAsia"/>
                <w:sz w:val="21"/>
                <w:szCs w:val="21"/>
                <w:lang w:eastAsia="zh-CN"/>
              </w:rPr>
            </w:pPr>
            <w:r>
              <w:rPr>
                <w:rFonts w:hint="eastAsia" w:cs="宋体"/>
                <w:sz w:val="21"/>
                <w:szCs w:val="21"/>
                <w:lang w:val="en-US" w:eastAsia="zh-CN" w:bidi="ar-SA"/>
              </w:rPr>
              <w:t>浅井镇麻地川生态提升及麻地川至大鸿寨道路两侧绿化工程</w:t>
            </w:r>
            <w:r>
              <w:rPr>
                <w:rFonts w:hint="eastAsia" w:ascii="宋体" w:hAnsi="Times New Roman" w:eastAsia="宋体" w:cs="宋体"/>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hint="eastAsia" w:eastAsia="宋体"/>
                <w:sz w:val="21"/>
                <w:szCs w:val="21"/>
                <w:lang w:eastAsia="zh-CN"/>
              </w:rPr>
            </w:pPr>
            <w:r>
              <w:rPr>
                <w:rFonts w:hint="eastAsia"/>
                <w:sz w:val="21"/>
                <w:szCs w:val="21"/>
              </w:rPr>
              <w:t>禹州市</w:t>
            </w:r>
            <w:r>
              <w:rPr>
                <w:rFonts w:hint="eastAsia"/>
                <w:sz w:val="21"/>
                <w:szCs w:val="21"/>
                <w:lang w:eastAsia="zh-CN"/>
              </w:rPr>
              <w:t>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资金来源</w:t>
            </w:r>
          </w:p>
        </w:tc>
        <w:tc>
          <w:tcPr>
            <w:tcW w:w="6045" w:type="dxa"/>
          </w:tcPr>
          <w:p>
            <w:pPr>
              <w:autoSpaceDE w:val="0"/>
              <w:autoSpaceDN w:val="0"/>
              <w:adjustRightInd w:val="0"/>
              <w:spacing w:line="420" w:lineRule="exact"/>
              <w:jc w:val="left"/>
              <w:rPr>
                <w:sz w:val="21"/>
                <w:szCs w:val="21"/>
              </w:rPr>
            </w:pPr>
            <w:r>
              <w:rPr>
                <w:rFonts w:hint="eastAsia"/>
                <w:sz w:val="21"/>
                <w:szCs w:val="21"/>
                <w:lang w:eastAsia="zh-CN"/>
              </w:rPr>
              <w:t>财政</w:t>
            </w:r>
            <w:r>
              <w:rPr>
                <w:rFonts w:hint="eastAsia"/>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出资比例</w:t>
            </w:r>
          </w:p>
        </w:tc>
        <w:tc>
          <w:tcPr>
            <w:tcW w:w="6045" w:type="dxa"/>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招标范围</w:t>
            </w:r>
          </w:p>
        </w:tc>
        <w:tc>
          <w:tcPr>
            <w:tcW w:w="6045" w:type="dxa"/>
          </w:tcPr>
          <w:p>
            <w:pPr>
              <w:autoSpaceDE w:val="0"/>
              <w:autoSpaceDN w:val="0"/>
              <w:adjustRightInd w:val="0"/>
              <w:jc w:val="left"/>
              <w:rPr>
                <w:sz w:val="21"/>
                <w:szCs w:val="21"/>
              </w:rPr>
            </w:pPr>
            <w:r>
              <w:rPr>
                <w:rFonts w:hint="eastAsia"/>
                <w:sz w:val="21"/>
                <w:szCs w:val="21"/>
              </w:rPr>
              <w:t>招标文件、图纸、工程量清单、答疑纪要和补充文件（如有）范围内的所有建设内容。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left"/>
              <w:rPr>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rFonts w:hint="default" w:eastAsia="宋体"/>
                <w:sz w:val="21"/>
                <w:szCs w:val="21"/>
                <w:lang w:val="en-US" w:eastAsia="zh-CN"/>
              </w:rPr>
            </w:pPr>
            <w:r>
              <w:rPr>
                <w:rFonts w:hint="eastAsia"/>
                <w:sz w:val="21"/>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sz w:val="21"/>
                <w:szCs w:val="21"/>
              </w:rPr>
            </w:pPr>
            <w:r>
              <w:rPr>
                <w:rFonts w:hint="eastAsia"/>
                <w:sz w:val="21"/>
                <w:szCs w:val="21"/>
              </w:rPr>
              <w:t>　</w:t>
            </w:r>
            <w:r>
              <w:rPr>
                <w:rFonts w:hint="eastAsia"/>
                <w:sz w:val="21"/>
                <w:szCs w:val="21"/>
                <w:lang w:val="en-US" w:eastAsia="zh-CN"/>
              </w:rPr>
              <w:t>1.</w:t>
            </w:r>
            <w:r>
              <w:rPr>
                <w:rFonts w:hint="eastAsia"/>
                <w:sz w:val="21"/>
                <w:szCs w:val="21"/>
              </w:rPr>
              <w:t>须具备独立法人资格及有效的营业执照（包含园林绿化经营范围），并在人员、设备、资金等方面具有相应的施工能力。</w:t>
            </w:r>
          </w:p>
          <w:p>
            <w:pPr>
              <w:pStyle w:val="36"/>
              <w:spacing w:before="0" w:beforeAutospacing="0" w:after="0" w:afterAutospacing="0" w:line="380" w:lineRule="exact"/>
              <w:ind w:firstLine="210" w:firstLineChars="100"/>
              <w:contextualSpacing/>
              <w:jc w:val="both"/>
              <w:rPr>
                <w:rFonts w:hint="eastAsia"/>
              </w:rPr>
            </w:pPr>
            <w:r>
              <w:rPr>
                <w:rFonts w:hint="eastAsia"/>
                <w:sz w:val="21"/>
                <w:szCs w:val="21"/>
                <w:lang w:val="en-US" w:eastAsia="zh-CN"/>
              </w:rPr>
              <w:t>2.</w:t>
            </w:r>
            <w:r>
              <w:rPr>
                <w:rFonts w:hint="eastAsia"/>
                <w:sz w:val="21"/>
                <w:szCs w:val="21"/>
              </w:rPr>
              <w:t>项目负责人须具有中级及以上职称。</w:t>
            </w:r>
          </w:p>
          <w:p>
            <w:pPr>
              <w:wordWrap w:val="0"/>
              <w:snapToGrid w:val="0"/>
              <w:spacing w:line="440" w:lineRule="exact"/>
              <w:ind w:firstLine="210" w:firstLineChars="100"/>
              <w:rPr>
                <w:rFonts w:hint="eastAsia" w:hAnsi="Times New Roman"/>
                <w:sz w:val="21"/>
                <w:szCs w:val="21"/>
              </w:rPr>
            </w:pPr>
            <w:r>
              <w:rPr>
                <w:rFonts w:hint="eastAsia" w:hAnsi="宋体"/>
                <w:bCs/>
                <w:kern w:val="2"/>
                <w:sz w:val="21"/>
                <w:szCs w:val="21"/>
                <w:lang w:val="en-US" w:eastAsia="zh-CN"/>
              </w:rPr>
              <w:t>3.</w:t>
            </w:r>
            <w:r>
              <w:rPr>
                <w:rFonts w:hint="eastAsia" w:hAnsi="Times New Roman"/>
                <w:sz w:val="21"/>
                <w:szCs w:val="21"/>
              </w:rPr>
              <w:t>投标人须具备良好的社会信誉：没有处于被责令停产、停业或投标资格被暂停取消状态。投标人需提供 “信用中国”网站（</w:t>
            </w:r>
            <w:r>
              <w:rPr>
                <w:rFonts w:hint="eastAsia" w:hAnsi="Times New Roman"/>
                <w:sz w:val="21"/>
                <w:szCs w:val="21"/>
              </w:rPr>
              <w:fldChar w:fldCharType="begin"/>
            </w:r>
            <w:r>
              <w:rPr>
                <w:rFonts w:hint="eastAsia" w:hAnsi="Times New Roman"/>
                <w:sz w:val="21"/>
                <w:szCs w:val="21"/>
              </w:rPr>
              <w:instrText xml:space="preserve"> HYPERLINK "http://www.creditchina.gov.cn" </w:instrText>
            </w:r>
            <w:r>
              <w:rPr>
                <w:rFonts w:hint="eastAsia" w:hAnsi="Times New Roman"/>
                <w:sz w:val="21"/>
                <w:szCs w:val="21"/>
              </w:rPr>
              <w:fldChar w:fldCharType="separate"/>
            </w:r>
            <w:r>
              <w:rPr>
                <w:rFonts w:hint="eastAsia" w:hAnsi="Times New Roman"/>
                <w:sz w:val="21"/>
                <w:szCs w:val="21"/>
              </w:rPr>
              <w:t>www.creditchina.gov.cn</w:t>
            </w:r>
            <w:r>
              <w:rPr>
                <w:rFonts w:hint="eastAsia" w:hAnsi="Times New Roman"/>
                <w:sz w:val="21"/>
                <w:szCs w:val="21"/>
              </w:rPr>
              <w:fldChar w:fldCharType="end"/>
            </w:r>
            <w:r>
              <w:rPr>
                <w:rFonts w:hint="eastAsia" w:hAnsi="Times New Roman"/>
                <w:sz w:val="21"/>
                <w:szCs w:val="21"/>
              </w:rPr>
              <w:t>）的“失信被执行人”和“重大税收违法案件当事人名单”、“中国政府采购”网站（</w:t>
            </w:r>
            <w:r>
              <w:rPr>
                <w:rFonts w:hint="eastAsia" w:hAnsi="Times New Roman"/>
                <w:sz w:val="21"/>
                <w:szCs w:val="21"/>
              </w:rPr>
              <w:fldChar w:fldCharType="begin"/>
            </w:r>
            <w:r>
              <w:rPr>
                <w:rFonts w:hint="eastAsia" w:hAnsi="Times New Roman"/>
                <w:sz w:val="21"/>
                <w:szCs w:val="21"/>
              </w:rPr>
              <w:instrText xml:space="preserve"> HYPERLINK "http://www.ccgp.gov.cn" </w:instrText>
            </w:r>
            <w:r>
              <w:rPr>
                <w:rFonts w:hint="eastAsia" w:hAnsi="Times New Roman"/>
                <w:sz w:val="21"/>
                <w:szCs w:val="21"/>
              </w:rPr>
              <w:fldChar w:fldCharType="separate"/>
            </w:r>
            <w:r>
              <w:rPr>
                <w:rFonts w:hint="eastAsia" w:hAnsi="Times New Roman"/>
                <w:sz w:val="21"/>
                <w:szCs w:val="21"/>
              </w:rPr>
              <w:t>www.ccgp.gov.cn</w:t>
            </w:r>
            <w:r>
              <w:rPr>
                <w:rFonts w:hint="eastAsia" w:hAnsi="Times New Roman"/>
                <w:sz w:val="21"/>
                <w:szCs w:val="21"/>
              </w:rPr>
              <w:fldChar w:fldCharType="end"/>
            </w:r>
            <w:r>
              <w:rPr>
                <w:rFonts w:hint="eastAsia" w:hAnsi="Times New Roman"/>
                <w:sz w:val="21"/>
                <w:szCs w:val="21"/>
              </w:rPr>
              <w:t>）的“政府采购严重违法失信行为记录名单”查询结果页面截图，若有不良记录，报名无效（执行财库【2016】125号文）（以网上公示为准）。</w:t>
            </w:r>
          </w:p>
          <w:p>
            <w:pPr>
              <w:wordWrap w:val="0"/>
              <w:snapToGrid w:val="0"/>
              <w:spacing w:line="440" w:lineRule="exact"/>
              <w:ind w:firstLine="210" w:firstLineChars="100"/>
              <w:rPr>
                <w:sz w:val="21"/>
                <w:szCs w:val="21"/>
              </w:rPr>
            </w:pPr>
            <w:r>
              <w:rPr>
                <w:rFonts w:hint="eastAsia"/>
                <w:sz w:val="21"/>
                <w:szCs w:val="21"/>
              </w:rPr>
              <w:t>4.外省企业需在河南省建筑市场监管公共服务平台备案。</w:t>
            </w:r>
          </w:p>
          <w:p>
            <w:pPr>
              <w:wordWrap w:val="0"/>
              <w:snapToGrid w:val="0"/>
              <w:spacing w:line="440" w:lineRule="exact"/>
              <w:ind w:firstLine="210" w:firstLineChars="100"/>
              <w:rPr>
                <w:sz w:val="21"/>
                <w:szCs w:val="21"/>
              </w:rPr>
            </w:pPr>
            <w:r>
              <w:rPr>
                <w:rFonts w:hint="eastAsia"/>
                <w:sz w:val="21"/>
                <w:szCs w:val="21"/>
              </w:rPr>
              <w:t>5.本次招标实行资格后审。</w:t>
            </w:r>
          </w:p>
          <w:p>
            <w:pPr>
              <w:wordWrap w:val="0"/>
              <w:snapToGrid w:val="0"/>
              <w:spacing w:line="440" w:lineRule="exact"/>
              <w:ind w:firstLine="210" w:firstLineChars="100"/>
              <w:rPr>
                <w:sz w:val="21"/>
                <w:szCs w:val="21"/>
              </w:rPr>
            </w:pPr>
            <w:r>
              <w:rPr>
                <w:rFonts w:hint="eastAsia"/>
                <w:sz w:val="21"/>
                <w:szCs w:val="21"/>
              </w:rPr>
              <w:t>6.本次招标不接受联合体投标。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w:t>
            </w:r>
            <w:r>
              <w:rPr>
                <w:rFonts w:hint="eastAsia"/>
                <w:sz w:val="21"/>
                <w:szCs w:val="21"/>
                <w:lang w:eastAsia="zh-CN"/>
              </w:rPr>
              <w:t>（</w:t>
            </w:r>
            <w:r>
              <w:rPr>
                <w:rFonts w:hint="eastAsia" w:hAnsi="Times New Roman"/>
                <w:sz w:val="21"/>
                <w:szCs w:val="21"/>
                <w:lang w:val="zh-CN" w:eastAsia="zh-CN"/>
              </w:rPr>
              <w:t>或基本存款账户信息）</w:t>
            </w:r>
            <w:r>
              <w:rPr>
                <w:rFonts w:hint="eastAsia"/>
                <w:sz w:val="21"/>
                <w:szCs w:val="21"/>
              </w:rPr>
              <w:t>、外省企业进豫提供“</w:t>
            </w:r>
            <w:r>
              <w:rPr>
                <w:rFonts w:hint="eastAsia" w:hAnsi="宋体"/>
                <w:sz w:val="21"/>
                <w:szCs w:val="28"/>
              </w:rPr>
              <w:t>河南省建筑市场监管公共服务平台</w:t>
            </w:r>
            <w:r>
              <w:rPr>
                <w:rFonts w:hint="eastAsia"/>
                <w:sz w:val="21"/>
                <w:szCs w:val="21"/>
              </w:rPr>
              <w:t>”网页投标书中必须附扫描件，以备查阅。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045" w:type="dxa"/>
          </w:tcPr>
          <w:p>
            <w:pPr>
              <w:wordWrap w:val="0"/>
              <w:snapToGrid w:val="0"/>
              <w:rPr>
                <w:rFonts w:hint="eastAsia"/>
                <w:sz w:val="21"/>
                <w:szCs w:val="21"/>
                <w:lang w:val="en-US" w:eastAsia="zh-CN"/>
              </w:rPr>
            </w:pPr>
            <w:r>
              <w:rPr>
                <w:rFonts w:hint="eastAsia"/>
                <w:sz w:val="21"/>
                <w:szCs w:val="21"/>
              </w:rPr>
              <w:t>招标文件和工程量清单的获取：投标人于投标文件递交截止时间前</w:t>
            </w:r>
            <w:r>
              <w:rPr>
                <w:rFonts w:hint="eastAsia"/>
                <w:color w:val="0000FF"/>
                <w:sz w:val="21"/>
                <w:szCs w:val="21"/>
              </w:rPr>
              <w:t>均可登录【全国公共资源交易平台(河南省</w:t>
            </w:r>
            <w:r>
              <w:rPr>
                <w:rFonts w:hint="eastAsia" w:ascii="MS Mincho" w:hAnsi="MS Mincho" w:eastAsia="MS Mincho" w:cs="MS Mincho"/>
                <w:color w:val="0000FF"/>
                <w:sz w:val="21"/>
                <w:szCs w:val="21"/>
              </w:rPr>
              <w:t>▪</w:t>
            </w:r>
            <w:r>
              <w:rPr>
                <w:rFonts w:hint="eastAsia" w:hAnsi="宋体"/>
                <w:color w:val="0000FF"/>
                <w:sz w:val="21"/>
                <w:szCs w:val="21"/>
              </w:rPr>
              <w:t>许昌市</w:t>
            </w:r>
            <w:r>
              <w:rPr>
                <w:rFonts w:hint="eastAsia"/>
                <w:color w:val="0000FF"/>
                <w:sz w:val="21"/>
                <w:szCs w:val="21"/>
              </w:rPr>
              <w:t>)】（</w:t>
            </w:r>
            <w:r>
              <w:rPr>
                <w:color w:val="0000FF"/>
                <w:sz w:val="21"/>
                <w:szCs w:val="21"/>
              </w:rPr>
              <w:t>http://xcggzy.gov.cn/</w:t>
            </w:r>
            <w:r>
              <w:rPr>
                <w:rFonts w:hint="eastAsia"/>
                <w:color w:val="0000FF"/>
                <w:sz w:val="21"/>
                <w:szCs w:val="21"/>
              </w:rPr>
              <w:t>），</w:t>
            </w:r>
            <w:r>
              <w:rPr>
                <w:rFonts w:hint="eastAsia"/>
                <w:sz w:val="21"/>
                <w:szCs w:val="21"/>
              </w:rPr>
              <w:t>通过“投标人/供应商登录”后自行下载。</w:t>
            </w:r>
            <w:r>
              <w:rPr>
                <w:rFonts w:hint="eastAsia"/>
                <w:sz w:val="21"/>
                <w:szCs w:val="21"/>
                <w:lang w:val="en-US" w:eastAsia="zh-CN"/>
              </w:rPr>
              <w:t xml:space="preserve"> 链接：https://pan.baidu.com/s/1fbBSi7ljsL2ReN0B8A67qQ </w:t>
            </w:r>
          </w:p>
          <w:p>
            <w:pPr>
              <w:wordWrap w:val="0"/>
              <w:snapToGrid w:val="0"/>
              <w:rPr>
                <w:rFonts w:hint="default" w:eastAsia="宋体"/>
                <w:sz w:val="21"/>
                <w:szCs w:val="21"/>
                <w:lang w:val="en-US" w:eastAsia="zh-CN"/>
              </w:rPr>
            </w:pPr>
            <w:r>
              <w:rPr>
                <w:rFonts w:hint="eastAsia"/>
                <w:sz w:val="21"/>
                <w:szCs w:val="21"/>
                <w:lang w:val="en-US" w:eastAsia="zh-CN"/>
              </w:rPr>
              <w:t xml:space="preserve">提取码：9vtc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rFonts w:cs="Times New Roman"/>
                <w:b/>
                <w:sz w:val="21"/>
                <w:szCs w:val="21"/>
              </w:rPr>
            </w:pPr>
            <w:r>
              <w:rPr>
                <w:rFonts w:hint="eastAsia"/>
                <w:b/>
                <w:sz w:val="21"/>
                <w:szCs w:val="21"/>
              </w:rPr>
              <w:t>投标截止时间</w:t>
            </w:r>
          </w:p>
        </w:tc>
        <w:tc>
          <w:tcPr>
            <w:tcW w:w="6045" w:type="dxa"/>
            <w:vAlign w:val="center"/>
          </w:tcPr>
          <w:p>
            <w:pPr>
              <w:autoSpaceDE w:val="0"/>
              <w:autoSpaceDN w:val="0"/>
              <w:adjustRightInd w:val="0"/>
              <w:spacing w:line="280" w:lineRule="exact"/>
              <w:jc w:val="left"/>
              <w:rPr>
                <w:rFonts w:cs="Times New Roman"/>
                <w:b/>
                <w:sz w:val="21"/>
                <w:szCs w:val="21"/>
              </w:rPr>
            </w:pPr>
            <w:r>
              <w:rPr>
                <w:rFonts w:hint="eastAsia"/>
                <w:b/>
                <w:sz w:val="21"/>
                <w:szCs w:val="21"/>
                <w:lang w:val="en-US" w:eastAsia="zh-CN"/>
              </w:rPr>
              <w:t>2020</w:t>
            </w:r>
            <w:r>
              <w:rPr>
                <w:rFonts w:hint="eastAsia"/>
                <w:b/>
                <w:sz w:val="21"/>
                <w:szCs w:val="21"/>
              </w:rPr>
              <w:t>年</w:t>
            </w:r>
            <w:r>
              <w:rPr>
                <w:rFonts w:hint="eastAsia"/>
                <w:b/>
                <w:sz w:val="21"/>
                <w:szCs w:val="21"/>
                <w:lang w:val="en-US" w:eastAsia="zh-CN"/>
              </w:rPr>
              <w:t>4</w:t>
            </w:r>
            <w:r>
              <w:rPr>
                <w:rFonts w:hint="eastAsia"/>
                <w:b/>
                <w:sz w:val="21"/>
                <w:szCs w:val="21"/>
              </w:rPr>
              <w:t>月</w:t>
            </w:r>
            <w:r>
              <w:rPr>
                <w:rFonts w:hint="eastAsia"/>
                <w:b/>
                <w:sz w:val="21"/>
                <w:szCs w:val="21"/>
                <w:lang w:val="en-US" w:eastAsia="zh-CN"/>
              </w:rPr>
              <w:t>10</w:t>
            </w:r>
            <w:r>
              <w:rPr>
                <w:rFonts w:hint="eastAsia"/>
                <w:b/>
                <w:sz w:val="21"/>
                <w:szCs w:val="21"/>
              </w:rPr>
              <w:t>日上午</w:t>
            </w:r>
            <w:r>
              <w:rPr>
                <w:rFonts w:hint="eastAsia"/>
                <w:b/>
                <w:sz w:val="21"/>
                <w:szCs w:val="21"/>
                <w:lang w:val="en-US" w:eastAsia="zh-CN"/>
              </w:rPr>
              <w:t>9</w:t>
            </w:r>
            <w:r>
              <w:rPr>
                <w:rFonts w:hint="eastAsia"/>
                <w:b/>
                <w:sz w:val="21"/>
                <w:szCs w:val="21"/>
              </w:rPr>
              <w:t>时</w:t>
            </w:r>
            <w:r>
              <w:rPr>
                <w:rFonts w:hint="eastAsia"/>
                <w:b/>
                <w:sz w:val="21"/>
                <w:szCs w:val="21"/>
                <w:lang w:val="en-US" w:eastAsia="zh-CN"/>
              </w:rPr>
              <w:t>30</w:t>
            </w:r>
            <w:r>
              <w:rPr>
                <w:rFonts w:hint="eastAsia"/>
                <w:b/>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jc w:val="center"/>
              <w:rPr>
                <w:sz w:val="21"/>
                <w:szCs w:val="21"/>
              </w:rPr>
            </w:pPr>
            <w:r>
              <w:rPr>
                <w:rFonts w:hint="eastAsia"/>
                <w:sz w:val="21"/>
                <w:szCs w:val="21"/>
              </w:rPr>
              <w:t>构成投标文件的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r>
              <w:rPr>
                <w:rFonts w:hint="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10"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b/>
                <w:sz w:val="21"/>
                <w:szCs w:val="21"/>
              </w:rPr>
            </w:pPr>
            <w:r>
              <w:rPr>
                <w:rFonts w:hint="eastAsia" w:hAnsi="宋体" w:cs="仿宋_GB2312"/>
                <w:b/>
                <w:sz w:val="21"/>
                <w:szCs w:val="21"/>
              </w:rPr>
              <w:t>投</w:t>
            </w:r>
            <w:r>
              <w:rPr>
                <w:rFonts w:hint="eastAsia" w:hAnsi="宋体"/>
                <w:b/>
                <w:sz w:val="21"/>
                <w:szCs w:val="21"/>
              </w:rPr>
              <w:t>标保证金递交截止时间：同投标截止时间。</w:t>
            </w:r>
          </w:p>
          <w:p>
            <w:pPr>
              <w:autoSpaceDE w:val="0"/>
              <w:autoSpaceDN w:val="0"/>
              <w:adjustRightInd w:val="0"/>
              <w:spacing w:line="300" w:lineRule="auto"/>
              <w:jc w:val="left"/>
              <w:rPr>
                <w:rFonts w:hint="eastAsia" w:hAnsi="宋体"/>
                <w:b/>
                <w:sz w:val="21"/>
                <w:szCs w:val="21"/>
              </w:rPr>
            </w:pPr>
            <w:r>
              <w:rPr>
                <w:rFonts w:hint="eastAsia" w:hAnsi="宋体"/>
                <w:b/>
                <w:sz w:val="21"/>
                <w:szCs w:val="21"/>
              </w:rPr>
              <w:t>投标保证金金额：大写：</w:t>
            </w:r>
            <w:r>
              <w:rPr>
                <w:rFonts w:hint="eastAsia" w:hAnsi="宋体"/>
                <w:b/>
                <w:sz w:val="21"/>
                <w:szCs w:val="21"/>
                <w:lang w:eastAsia="zh-CN"/>
              </w:rPr>
              <w:t>陆万元整</w:t>
            </w:r>
            <w:r>
              <w:rPr>
                <w:rFonts w:hint="eastAsia" w:hAnsi="宋体"/>
                <w:b/>
                <w:sz w:val="21"/>
                <w:szCs w:val="21"/>
              </w:rPr>
              <w:t>（￥：</w:t>
            </w:r>
            <w:r>
              <w:rPr>
                <w:rFonts w:hint="eastAsia" w:hAnsi="宋体"/>
                <w:b/>
                <w:sz w:val="21"/>
                <w:szCs w:val="21"/>
                <w:lang w:val="en-US" w:eastAsia="zh-CN"/>
              </w:rPr>
              <w:t>60000</w:t>
            </w:r>
            <w:r>
              <w:rPr>
                <w:rFonts w:hint="eastAsia" w:hAnsi="宋体"/>
                <w:b/>
                <w:sz w:val="21"/>
                <w:szCs w:val="21"/>
              </w:rPr>
              <w:t>.00元）</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Ansi="宋体"/>
                <w:color w:val="000000" w:themeColor="text1"/>
                <w:sz w:val="21"/>
                <w:szCs w:val="21"/>
              </w:rPr>
            </w:pPr>
            <w:r>
              <w:rPr>
                <w:rFonts w:hint="eastAsia" w:hAnsi="宋体"/>
                <w:color w:val="000000" w:themeColor="text1"/>
                <w:sz w:val="21"/>
                <w:szCs w:val="21"/>
              </w:rPr>
              <w:t>近三年</w:t>
            </w:r>
            <w:r>
              <w:rPr>
                <w:rFonts w:hint="eastAsia" w:hAnsi="宋体"/>
                <w:color w:val="000000" w:themeColor="text1"/>
                <w:sz w:val="21"/>
                <w:szCs w:val="21"/>
                <w:lang w:val="en-US" w:eastAsia="zh-CN"/>
              </w:rPr>
              <w:t>度</w:t>
            </w:r>
            <w:r>
              <w:rPr>
                <w:rFonts w:hint="eastAsia" w:hAnsi="宋体"/>
                <w:color w:val="000000" w:themeColor="text1"/>
                <w:sz w:val="21"/>
                <w:szCs w:val="21"/>
              </w:rPr>
              <w:t>，即201</w:t>
            </w:r>
            <w:r>
              <w:rPr>
                <w:rFonts w:hint="eastAsia" w:hAnsi="宋体"/>
                <w:color w:val="000000" w:themeColor="text1"/>
                <w:sz w:val="21"/>
                <w:szCs w:val="21"/>
                <w:lang w:val="en-US" w:eastAsia="zh-CN"/>
              </w:rPr>
              <w:t>6</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7</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、201</w:t>
            </w:r>
            <w:r>
              <w:rPr>
                <w:rFonts w:hint="eastAsia" w:hAnsi="宋体"/>
                <w:color w:val="000000" w:themeColor="text1"/>
                <w:sz w:val="21"/>
                <w:szCs w:val="21"/>
                <w:lang w:val="en-US" w:eastAsia="zh-CN"/>
              </w:rPr>
              <w:t>8</w:t>
            </w:r>
            <w:r>
              <w:rPr>
                <w:rFonts w:hint="eastAsia" w:hAnsi="宋体"/>
                <w:color w:val="000000" w:themeColor="text1"/>
                <w:sz w:val="21"/>
                <w:szCs w:val="21"/>
              </w:rPr>
              <w:t>年</w:t>
            </w:r>
            <w:r>
              <w:rPr>
                <w:rFonts w:hint="eastAsia" w:hAnsi="宋体"/>
                <w:color w:val="000000" w:themeColor="text1"/>
                <w:sz w:val="21"/>
                <w:szCs w:val="21"/>
                <w:lang w:val="en-US" w:eastAsia="zh-CN"/>
              </w:rPr>
              <w:t>度</w:t>
            </w:r>
            <w:r>
              <w:rPr>
                <w:rFonts w:hint="eastAsia" w:hAnsi="宋体"/>
                <w:color w:val="000000" w:themeColor="text1"/>
                <w:sz w:val="21"/>
                <w:szCs w:val="21"/>
              </w:rPr>
              <w:t>。（若公司成立未满三年，需提供从成立开始从事经营活动至今的年度财务状况）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ascii="新宋体" w:hAnsi="新宋体" w:eastAsia="新宋体"/>
                <w:color w:val="000000" w:themeColor="text1"/>
                <w:sz w:val="21"/>
                <w:szCs w:val="21"/>
              </w:rPr>
            </w:pPr>
            <w:r>
              <w:rPr>
                <w:rFonts w:hint="eastAsia" w:ascii="新宋体" w:hAnsi="新宋体" w:eastAsia="新宋体"/>
                <w:color w:val="000000" w:themeColor="text1"/>
                <w:sz w:val="21"/>
                <w:szCs w:val="21"/>
              </w:rPr>
              <w:t>纸质投标文件：正本按招标文件要求签字盖章（无需逐页签字盖章），副本应与正本保持一致（可为正本的复印件）。正本与副本不一致的，以正本为准。</w:t>
            </w:r>
            <w:r>
              <w:rPr>
                <w:rFonts w:hint="eastAsia" w:hAnsi="宋体"/>
                <w:color w:val="000000" w:themeColor="text1"/>
                <w:sz w:val="21"/>
                <w:szCs w:val="21"/>
              </w:rPr>
              <w:t>（注：已标价工程量清单必须加盖投标人公章，并由编制人和复核人签字且</w:t>
            </w:r>
            <w:r>
              <w:rPr>
                <w:rFonts w:hint="eastAsia" w:hAnsi="宋体"/>
                <w:color w:val="000000" w:themeColor="text1"/>
                <w:sz w:val="21"/>
                <w:szCs w:val="21"/>
                <w:lang w:eastAsia="zh-CN"/>
              </w:rPr>
              <w:t>在纸质版投标文件上</w:t>
            </w:r>
            <w:r>
              <w:rPr>
                <w:rFonts w:hint="eastAsia" w:hAnsi="宋体"/>
                <w:color w:val="000000" w:themeColor="text1"/>
                <w:sz w:val="21"/>
                <w:szCs w:val="21"/>
              </w:rPr>
              <w:t>加盖执业专用章。委托造价咨询单位编制的需加盖造价咨询单位公章、资质章、注册造价师印章并签字）</w:t>
            </w:r>
          </w:p>
          <w:p>
            <w:pPr>
              <w:autoSpaceDE w:val="0"/>
              <w:autoSpaceDN w:val="0"/>
              <w:adjustRightInd w:val="0"/>
              <w:spacing w:line="320" w:lineRule="exact"/>
              <w:rPr>
                <w:rFonts w:cs="Times New Roman"/>
                <w:b/>
                <w:bCs/>
                <w:color w:val="0000FF"/>
                <w:sz w:val="21"/>
                <w:szCs w:val="21"/>
              </w:rPr>
            </w:pPr>
            <w:r>
              <w:rPr>
                <w:rFonts w:hint="eastAsia" w:ascii="新宋体" w:hAnsi="新宋体" w:eastAsia="新宋体"/>
                <w:color w:val="000000" w:themeColor="text1"/>
                <w:sz w:val="21"/>
                <w:szCs w:val="21"/>
              </w:rPr>
              <w:t>电子投标文件：按招标文件要求加盖</w:t>
            </w:r>
            <w:r>
              <w:rPr>
                <w:rFonts w:hint="eastAsia" w:hAnsi="宋体"/>
                <w:b/>
                <w:bCs/>
                <w:color w:val="000000" w:themeColor="text1"/>
                <w:sz w:val="21"/>
                <w:szCs w:val="21"/>
                <w:lang w:val="zh-CN"/>
              </w:rPr>
              <w:t>电子印章和法人电子印章</w:t>
            </w:r>
            <w:r>
              <w:rPr>
                <w:rFonts w:hint="eastAsia" w:hAnsi="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rPr>
                <w:rFonts w:hAnsi="宋体"/>
                <w:sz w:val="21"/>
                <w:szCs w:val="21"/>
              </w:rPr>
            </w:pPr>
            <w:r>
              <w:rPr>
                <w:rFonts w:hint="eastAsia" w:hAnsi="宋体"/>
                <w:sz w:val="21"/>
                <w:szCs w:val="21"/>
              </w:rPr>
              <w:t>1、电子投标文件</w:t>
            </w:r>
          </w:p>
          <w:p>
            <w:pPr>
              <w:autoSpaceDE w:val="0"/>
              <w:autoSpaceDN w:val="0"/>
              <w:adjustRightInd w:val="0"/>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rPr>
                <w:rFonts w:hAnsi="宋体"/>
                <w:sz w:val="21"/>
                <w:szCs w:val="21"/>
              </w:rPr>
            </w:pPr>
            <w:r>
              <w:rPr>
                <w:rFonts w:hint="eastAsia" w:hAnsi="宋体"/>
                <w:sz w:val="21"/>
                <w:szCs w:val="21"/>
              </w:rPr>
              <w:t>2、纸质投标文件</w:t>
            </w:r>
          </w:p>
          <w:p>
            <w:pPr>
              <w:autoSpaceDE w:val="0"/>
              <w:autoSpaceDN w:val="0"/>
              <w:adjustRightInd w:val="0"/>
              <w:rPr>
                <w:rFonts w:hAnsi="宋体"/>
                <w:color w:val="0000FF"/>
                <w:sz w:val="21"/>
                <w:szCs w:val="21"/>
              </w:rPr>
            </w:pPr>
            <w:r>
              <w:rPr>
                <w:rFonts w:hint="eastAsia" w:hAnsi="宋体"/>
                <w:color w:val="0000FF"/>
                <w:sz w:val="21"/>
                <w:szCs w:val="21"/>
              </w:rPr>
              <w:t>商务标：正本1份，副本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0000FF"/>
                <w:sz w:val="21"/>
                <w:szCs w:val="21"/>
              </w:rPr>
            </w:pPr>
            <w:r>
              <w:rPr>
                <w:rFonts w:hint="eastAsia" w:hAnsi="宋体"/>
                <w:color w:val="0000FF"/>
                <w:sz w:val="21"/>
                <w:szCs w:val="21"/>
              </w:rPr>
              <w:t>综合标：正本1份，副本</w:t>
            </w:r>
            <w:r>
              <w:rPr>
                <w:rFonts w:hint="eastAsia" w:hAnsi="宋体"/>
                <w:color w:val="0000FF"/>
                <w:sz w:val="21"/>
                <w:szCs w:val="21"/>
                <w:lang w:val="en-US" w:eastAsia="zh-CN"/>
              </w:rPr>
              <w:t>1</w:t>
            </w:r>
            <w:r>
              <w:rPr>
                <w:rFonts w:hint="eastAsia" w:hAnsi="宋体"/>
                <w:color w:val="0000FF"/>
                <w:sz w:val="21"/>
                <w:szCs w:val="21"/>
              </w:rPr>
              <w:t xml:space="preserve">份； </w:t>
            </w:r>
          </w:p>
          <w:p>
            <w:pPr>
              <w:autoSpaceDE w:val="0"/>
              <w:autoSpaceDN w:val="0"/>
              <w:adjustRightInd w:val="0"/>
              <w:rPr>
                <w:rFonts w:hAnsi="宋体"/>
                <w:color w:val="0000FF"/>
                <w:sz w:val="21"/>
                <w:szCs w:val="21"/>
              </w:rPr>
            </w:pPr>
            <w:r>
              <w:rPr>
                <w:rFonts w:hint="eastAsia" w:hAnsi="宋体"/>
                <w:color w:val="0000FF"/>
                <w:sz w:val="21"/>
                <w:szCs w:val="21"/>
              </w:rPr>
              <w:t>技术标：正本1份，副本</w:t>
            </w:r>
            <w:r>
              <w:rPr>
                <w:rFonts w:hint="eastAsia" w:hAnsi="宋体"/>
                <w:color w:val="0000FF"/>
                <w:sz w:val="21"/>
                <w:szCs w:val="21"/>
                <w:lang w:val="en-US" w:eastAsia="zh-CN"/>
              </w:rPr>
              <w:t>1</w:t>
            </w:r>
            <w:r>
              <w:rPr>
                <w:rFonts w:hint="eastAsia" w:hAnsi="宋体"/>
                <w:color w:val="0000FF"/>
                <w:sz w:val="21"/>
                <w:szCs w:val="21"/>
              </w:rPr>
              <w:t>份。</w:t>
            </w:r>
          </w:p>
          <w:p>
            <w:pPr>
              <w:rPr>
                <w:rFonts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rFonts w:cs="Times New Roman"/>
                <w:sz w:val="21"/>
                <w:szCs w:val="21"/>
              </w:rPr>
            </w:pPr>
            <w:r>
              <w:rPr>
                <w:rFonts w:hint="eastAsia" w:ascii="新宋体" w:hAnsi="新宋体" w:eastAsia="新宋体" w:cs="新宋体"/>
                <w:sz w:val="21"/>
                <w:szCs w:val="21"/>
              </w:rPr>
              <w:t>使用电子介质存储的投标文件单独密封</w:t>
            </w:r>
            <w:r>
              <w:rPr>
                <w:rFonts w:hint="eastAsia" w:ascii="新宋体" w:hAnsi="新宋体" w:eastAsia="新宋体" w:cs="新宋体"/>
                <w:sz w:val="21"/>
                <w:szCs w:val="21"/>
                <w:lang w:eastAsia="zh-CN"/>
              </w:rPr>
              <w:t>之后与</w:t>
            </w:r>
            <w:r>
              <w:rPr>
                <w:rFonts w:hint="eastAsia" w:ascii="新宋体" w:hAnsi="新宋体" w:eastAsia="新宋体" w:cs="新宋体"/>
                <w:sz w:val="21"/>
                <w:szCs w:val="21"/>
              </w:rPr>
              <w:t>纸质投标文件</w:t>
            </w:r>
            <w:r>
              <w:rPr>
                <w:rFonts w:hint="eastAsia" w:ascii="新宋体" w:hAnsi="新宋体" w:eastAsia="新宋体" w:cs="新宋体"/>
                <w:sz w:val="21"/>
                <w:szCs w:val="21"/>
                <w:lang w:eastAsia="zh-CN"/>
              </w:rPr>
              <w:t>包封封在一起</w:t>
            </w:r>
            <w:r>
              <w:rPr>
                <w:rFonts w:hint="eastAsia" w:ascii="新宋体" w:hAnsi="新宋体" w:eastAsia="新宋体" w:cs="新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jc w:val="left"/>
              <w:rPr>
                <w:rFonts w:cs="Times New Roman"/>
                <w:sz w:val="21"/>
                <w:szCs w:val="21"/>
              </w:rPr>
            </w:pPr>
            <w:r>
              <w:rPr>
                <w:rFonts w:hint="eastAsia"/>
                <w:sz w:val="21"/>
                <w:szCs w:val="21"/>
              </w:rPr>
              <w:t>工程名称：</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4"/>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sz w:val="21"/>
                <w:szCs w:val="21"/>
              </w:rPr>
            </w:pPr>
            <w:r>
              <w:rPr>
                <w:rFonts w:hint="eastAsia"/>
                <w:b/>
                <w:sz w:val="21"/>
                <w:szCs w:val="21"/>
              </w:rPr>
              <w:t>开标时间：</w:t>
            </w:r>
            <w:r>
              <w:rPr>
                <w:rFonts w:hint="eastAsia"/>
                <w:b/>
                <w:sz w:val="21"/>
                <w:szCs w:val="21"/>
                <w:lang w:val="en-US" w:eastAsia="zh-CN"/>
              </w:rPr>
              <w:t>2020</w:t>
            </w:r>
            <w:r>
              <w:rPr>
                <w:rFonts w:hint="eastAsia"/>
                <w:b/>
                <w:sz w:val="21"/>
                <w:szCs w:val="21"/>
              </w:rPr>
              <w:t>年</w:t>
            </w:r>
            <w:r>
              <w:rPr>
                <w:rFonts w:hint="eastAsia"/>
                <w:b/>
                <w:sz w:val="21"/>
                <w:szCs w:val="21"/>
                <w:lang w:val="en-US" w:eastAsia="zh-CN"/>
              </w:rPr>
              <w:t>4</w:t>
            </w:r>
            <w:r>
              <w:rPr>
                <w:rFonts w:hint="eastAsia"/>
                <w:b/>
                <w:sz w:val="21"/>
                <w:szCs w:val="21"/>
              </w:rPr>
              <w:t>月</w:t>
            </w:r>
            <w:r>
              <w:rPr>
                <w:rFonts w:hint="eastAsia"/>
                <w:b/>
                <w:sz w:val="21"/>
                <w:szCs w:val="21"/>
                <w:lang w:val="en-US" w:eastAsia="zh-CN"/>
              </w:rPr>
              <w:t>10</w:t>
            </w:r>
            <w:r>
              <w:rPr>
                <w:rFonts w:hint="eastAsia"/>
                <w:b/>
                <w:sz w:val="21"/>
                <w:szCs w:val="21"/>
              </w:rPr>
              <w:t>日上午</w:t>
            </w:r>
            <w:r>
              <w:rPr>
                <w:rFonts w:hint="eastAsia"/>
                <w:b/>
                <w:sz w:val="21"/>
                <w:szCs w:val="21"/>
                <w:lang w:val="en-US" w:eastAsia="zh-CN"/>
              </w:rPr>
              <w:t>9</w:t>
            </w:r>
            <w:r>
              <w:rPr>
                <w:rFonts w:hint="eastAsia"/>
                <w:b/>
                <w:sz w:val="21"/>
                <w:szCs w:val="21"/>
              </w:rPr>
              <w:t>时</w:t>
            </w:r>
            <w:r>
              <w:rPr>
                <w:rFonts w:hint="eastAsia"/>
                <w:b/>
                <w:sz w:val="21"/>
                <w:szCs w:val="21"/>
                <w:lang w:val="en-US" w:eastAsia="zh-CN"/>
              </w:rPr>
              <w:t>30</w:t>
            </w:r>
            <w:r>
              <w:rPr>
                <w:rFonts w:hint="eastAsia"/>
                <w:b/>
                <w:sz w:val="21"/>
                <w:szCs w:val="21"/>
              </w:rPr>
              <w:t>分（北京时间）</w:t>
            </w:r>
          </w:p>
          <w:p>
            <w:pPr>
              <w:autoSpaceDE w:val="0"/>
              <w:autoSpaceDN w:val="0"/>
              <w:adjustRightInd w:val="0"/>
              <w:jc w:val="left"/>
              <w:rPr>
                <w:rFonts w:cs="Times New Roman"/>
                <w:sz w:val="21"/>
                <w:szCs w:val="21"/>
              </w:rPr>
            </w:pPr>
            <w:r>
              <w:rPr>
                <w:rFonts w:hint="eastAsia"/>
                <w:b/>
                <w:bCs/>
                <w:sz w:val="21"/>
                <w:szCs w:val="21"/>
              </w:rPr>
              <w:t>开标地点：</w:t>
            </w:r>
            <w:r>
              <w:rPr>
                <w:rFonts w:hint="eastAsia" w:hAnsi="宋体"/>
                <w:b/>
                <w:bCs/>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jc w:val="left"/>
              <w:rPr>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jc w:val="center"/>
              <w:rPr>
                <w:sz w:val="21"/>
                <w:szCs w:val="21"/>
              </w:rPr>
            </w:pPr>
            <w:r>
              <w:rPr>
                <w:rFonts w:hint="eastAsia" w:ascii="新宋体" w:hAnsi="新宋体" w:eastAsia="新宋体" w:cs="新宋体"/>
                <w:sz w:val="21"/>
                <w:szCs w:val="21"/>
              </w:rPr>
              <w:t>7.3</w:t>
            </w:r>
          </w:p>
        </w:tc>
        <w:tc>
          <w:tcPr>
            <w:tcW w:w="2449" w:type="dxa"/>
            <w:gridSpan w:val="2"/>
            <w:vAlign w:val="center"/>
          </w:tcPr>
          <w:p>
            <w:pPr>
              <w:jc w:val="center"/>
              <w:rPr>
                <w:rFonts w:hint="eastAsia"/>
                <w:sz w:val="21"/>
                <w:szCs w:val="21"/>
              </w:rPr>
            </w:pPr>
            <w:r>
              <w:rPr>
                <w:rFonts w:hint="eastAsia" w:ascii="新宋体" w:hAnsi="新宋体" w:eastAsia="新宋体" w:cs="新宋体"/>
                <w:sz w:val="21"/>
                <w:szCs w:val="21"/>
              </w:rPr>
              <w:t>履约保证金</w:t>
            </w:r>
          </w:p>
        </w:tc>
        <w:tc>
          <w:tcPr>
            <w:tcW w:w="60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1"/>
                <w:szCs w:val="21"/>
              </w:rPr>
            </w:pPr>
            <w:r>
              <w:rPr>
                <w:rFonts w:hint="eastAsia" w:ascii="新宋体" w:hAnsi="新宋体" w:eastAsia="新宋体" w:cs="新宋体"/>
                <w:sz w:val="21"/>
                <w:szCs w:val="21"/>
              </w:rPr>
              <w:t>履约保证金的形式：汇款或现金交付形式。</w:t>
            </w:r>
            <w:r>
              <w:rPr>
                <w:rFonts w:hint="eastAsia" w:ascii="新宋体" w:hAnsi="新宋体" w:eastAsia="新宋体" w:cs="新宋体"/>
                <w:sz w:val="21"/>
                <w:szCs w:val="21"/>
              </w:rPr>
              <w:br w:type="textWrapping"/>
            </w:r>
            <w:r>
              <w:rPr>
                <w:rFonts w:hint="eastAsia" w:ascii="新宋体" w:hAnsi="新宋体" w:eastAsia="新宋体" w:cs="新宋体"/>
                <w:color w:val="auto"/>
                <w:sz w:val="21"/>
                <w:szCs w:val="21"/>
              </w:rPr>
              <w:t>履约保证金的金额：合同价款的</w:t>
            </w:r>
            <w:r>
              <w:rPr>
                <w:rFonts w:hint="eastAsia" w:ascii="新宋体" w:hAnsi="新宋体" w:eastAsia="新宋体" w:cs="新宋体"/>
                <w:color w:val="auto"/>
                <w:sz w:val="21"/>
                <w:szCs w:val="21"/>
                <w:lang w:val="en-US" w:eastAsia="zh-CN"/>
              </w:rPr>
              <w:t>10</w:t>
            </w:r>
            <w:r>
              <w:rPr>
                <w:rFonts w:hint="eastAsia" w:ascii="新宋体" w:hAnsi="新宋体" w:eastAsia="新宋体" w:cs="新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077" w:type="dxa"/>
            <w:vAlign w:val="center"/>
          </w:tcPr>
          <w:p>
            <w:pPr>
              <w:spacing w:line="360" w:lineRule="auto"/>
              <w:jc w:val="center"/>
              <w:rPr>
                <w:rFonts w:hint="default" w:eastAsia="宋体"/>
                <w:sz w:val="21"/>
                <w:szCs w:val="21"/>
                <w:lang w:val="en-US" w:eastAsia="zh-CN"/>
              </w:rPr>
            </w:pPr>
            <w:r>
              <w:rPr>
                <w:rFonts w:hint="eastAsia"/>
                <w:sz w:val="21"/>
                <w:szCs w:val="21"/>
                <w:lang w:val="en-US" w:eastAsia="zh-CN"/>
              </w:rPr>
              <w:t>7.4</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ascii="新宋体" w:hAnsi="新宋体" w:eastAsia="新宋体" w:cs="新宋体"/>
                <w:sz w:val="21"/>
                <w:szCs w:val="21"/>
              </w:rPr>
              <w:t>指近年来</w:t>
            </w:r>
            <w:r>
              <w:rPr>
                <w:rFonts w:hint="eastAsia" w:ascii="新宋体" w:hAnsi="新宋体" w:eastAsia="新宋体" w:cs="新宋体"/>
                <w:sz w:val="21"/>
                <w:szCs w:val="21"/>
                <w:lang w:eastAsia="zh-CN"/>
              </w:rPr>
              <w:t>类似本</w:t>
            </w:r>
            <w:r>
              <w:rPr>
                <w:rFonts w:hint="eastAsia" w:ascii="新宋体" w:hAnsi="新宋体" w:eastAsia="新宋体" w:cs="新宋体"/>
                <w:sz w:val="21"/>
                <w:szCs w:val="21"/>
              </w:rPr>
              <w:t>工程</w:t>
            </w:r>
            <w:r>
              <w:rPr>
                <w:rFonts w:hint="eastAsia" w:ascii="新宋体" w:hAnsi="新宋体" w:eastAsia="新宋体" w:cs="新宋体"/>
                <w:sz w:val="21"/>
                <w:szCs w:val="21"/>
                <w:lang w:eastAsia="zh-CN"/>
              </w:rPr>
              <w:t>的项目</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rPr>
                <w:rFonts w:hint="eastAsia" w:ascii="Calibri" w:hAnsi="宋体"/>
                <w:kern w:val="2"/>
                <w:sz w:val="21"/>
                <w:szCs w:val="21"/>
              </w:rPr>
            </w:pPr>
            <w:r>
              <w:rPr>
                <w:rFonts w:hint="eastAsia"/>
                <w:b/>
                <w:bCs/>
                <w:sz w:val="21"/>
                <w:szCs w:val="21"/>
              </w:rPr>
              <w:t>本工程设招标控制价：</w:t>
            </w:r>
          </w:p>
          <w:p>
            <w:pPr>
              <w:rPr>
                <w:rFonts w:hint="eastAsia" w:ascii="Calibri" w:hAnsi="宋体" w:eastAsia="宋体" w:cs="宋体"/>
                <w:kern w:val="2"/>
                <w:sz w:val="21"/>
                <w:szCs w:val="21"/>
                <w:lang w:val="en-US" w:eastAsia="zh-CN" w:bidi="ar-SA"/>
              </w:rPr>
            </w:pPr>
            <w:r>
              <w:rPr>
                <w:rFonts w:hint="eastAsia" w:ascii="Calibri" w:hAnsi="宋体"/>
                <w:kern w:val="2"/>
                <w:sz w:val="21"/>
                <w:szCs w:val="21"/>
              </w:rPr>
              <w:t>　　　大写：</w:t>
            </w:r>
            <w:r>
              <w:rPr>
                <w:rFonts w:hint="eastAsia" w:ascii="Calibri" w:hAnsi="宋体"/>
                <w:kern w:val="2"/>
                <w:sz w:val="21"/>
                <w:szCs w:val="21"/>
                <w:lang w:eastAsia="zh-CN"/>
              </w:rPr>
              <w:t>叁佰壹拾柒万陆仟零叁元柒角玖分</w:t>
            </w:r>
          </w:p>
          <w:p>
            <w:pPr>
              <w:pStyle w:val="2"/>
              <w:rPr>
                <w:rFonts w:hint="eastAsia"/>
                <w:lang w:eastAsia="zh-CN"/>
              </w:rPr>
            </w:pPr>
            <w:r>
              <w:rPr>
                <w:rFonts w:hint="eastAsia" w:ascii="Calibri" w:hAnsi="宋体" w:eastAsia="宋体" w:cs="宋体"/>
                <w:kern w:val="2"/>
                <w:sz w:val="21"/>
                <w:szCs w:val="21"/>
                <w:lang w:val="en-US" w:eastAsia="zh-CN" w:bidi="ar-SA"/>
              </w:rPr>
              <w:t>　　小写：3176003.79元（</w:t>
            </w:r>
            <w:r>
              <w:rPr>
                <w:rFonts w:hint="eastAsia" w:ascii="Calibri" w:hAnsi="宋体"/>
                <w:kern w:val="2"/>
                <w:sz w:val="21"/>
                <w:szCs w:val="21"/>
              </w:rPr>
              <w:t>含规费、税金、安全文明施工费）</w:t>
            </w: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5"/>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w:t>
            </w:r>
            <w:r>
              <w:rPr>
                <w:rFonts w:hint="eastAsia"/>
                <w:b/>
                <w:bCs/>
                <w:sz w:val="21"/>
                <w:szCs w:val="21"/>
                <w:lang w:val="en-US" w:eastAsia="zh-CN"/>
              </w:rPr>
              <w:t>三</w:t>
            </w:r>
            <w:r>
              <w:rPr>
                <w:rFonts w:hint="eastAsia"/>
                <w:b/>
                <w:bCs/>
                <w:sz w:val="21"/>
                <w:szCs w:val="21"/>
              </w:rPr>
              <w:t>人。</w:t>
            </w:r>
          </w:p>
          <w:p>
            <w:pPr>
              <w:numPr>
                <w:numId w:val="0"/>
              </w:numPr>
              <w:tabs>
                <w:tab w:val="left" w:pos="0"/>
              </w:tabs>
              <w:spacing w:line="312" w:lineRule="auto"/>
              <w:ind w:leftChars="0"/>
              <w:rPr>
                <w:rFonts w:cs="Times New Roman"/>
                <w:b/>
                <w:bCs/>
                <w:sz w:val="21"/>
                <w:szCs w:val="21"/>
              </w:rPr>
            </w:pPr>
            <w:r>
              <w:rPr>
                <w:rFonts w:hint="eastAsia"/>
                <w:b/>
                <w:bCs/>
                <w:sz w:val="21"/>
                <w:szCs w:val="21"/>
                <w:lang w:val="en-US" w:eastAsia="zh-CN"/>
              </w:rPr>
              <w:t>2、</w:t>
            </w:r>
            <w:r>
              <w:rPr>
                <w:rFonts w:hint="eastAsia"/>
                <w:b/>
                <w:bCs/>
                <w:sz w:val="21"/>
                <w:szCs w:val="21"/>
              </w:rPr>
              <w:t>开标时项目负责人须携带本人身份证原件参加开标会。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1" w:name="_Toc283559965"/>
            <w:bookmarkStart w:id="12"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rFonts w:hint="eastAsia"/>
                <w:sz w:val="21"/>
                <w:szCs w:val="21"/>
              </w:rPr>
              <w:t>3、未按招标文件要求缴纳投标保证金的；</w:t>
            </w:r>
          </w:p>
          <w:p>
            <w:pPr>
              <w:spacing w:line="312" w:lineRule="auto"/>
              <w:rPr>
                <w:rFonts w:hint="eastAsia"/>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color w:val="auto"/>
                <w:sz w:val="21"/>
                <w:szCs w:val="21"/>
              </w:rPr>
            </w:pPr>
            <w:r>
              <w:rPr>
                <w:rFonts w:hint="eastAsia"/>
                <w:color w:val="auto"/>
                <w:sz w:val="21"/>
                <w:szCs w:val="21"/>
              </w:rPr>
              <w:t>5、开标时本项目拟派项目负责人未携带本人身份证原件到开标现场并签到的；</w:t>
            </w:r>
          </w:p>
          <w:p>
            <w:pPr>
              <w:autoSpaceDE w:val="0"/>
              <w:autoSpaceDN w:val="0"/>
              <w:spacing w:line="400" w:lineRule="exact"/>
              <w:jc w:val="left"/>
              <w:rPr>
                <w:rFonts w:cs="Times New Roman"/>
                <w:sz w:val="21"/>
                <w:szCs w:val="21"/>
              </w:rPr>
            </w:pPr>
            <w:r>
              <w:rPr>
                <w:rFonts w:hint="eastAsia"/>
                <w:sz w:val="21"/>
                <w:szCs w:val="21"/>
                <w:lang w:val="en-US" w:eastAsia="zh-CN"/>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44"/>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3"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4" w:name="_Toc152045535"/>
      <w:bookmarkStart w:id="15" w:name="_Toc179632552"/>
      <w:bookmarkStart w:id="16" w:name="_Toc152042311"/>
      <w:bookmarkStart w:id="17" w:name="_Toc144974503"/>
      <w:r>
        <w:rPr>
          <w:b/>
          <w:bCs/>
          <w:sz w:val="21"/>
          <w:szCs w:val="21"/>
        </w:rPr>
        <w:t xml:space="preserve">1.5 </w:t>
      </w:r>
      <w:r>
        <w:rPr>
          <w:rFonts w:hint="eastAsia"/>
          <w:b/>
          <w:bCs/>
          <w:sz w:val="21"/>
          <w:szCs w:val="21"/>
        </w:rPr>
        <w:t>费用承担</w:t>
      </w:r>
      <w:bookmarkEnd w:id="14"/>
      <w:bookmarkEnd w:id="15"/>
      <w:bookmarkEnd w:id="16"/>
      <w:bookmarkEnd w:id="17"/>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8" w:name="_Toc179632553"/>
      <w:bookmarkStart w:id="19" w:name="_Toc152045536"/>
      <w:bookmarkStart w:id="20" w:name="_Toc152042312"/>
      <w:bookmarkStart w:id="21" w:name="_Toc144974504"/>
      <w:r>
        <w:rPr>
          <w:b/>
          <w:bCs/>
          <w:sz w:val="21"/>
          <w:szCs w:val="21"/>
        </w:rPr>
        <w:t xml:space="preserve">1.6 </w:t>
      </w:r>
      <w:r>
        <w:rPr>
          <w:rFonts w:hint="eastAsia"/>
          <w:b/>
          <w:bCs/>
          <w:sz w:val="21"/>
          <w:szCs w:val="21"/>
        </w:rPr>
        <w:t>保密</w:t>
      </w:r>
      <w:bookmarkEnd w:id="18"/>
      <w:bookmarkEnd w:id="19"/>
      <w:bookmarkEnd w:id="20"/>
      <w:bookmarkEnd w:id="21"/>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2" w:name="_Toc144974505"/>
      <w:bookmarkStart w:id="23" w:name="_Toc179632554"/>
      <w:bookmarkStart w:id="24" w:name="_Toc152042313"/>
      <w:bookmarkStart w:id="25" w:name="_Toc152045537"/>
      <w:r>
        <w:rPr>
          <w:b/>
          <w:bCs/>
          <w:sz w:val="21"/>
          <w:szCs w:val="21"/>
        </w:rPr>
        <w:t xml:space="preserve">1.7 </w:t>
      </w:r>
      <w:r>
        <w:rPr>
          <w:rFonts w:hint="eastAsia"/>
          <w:b/>
          <w:bCs/>
          <w:sz w:val="21"/>
          <w:szCs w:val="21"/>
        </w:rPr>
        <w:t>语言</w:t>
      </w:r>
      <w:bookmarkEnd w:id="22"/>
      <w:r>
        <w:rPr>
          <w:rFonts w:hint="eastAsia"/>
          <w:b/>
          <w:bCs/>
          <w:sz w:val="21"/>
          <w:szCs w:val="21"/>
        </w:rPr>
        <w:t>文字</w:t>
      </w:r>
      <w:bookmarkEnd w:id="23"/>
      <w:bookmarkEnd w:id="24"/>
      <w:bookmarkEnd w:id="25"/>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6" w:name="_Toc152045538"/>
      <w:bookmarkStart w:id="27" w:name="_Toc144974506"/>
      <w:bookmarkStart w:id="28" w:name="_Toc152042314"/>
      <w:bookmarkStart w:id="29" w:name="_Toc179632555"/>
      <w:r>
        <w:rPr>
          <w:b/>
          <w:bCs/>
          <w:sz w:val="21"/>
          <w:szCs w:val="21"/>
        </w:rPr>
        <w:t xml:space="preserve">1.8 </w:t>
      </w:r>
      <w:r>
        <w:rPr>
          <w:rFonts w:hint="eastAsia"/>
          <w:b/>
          <w:bCs/>
          <w:sz w:val="21"/>
          <w:szCs w:val="21"/>
        </w:rPr>
        <w:t>计量单位</w:t>
      </w:r>
      <w:bookmarkEnd w:id="26"/>
      <w:bookmarkEnd w:id="27"/>
      <w:bookmarkEnd w:id="28"/>
      <w:bookmarkEnd w:id="29"/>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3"/>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0" w:name="_Toc283559948"/>
      <w:r>
        <w:rPr>
          <w:b/>
          <w:bCs/>
          <w:sz w:val="21"/>
          <w:szCs w:val="21"/>
        </w:rPr>
        <w:t xml:space="preserve">1.10 </w:t>
      </w:r>
      <w:r>
        <w:rPr>
          <w:rFonts w:hint="eastAsia"/>
          <w:b/>
          <w:bCs/>
          <w:sz w:val="21"/>
          <w:szCs w:val="21"/>
        </w:rPr>
        <w:t>投标预备会</w:t>
      </w:r>
      <w:bookmarkEnd w:id="30"/>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1" w:name="_Toc283559949"/>
      <w:r>
        <w:rPr>
          <w:b/>
          <w:bCs/>
          <w:sz w:val="21"/>
          <w:szCs w:val="21"/>
        </w:rPr>
        <w:t xml:space="preserve">1.11 </w:t>
      </w:r>
      <w:r>
        <w:rPr>
          <w:rFonts w:hint="eastAsia"/>
          <w:b/>
          <w:bCs/>
          <w:sz w:val="21"/>
          <w:szCs w:val="21"/>
        </w:rPr>
        <w:t>分包</w:t>
      </w:r>
      <w:bookmarkEnd w:id="31"/>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2" w:name="_Toc283559950"/>
      <w:r>
        <w:rPr>
          <w:b/>
          <w:bCs/>
          <w:sz w:val="21"/>
          <w:szCs w:val="21"/>
        </w:rPr>
        <w:t xml:space="preserve">1.12 </w:t>
      </w:r>
      <w:r>
        <w:rPr>
          <w:rFonts w:hint="eastAsia"/>
          <w:b/>
          <w:bCs/>
          <w:sz w:val="21"/>
          <w:szCs w:val="21"/>
        </w:rPr>
        <w:t>偏离</w:t>
      </w:r>
      <w:bookmarkEnd w:id="32"/>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4"/>
        <w:spacing w:line="450" w:lineRule="exact"/>
        <w:jc w:val="both"/>
        <w:rPr>
          <w:rFonts w:cs="Times New Roman"/>
          <w:b/>
          <w:bCs/>
          <w:color w:val="auto"/>
          <w:sz w:val="21"/>
          <w:szCs w:val="21"/>
        </w:rPr>
      </w:pPr>
      <w:bookmarkStart w:id="33" w:name="_Toc283559951"/>
      <w:r>
        <w:rPr>
          <w:b/>
          <w:bCs/>
          <w:color w:val="auto"/>
          <w:sz w:val="21"/>
          <w:szCs w:val="21"/>
        </w:rPr>
        <w:t xml:space="preserve">2. </w:t>
      </w:r>
      <w:r>
        <w:rPr>
          <w:rFonts w:hint="eastAsia"/>
          <w:b/>
          <w:bCs/>
          <w:color w:val="auto"/>
          <w:sz w:val="21"/>
          <w:szCs w:val="21"/>
        </w:rPr>
        <w:t>招标文件</w:t>
      </w:r>
      <w:bookmarkEnd w:id="33"/>
    </w:p>
    <w:p>
      <w:pPr>
        <w:autoSpaceDE w:val="0"/>
        <w:autoSpaceDN w:val="0"/>
        <w:spacing w:line="450" w:lineRule="exact"/>
        <w:jc w:val="left"/>
        <w:rPr>
          <w:rFonts w:cs="Times New Roman"/>
          <w:b/>
          <w:bCs/>
          <w:sz w:val="21"/>
          <w:szCs w:val="21"/>
        </w:rPr>
      </w:pPr>
      <w:bookmarkStart w:id="34" w:name="_Toc283559952"/>
      <w:r>
        <w:rPr>
          <w:b/>
          <w:bCs/>
          <w:sz w:val="21"/>
          <w:szCs w:val="21"/>
        </w:rPr>
        <w:t xml:space="preserve">2.1 </w:t>
      </w:r>
      <w:r>
        <w:rPr>
          <w:rFonts w:hint="eastAsia"/>
          <w:b/>
          <w:bCs/>
          <w:sz w:val="21"/>
          <w:szCs w:val="21"/>
        </w:rPr>
        <w:t>招标文件的组成</w:t>
      </w:r>
      <w:bookmarkEnd w:id="34"/>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5" w:name="_Toc283559953"/>
      <w:r>
        <w:rPr>
          <w:b/>
          <w:bCs/>
          <w:sz w:val="21"/>
          <w:szCs w:val="21"/>
        </w:rPr>
        <w:t xml:space="preserve">2.2 </w:t>
      </w:r>
      <w:r>
        <w:rPr>
          <w:rFonts w:hint="eastAsia"/>
          <w:b/>
          <w:bCs/>
          <w:sz w:val="21"/>
          <w:szCs w:val="21"/>
        </w:rPr>
        <w:t>招标文件的澄清</w:t>
      </w:r>
      <w:bookmarkEnd w:id="35"/>
    </w:p>
    <w:p>
      <w:pPr>
        <w:autoSpaceDE w:val="0"/>
        <w:autoSpaceDN w:val="0"/>
        <w:adjustRightInd w:val="0"/>
        <w:spacing w:line="450" w:lineRule="exact"/>
        <w:ind w:firstLine="539" w:firstLineChars="257"/>
        <w:jc w:val="left"/>
        <w:rPr>
          <w:rFonts w:cs="Times New Roman"/>
          <w:sz w:val="21"/>
          <w:szCs w:val="21"/>
        </w:rPr>
      </w:pPr>
      <w:bookmarkStart w:id="36"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6"/>
    </w:p>
    <w:p>
      <w:pPr>
        <w:autoSpaceDE w:val="0"/>
        <w:autoSpaceDN w:val="0"/>
        <w:adjustRightInd w:val="0"/>
        <w:spacing w:line="450" w:lineRule="exact"/>
        <w:ind w:firstLine="539" w:firstLineChars="257"/>
        <w:jc w:val="left"/>
        <w:rPr>
          <w:sz w:val="21"/>
          <w:szCs w:val="21"/>
        </w:rPr>
      </w:pPr>
      <w:bookmarkStart w:id="37" w:name="_Toc144974514"/>
      <w:bookmarkStart w:id="38" w:name="_Toc152042322"/>
      <w:bookmarkStart w:id="39" w:name="_Toc179632564"/>
      <w:bookmarkStart w:id="40" w:name="_Toc152045546"/>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7"/>
      <w:bookmarkEnd w:id="38"/>
      <w:bookmarkEnd w:id="39"/>
      <w:bookmarkEnd w:id="40"/>
    </w:p>
    <w:p>
      <w:pPr>
        <w:autoSpaceDE w:val="0"/>
        <w:autoSpaceDN w:val="0"/>
        <w:spacing w:line="420" w:lineRule="exact"/>
        <w:jc w:val="left"/>
        <w:rPr>
          <w:b/>
          <w:bCs/>
          <w:sz w:val="21"/>
          <w:szCs w:val="21"/>
        </w:rPr>
      </w:pPr>
      <w:bookmarkStart w:id="41"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3.1.1商务标</w:t>
      </w:r>
    </w:p>
    <w:p>
      <w:pPr>
        <w:autoSpaceDE w:val="0"/>
        <w:autoSpaceDN w:val="0"/>
        <w:spacing w:line="420" w:lineRule="exact"/>
        <w:ind w:firstLine="420" w:firstLineChars="200"/>
        <w:jc w:val="left"/>
        <w:rPr>
          <w:sz w:val="21"/>
          <w:szCs w:val="21"/>
        </w:rPr>
      </w:pPr>
      <w:r>
        <w:rPr>
          <w:rFonts w:hint="eastAsia"/>
          <w:sz w:val="21"/>
          <w:szCs w:val="21"/>
        </w:rPr>
        <w:t>已标价工程量清单</w:t>
      </w:r>
    </w:p>
    <w:p>
      <w:pPr>
        <w:autoSpaceDE w:val="0"/>
        <w:autoSpaceDN w:val="0"/>
        <w:spacing w:line="420" w:lineRule="exact"/>
        <w:ind w:firstLine="420" w:firstLineChars="200"/>
        <w:jc w:val="left"/>
        <w:rPr>
          <w:sz w:val="21"/>
          <w:szCs w:val="21"/>
        </w:rPr>
      </w:pPr>
      <w:r>
        <w:rPr>
          <w:rFonts w:hint="eastAsia"/>
          <w:sz w:val="21"/>
          <w:szCs w:val="21"/>
        </w:rPr>
        <w:t>3.1.2  综合标组成：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（2）法定代表人身份证明、授权委托书、项目负责人承诺书；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（4）项目管理机构配备情况；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（5）投标单位基本信息表；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（9）承诺书；</w:t>
      </w:r>
    </w:p>
    <w:p>
      <w:pPr>
        <w:autoSpaceDE w:val="0"/>
        <w:autoSpaceDN w:val="0"/>
        <w:spacing w:line="420" w:lineRule="exact"/>
        <w:ind w:firstLine="420" w:firstLineChars="200"/>
        <w:jc w:val="left"/>
        <w:rPr>
          <w:rFonts w:hAnsi="宋体"/>
          <w:sz w:val="21"/>
          <w:szCs w:val="21"/>
        </w:rPr>
      </w:pPr>
      <w:r>
        <w:rPr>
          <w:rFonts w:hint="eastAsia" w:hAnsi="宋体"/>
          <w:sz w:val="21"/>
          <w:szCs w:val="21"/>
        </w:rPr>
        <w:t>（10）其它材料。</w:t>
      </w:r>
    </w:p>
    <w:p>
      <w:pPr>
        <w:autoSpaceDE w:val="0"/>
        <w:autoSpaceDN w:val="0"/>
        <w:spacing w:line="420" w:lineRule="exact"/>
        <w:ind w:firstLine="420" w:firstLineChars="200"/>
        <w:jc w:val="left"/>
        <w:rPr>
          <w:sz w:val="21"/>
          <w:szCs w:val="21"/>
        </w:rPr>
      </w:pPr>
      <w:r>
        <w:rPr>
          <w:rFonts w:hint="eastAsia"/>
          <w:sz w:val="21"/>
          <w:szCs w:val="21"/>
        </w:rPr>
        <w:t>3.1.3  技术标组成：</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（1）内容完整性；</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（2）主要施工方案和技术措施；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（3）质量管理体系与措施；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（4）安全管理体系与措施；</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1"/>
          <w:szCs w:val="21"/>
        </w:rPr>
      </w:pPr>
      <w:r>
        <w:rPr>
          <w:rFonts w:hint="eastAsia"/>
          <w:sz w:val="21"/>
          <w:szCs w:val="21"/>
        </w:rPr>
        <w:t>（5）文明施工、环境保护管理体系及施工现场扬尘治理措施；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（6）工期保证措施；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（7）拟投入资源配备计划；</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（8）施工进度表与网络计划图；</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（9）施工总平面图布置；</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（10）技术创新的应用实施措施；</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（11）采用新工艺、新技术、新设备、新材料、BIM等的程度；</w:t>
      </w:r>
    </w:p>
    <w:p>
      <w:pPr>
        <w:pageBreakBefore w:val="0"/>
        <w:widowControl w:val="0"/>
        <w:tabs>
          <w:tab w:val="left" w:pos="1260"/>
        </w:tabs>
        <w:kinsoku/>
        <w:wordWrap/>
        <w:overflowPunct/>
        <w:topLinePunct w:val="0"/>
        <w:autoSpaceDE w:val="0"/>
        <w:autoSpaceDN w:val="0"/>
        <w:bidi w:val="0"/>
        <w:adjustRightInd w:val="0"/>
        <w:spacing w:line="380" w:lineRule="exact"/>
        <w:ind w:firstLine="420" w:firstLineChars="200"/>
        <w:jc w:val="left"/>
        <w:textAlignment w:val="auto"/>
        <w:rPr>
          <w:rFonts w:hint="eastAsia"/>
          <w:sz w:val="21"/>
          <w:szCs w:val="21"/>
        </w:rPr>
      </w:pPr>
      <w:r>
        <w:rPr>
          <w:rFonts w:hint="eastAsia"/>
          <w:sz w:val="21"/>
          <w:szCs w:val="21"/>
        </w:rPr>
        <w:t>（12）施工现场实施信息化监控和数据处理；</w:t>
      </w:r>
    </w:p>
    <w:p>
      <w:pPr>
        <w:autoSpaceDE w:val="0"/>
        <w:autoSpaceDN w:val="0"/>
        <w:spacing w:line="420" w:lineRule="exact"/>
        <w:ind w:firstLine="420" w:firstLineChars="200"/>
        <w:jc w:val="left"/>
        <w:rPr>
          <w:sz w:val="21"/>
          <w:szCs w:val="21"/>
        </w:rPr>
      </w:pPr>
      <w:r>
        <w:rPr>
          <w:rFonts w:hint="eastAsia"/>
          <w:sz w:val="21"/>
          <w:szCs w:val="21"/>
        </w:rPr>
        <w:t xml:space="preserve">（13）风险管理措施。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jc w:val="left"/>
        <w:rPr>
          <w:sz w:val="21"/>
          <w:szCs w:val="21"/>
        </w:rPr>
      </w:pPr>
      <w:r>
        <w:rPr>
          <w:rFonts w:hint="eastAsia"/>
          <w:sz w:val="21"/>
          <w:szCs w:val="21"/>
        </w:rPr>
        <w:t xml:space="preserve">    3.2.</w:t>
      </w:r>
      <w:r>
        <w:rPr>
          <w:rFonts w:hint="eastAsia"/>
          <w:sz w:val="21"/>
          <w:szCs w:val="21"/>
          <w:lang w:val="en-US" w:eastAsia="zh-CN"/>
        </w:rPr>
        <w:t>4</w:t>
      </w:r>
      <w:r>
        <w:rPr>
          <w:rFonts w:hint="eastAsia"/>
          <w:sz w:val="21"/>
          <w:szCs w:val="21"/>
        </w:rPr>
        <w:t>标人编制投标报价时，同一投标文件综合工日应前后保持一致。</w:t>
      </w:r>
    </w:p>
    <w:p>
      <w:pPr>
        <w:widowControl/>
        <w:spacing w:line="360" w:lineRule="auto"/>
        <w:jc w:val="left"/>
        <w:rPr>
          <w:sz w:val="21"/>
          <w:szCs w:val="21"/>
        </w:rPr>
      </w:pPr>
      <w:r>
        <w:rPr>
          <w:rFonts w:hint="eastAsia"/>
          <w:sz w:val="21"/>
          <w:szCs w:val="21"/>
        </w:rPr>
        <w:t xml:space="preserve">    3.2.</w:t>
      </w:r>
      <w:r>
        <w:rPr>
          <w:rFonts w:hint="eastAsia"/>
          <w:sz w:val="21"/>
          <w:szCs w:val="21"/>
          <w:lang w:val="en-US" w:eastAsia="zh-CN"/>
        </w:rPr>
        <w:t>5</w:t>
      </w:r>
      <w:r>
        <w:rPr>
          <w:rFonts w:hint="eastAsia"/>
          <w:sz w:val="21"/>
          <w:szCs w:val="21"/>
        </w:rPr>
        <w:t>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1"/>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42" w:name="_Toc282436964"/>
      <w:bookmarkStart w:id="43" w:name="_Toc283559960"/>
      <w:r>
        <w:rPr>
          <w:rFonts w:hint="eastAsia"/>
          <w:b/>
          <w:bCs/>
          <w:sz w:val="21"/>
          <w:szCs w:val="21"/>
        </w:rPr>
        <w:t>3.4 投标保证金</w:t>
      </w:r>
      <w:bookmarkEnd w:id="42"/>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w:t>
      </w:r>
      <w:r>
        <w:rPr>
          <w:rFonts w:hint="eastAsia"/>
          <w:color w:val="auto"/>
          <w:sz w:val="21"/>
          <w:szCs w:val="21"/>
        </w:rPr>
        <w:t>“近年完成的类似项目情况表”应附以合同</w:t>
      </w:r>
      <w:r>
        <w:rPr>
          <w:rFonts w:hint="eastAsia"/>
          <w:color w:val="auto"/>
          <w:sz w:val="21"/>
          <w:szCs w:val="21"/>
          <w:lang w:eastAsia="zh-CN"/>
        </w:rPr>
        <w:t>协议书</w:t>
      </w:r>
      <w:r>
        <w:rPr>
          <w:rFonts w:hint="eastAsia"/>
          <w:color w:val="auto"/>
          <w:sz w:val="21"/>
          <w:szCs w:val="21"/>
        </w:rPr>
        <w:t>和</w:t>
      </w:r>
      <w:r>
        <w:rPr>
          <w:rFonts w:hint="eastAsia"/>
          <w:color w:val="auto"/>
          <w:sz w:val="21"/>
          <w:szCs w:val="21"/>
          <w:lang w:eastAsia="zh-CN"/>
        </w:rPr>
        <w:t>竣工验收备案表（或工程竣工验收证书）</w:t>
      </w:r>
      <w:r>
        <w:rPr>
          <w:rFonts w:hint="eastAsia"/>
          <w:color w:val="auto"/>
          <w:sz w:val="21"/>
          <w:szCs w:val="21"/>
        </w:rPr>
        <w:t>的原件扫描件，具体年份要求见投标人须知前附表。每张表格只填写一个项目，并标明序号</w:t>
      </w:r>
      <w:r>
        <w:rPr>
          <w:rFonts w:hint="eastAsia"/>
          <w:color w:val="auto"/>
          <w:sz w:val="21"/>
          <w:szCs w:val="21"/>
          <w:lang w:eastAsia="zh-CN"/>
        </w:rPr>
        <w:t>。</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4" w:name="_Toc144974521"/>
      <w:bookmarkStart w:id="45" w:name="_Toc152045553"/>
      <w:bookmarkStart w:id="46" w:name="_Toc152042329"/>
      <w:bookmarkStart w:id="47" w:name="_Toc179632571"/>
      <w:r>
        <w:rPr>
          <w:rFonts w:hint="eastAsia"/>
          <w:b/>
          <w:bCs/>
          <w:sz w:val="21"/>
          <w:szCs w:val="21"/>
        </w:rPr>
        <w:t>备选投标方案</w:t>
      </w:r>
    </w:p>
    <w:bookmarkEnd w:id="44"/>
    <w:bookmarkEnd w:id="45"/>
    <w:bookmarkEnd w:id="46"/>
    <w:bookmarkEnd w:id="47"/>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3"/>
    </w:p>
    <w:p>
      <w:pPr>
        <w:spacing w:line="400" w:lineRule="exact"/>
        <w:ind w:firstLine="420" w:firstLineChars="200"/>
        <w:rPr>
          <w:rFonts w:hAnsi="宋体"/>
          <w:sz w:val="21"/>
          <w:szCs w:val="21"/>
        </w:rPr>
      </w:pPr>
      <w:bookmarkStart w:id="48" w:name="_Toc283559961"/>
      <w:r>
        <w:rPr>
          <w:rFonts w:hint="eastAsia" w:hAnsi="宋体"/>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3.7.4 使用电子介质存储的备份文件1份。</w:t>
      </w:r>
    </w:p>
    <w:p>
      <w:pPr>
        <w:autoSpaceDE w:val="0"/>
        <w:autoSpaceDN w:val="0"/>
        <w:spacing w:line="440" w:lineRule="exact"/>
        <w:ind w:firstLine="420" w:firstLineChars="200"/>
        <w:jc w:val="left"/>
        <w:outlineLvl w:val="0"/>
        <w:rPr>
          <w:rFonts w:hAnsi="宋体"/>
          <w:b/>
          <w:sz w:val="21"/>
          <w:szCs w:val="21"/>
        </w:rPr>
      </w:pPr>
      <w:r>
        <w:rPr>
          <w:rFonts w:hint="eastAsia" w:hAnsi="宋体"/>
          <w:sz w:val="21"/>
          <w:szCs w:val="21"/>
        </w:rPr>
        <w:t>3.7.5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bCs/>
          <w:sz w:val="21"/>
          <w:szCs w:val="21"/>
        </w:rPr>
      </w:pPr>
      <w:r>
        <w:rPr>
          <w:rFonts w:hint="eastAsia" w:hAnsi="宋体"/>
          <w:sz w:val="21"/>
          <w:szCs w:val="21"/>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Ansi="宋体"/>
          <w:sz w:val="21"/>
          <w:szCs w:val="21"/>
        </w:rPr>
      </w:pPr>
      <w:r>
        <w:rPr>
          <w:rFonts w:hint="eastAsia" w:hAnsi="宋体"/>
          <w:sz w:val="21"/>
          <w:szCs w:val="21"/>
        </w:rPr>
        <w:t>3.7.8 投标人编制的投标文件应分为商务标、综合标和技术标。纸质投标文件的正本与副本应分别装订成册，并编制目录，具体装订要求见投标人须知前附表规定。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20" w:firstLineChars="200"/>
        <w:jc w:val="left"/>
        <w:textAlignment w:val="auto"/>
        <w:rPr>
          <w:rFonts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snapToGrid/>
        <w:spacing w:line="560" w:lineRule="exact"/>
        <w:ind w:firstLine="420" w:firstLineChars="200"/>
        <w:jc w:val="left"/>
        <w:textAlignment w:val="auto"/>
        <w:rPr>
          <w:rFonts w:hAnsi="宋体" w:cs="仿宋_GB2312"/>
          <w:sz w:val="21"/>
          <w:szCs w:val="21"/>
        </w:rPr>
      </w:pPr>
      <w:r>
        <w:rPr>
          <w:rFonts w:hint="eastAsia" w:hAnsi="宋体"/>
          <w:sz w:val="21"/>
          <w:szCs w:val="21"/>
        </w:rPr>
        <w:t>3.7.9.2 商务标投标文件制作过程中如遇操作和技术问题请咨询：0374-2961598。</w:t>
      </w:r>
    </w:p>
    <w:p>
      <w:pPr>
        <w:pStyle w:val="74"/>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8"/>
    </w:p>
    <w:p>
      <w:pPr>
        <w:autoSpaceDE w:val="0"/>
        <w:autoSpaceDN w:val="0"/>
        <w:adjustRightInd w:val="0"/>
        <w:spacing w:line="440" w:lineRule="exact"/>
        <w:jc w:val="left"/>
        <w:rPr>
          <w:rFonts w:cs="Times New Roman"/>
          <w:b/>
          <w:bCs/>
          <w:sz w:val="21"/>
          <w:szCs w:val="21"/>
        </w:rPr>
      </w:pPr>
      <w:bookmarkStart w:id="49" w:name="_Toc283559962"/>
      <w:r>
        <w:rPr>
          <w:b/>
          <w:bCs/>
          <w:sz w:val="21"/>
          <w:szCs w:val="21"/>
        </w:rPr>
        <w:t xml:space="preserve">4.1 </w:t>
      </w:r>
      <w:r>
        <w:rPr>
          <w:rFonts w:hint="eastAsia"/>
          <w:b/>
          <w:bCs/>
          <w:sz w:val="21"/>
          <w:szCs w:val="21"/>
        </w:rPr>
        <w:t>投标文件的密封和标记</w:t>
      </w:r>
      <w:bookmarkEnd w:id="49"/>
    </w:p>
    <w:p>
      <w:pPr>
        <w:spacing w:line="420" w:lineRule="exact"/>
        <w:ind w:firstLine="420" w:firstLineChars="200"/>
        <w:rPr>
          <w:sz w:val="21"/>
          <w:szCs w:val="21"/>
        </w:rPr>
      </w:pPr>
      <w:bookmarkStart w:id="50" w:name="_Toc283559963"/>
      <w:r>
        <w:rPr>
          <w:rFonts w:hint="eastAsia"/>
          <w:sz w:val="21"/>
          <w:szCs w:val="21"/>
        </w:rPr>
        <w:t>4.1.</w:t>
      </w:r>
      <w:r>
        <w:rPr>
          <w:rFonts w:hint="eastAsia"/>
          <w:sz w:val="21"/>
          <w:szCs w:val="21"/>
          <w:lang w:val="en-US" w:eastAsia="zh-CN"/>
        </w:rPr>
        <w:t>1</w:t>
      </w:r>
      <w:r>
        <w:rPr>
          <w:rFonts w:hint="eastAsia"/>
          <w:sz w:val="21"/>
          <w:szCs w:val="21"/>
        </w:rPr>
        <w:t xml:space="preserve"> 投标文件的封套上应写明的其他内容见投标人须知前附表。</w:t>
      </w:r>
    </w:p>
    <w:p>
      <w:pPr>
        <w:spacing w:line="420" w:lineRule="exact"/>
        <w:ind w:firstLine="420" w:firstLineChars="200"/>
        <w:rPr>
          <w:sz w:val="21"/>
          <w:szCs w:val="21"/>
        </w:rPr>
      </w:pPr>
      <w:r>
        <w:rPr>
          <w:rFonts w:hint="eastAsia"/>
          <w:sz w:val="21"/>
          <w:szCs w:val="21"/>
        </w:rPr>
        <w:t>4.1.</w:t>
      </w:r>
      <w:r>
        <w:rPr>
          <w:rFonts w:hint="eastAsia"/>
          <w:sz w:val="21"/>
          <w:szCs w:val="21"/>
          <w:lang w:val="en-US" w:eastAsia="zh-CN"/>
        </w:rPr>
        <w:t>2</w:t>
      </w:r>
      <w:r>
        <w:rPr>
          <w:rFonts w:hint="eastAsia" w:hAnsi="宋体"/>
          <w:color w:val="auto"/>
          <w:sz w:val="21"/>
          <w:szCs w:val="21"/>
        </w:rPr>
        <w:t>使用电子介质存储的投标文件单独密封</w:t>
      </w:r>
      <w:r>
        <w:rPr>
          <w:rFonts w:hint="eastAsia" w:hAnsi="宋体"/>
          <w:color w:val="auto"/>
          <w:sz w:val="21"/>
          <w:szCs w:val="21"/>
          <w:lang w:eastAsia="zh-CN"/>
        </w:rPr>
        <w:t>之后与</w:t>
      </w:r>
      <w:r>
        <w:rPr>
          <w:rFonts w:hint="eastAsia" w:hAnsi="宋体"/>
          <w:color w:val="auto"/>
          <w:sz w:val="21"/>
          <w:szCs w:val="21"/>
        </w:rPr>
        <w:t>纸质投标文件</w:t>
      </w:r>
      <w:r>
        <w:rPr>
          <w:rFonts w:hint="eastAsia" w:hAnsi="宋体"/>
          <w:color w:val="auto"/>
          <w:sz w:val="21"/>
          <w:szCs w:val="21"/>
          <w:lang w:eastAsia="zh-CN"/>
        </w:rPr>
        <w:t>包封在一起</w:t>
      </w:r>
      <w:r>
        <w:rPr>
          <w:rFonts w:hint="eastAsia" w:hAnsi="宋体"/>
          <w:color w:val="auto"/>
          <w:sz w:val="21"/>
          <w:szCs w:val="21"/>
        </w:rPr>
        <w:t>。</w:t>
      </w:r>
      <w:r>
        <w:rPr>
          <w:rFonts w:hint="eastAsia"/>
          <w:b/>
          <w:color w:val="auto"/>
          <w:sz w:val="21"/>
          <w:szCs w:val="21"/>
        </w:rPr>
        <w:t>封套上写明“</w:t>
      </w:r>
      <w:r>
        <w:rPr>
          <w:rFonts w:hint="eastAsia"/>
          <w:b/>
          <w:color w:val="auto"/>
          <w:sz w:val="21"/>
          <w:szCs w:val="21"/>
          <w:lang w:eastAsia="zh-CN"/>
        </w:rPr>
        <w:t>工程</w:t>
      </w:r>
      <w:r>
        <w:rPr>
          <w:rFonts w:hint="eastAsia"/>
          <w:b/>
          <w:color w:val="auto"/>
          <w:sz w:val="21"/>
          <w:szCs w:val="21"/>
        </w:rPr>
        <w:t>名称、</w:t>
      </w:r>
      <w:r>
        <w:rPr>
          <w:rFonts w:hint="eastAsia"/>
          <w:b/>
          <w:color w:val="auto"/>
          <w:sz w:val="21"/>
          <w:szCs w:val="21"/>
          <w:lang w:eastAsia="zh-CN"/>
        </w:rPr>
        <w:t>招标人</w:t>
      </w:r>
      <w:r>
        <w:rPr>
          <w:rFonts w:hint="eastAsia"/>
          <w:b/>
          <w:color w:val="auto"/>
          <w:sz w:val="21"/>
          <w:szCs w:val="21"/>
        </w:rPr>
        <w:t>名称、</w:t>
      </w:r>
      <w:r>
        <w:rPr>
          <w:rFonts w:hint="eastAsia"/>
          <w:b/>
          <w:color w:val="auto"/>
          <w:sz w:val="21"/>
          <w:szCs w:val="21"/>
          <w:lang w:eastAsia="zh-CN"/>
        </w:rPr>
        <w:t>投标人名称</w:t>
      </w:r>
      <w:r>
        <w:rPr>
          <w:rFonts w:hint="eastAsia"/>
          <w:b/>
          <w:color w:val="auto"/>
          <w:sz w:val="21"/>
          <w:szCs w:val="21"/>
        </w:rPr>
        <w:t>，在  年  月  日  时  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w:t>
      </w:r>
      <w:r>
        <w:rPr>
          <w:rFonts w:hint="eastAsia"/>
          <w:sz w:val="21"/>
          <w:szCs w:val="21"/>
          <w:lang w:val="en-US" w:eastAsia="zh-CN"/>
        </w:rPr>
        <w:t>3</w:t>
      </w:r>
      <w:r>
        <w:rPr>
          <w:rFonts w:hint="eastAsia"/>
          <w:sz w:val="21"/>
          <w:szCs w:val="21"/>
        </w:rPr>
        <w:t xml:space="preserve"> 未按本章第4.1.1项、第4.1.2项要求密封和加写标记的投标文件，招标人不予受理。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0"/>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1" w:name="_Toc283559964"/>
      <w:r>
        <w:rPr>
          <w:b/>
          <w:bCs/>
          <w:sz w:val="21"/>
          <w:szCs w:val="21"/>
        </w:rPr>
        <w:t xml:space="preserve">4.3 </w:t>
      </w:r>
      <w:r>
        <w:rPr>
          <w:rFonts w:hint="eastAsia"/>
          <w:b/>
          <w:bCs/>
          <w:sz w:val="21"/>
          <w:szCs w:val="21"/>
        </w:rPr>
        <w:t>投标文件的修改与撤回</w:t>
      </w:r>
      <w:bookmarkEnd w:id="51"/>
    </w:p>
    <w:p>
      <w:pPr>
        <w:autoSpaceDE w:val="0"/>
        <w:autoSpaceDN w:val="0"/>
        <w:spacing w:line="440" w:lineRule="exact"/>
        <w:ind w:firstLine="420" w:firstLineChars="200"/>
        <w:jc w:val="left"/>
        <w:rPr>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4"/>
        <w:spacing w:line="440" w:lineRule="exact"/>
        <w:jc w:val="both"/>
        <w:rPr>
          <w:rFonts w:cs="Times New Roman"/>
          <w:b/>
          <w:bCs/>
          <w:color w:val="auto"/>
          <w:sz w:val="21"/>
          <w:szCs w:val="21"/>
        </w:rPr>
      </w:pPr>
      <w:bookmarkStart w:id="52" w:name="_Toc283559967"/>
      <w:r>
        <w:rPr>
          <w:b/>
          <w:bCs/>
          <w:color w:val="auto"/>
          <w:sz w:val="21"/>
          <w:szCs w:val="21"/>
        </w:rPr>
        <w:t xml:space="preserve">5. </w:t>
      </w:r>
      <w:r>
        <w:rPr>
          <w:rFonts w:hint="eastAsia"/>
          <w:b/>
          <w:bCs/>
          <w:color w:val="auto"/>
          <w:sz w:val="21"/>
          <w:szCs w:val="21"/>
        </w:rPr>
        <w:t>开标</w:t>
      </w:r>
      <w:bookmarkEnd w:id="52"/>
    </w:p>
    <w:p>
      <w:pPr>
        <w:autoSpaceDE w:val="0"/>
        <w:autoSpaceDN w:val="0"/>
        <w:adjustRightInd w:val="0"/>
        <w:spacing w:line="440" w:lineRule="exact"/>
        <w:jc w:val="left"/>
        <w:rPr>
          <w:rFonts w:cs="Times New Roman"/>
          <w:b/>
          <w:bCs/>
          <w:sz w:val="21"/>
          <w:szCs w:val="21"/>
        </w:rPr>
      </w:pPr>
      <w:bookmarkStart w:id="53" w:name="_Toc283559968"/>
      <w:r>
        <w:rPr>
          <w:b/>
          <w:bCs/>
          <w:sz w:val="21"/>
          <w:szCs w:val="21"/>
        </w:rPr>
        <w:t xml:space="preserve">5.1 </w:t>
      </w:r>
      <w:r>
        <w:rPr>
          <w:rFonts w:hint="eastAsia"/>
          <w:b/>
          <w:bCs/>
          <w:sz w:val="21"/>
          <w:szCs w:val="21"/>
        </w:rPr>
        <w:t>开标时间和地点</w:t>
      </w:r>
      <w:bookmarkEnd w:id="53"/>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项规定的投标截止时间（开标时间）和投标人须知前附表规定的地点公开开标，所有投标人的法定代表人（或授权委托人）和项目负责人准时参加。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4" w:name="_Toc283559970"/>
      <w:r>
        <w:rPr>
          <w:rFonts w:hint="eastAsia"/>
          <w:sz w:val="21"/>
          <w:szCs w:val="21"/>
        </w:rPr>
        <w:t>主持人按下列程序进行开标：</w:t>
      </w:r>
    </w:p>
    <w:p>
      <w:pPr>
        <w:spacing w:line="400" w:lineRule="exact"/>
        <w:ind w:firstLine="420" w:firstLineChars="200"/>
        <w:rPr>
          <w:sz w:val="21"/>
          <w:szCs w:val="21"/>
        </w:rPr>
      </w:pPr>
      <w:r>
        <w:rPr>
          <w:rFonts w:hint="eastAsia"/>
          <w:sz w:val="21"/>
          <w:szCs w:val="21"/>
        </w:rPr>
        <w:t>（1）宣布投标截止时间，并公布招标人、代理机构、监督部门名称；</w:t>
      </w:r>
    </w:p>
    <w:p>
      <w:pPr>
        <w:spacing w:line="400" w:lineRule="exact"/>
        <w:ind w:firstLine="420" w:firstLineChars="200"/>
        <w:rPr>
          <w:sz w:val="21"/>
          <w:szCs w:val="21"/>
        </w:rPr>
      </w:pPr>
      <w:r>
        <w:rPr>
          <w:rFonts w:hint="eastAsia"/>
          <w:sz w:val="21"/>
          <w:szCs w:val="21"/>
        </w:rPr>
        <w:t>（2）宣布开标纪律；</w:t>
      </w:r>
    </w:p>
    <w:p>
      <w:pPr>
        <w:spacing w:line="400" w:lineRule="exact"/>
        <w:ind w:firstLine="420" w:firstLineChars="200"/>
        <w:rPr>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sz w:val="21"/>
          <w:szCs w:val="21"/>
        </w:rPr>
      </w:pPr>
      <w:r>
        <w:rPr>
          <w:rFonts w:hint="eastAsia"/>
          <w:sz w:val="21"/>
          <w:szCs w:val="21"/>
        </w:rPr>
        <w:t>（4）电子投标文件解密</w:t>
      </w:r>
    </w:p>
    <w:p>
      <w:pPr>
        <w:spacing w:line="400" w:lineRule="exact"/>
        <w:ind w:firstLine="420" w:firstLineChars="200"/>
        <w:rPr>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sz w:val="21"/>
          <w:szCs w:val="21"/>
        </w:rPr>
      </w:pPr>
      <w:r>
        <w:rPr>
          <w:rFonts w:hint="eastAsia"/>
          <w:sz w:val="21"/>
          <w:szCs w:val="21"/>
        </w:rPr>
        <w:t>（6）现场抽取参与计算评标基准价的K值并宣布，同时公布招标控制价；</w:t>
      </w:r>
    </w:p>
    <w:p>
      <w:pPr>
        <w:spacing w:line="400" w:lineRule="exact"/>
        <w:ind w:firstLine="420" w:firstLineChars="200"/>
        <w:rPr>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4"/>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4"/>
    </w:p>
    <w:p>
      <w:pPr>
        <w:autoSpaceDE w:val="0"/>
        <w:autoSpaceDN w:val="0"/>
        <w:adjustRightInd w:val="0"/>
        <w:spacing w:line="440" w:lineRule="exact"/>
        <w:jc w:val="left"/>
        <w:rPr>
          <w:rFonts w:cs="Times New Roman"/>
          <w:b/>
          <w:bCs/>
          <w:sz w:val="21"/>
          <w:szCs w:val="21"/>
        </w:rPr>
      </w:pPr>
      <w:bookmarkStart w:id="55" w:name="_Toc283559971"/>
      <w:r>
        <w:rPr>
          <w:b/>
          <w:bCs/>
          <w:sz w:val="21"/>
          <w:szCs w:val="21"/>
        </w:rPr>
        <w:t xml:space="preserve">6.1 </w:t>
      </w:r>
      <w:r>
        <w:rPr>
          <w:rFonts w:hint="eastAsia"/>
          <w:b/>
          <w:bCs/>
          <w:sz w:val="21"/>
          <w:szCs w:val="21"/>
        </w:rPr>
        <w:t>评标委员会</w:t>
      </w:r>
      <w:bookmarkEnd w:id="55"/>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6" w:name="_Toc283559972"/>
      <w:r>
        <w:rPr>
          <w:b/>
          <w:bCs/>
          <w:sz w:val="21"/>
          <w:szCs w:val="21"/>
        </w:rPr>
        <w:t xml:space="preserve">6.2 </w:t>
      </w:r>
      <w:r>
        <w:rPr>
          <w:rFonts w:hint="eastAsia"/>
          <w:b/>
          <w:bCs/>
          <w:sz w:val="21"/>
          <w:szCs w:val="21"/>
        </w:rPr>
        <w:t>评标原则</w:t>
      </w:r>
      <w:bookmarkEnd w:id="56"/>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7" w:name="_Toc283559973"/>
      <w:r>
        <w:rPr>
          <w:b/>
          <w:bCs/>
          <w:sz w:val="21"/>
          <w:szCs w:val="21"/>
        </w:rPr>
        <w:t xml:space="preserve">6.3 </w:t>
      </w:r>
      <w:r>
        <w:rPr>
          <w:rFonts w:hint="eastAsia"/>
          <w:b/>
          <w:bCs/>
          <w:sz w:val="21"/>
          <w:szCs w:val="21"/>
        </w:rPr>
        <w:t>评标</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4"/>
        <w:spacing w:line="440" w:lineRule="exact"/>
        <w:jc w:val="both"/>
        <w:rPr>
          <w:rFonts w:cs="Times New Roman"/>
          <w:b/>
          <w:bCs/>
          <w:color w:val="auto"/>
          <w:sz w:val="21"/>
          <w:szCs w:val="21"/>
        </w:rPr>
      </w:pPr>
      <w:bookmarkStart w:id="58" w:name="_Toc283559974"/>
      <w:r>
        <w:rPr>
          <w:b/>
          <w:bCs/>
          <w:color w:val="auto"/>
          <w:sz w:val="21"/>
          <w:szCs w:val="21"/>
        </w:rPr>
        <w:t xml:space="preserve">7. </w:t>
      </w:r>
      <w:r>
        <w:rPr>
          <w:rFonts w:hint="eastAsia"/>
          <w:b/>
          <w:bCs/>
          <w:color w:val="auto"/>
          <w:sz w:val="21"/>
          <w:szCs w:val="21"/>
        </w:rPr>
        <w:t>合同授予</w:t>
      </w:r>
      <w:bookmarkEnd w:id="58"/>
    </w:p>
    <w:p>
      <w:pPr>
        <w:autoSpaceDE w:val="0"/>
        <w:autoSpaceDN w:val="0"/>
        <w:spacing w:line="440" w:lineRule="exact"/>
        <w:jc w:val="left"/>
        <w:rPr>
          <w:rFonts w:cs="Times New Roman"/>
          <w:b/>
          <w:bCs/>
          <w:sz w:val="21"/>
          <w:szCs w:val="21"/>
        </w:rPr>
      </w:pPr>
      <w:bookmarkStart w:id="59" w:name="_Toc283559975"/>
      <w:r>
        <w:rPr>
          <w:b/>
          <w:bCs/>
          <w:sz w:val="21"/>
          <w:szCs w:val="21"/>
        </w:rPr>
        <w:t xml:space="preserve">7.1 </w:t>
      </w:r>
      <w:r>
        <w:rPr>
          <w:rFonts w:hint="eastAsia"/>
          <w:b/>
          <w:bCs/>
          <w:sz w:val="21"/>
          <w:szCs w:val="21"/>
        </w:rPr>
        <w:t>定标方式</w:t>
      </w:r>
      <w:bookmarkEnd w:id="59"/>
    </w:p>
    <w:p>
      <w:pPr>
        <w:autoSpaceDE w:val="0"/>
        <w:autoSpaceDN w:val="0"/>
        <w:spacing w:line="440" w:lineRule="exact"/>
        <w:ind w:firstLine="420" w:firstLineChars="200"/>
        <w:jc w:val="left"/>
        <w:rPr>
          <w:color w:val="000000"/>
          <w:sz w:val="21"/>
          <w:szCs w:val="21"/>
        </w:rPr>
      </w:pPr>
      <w:bookmarkStart w:id="60"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0"/>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1" w:name="_Toc152042345"/>
      <w:bookmarkStart w:id="62" w:name="_Toc179632587"/>
      <w:bookmarkStart w:id="63" w:name="_Toc152045569"/>
      <w:bookmarkStart w:id="64" w:name="_Toc144974537"/>
    </w:p>
    <w:p>
      <w:pPr>
        <w:autoSpaceDE w:val="0"/>
        <w:autoSpaceDN w:val="0"/>
        <w:spacing w:line="440" w:lineRule="exact"/>
        <w:jc w:val="left"/>
        <w:rPr>
          <w:rFonts w:cs="Times New Roman"/>
          <w:b/>
          <w:bCs/>
          <w:sz w:val="21"/>
          <w:szCs w:val="21"/>
        </w:rPr>
      </w:pPr>
      <w:r>
        <w:rPr>
          <w:b/>
          <w:bCs/>
          <w:sz w:val="21"/>
          <w:szCs w:val="21"/>
        </w:rPr>
        <w:t xml:space="preserve">7.3 </w:t>
      </w:r>
      <w:bookmarkEnd w:id="61"/>
      <w:bookmarkEnd w:id="62"/>
      <w:bookmarkEnd w:id="63"/>
      <w:bookmarkEnd w:id="64"/>
      <w:bookmarkStart w:id="65" w:name="_Toc283559977"/>
      <w:r>
        <w:rPr>
          <w:rFonts w:hint="eastAsia"/>
          <w:b/>
          <w:bCs/>
          <w:sz w:val="21"/>
          <w:szCs w:val="21"/>
        </w:rPr>
        <w:t>签订合同</w:t>
      </w:r>
      <w:bookmarkEnd w:id="65"/>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6" w:name="_Toc283559978"/>
      <w:r>
        <w:rPr>
          <w:b/>
          <w:bCs/>
          <w:sz w:val="21"/>
          <w:szCs w:val="21"/>
        </w:rPr>
        <w:t xml:space="preserve">8. </w:t>
      </w:r>
      <w:r>
        <w:rPr>
          <w:rFonts w:hint="eastAsia"/>
          <w:b/>
          <w:bCs/>
          <w:sz w:val="21"/>
          <w:szCs w:val="21"/>
        </w:rPr>
        <w:t>重新招标和不再招标</w:t>
      </w:r>
      <w:bookmarkEnd w:id="66"/>
    </w:p>
    <w:p>
      <w:pPr>
        <w:autoSpaceDE w:val="0"/>
        <w:autoSpaceDN w:val="0"/>
        <w:adjustRightInd w:val="0"/>
        <w:spacing w:line="440" w:lineRule="exact"/>
        <w:jc w:val="left"/>
        <w:rPr>
          <w:rFonts w:cs="Times New Roman"/>
          <w:b/>
          <w:bCs/>
          <w:sz w:val="21"/>
          <w:szCs w:val="21"/>
        </w:rPr>
      </w:pPr>
      <w:bookmarkStart w:id="67" w:name="_Toc283559979"/>
      <w:r>
        <w:rPr>
          <w:b/>
          <w:bCs/>
          <w:sz w:val="21"/>
          <w:szCs w:val="21"/>
        </w:rPr>
        <w:t xml:space="preserve">8.1 </w:t>
      </w:r>
      <w:r>
        <w:rPr>
          <w:rFonts w:hint="eastAsia"/>
          <w:b/>
          <w:bCs/>
          <w:sz w:val="21"/>
          <w:szCs w:val="21"/>
        </w:rPr>
        <w:t>重新招标</w:t>
      </w:r>
      <w:bookmarkEnd w:id="67"/>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8" w:name="_Toc283559980"/>
      <w:r>
        <w:rPr>
          <w:b/>
          <w:bCs/>
          <w:sz w:val="21"/>
          <w:szCs w:val="21"/>
        </w:rPr>
        <w:t xml:space="preserve">8.2 </w:t>
      </w:r>
      <w:r>
        <w:rPr>
          <w:rFonts w:hint="eastAsia"/>
          <w:b/>
          <w:bCs/>
          <w:sz w:val="21"/>
          <w:szCs w:val="21"/>
        </w:rPr>
        <w:t>不再招标</w:t>
      </w:r>
      <w:bookmarkEnd w:id="68"/>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4"/>
        <w:spacing w:line="440" w:lineRule="exact"/>
        <w:jc w:val="both"/>
        <w:rPr>
          <w:rFonts w:cs="Times New Roman"/>
          <w:b/>
          <w:bCs/>
          <w:color w:val="auto"/>
          <w:sz w:val="21"/>
          <w:szCs w:val="21"/>
        </w:rPr>
      </w:pPr>
      <w:bookmarkStart w:id="69" w:name="_Toc283559981"/>
      <w:r>
        <w:rPr>
          <w:b/>
          <w:bCs/>
          <w:color w:val="auto"/>
          <w:sz w:val="21"/>
          <w:szCs w:val="21"/>
        </w:rPr>
        <w:t xml:space="preserve">9. </w:t>
      </w:r>
      <w:r>
        <w:rPr>
          <w:rFonts w:hint="eastAsia"/>
          <w:b/>
          <w:bCs/>
          <w:color w:val="auto"/>
          <w:sz w:val="21"/>
          <w:szCs w:val="21"/>
        </w:rPr>
        <w:t>纪律和监督</w:t>
      </w:r>
      <w:bookmarkEnd w:id="69"/>
    </w:p>
    <w:p>
      <w:pPr>
        <w:autoSpaceDE w:val="0"/>
        <w:autoSpaceDN w:val="0"/>
        <w:adjustRightInd w:val="0"/>
        <w:spacing w:line="440" w:lineRule="exact"/>
        <w:jc w:val="left"/>
        <w:rPr>
          <w:rFonts w:cs="Times New Roman"/>
          <w:b/>
          <w:bCs/>
          <w:sz w:val="21"/>
          <w:szCs w:val="21"/>
        </w:rPr>
      </w:pPr>
      <w:bookmarkStart w:id="70" w:name="_Toc283559982"/>
      <w:r>
        <w:rPr>
          <w:b/>
          <w:bCs/>
          <w:sz w:val="21"/>
          <w:szCs w:val="21"/>
        </w:rPr>
        <w:t xml:space="preserve">9.1 </w:t>
      </w:r>
      <w:r>
        <w:rPr>
          <w:rFonts w:hint="eastAsia"/>
          <w:b/>
          <w:bCs/>
          <w:sz w:val="21"/>
          <w:szCs w:val="21"/>
        </w:rPr>
        <w:t>对招标人的纪律要求</w:t>
      </w:r>
      <w:bookmarkEnd w:id="70"/>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1" w:name="_Toc283559983"/>
      <w:r>
        <w:rPr>
          <w:b/>
          <w:bCs/>
          <w:sz w:val="21"/>
          <w:szCs w:val="21"/>
        </w:rPr>
        <w:t xml:space="preserve">9.2 </w:t>
      </w:r>
      <w:r>
        <w:rPr>
          <w:rFonts w:hint="eastAsia"/>
          <w:b/>
          <w:bCs/>
          <w:sz w:val="21"/>
          <w:szCs w:val="21"/>
        </w:rPr>
        <w:t>对投标人的纪律要求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2" w:name="_Toc283559984"/>
      <w:r>
        <w:rPr>
          <w:b/>
          <w:bCs/>
          <w:sz w:val="21"/>
          <w:szCs w:val="21"/>
        </w:rPr>
        <w:t xml:space="preserve">9.3 </w:t>
      </w:r>
      <w:r>
        <w:rPr>
          <w:rFonts w:hint="eastAsia"/>
          <w:b/>
          <w:bCs/>
          <w:sz w:val="21"/>
          <w:szCs w:val="21"/>
        </w:rPr>
        <w:t>对评标委员会成员的纪律要求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3" w:name="_Toc283559985"/>
      <w:r>
        <w:rPr>
          <w:b/>
          <w:bCs/>
          <w:sz w:val="21"/>
          <w:szCs w:val="21"/>
        </w:rPr>
        <w:t xml:space="preserve">9.4 </w:t>
      </w:r>
      <w:r>
        <w:rPr>
          <w:rFonts w:hint="eastAsia"/>
          <w:b/>
          <w:bCs/>
          <w:sz w:val="21"/>
          <w:szCs w:val="21"/>
        </w:rPr>
        <w:t>对与评标活动有关的工作人员的纪律要求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4" w:name="_Toc283559986"/>
      <w:r>
        <w:rPr>
          <w:b/>
          <w:bCs/>
          <w:sz w:val="21"/>
          <w:szCs w:val="21"/>
        </w:rPr>
        <w:t xml:space="preserve">9.5 </w:t>
      </w:r>
      <w:r>
        <w:rPr>
          <w:rFonts w:hint="eastAsia"/>
          <w:b/>
          <w:bCs/>
          <w:sz w:val="21"/>
          <w:szCs w:val="21"/>
        </w:rPr>
        <w:t>投诉</w:t>
      </w:r>
      <w:bookmarkEnd w:id="74"/>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4"/>
        <w:spacing w:line="440" w:lineRule="exact"/>
        <w:jc w:val="both"/>
        <w:rPr>
          <w:rFonts w:cs="Times New Roman"/>
          <w:b/>
          <w:bCs/>
          <w:color w:val="auto"/>
          <w:sz w:val="21"/>
          <w:szCs w:val="21"/>
        </w:rPr>
      </w:pPr>
      <w:bookmarkStart w:id="75" w:name="_Toc283559987"/>
      <w:r>
        <w:rPr>
          <w:b/>
          <w:bCs/>
          <w:color w:val="auto"/>
          <w:sz w:val="21"/>
          <w:szCs w:val="21"/>
        </w:rPr>
        <w:t xml:space="preserve">10. </w:t>
      </w:r>
      <w:r>
        <w:rPr>
          <w:rFonts w:hint="eastAsia"/>
          <w:b/>
          <w:bCs/>
          <w:color w:val="auto"/>
          <w:sz w:val="21"/>
          <w:szCs w:val="21"/>
        </w:rPr>
        <w:t>需要补充的其他内容</w:t>
      </w:r>
      <w:bookmarkEnd w:id="75"/>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44"/>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6" w:name="_Toc457468586"/>
      <w:r>
        <w:rPr>
          <w:rFonts w:hint="eastAsia"/>
          <w:b/>
          <w:bCs/>
          <w:sz w:val="32"/>
          <w:szCs w:val="32"/>
        </w:rPr>
        <w:t>第三章</w:t>
      </w:r>
      <w:r>
        <w:rPr>
          <w:b/>
          <w:bCs/>
          <w:sz w:val="32"/>
          <w:szCs w:val="32"/>
        </w:rPr>
        <w:t xml:space="preserve"> </w:t>
      </w:r>
      <w:r>
        <w:rPr>
          <w:rFonts w:hint="eastAsia"/>
          <w:b/>
          <w:bCs/>
          <w:sz w:val="32"/>
          <w:szCs w:val="32"/>
        </w:rPr>
        <w:t>评标办法（</w:t>
      </w:r>
      <w:r>
        <w:rPr>
          <w:rFonts w:hint="eastAsia" w:ascii="新宋体" w:hAnsi="新宋体" w:eastAsia="新宋体" w:cs="新宋体"/>
          <w:b/>
          <w:bCs/>
          <w:sz w:val="32"/>
          <w:szCs w:val="32"/>
        </w:rPr>
        <w:t>综合评标法</w:t>
      </w:r>
      <w:r>
        <w:rPr>
          <w:rFonts w:hint="eastAsia"/>
          <w:b/>
          <w:bCs/>
          <w:sz w:val="32"/>
          <w:szCs w:val="32"/>
        </w:rPr>
        <w:t>）</w:t>
      </w:r>
      <w:bookmarkEnd w:id="76"/>
    </w:p>
    <w:p>
      <w:pPr>
        <w:snapToGrid w:val="0"/>
        <w:spacing w:line="420" w:lineRule="exact"/>
        <w:rPr>
          <w:rFonts w:hAnsi="宋体"/>
          <w:b/>
          <w:sz w:val="18"/>
          <w:szCs w:val="18"/>
        </w:rPr>
      </w:pPr>
      <w:bookmarkStart w:id="77" w:name="_Toc283559990"/>
      <w:bookmarkStart w:id="78" w:name="_Toc457468589"/>
      <w:r>
        <w:rPr>
          <w:rFonts w:hint="eastAsia" w:ascii="新宋体" w:hAnsi="新宋体" w:eastAsia="新宋体" w:cs="新宋体"/>
          <w:b/>
          <w:bCs/>
          <w:sz w:val="24"/>
        </w:rPr>
        <w:t>评标依据：《河南省建设工程工程量清单招标评标办法》（豫建[2018]161号）。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w:t>
      </w:r>
      <w:r>
        <w:rPr>
          <w:rFonts w:hint="eastAsia" w:hAnsi="宋体" w:cs="宋体"/>
          <w:sz w:val="24"/>
        </w:rPr>
        <w:t>评标由招标人依法组建的评标委员会负责，评标委员会成员</w:t>
      </w:r>
      <w:r>
        <w:rPr>
          <w:rFonts w:hint="eastAsia" w:hAnsi="宋体" w:cs="宋体"/>
          <w:sz w:val="24"/>
          <w:szCs w:val="22"/>
        </w:rPr>
        <w:t>详见前附表。</w:t>
      </w:r>
      <w:r>
        <w:rPr>
          <w:rFonts w:hint="eastAsia" w:hAnsi="宋体" w:cs="宋体"/>
          <w:sz w:val="24"/>
        </w:rPr>
        <w:t>与投标人有利害关系的专家不得进入评标委员会。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三、评标采用综合评标法，是指评标委员会根据招标文件要求，应从商务标、技术标、综合标三部分进行综合评审。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sz w:val="24"/>
        </w:rPr>
      </w:pPr>
      <w:r>
        <w:rPr>
          <w:rFonts w:hint="eastAsia" w:hAnsi="宋体" w:cs="宋体"/>
          <w:b/>
          <w:bCs/>
          <w:sz w:val="24"/>
        </w:rPr>
        <w:t>五、初步评审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评标委员会按招标文件及商务标清标内容要求对投标文件的符合性、响应性、资格条件和重大偏差等逐一进行评审。初步评审主要包括以下内容：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（一）电子投标文件是否按招标文件要求签字盖章（无需逐页签字盖章）；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（二）投标联合体是否提交共同投标协议（允许联合体投标的）；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（三）投标人是否符合国家或者招标文件规定的资格条件，注册建造师注册单位与投标人是否一致；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（四）同一投标人是否提交两个以上不同的投标文件或者投标报价，但招标文件要求提交备选投标的除外； </w:t>
      </w:r>
    </w:p>
    <w:p>
      <w:pPr>
        <w:spacing w:line="440" w:lineRule="exact"/>
        <w:ind w:firstLine="480" w:firstLineChars="200"/>
        <w:rPr>
          <w:rFonts w:ascii="新宋体" w:hAnsi="新宋体" w:eastAsia="新宋体"/>
          <w:sz w:val="24"/>
        </w:rPr>
      </w:pPr>
      <w:r>
        <w:rPr>
          <w:rFonts w:hint="eastAsia" w:ascii="新宋体" w:hAnsi="新宋体" w:eastAsia="新宋体"/>
          <w:sz w:val="24"/>
        </w:rPr>
        <w:t>（五）投标报价是否高于招标文件设定的最高投标限价；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（六）投标范围、工期、工程质量、投标有效期、付款方式是否符合招标文件规定；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（七）投标人是否有串通投标、弄虚作假、行贿等违法行为。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（八）评标委员会在评标过程中，发现投标文件中除不符合法律法规规定的情形外，还存在下列情况之一的，也可按否决投标处理。</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（1）未按招标文件规定编制各项报价的；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（2）投标报价与其组成部分、工程量清单项目合价与综合单价、综合单价与人材机用量相互矛盾，致使评标委员会无法正常评审判定的；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（3）规费和安全文明施工费违反工程造价计价有关规定的；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（4）分部分项工程项目、措施项目报价中的项目编码、项目名称、项目特征、计量单位和工程量与招标文件的清单不一致的；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（5）未按照招标文件所列明的暂列金额、暂估价编制投标报价的；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（6）住房和城乡建设部《标准施工招标文件》规定的其他否决投标条件。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80" w:firstLineChars="200"/>
        <w:rPr>
          <w:rFonts w:hint="eastAsia"/>
        </w:rPr>
      </w:pPr>
      <w:r>
        <w:rPr>
          <w:rFonts w:hint="eastAsia" w:ascii="新宋体" w:hAnsi="新宋体" w:eastAsia="新宋体"/>
          <w:sz w:val="24"/>
          <w:szCs w:val="22"/>
        </w:rPr>
        <w:t>备注：不同投标人电子投标文件记录的网卡MAC地址、CPU序号、硬盘序列号等硬件特征码</w:t>
      </w:r>
      <w:r>
        <w:rPr>
          <w:rFonts w:hint="eastAsia" w:ascii="新宋体" w:hAnsi="新宋体" w:eastAsia="新宋体"/>
          <w:sz w:val="24"/>
          <w:szCs w:val="22"/>
          <w:lang w:eastAsia="zh-CN"/>
        </w:rPr>
        <w:t>三项</w:t>
      </w:r>
      <w:r>
        <w:rPr>
          <w:rFonts w:hint="eastAsia" w:ascii="新宋体" w:hAnsi="新宋体" w:eastAsia="新宋体"/>
          <w:sz w:val="24"/>
          <w:szCs w:val="22"/>
        </w:rPr>
        <w:t xml:space="preserve">相同时，视为‘不同投标人的投标文件由同一单位或者个人编制’或‘不同投标人委托同一单位或者个人办理投标事宜’，其投标无效”；评标专家应严格按照招标文件要求查看“硬件特征码”相关信息并进行评审。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（九）商务标清标内容</w:t>
      </w:r>
    </w:p>
    <w:tbl>
      <w:tblPr>
        <w:tblStyle w:val="44"/>
        <w:tblW w:w="10364" w:type="dxa"/>
        <w:jc w:val="center"/>
        <w:tblInd w:w="0" w:type="dxa"/>
        <w:tblLayout w:type="fixed"/>
        <w:tblCellMar>
          <w:top w:w="0" w:type="dxa"/>
          <w:left w:w="108" w:type="dxa"/>
          <w:bottom w:w="0" w:type="dxa"/>
          <w:right w:w="108" w:type="dxa"/>
        </w:tblCellMar>
      </w:tblPr>
      <w:tblGrid>
        <w:gridCol w:w="442"/>
        <w:gridCol w:w="600"/>
        <w:gridCol w:w="3340"/>
        <w:gridCol w:w="4442"/>
        <w:gridCol w:w="781"/>
        <w:gridCol w:w="759"/>
      </w:tblGrid>
      <w:tr>
        <w:tblPrEx>
          <w:tblLayout w:type="fixed"/>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序号</w:t>
            </w:r>
          </w:p>
        </w:tc>
        <w:tc>
          <w:tcPr>
            <w:tcW w:w="3340"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清标项目</w:t>
            </w:r>
          </w:p>
        </w:tc>
        <w:tc>
          <w:tcPr>
            <w:tcW w:w="4442" w:type="dxa"/>
            <w:vMerge w:val="restart"/>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清标内容</w:t>
            </w:r>
          </w:p>
        </w:tc>
        <w:tc>
          <w:tcPr>
            <w:tcW w:w="1540"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清标结果</w:t>
            </w:r>
          </w:p>
        </w:tc>
      </w:tr>
      <w:tr>
        <w:tblPrEx>
          <w:tblLayout w:type="fixed"/>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4442" w:type="dxa"/>
            <w:vMerge w:val="continue"/>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是</w:t>
            </w: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否</w:t>
            </w: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项目总报价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是否等于各单项工程造价之和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单项工程费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是否等于各单位工程造价之和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1.3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单位工程费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分部分项及单价措施项目编码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分部分项及单价措施项目名称</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分部分项及单价措施项目特征</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分部分项及单价措施项目计量单位</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2.6</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分部分项及单价措施项目工程量</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不得修改招标人清单</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2.7</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分部分项工程费及单价措施费清单综合单价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2.8</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材料单价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安全文明施工费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3.2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其他措施费（费率类）项目</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根据招标文件要求自主报价</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4.1</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其它项目费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4.2</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暂列金额</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4.3</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专业工程暂估价</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应与招标人价格一致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4.4</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计日工</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应与招标人数量一致</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4.5</w:t>
            </w: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总承包服务费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是否按招标文件要求计算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5</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规费</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6</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334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增值税</w:t>
            </w:r>
          </w:p>
        </w:tc>
        <w:tc>
          <w:tcPr>
            <w:tcW w:w="4442"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根据河南省计价依据规定计算</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r>
        <w:tblPrEx>
          <w:tblLayout w:type="fixed"/>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新宋体" w:hAnsi="新宋体" w:eastAsia="新宋体"/>
                <w:sz w:val="24"/>
              </w:rPr>
            </w:pPr>
            <w:r>
              <w:rPr>
                <w:rFonts w:hint="eastAsia" w:ascii="新宋体" w:hAnsi="新宋体" w:eastAsia="新宋体"/>
                <w:sz w:val="24"/>
              </w:rPr>
              <w:t>7</w:t>
            </w:r>
          </w:p>
        </w:tc>
        <w:tc>
          <w:tcPr>
            <w:tcW w:w="600"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782" w:type="dxa"/>
            <w:gridSpan w:val="2"/>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r>
              <w:rPr>
                <w:rFonts w:hint="eastAsia" w:ascii="新宋体" w:hAnsi="新宋体" w:eastAsia="新宋体"/>
                <w:sz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c>
          <w:tcPr>
            <w:tcW w:w="759" w:type="dxa"/>
            <w:tcBorders>
              <w:top w:val="single" w:color="auto" w:sz="4" w:space="0"/>
              <w:left w:val="nil"/>
              <w:bottom w:val="single" w:color="auto" w:sz="4" w:space="0"/>
              <w:right w:val="single" w:color="auto" w:sz="4" w:space="0"/>
            </w:tcBorders>
            <w:noWrap w:val="0"/>
            <w:vAlign w:val="center"/>
          </w:tcPr>
          <w:p>
            <w:pPr>
              <w:spacing w:line="440" w:lineRule="exact"/>
              <w:ind w:firstLine="480" w:firstLineChars="200"/>
              <w:jc w:val="center"/>
              <w:rPr>
                <w:rFonts w:hint="eastAsia" w:ascii="新宋体" w:hAnsi="新宋体" w:eastAsia="新宋体"/>
                <w:sz w:val="24"/>
              </w:rPr>
            </w:pPr>
          </w:p>
        </w:tc>
      </w:tr>
    </w:tbl>
    <w:p>
      <w:pPr>
        <w:spacing w:line="440" w:lineRule="exact"/>
        <w:rPr>
          <w:rFonts w:hint="eastAsia" w:ascii="新宋体" w:hAnsi="新宋体" w:eastAsia="新宋体"/>
          <w:sz w:val="24"/>
        </w:rPr>
      </w:pPr>
      <w:r>
        <w:rPr>
          <w:rFonts w:hint="eastAsia" w:ascii="新宋体" w:hAnsi="新宋体" w:eastAsia="新宋体"/>
          <w:sz w:val="24"/>
        </w:rPr>
        <w:t>注：不在上述范围内且不具有实质性影响的内容，均不能作为清标的依据或理由。</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2" w:firstLineChars="200"/>
        <w:rPr>
          <w:rFonts w:hAnsi="宋体" w:cs="宋体"/>
          <w:sz w:val="24"/>
          <w:szCs w:val="24"/>
        </w:rPr>
      </w:pPr>
      <w:r>
        <w:rPr>
          <w:rFonts w:hint="eastAsia" w:hAnsi="宋体" w:cs="宋体"/>
          <w:b/>
          <w:sz w:val="24"/>
        </w:rPr>
        <w:t>六、详细评审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44"/>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noWrap w:val="0"/>
            <w:vAlign w:val="center"/>
          </w:tcPr>
          <w:p>
            <w:pPr>
              <w:jc w:val="center"/>
              <w:rPr>
                <w:rFonts w:hint="eastAsia" w:hAnsi="宋体" w:cs="宋体"/>
                <w:sz w:val="24"/>
                <w:szCs w:val="24"/>
              </w:rPr>
            </w:pPr>
            <w:r>
              <w:rPr>
                <w:rFonts w:hint="eastAsia" w:hAnsi="宋体" w:cs="宋体"/>
                <w:sz w:val="24"/>
                <w:szCs w:val="24"/>
              </w:rPr>
              <w:t>序号</w:t>
            </w:r>
          </w:p>
        </w:tc>
        <w:tc>
          <w:tcPr>
            <w:tcW w:w="1276" w:type="dxa"/>
            <w:noWrap w:val="0"/>
            <w:vAlign w:val="center"/>
          </w:tcPr>
          <w:p>
            <w:pPr>
              <w:jc w:val="center"/>
              <w:rPr>
                <w:rFonts w:hint="eastAsia" w:hAnsi="宋体" w:cs="宋体"/>
                <w:sz w:val="24"/>
                <w:szCs w:val="24"/>
              </w:rPr>
            </w:pPr>
            <w:r>
              <w:rPr>
                <w:rFonts w:hint="eastAsia" w:hAnsi="宋体" w:cs="宋体"/>
                <w:sz w:val="24"/>
                <w:szCs w:val="24"/>
              </w:rPr>
              <w:t>内容</w:t>
            </w:r>
          </w:p>
        </w:tc>
        <w:tc>
          <w:tcPr>
            <w:tcW w:w="1175" w:type="dxa"/>
            <w:noWrap w:val="0"/>
            <w:vAlign w:val="center"/>
          </w:tcPr>
          <w:p>
            <w:pPr>
              <w:jc w:val="center"/>
              <w:rPr>
                <w:rFonts w:hint="eastAsia" w:hAnsi="宋体" w:cs="宋体"/>
                <w:sz w:val="24"/>
                <w:szCs w:val="24"/>
              </w:rPr>
            </w:pPr>
            <w:r>
              <w:rPr>
                <w:rFonts w:hint="eastAsia" w:hAnsi="宋体" w:cs="宋体"/>
                <w:sz w:val="24"/>
                <w:szCs w:val="24"/>
              </w:rPr>
              <w:t>分值</w:t>
            </w:r>
          </w:p>
        </w:tc>
        <w:tc>
          <w:tcPr>
            <w:tcW w:w="5204" w:type="dxa"/>
            <w:noWrap w:val="0"/>
            <w:vAlign w:val="center"/>
          </w:tcPr>
          <w:p>
            <w:pPr>
              <w:jc w:val="center"/>
              <w:rPr>
                <w:rFonts w:hint="eastAsia" w:hAnsi="宋体" w:cs="宋体"/>
                <w:sz w:val="24"/>
                <w:szCs w:val="24"/>
              </w:rPr>
            </w:pPr>
            <w:r>
              <w:rPr>
                <w:rFonts w:hint="eastAsia" w:hAnsi="宋体" w:cs="宋体"/>
                <w:sz w:val="24"/>
                <w:szCs w:val="24"/>
              </w:rPr>
              <w:t>评审标准</w:t>
            </w:r>
          </w:p>
        </w:tc>
        <w:tc>
          <w:tcPr>
            <w:tcW w:w="1683" w:type="dxa"/>
            <w:noWrap w:val="0"/>
            <w:vAlign w:val="center"/>
          </w:tcPr>
          <w:p>
            <w:pPr>
              <w:jc w:val="center"/>
              <w:rPr>
                <w:rFonts w:hint="eastAsia"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内容完整性</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0-0.5分</w:t>
            </w:r>
          </w:p>
        </w:tc>
        <w:tc>
          <w:tcPr>
            <w:tcW w:w="5204" w:type="dxa"/>
            <w:noWrap w:val="0"/>
            <w:vAlign w:val="center"/>
          </w:tcPr>
          <w:p>
            <w:pPr>
              <w:jc w:val="center"/>
              <w:rPr>
                <w:rFonts w:hint="eastAsia" w:hAnsi="宋体" w:cs="宋体"/>
                <w:sz w:val="24"/>
                <w:szCs w:val="24"/>
              </w:rPr>
            </w:pPr>
            <w:r>
              <w:rPr>
                <w:rFonts w:hint="eastAsia" w:hAnsi="宋体" w:cs="宋体"/>
                <w:sz w:val="24"/>
                <w:szCs w:val="24"/>
              </w:rPr>
              <w:t>技术标的主要内容具有完整性，符合招标文件的要求。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jc w:val="center"/>
              <w:rPr>
                <w:rFonts w:hint="eastAsia" w:hAnsi="宋体" w:cs="宋体"/>
                <w:sz w:val="24"/>
                <w:szCs w:val="24"/>
              </w:rPr>
            </w:pPr>
            <w:r>
              <w:rPr>
                <w:rFonts w:hint="eastAsia" w:hAnsi="宋体" w:cs="宋体"/>
                <w:sz w:val="24"/>
                <w:szCs w:val="24"/>
              </w:rPr>
              <w:t>技术标不符合招标文件要求。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2</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主要施工方案与技术措施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1-3分</w:t>
            </w: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质量管理体系与措施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安全管理体系与措施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 xml:space="preserve"> 1-2分</w:t>
            </w:r>
          </w:p>
        </w:tc>
        <w:tc>
          <w:tcPr>
            <w:tcW w:w="5204" w:type="dxa"/>
            <w:noWrap w:val="0"/>
            <w:vAlign w:val="center"/>
          </w:tcPr>
          <w:p>
            <w:pPr>
              <w:spacing w:line="360" w:lineRule="exact"/>
              <w:rPr>
                <w:rFonts w:hint="eastAsia"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40" w:lineRule="exact"/>
              <w:rPr>
                <w:rFonts w:hint="eastAsia"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5</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1-3分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6</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工期保证措施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7</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拟投入资源配备计划</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int="eastAsia"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int="eastAsia"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int="eastAsia"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int="eastAsia"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8</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施工进度表与网络计划图</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关键线路清晰、准确、完整、计划编制合理、可行、满足招标文件对工期的要求。</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关键线路基本准确，计划编制基本可行。</w:t>
            </w:r>
          </w:p>
        </w:tc>
        <w:tc>
          <w:tcPr>
            <w:tcW w:w="1683" w:type="dxa"/>
            <w:noWrap w:val="0"/>
            <w:vAlign w:val="center"/>
          </w:tcPr>
          <w:p>
            <w:pPr>
              <w:jc w:val="center"/>
              <w:rPr>
                <w:rFonts w:hint="eastAsia"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9</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施工总平面图布置</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noWrap w:val="0"/>
            <w:vAlign w:val="center"/>
          </w:tcPr>
          <w:p>
            <w:pPr>
              <w:jc w:val="center"/>
              <w:rPr>
                <w:rFonts w:hint="eastAsia"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总体布置基本合理、基本满足施工需要。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10</w:t>
            </w:r>
          </w:p>
        </w:tc>
        <w:tc>
          <w:tcPr>
            <w:tcW w:w="1276" w:type="dxa"/>
            <w:vMerge w:val="restart"/>
            <w:noWrap w:val="0"/>
            <w:vAlign w:val="center"/>
          </w:tcPr>
          <w:p>
            <w:pPr>
              <w:jc w:val="left"/>
              <w:rPr>
                <w:rFonts w:hint="eastAsia" w:hAnsi="宋体" w:cs="宋体"/>
                <w:sz w:val="24"/>
                <w:szCs w:val="24"/>
              </w:rPr>
            </w:pPr>
            <w:r>
              <w:rPr>
                <w:rFonts w:hint="eastAsia" w:hAnsi="宋体" w:cs="宋体"/>
                <w:sz w:val="24"/>
                <w:szCs w:val="24"/>
              </w:rPr>
              <w:t>技术创新的应用实施措施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spacing w:line="300" w:lineRule="exact"/>
              <w:rPr>
                <w:rFonts w:hint="eastAsia"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spacing w:line="300" w:lineRule="exact"/>
              <w:rPr>
                <w:rFonts w:hint="eastAsia"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11</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采用新工艺、新技术、新设备、新材料、BIM等的程度</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noWrap w:val="0"/>
            <w:vAlign w:val="center"/>
          </w:tcPr>
          <w:p>
            <w:pPr>
              <w:jc w:val="cente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12</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施工现场实施信息化监控和数据处理</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0.5-1.5分</w:t>
            </w: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施工现场实施信息化监控和数据处理系统布置合理，满足需要。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eastAsia" w:hAnsi="宋体" w:cs="宋体"/>
                <w:sz w:val="24"/>
                <w:szCs w:val="24"/>
              </w:rPr>
            </w:pPr>
            <w:r>
              <w:rPr>
                <w:rFonts w:hint="eastAsia" w:hAnsi="宋体" w:cs="宋体"/>
                <w:sz w:val="24"/>
                <w:szCs w:val="24"/>
              </w:rPr>
              <w:t>施工现场实施信息化监控和数据处理系统布置基本符合需要。</w:t>
            </w:r>
          </w:p>
        </w:tc>
        <w:tc>
          <w:tcPr>
            <w:tcW w:w="1683" w:type="dxa"/>
            <w:noWrap w:val="0"/>
            <w:vAlign w:val="center"/>
          </w:tcPr>
          <w:p>
            <w:pPr>
              <w:jc w:val="center"/>
              <w:rPr>
                <w:rFonts w:hint="eastAsia"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noWrap w:val="0"/>
            <w:vAlign w:val="center"/>
          </w:tcPr>
          <w:p>
            <w:pPr>
              <w:jc w:val="center"/>
              <w:rPr>
                <w:rFonts w:hint="eastAsia" w:hAnsi="宋体" w:cs="宋体"/>
                <w:sz w:val="24"/>
                <w:szCs w:val="24"/>
              </w:rPr>
            </w:pPr>
            <w:r>
              <w:rPr>
                <w:rFonts w:hint="eastAsia" w:hAnsi="宋体" w:cs="宋体"/>
                <w:sz w:val="24"/>
                <w:szCs w:val="24"/>
              </w:rPr>
              <w:t>13</w:t>
            </w:r>
          </w:p>
        </w:tc>
        <w:tc>
          <w:tcPr>
            <w:tcW w:w="1276" w:type="dxa"/>
            <w:vMerge w:val="restart"/>
            <w:noWrap w:val="0"/>
            <w:vAlign w:val="center"/>
          </w:tcPr>
          <w:p>
            <w:pPr>
              <w:jc w:val="center"/>
              <w:rPr>
                <w:rFonts w:hint="eastAsia" w:hAnsi="宋体" w:cs="宋体"/>
                <w:sz w:val="24"/>
                <w:szCs w:val="24"/>
              </w:rPr>
            </w:pPr>
            <w:r>
              <w:rPr>
                <w:rFonts w:hint="eastAsia" w:hAnsi="宋体" w:cs="宋体"/>
                <w:sz w:val="24"/>
                <w:szCs w:val="24"/>
              </w:rPr>
              <w:t>风险管理措施</w:t>
            </w:r>
          </w:p>
        </w:tc>
        <w:tc>
          <w:tcPr>
            <w:tcW w:w="1175" w:type="dxa"/>
            <w:vMerge w:val="restart"/>
            <w:noWrap w:val="0"/>
            <w:vAlign w:val="center"/>
          </w:tcPr>
          <w:p>
            <w:pPr>
              <w:jc w:val="center"/>
              <w:rPr>
                <w:rFonts w:hint="eastAsia" w:hAnsi="宋体" w:cs="宋体"/>
                <w:sz w:val="24"/>
                <w:szCs w:val="24"/>
              </w:rPr>
            </w:pPr>
            <w:r>
              <w:rPr>
                <w:rFonts w:hint="eastAsia" w:hAnsi="宋体" w:cs="宋体"/>
                <w:sz w:val="24"/>
                <w:szCs w:val="24"/>
              </w:rPr>
              <w:t>1-2分</w:t>
            </w:r>
          </w:p>
        </w:tc>
        <w:tc>
          <w:tcPr>
            <w:tcW w:w="5204" w:type="dxa"/>
            <w:noWrap w:val="0"/>
            <w:vAlign w:val="center"/>
          </w:tcPr>
          <w:p>
            <w:pPr>
              <w:rPr>
                <w:rFonts w:hint="default" w:hAnsi="宋体" w:eastAsia="宋体" w:cs="宋体"/>
                <w:sz w:val="24"/>
                <w:szCs w:val="24"/>
                <w:lang w:val="en-US" w:eastAsia="zh-CN"/>
              </w:rPr>
            </w:pPr>
            <w:r>
              <w:rPr>
                <w:rFonts w:hint="eastAsia" w:hAnsi="宋体" w:cs="宋体"/>
                <w:sz w:val="24"/>
                <w:szCs w:val="24"/>
              </w:rPr>
              <w:t>风险防控管理措施齐全，风险预控符合规范要求，风险控制要点定位准确，各阶段风险控制及应急措施得力。</w:t>
            </w:r>
          </w:p>
        </w:tc>
        <w:tc>
          <w:tcPr>
            <w:tcW w:w="1683" w:type="dxa"/>
            <w:noWrap w:val="0"/>
            <w:vAlign w:val="center"/>
          </w:tcPr>
          <w:p>
            <w:pPr>
              <w:rPr>
                <w:rFonts w:hint="eastAsia"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noWrap w:val="0"/>
            <w:vAlign w:val="center"/>
          </w:tcPr>
          <w:p>
            <w:pPr>
              <w:jc w:val="left"/>
              <w:rPr>
                <w:rFonts w:hint="eastAsia" w:hAnsi="宋体" w:cs="宋体"/>
                <w:sz w:val="24"/>
                <w:szCs w:val="24"/>
              </w:rPr>
            </w:pPr>
          </w:p>
        </w:tc>
        <w:tc>
          <w:tcPr>
            <w:tcW w:w="1276" w:type="dxa"/>
            <w:vMerge w:val="continue"/>
            <w:noWrap w:val="0"/>
            <w:vAlign w:val="center"/>
          </w:tcPr>
          <w:p>
            <w:pPr>
              <w:jc w:val="left"/>
              <w:rPr>
                <w:rFonts w:hint="eastAsia" w:hAnsi="宋体" w:cs="宋体"/>
                <w:sz w:val="24"/>
                <w:szCs w:val="24"/>
              </w:rPr>
            </w:pPr>
          </w:p>
        </w:tc>
        <w:tc>
          <w:tcPr>
            <w:tcW w:w="1175" w:type="dxa"/>
            <w:vMerge w:val="continue"/>
            <w:noWrap w:val="0"/>
            <w:vAlign w:val="center"/>
          </w:tcPr>
          <w:p>
            <w:pPr>
              <w:jc w:val="left"/>
              <w:rPr>
                <w:rFonts w:hint="eastAsia" w:hAnsi="宋体" w:cs="宋体"/>
                <w:sz w:val="24"/>
                <w:szCs w:val="24"/>
              </w:rPr>
            </w:pPr>
          </w:p>
        </w:tc>
        <w:tc>
          <w:tcPr>
            <w:tcW w:w="5204" w:type="dxa"/>
            <w:noWrap w:val="0"/>
            <w:vAlign w:val="center"/>
          </w:tcPr>
          <w:p>
            <w:pPr>
              <w:rPr>
                <w:rFonts w:hint="default" w:hAnsi="宋体" w:cs="宋体"/>
                <w:sz w:val="24"/>
                <w:szCs w:val="24"/>
                <w:lang w:val="en-US"/>
              </w:rPr>
            </w:pPr>
            <w:r>
              <w:rPr>
                <w:rFonts w:hint="default" w:hAnsi="宋体" w:cs="宋体"/>
                <w:sz w:val="24"/>
                <w:szCs w:val="24"/>
                <w:lang w:val="en-US"/>
              </w:rPr>
              <w:t>风险防控管理措施基本齐全，风险预控符合规范要求，风险控制要点定位基本准确，有各阶段风险控制及应急措施。</w:t>
            </w:r>
          </w:p>
        </w:tc>
        <w:tc>
          <w:tcPr>
            <w:tcW w:w="1683" w:type="dxa"/>
            <w:noWrap w:val="0"/>
            <w:vAlign w:val="center"/>
          </w:tcPr>
          <w:p>
            <w:pPr>
              <w:jc w:val="center"/>
              <w:rPr>
                <w:rFonts w:hint="default" w:hAnsi="宋体" w:cs="宋体"/>
                <w:sz w:val="24"/>
                <w:szCs w:val="24"/>
                <w:lang w:val="en-US"/>
              </w:rPr>
            </w:pPr>
            <w:r>
              <w:rPr>
                <w:rFonts w:hint="default" w:hAnsi="宋体" w:cs="宋体"/>
                <w:sz w:val="24"/>
                <w:szCs w:val="24"/>
                <w:lang w:val="en-US"/>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noWrap w:val="0"/>
            <w:vAlign w:val="center"/>
          </w:tcPr>
          <w:p>
            <w:pPr>
              <w:jc w:val="center"/>
              <w:rPr>
                <w:rFonts w:hint="eastAsia" w:hAnsi="宋体" w:cs="宋体"/>
                <w:sz w:val="24"/>
                <w:szCs w:val="24"/>
              </w:rPr>
            </w:pPr>
            <w:r>
              <w:rPr>
                <w:rFonts w:hint="eastAsia" w:hAnsi="宋体" w:cs="宋体"/>
                <w:sz w:val="24"/>
                <w:szCs w:val="24"/>
              </w:rPr>
              <w:t>合计</w:t>
            </w:r>
          </w:p>
        </w:tc>
        <w:tc>
          <w:tcPr>
            <w:tcW w:w="1175" w:type="dxa"/>
            <w:noWrap w:val="0"/>
            <w:vAlign w:val="center"/>
          </w:tcPr>
          <w:p>
            <w:pPr>
              <w:jc w:val="center"/>
              <w:rPr>
                <w:rFonts w:hint="eastAsia" w:hAnsi="宋体" w:cs="宋体"/>
                <w:sz w:val="24"/>
                <w:szCs w:val="24"/>
              </w:rPr>
            </w:pPr>
            <w:r>
              <w:rPr>
                <w:rFonts w:hint="eastAsia" w:hAnsi="宋体" w:cs="宋体"/>
                <w:sz w:val="24"/>
                <w:szCs w:val="24"/>
              </w:rPr>
              <w:t>10-25分</w:t>
            </w:r>
          </w:p>
        </w:tc>
        <w:tc>
          <w:tcPr>
            <w:tcW w:w="5204" w:type="dxa"/>
            <w:noWrap w:val="0"/>
            <w:vAlign w:val="center"/>
          </w:tcPr>
          <w:p>
            <w:pPr>
              <w:rPr>
                <w:rFonts w:hint="eastAsia" w:hAnsi="宋体" w:cs="宋体"/>
                <w:sz w:val="24"/>
                <w:szCs w:val="24"/>
              </w:rPr>
            </w:pPr>
          </w:p>
        </w:tc>
        <w:tc>
          <w:tcPr>
            <w:tcW w:w="1683" w:type="dxa"/>
            <w:noWrap w:val="0"/>
            <w:vAlign w:val="center"/>
          </w:tcPr>
          <w:p>
            <w:pPr>
              <w:jc w:val="center"/>
              <w:rPr>
                <w:rFonts w:hint="eastAsia" w:hAnsi="宋体" w:cs="宋体"/>
                <w:sz w:val="24"/>
                <w:szCs w:val="24"/>
              </w:rPr>
            </w:pPr>
            <w:r>
              <w:rPr>
                <w:rFonts w:hint="eastAsia" w:hAnsi="宋体" w:cs="宋体"/>
                <w:sz w:val="24"/>
                <w:szCs w:val="24"/>
              </w:rPr>
              <w:t>10≤得分≤25</w:t>
            </w:r>
          </w:p>
        </w:tc>
      </w:tr>
    </w:tbl>
    <w:p>
      <w:pPr>
        <w:pStyle w:val="2"/>
        <w:ind w:firstLine="240"/>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其中：K为最高投标限价权重系数，取值范围为0.3≤K≤0.5</w:t>
      </w:r>
      <w:r>
        <w:rPr>
          <w:rFonts w:hint="eastAsia" w:hAnsi="宋体" w:cs="宋体"/>
          <w:sz w:val="24"/>
          <w:szCs w:val="24"/>
          <w:lang w:val="en-US" w:eastAsia="zh-CN"/>
        </w:rPr>
        <w:t>（K的取值：0.3、0.35、0.4、0.45、0.5），</w:t>
      </w:r>
      <w:r>
        <w:rPr>
          <w:rFonts w:hint="eastAsia" w:hAnsi="宋体" w:cs="宋体"/>
          <w:sz w:val="24"/>
          <w:szCs w:val="24"/>
        </w:rPr>
        <w:t>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int="eastAsia"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int="eastAsia"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int="eastAsia" w:hAnsi="宋体" w:cs="宋体"/>
          <w:strike/>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adjustRightInd w:val="0"/>
        <w:snapToGrid w:val="0"/>
        <w:spacing w:line="440" w:lineRule="exact"/>
        <w:ind w:firstLine="578" w:firstLineChars="241"/>
        <w:rPr>
          <w:rFonts w:hint="eastAsia"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00" w:lineRule="exact"/>
        <w:ind w:firstLine="481"/>
        <w:rPr>
          <w:strike/>
          <w:sz w:val="24"/>
          <w:szCs w:val="24"/>
        </w:rPr>
      </w:pPr>
      <w:r>
        <w:rPr>
          <w:rFonts w:hint="eastAsia" w:hAnsi="宋体" w:cs="宋体"/>
          <w:b/>
          <w:bCs/>
          <w:sz w:val="24"/>
          <w:szCs w:val="24"/>
        </w:rPr>
        <w:t>（三）综合标（25分）</w:t>
      </w:r>
    </w:p>
    <w:tbl>
      <w:tblPr>
        <w:tblStyle w:val="44"/>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序号</w:t>
            </w:r>
          </w:p>
        </w:tc>
        <w:tc>
          <w:tcPr>
            <w:tcW w:w="1417" w:type="dxa"/>
            <w:noWrap w:val="0"/>
            <w:vAlign w:val="center"/>
          </w:tcPr>
          <w:p>
            <w:pPr>
              <w:jc w:val="center"/>
              <w:rPr>
                <w:rFonts w:hint="eastAsia" w:hAnsi="宋体" w:cs="宋体"/>
                <w:sz w:val="24"/>
                <w:szCs w:val="24"/>
              </w:rPr>
            </w:pPr>
            <w:r>
              <w:rPr>
                <w:rFonts w:hint="eastAsia" w:hAnsi="宋体" w:cs="宋体"/>
                <w:sz w:val="24"/>
                <w:szCs w:val="24"/>
              </w:rPr>
              <w:t>项     目</w:t>
            </w:r>
          </w:p>
        </w:tc>
        <w:tc>
          <w:tcPr>
            <w:tcW w:w="4678" w:type="dxa"/>
            <w:noWrap w:val="0"/>
            <w:vAlign w:val="center"/>
          </w:tcPr>
          <w:p>
            <w:pPr>
              <w:jc w:val="center"/>
              <w:rPr>
                <w:rFonts w:hint="eastAsia" w:hAnsi="宋体" w:cs="宋体"/>
                <w:sz w:val="24"/>
                <w:szCs w:val="24"/>
              </w:rPr>
            </w:pPr>
            <w:r>
              <w:rPr>
                <w:rFonts w:hint="eastAsia" w:hAnsi="宋体" w:cs="宋体"/>
                <w:sz w:val="24"/>
                <w:szCs w:val="24"/>
              </w:rPr>
              <w:t>评  审   标   准</w:t>
            </w:r>
          </w:p>
        </w:tc>
        <w:tc>
          <w:tcPr>
            <w:tcW w:w="1843" w:type="dxa"/>
            <w:noWrap w:val="0"/>
            <w:vAlign w:val="center"/>
          </w:tcPr>
          <w:p>
            <w:pPr>
              <w:jc w:val="center"/>
              <w:rPr>
                <w:rFonts w:hint="eastAsia"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1</w:t>
            </w:r>
          </w:p>
        </w:tc>
        <w:tc>
          <w:tcPr>
            <w:tcW w:w="1417" w:type="dxa"/>
            <w:noWrap w:val="0"/>
            <w:vAlign w:val="center"/>
          </w:tcPr>
          <w:p>
            <w:pPr>
              <w:jc w:val="center"/>
              <w:rPr>
                <w:rFonts w:hint="eastAsia" w:hAnsi="宋体" w:cs="宋体"/>
                <w:sz w:val="24"/>
                <w:szCs w:val="24"/>
              </w:rPr>
            </w:pPr>
            <w:r>
              <w:rPr>
                <w:rFonts w:hint="eastAsia" w:hAnsi="宋体" w:cs="宋体"/>
                <w:sz w:val="24"/>
                <w:szCs w:val="24"/>
              </w:rPr>
              <w:t>企业业绩</w:t>
            </w:r>
          </w:p>
        </w:tc>
        <w:tc>
          <w:tcPr>
            <w:tcW w:w="4678" w:type="dxa"/>
            <w:noWrap w:val="0"/>
            <w:vAlign w:val="center"/>
          </w:tcPr>
          <w:p>
            <w:pPr>
              <w:snapToGrid w:val="0"/>
              <w:spacing w:line="360" w:lineRule="auto"/>
              <w:rPr>
                <w:rFonts w:hint="eastAsia" w:hAnsi="宋体" w:cs="宋体"/>
                <w:color w:val="000000" w:themeColor="text1"/>
                <w:sz w:val="24"/>
                <w:szCs w:val="24"/>
              </w:rPr>
            </w:pPr>
            <w:r>
              <w:rPr>
                <w:rFonts w:hint="eastAsia"/>
                <w:color w:val="000000" w:themeColor="text1"/>
                <w:sz w:val="21"/>
                <w:szCs w:val="21"/>
              </w:rPr>
              <w:t>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年1月1日以来（以合同签订时间为准）：企业具有类似项目业绩者，每项得2分，本项最高得</w:t>
            </w:r>
            <w:r>
              <w:rPr>
                <w:rFonts w:hint="eastAsia"/>
                <w:color w:val="000000" w:themeColor="text1"/>
                <w:sz w:val="21"/>
                <w:szCs w:val="21"/>
                <w:lang w:val="en-US" w:eastAsia="zh-CN"/>
              </w:rPr>
              <w:t>4</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noWrap w:val="0"/>
            <w:vAlign w:val="center"/>
          </w:tcPr>
          <w:p>
            <w:pPr>
              <w:jc w:val="center"/>
              <w:rPr>
                <w:rFonts w:hint="eastAsia" w:hAnsi="宋体" w:cs="宋体"/>
                <w:sz w:val="24"/>
                <w:szCs w:val="24"/>
              </w:rPr>
            </w:pPr>
            <w:r>
              <w:rPr>
                <w:rFonts w:hint="eastAsia" w:hAnsi="宋体" w:cs="宋体"/>
                <w:sz w:val="24"/>
                <w:szCs w:val="24"/>
              </w:rPr>
              <w:t>2</w:t>
            </w:r>
          </w:p>
        </w:tc>
        <w:tc>
          <w:tcPr>
            <w:tcW w:w="1417" w:type="dxa"/>
            <w:noWrap w:val="0"/>
            <w:vAlign w:val="center"/>
          </w:tcPr>
          <w:p>
            <w:pPr>
              <w:jc w:val="center"/>
              <w:rPr>
                <w:rFonts w:hint="eastAsia" w:hAnsi="宋体" w:cs="宋体"/>
                <w:sz w:val="24"/>
                <w:szCs w:val="24"/>
              </w:rPr>
            </w:pPr>
            <w:r>
              <w:rPr>
                <w:rFonts w:hint="eastAsia" w:hAnsi="宋体" w:cs="宋体"/>
                <w:sz w:val="24"/>
                <w:szCs w:val="24"/>
              </w:rPr>
              <w:t>项目经理业绩</w:t>
            </w:r>
          </w:p>
        </w:tc>
        <w:tc>
          <w:tcPr>
            <w:tcW w:w="4678" w:type="dxa"/>
            <w:noWrap w:val="0"/>
            <w:vAlign w:val="center"/>
          </w:tcPr>
          <w:p>
            <w:pPr>
              <w:spacing w:line="300" w:lineRule="exact"/>
              <w:jc w:val="left"/>
              <w:rPr>
                <w:rFonts w:hint="eastAsia" w:hAnsi="宋体" w:cs="宋体"/>
                <w:color w:val="000000" w:themeColor="text1"/>
                <w:sz w:val="24"/>
                <w:szCs w:val="24"/>
              </w:rPr>
            </w:pPr>
            <w:r>
              <w:rPr>
                <w:rFonts w:hint="eastAsia"/>
                <w:color w:val="000000" w:themeColor="text1"/>
                <w:sz w:val="21"/>
                <w:szCs w:val="21"/>
              </w:rPr>
              <w:t xml:space="preserve"> 自201</w:t>
            </w:r>
            <w:r>
              <w:rPr>
                <w:rFonts w:hint="eastAsia"/>
                <w:color w:val="000000" w:themeColor="text1"/>
                <w:sz w:val="21"/>
                <w:szCs w:val="21"/>
                <w:lang w:val="en-US" w:eastAsia="zh-CN"/>
              </w:rPr>
              <w:t>6</w:t>
            </w:r>
            <w:r>
              <w:rPr>
                <w:rFonts w:hint="eastAsia"/>
                <w:color w:val="000000" w:themeColor="text1"/>
                <w:sz w:val="21"/>
                <w:szCs w:val="21"/>
              </w:rPr>
              <w:t>年1月1日以来（以合同签订时间为准）：拟派项目经理具有类似项目业绩者，每个得2分，最高得</w:t>
            </w:r>
            <w:r>
              <w:rPr>
                <w:rFonts w:hint="eastAsia"/>
                <w:color w:val="000000" w:themeColor="text1"/>
                <w:sz w:val="21"/>
                <w:szCs w:val="21"/>
                <w:lang w:val="en-US" w:eastAsia="zh-CN"/>
              </w:rPr>
              <w:t>6</w:t>
            </w:r>
            <w:r>
              <w:rPr>
                <w:rFonts w:hint="eastAsia"/>
                <w:color w:val="000000" w:themeColor="text1"/>
                <w:sz w:val="21"/>
                <w:szCs w:val="21"/>
              </w:rPr>
              <w:t>分。【以合同</w:t>
            </w:r>
            <w:r>
              <w:rPr>
                <w:rFonts w:hint="eastAsia"/>
                <w:color w:val="000000" w:themeColor="text1"/>
                <w:sz w:val="21"/>
                <w:szCs w:val="21"/>
                <w:lang w:eastAsia="zh-CN"/>
              </w:rPr>
              <w:t>协议书</w:t>
            </w:r>
            <w:r>
              <w:rPr>
                <w:rFonts w:hint="eastAsia"/>
                <w:color w:val="000000" w:themeColor="text1"/>
                <w:sz w:val="21"/>
                <w:szCs w:val="21"/>
              </w:rPr>
              <w:t>和</w:t>
            </w:r>
            <w:r>
              <w:rPr>
                <w:rFonts w:hint="eastAsia"/>
                <w:color w:val="000000" w:themeColor="text1"/>
                <w:sz w:val="21"/>
                <w:szCs w:val="21"/>
                <w:lang w:eastAsia="zh-CN"/>
              </w:rPr>
              <w:t>竣工验收资料</w:t>
            </w:r>
            <w:r>
              <w:rPr>
                <w:rFonts w:hint="eastAsia"/>
                <w:color w:val="000000" w:themeColor="text1"/>
                <w:sz w:val="21"/>
                <w:szCs w:val="21"/>
              </w:rPr>
              <w:t>为准，不齐全者不得分。若施工合同或竣工验收</w:t>
            </w:r>
            <w:r>
              <w:rPr>
                <w:rFonts w:hint="eastAsia"/>
                <w:color w:val="000000" w:themeColor="text1"/>
                <w:sz w:val="21"/>
                <w:szCs w:val="21"/>
                <w:lang w:eastAsia="zh-CN"/>
              </w:rPr>
              <w:t>资料</w:t>
            </w:r>
            <w:r>
              <w:rPr>
                <w:rFonts w:hint="eastAsia"/>
                <w:color w:val="000000" w:themeColor="text1"/>
                <w:sz w:val="21"/>
                <w:szCs w:val="21"/>
              </w:rPr>
              <w:t>中未注明项目经理姓名者须提供建设单位出具的相关证明文件】企业业绩和项目经理业绩为同一业绩时，只按项目经理业绩得分。</w:t>
            </w:r>
          </w:p>
        </w:tc>
        <w:tc>
          <w:tcPr>
            <w:tcW w:w="1843" w:type="dxa"/>
            <w:noWrap w:val="0"/>
            <w:vAlign w:val="center"/>
          </w:tcPr>
          <w:p>
            <w:pPr>
              <w:jc w:val="center"/>
              <w:rPr>
                <w:rFonts w:hint="eastAsia"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3</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优惠承诺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noWrap w:val="0"/>
            <w:vAlign w:val="center"/>
          </w:tcPr>
          <w:p>
            <w:pPr>
              <w:jc w:val="center"/>
              <w:rPr>
                <w:rFonts w:hint="eastAsia" w:hAnsi="宋体" w:cs="宋体"/>
                <w:sz w:val="24"/>
                <w:szCs w:val="24"/>
              </w:rPr>
            </w:pPr>
            <w:r>
              <w:rPr>
                <w:rFonts w:hint="eastAsia" w:hAnsi="宋体" w:cs="宋体"/>
                <w:sz w:val="24"/>
                <w:szCs w:val="24"/>
              </w:rPr>
              <w:t>4</w:t>
            </w:r>
          </w:p>
        </w:tc>
        <w:tc>
          <w:tcPr>
            <w:tcW w:w="1417" w:type="dxa"/>
            <w:vMerge w:val="restart"/>
            <w:noWrap w:val="0"/>
            <w:vAlign w:val="center"/>
          </w:tcPr>
          <w:p>
            <w:pPr>
              <w:jc w:val="center"/>
              <w:rPr>
                <w:rFonts w:hint="eastAsia" w:hAnsi="宋体" w:cs="宋体"/>
                <w:sz w:val="24"/>
                <w:szCs w:val="24"/>
              </w:rPr>
            </w:pPr>
            <w:r>
              <w:rPr>
                <w:rFonts w:hint="eastAsia" w:hAnsi="宋体" w:cs="宋体"/>
                <w:sz w:val="24"/>
                <w:szCs w:val="24"/>
              </w:rPr>
              <w:t>履职尽责承诺</w:t>
            </w: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30" w:type="dxa"/>
            <w:vMerge w:val="continue"/>
            <w:noWrap w:val="0"/>
            <w:vAlign w:val="center"/>
          </w:tcPr>
          <w:p>
            <w:pPr>
              <w:jc w:val="left"/>
              <w:rPr>
                <w:rFonts w:hint="eastAsia" w:hAnsi="宋体" w:cs="宋体"/>
                <w:sz w:val="24"/>
                <w:szCs w:val="24"/>
              </w:rPr>
            </w:pPr>
          </w:p>
        </w:tc>
        <w:tc>
          <w:tcPr>
            <w:tcW w:w="1417" w:type="dxa"/>
            <w:vMerge w:val="continue"/>
            <w:noWrap w:val="0"/>
            <w:vAlign w:val="center"/>
          </w:tcPr>
          <w:p>
            <w:pPr>
              <w:jc w:val="left"/>
              <w:rPr>
                <w:rFonts w:hint="eastAsia" w:hAnsi="宋体" w:cs="宋体"/>
                <w:sz w:val="24"/>
                <w:szCs w:val="24"/>
              </w:rPr>
            </w:pPr>
          </w:p>
        </w:tc>
        <w:tc>
          <w:tcPr>
            <w:tcW w:w="4678" w:type="dxa"/>
            <w:noWrap w:val="0"/>
            <w:vAlign w:val="center"/>
          </w:tcPr>
          <w:p>
            <w:pPr>
              <w:spacing w:line="300" w:lineRule="exact"/>
              <w:jc w:val="lef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noWrap w:val="0"/>
            <w:vAlign w:val="center"/>
          </w:tcPr>
          <w:p>
            <w:pPr>
              <w:jc w:val="center"/>
              <w:rPr>
                <w:rFonts w:hint="eastAsia"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5</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企业信用（含纳税诚信）</w:t>
            </w:r>
          </w:p>
        </w:tc>
        <w:tc>
          <w:tcPr>
            <w:tcW w:w="4678" w:type="dxa"/>
            <w:noWrap w:val="0"/>
            <w:vAlign w:val="center"/>
          </w:tcPr>
          <w:p>
            <w:pPr>
              <w:pStyle w:val="2"/>
              <w:numPr>
                <w:ilvl w:val="0"/>
                <w:numId w:val="0"/>
              </w:numPr>
              <w:rPr>
                <w:rFonts w:hint="default" w:eastAsia="宋体"/>
                <w:b/>
                <w:bCs/>
                <w:color w:val="000000"/>
                <w:sz w:val="21"/>
                <w:szCs w:val="21"/>
                <w:lang w:val="en-US" w:eastAsia="zh-CN"/>
              </w:rPr>
            </w:pPr>
            <w:r>
              <w:rPr>
                <w:rFonts w:hint="eastAsia"/>
                <w:b/>
                <w:bCs/>
                <w:color w:val="000000"/>
                <w:sz w:val="21"/>
                <w:szCs w:val="21"/>
              </w:rPr>
              <w:t>提供企业所在地税务主管部门出具的纳税情况证明</w:t>
            </w:r>
            <w:r>
              <w:rPr>
                <w:rFonts w:hint="eastAsia"/>
                <w:b/>
                <w:bCs/>
                <w:color w:val="000000"/>
                <w:sz w:val="21"/>
                <w:szCs w:val="21"/>
                <w:lang w:eastAsia="zh-CN"/>
              </w:rPr>
              <w:t>，纳税不良扣</w:t>
            </w:r>
            <w:r>
              <w:rPr>
                <w:rFonts w:hint="eastAsia"/>
                <w:b/>
                <w:bCs/>
                <w:color w:val="000000"/>
                <w:sz w:val="21"/>
                <w:szCs w:val="21"/>
                <w:lang w:val="en-US" w:eastAsia="zh-CN"/>
              </w:rPr>
              <w:t>2分</w:t>
            </w:r>
            <w:r>
              <w:rPr>
                <w:rFonts w:hint="eastAsia"/>
                <w:b/>
                <w:bCs/>
                <w:color w:val="000000"/>
                <w:sz w:val="21"/>
                <w:szCs w:val="21"/>
                <w:lang w:eastAsia="zh-CN"/>
              </w:rPr>
              <w:t>；</w:t>
            </w:r>
            <w:r>
              <w:rPr>
                <w:rFonts w:hint="eastAsia"/>
                <w:b/>
                <w:bCs/>
                <w:color w:val="000000"/>
                <w:sz w:val="21"/>
                <w:szCs w:val="21"/>
              </w:rPr>
              <w:t>有</w:t>
            </w:r>
            <w:r>
              <w:rPr>
                <w:rFonts w:hint="eastAsia"/>
                <w:b/>
                <w:bCs/>
                <w:color w:val="000000"/>
                <w:sz w:val="21"/>
                <w:szCs w:val="21"/>
                <w:lang w:eastAsia="zh-CN"/>
              </w:rPr>
              <w:t>其他</w:t>
            </w:r>
            <w:r>
              <w:rPr>
                <w:rFonts w:hint="eastAsia"/>
                <w:b/>
                <w:bCs/>
                <w:color w:val="000000"/>
                <w:sz w:val="21"/>
                <w:szCs w:val="21"/>
              </w:rPr>
              <w:t>不良信息者</w:t>
            </w:r>
            <w:r>
              <w:rPr>
                <w:rFonts w:hint="eastAsia"/>
                <w:b/>
                <w:bCs/>
                <w:color w:val="000000"/>
                <w:sz w:val="21"/>
                <w:szCs w:val="21"/>
                <w:lang w:eastAsia="zh-CN"/>
              </w:rPr>
              <w:t>扣</w:t>
            </w:r>
            <w:r>
              <w:rPr>
                <w:rFonts w:hint="eastAsia"/>
                <w:b/>
                <w:bCs/>
                <w:color w:val="000000"/>
                <w:sz w:val="21"/>
                <w:szCs w:val="21"/>
                <w:lang w:val="en-US" w:eastAsia="zh-CN"/>
              </w:rPr>
              <w:t>2分</w:t>
            </w:r>
            <w:r>
              <w:rPr>
                <w:rFonts w:hint="eastAsia"/>
                <w:b/>
                <w:bCs/>
                <w:color w:val="000000"/>
                <w:sz w:val="21"/>
                <w:szCs w:val="21"/>
                <w:lang w:eastAsia="zh-CN"/>
              </w:rPr>
              <w:t>；</w:t>
            </w:r>
          </w:p>
          <w:p>
            <w:pPr>
              <w:pStyle w:val="2"/>
              <w:numPr>
                <w:ilvl w:val="0"/>
                <w:numId w:val="0"/>
              </w:numPr>
              <w:rPr>
                <w:rFonts w:hint="eastAsia"/>
                <w:color w:val="000000"/>
                <w:sz w:val="21"/>
                <w:szCs w:val="21"/>
                <w:lang w:val="en-US" w:eastAsia="zh-CN"/>
              </w:rPr>
            </w:pPr>
            <w:r>
              <w:rPr>
                <w:rFonts w:hint="eastAsia"/>
                <w:color w:val="000000"/>
                <w:sz w:val="21"/>
                <w:szCs w:val="21"/>
                <w:lang w:eastAsia="zh-CN"/>
              </w:rPr>
              <w:t>自</w:t>
            </w:r>
            <w:r>
              <w:rPr>
                <w:rFonts w:hint="eastAsia"/>
                <w:color w:val="000000"/>
                <w:sz w:val="21"/>
                <w:szCs w:val="21"/>
                <w:lang w:val="en-US" w:eastAsia="zh-CN"/>
              </w:rPr>
              <w:t>2016年1月1日以来获得省级及以上安全文明工地得2分，市级得1分；</w:t>
            </w:r>
          </w:p>
          <w:p>
            <w:pPr>
              <w:pStyle w:val="2"/>
              <w:numPr>
                <w:ilvl w:val="0"/>
                <w:numId w:val="0"/>
              </w:numPr>
              <w:rPr>
                <w:rFonts w:hint="eastAsia"/>
                <w:color w:val="000000"/>
                <w:sz w:val="21"/>
                <w:szCs w:val="21"/>
                <w:lang w:val="en-US" w:eastAsia="zh-CN"/>
              </w:rPr>
            </w:pPr>
            <w:r>
              <w:rPr>
                <w:rFonts w:hint="eastAsia"/>
                <w:color w:val="000000"/>
                <w:sz w:val="21"/>
                <w:szCs w:val="21"/>
                <w:lang w:val="en-US" w:eastAsia="zh-CN"/>
              </w:rPr>
              <w:t>自2016年1月1日以来获得省级及以上优质工程奖项得2分；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lang w:val="en-US" w:eastAsia="zh-CN"/>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center"/>
          </w:tcPr>
          <w:p>
            <w:pPr>
              <w:jc w:val="center"/>
              <w:rPr>
                <w:rFonts w:hint="eastAsia" w:hAnsi="宋体" w:cs="宋体"/>
                <w:color w:val="000000"/>
                <w:sz w:val="24"/>
                <w:szCs w:val="24"/>
              </w:rPr>
            </w:pPr>
            <w:r>
              <w:rPr>
                <w:rFonts w:hint="eastAsia" w:hAnsi="宋体" w:cs="宋体"/>
                <w:color w:val="000000"/>
                <w:sz w:val="24"/>
                <w:szCs w:val="24"/>
              </w:rPr>
              <w:t>6</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项目经理信用</w:t>
            </w:r>
          </w:p>
        </w:tc>
        <w:tc>
          <w:tcPr>
            <w:tcW w:w="4678" w:type="dxa"/>
            <w:noWrap w:val="0"/>
            <w:vAlign w:val="center"/>
          </w:tcPr>
          <w:p>
            <w:pPr>
              <w:pStyle w:val="2"/>
              <w:numPr>
                <w:ilvl w:val="0"/>
                <w:numId w:val="0"/>
              </w:numPr>
              <w:rPr>
                <w:rFonts w:hint="eastAsia"/>
                <w:color w:val="000000"/>
                <w:sz w:val="21"/>
                <w:szCs w:val="21"/>
                <w:lang w:val="en-US" w:eastAsia="zh-CN"/>
              </w:rPr>
            </w:pPr>
            <w:r>
              <w:rPr>
                <w:rFonts w:hint="eastAsia"/>
                <w:color w:val="000000"/>
                <w:sz w:val="21"/>
                <w:szCs w:val="21"/>
                <w:lang w:eastAsia="zh-CN"/>
              </w:rPr>
              <w:t>拟派项目经理自</w:t>
            </w:r>
            <w:r>
              <w:rPr>
                <w:rFonts w:hint="eastAsia"/>
                <w:color w:val="000000"/>
                <w:sz w:val="21"/>
                <w:szCs w:val="21"/>
                <w:lang w:val="en-US" w:eastAsia="zh-CN"/>
              </w:rPr>
              <w:t>2016年1月1日以来获得市级优秀奖</w:t>
            </w:r>
            <w:r>
              <w:rPr>
                <w:rFonts w:hint="eastAsia"/>
                <w:color w:val="000000"/>
                <w:sz w:val="21"/>
                <w:szCs w:val="21"/>
                <w:lang w:eastAsia="zh-CN"/>
              </w:rPr>
              <w:t>得</w:t>
            </w:r>
            <w:r>
              <w:rPr>
                <w:rFonts w:hint="eastAsia"/>
                <w:color w:val="000000"/>
                <w:sz w:val="21"/>
                <w:szCs w:val="21"/>
                <w:lang w:val="en-US" w:eastAsia="zh-CN"/>
              </w:rPr>
              <w:t>1分；省级及以上得2分；有不良信息扣2分。</w:t>
            </w:r>
          </w:p>
          <w:p>
            <w:pPr>
              <w:pStyle w:val="2"/>
              <w:numPr>
                <w:ilvl w:val="0"/>
                <w:numId w:val="0"/>
              </w:numPr>
              <w:ind w:left="0" w:leftChars="0" w:firstLine="0" w:firstLineChars="0"/>
              <w:rPr>
                <w:rFonts w:hAnsi="宋体" w:cs="宋体"/>
                <w:color w:val="000000"/>
                <w:sz w:val="24"/>
                <w:szCs w:val="24"/>
              </w:rPr>
            </w:pPr>
            <w:r>
              <w:rPr>
                <w:rFonts w:hint="eastAsia"/>
                <w:color w:val="000000"/>
                <w:sz w:val="21"/>
                <w:szCs w:val="21"/>
              </w:rPr>
              <w:t>无信用信息，得0分。</w:t>
            </w:r>
          </w:p>
        </w:tc>
        <w:tc>
          <w:tcPr>
            <w:tcW w:w="1843" w:type="dxa"/>
            <w:noWrap w:val="0"/>
            <w:vAlign w:val="center"/>
          </w:tcPr>
          <w:p>
            <w:pPr>
              <w:pStyle w:val="2"/>
              <w:numPr>
                <w:ilvl w:val="0"/>
                <w:numId w:val="0"/>
              </w:numPr>
              <w:ind w:left="0" w:leftChars="0" w:firstLine="0" w:firstLineChars="0"/>
              <w:jc w:val="center"/>
              <w:rPr>
                <w:rFonts w:hint="eastAsia" w:hAnsi="宋体" w:cs="宋体"/>
                <w:color w:val="000000"/>
                <w:sz w:val="24"/>
                <w:szCs w:val="24"/>
              </w:rPr>
            </w:pPr>
            <w:r>
              <w:rPr>
                <w:rFonts w:hint="eastAsia"/>
                <w:color w:val="000000"/>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noWrap w:val="0"/>
            <w:vAlign w:val="top"/>
          </w:tcPr>
          <w:p>
            <w:pPr>
              <w:jc w:val="center"/>
              <w:rPr>
                <w:rFonts w:hint="eastAsia" w:hAnsi="宋体" w:cs="宋体"/>
                <w:color w:val="000000"/>
                <w:sz w:val="24"/>
                <w:szCs w:val="24"/>
              </w:rPr>
            </w:pPr>
            <w:r>
              <w:rPr>
                <w:rFonts w:hint="eastAsia" w:hAnsi="宋体" w:cs="宋体"/>
                <w:color w:val="000000"/>
                <w:sz w:val="24"/>
                <w:szCs w:val="24"/>
              </w:rPr>
              <w:t>7</w:t>
            </w:r>
          </w:p>
        </w:tc>
        <w:tc>
          <w:tcPr>
            <w:tcW w:w="1417" w:type="dxa"/>
            <w:noWrap w:val="0"/>
            <w:vAlign w:val="center"/>
          </w:tcPr>
          <w:p>
            <w:pPr>
              <w:jc w:val="center"/>
              <w:rPr>
                <w:rFonts w:hint="eastAsia" w:hAnsi="宋体" w:cs="宋体"/>
                <w:color w:val="000000"/>
                <w:sz w:val="24"/>
                <w:szCs w:val="24"/>
              </w:rPr>
            </w:pPr>
            <w:r>
              <w:rPr>
                <w:rFonts w:hint="eastAsia" w:hAnsi="宋体" w:cs="宋体"/>
                <w:color w:val="000000"/>
                <w:sz w:val="24"/>
                <w:szCs w:val="24"/>
              </w:rPr>
              <w:t>招标人意见</w:t>
            </w:r>
          </w:p>
        </w:tc>
        <w:tc>
          <w:tcPr>
            <w:tcW w:w="4678" w:type="dxa"/>
            <w:noWrap w:val="0"/>
            <w:vAlign w:val="center"/>
          </w:tcPr>
          <w:p>
            <w:pPr>
              <w:rPr>
                <w:rFonts w:hint="eastAsia" w:hAnsi="宋体" w:eastAsia="宋体" w:cs="宋体"/>
                <w:color w:val="000000"/>
                <w:sz w:val="24"/>
                <w:szCs w:val="24"/>
                <w:lang w:eastAsia="zh-CN"/>
              </w:rPr>
            </w:pPr>
            <w:r>
              <w:rPr>
                <w:rFonts w:hint="eastAsia" w:hAnsi="宋体" w:eastAsia="宋体" w:cs="宋体"/>
                <w:bCs/>
                <w:color w:val="000000"/>
                <w:sz w:val="21"/>
                <w:szCs w:val="21"/>
              </w:rPr>
              <w:t>以招标人出具的书面综合评价为准</w:t>
            </w:r>
          </w:p>
        </w:tc>
        <w:tc>
          <w:tcPr>
            <w:tcW w:w="1843" w:type="dxa"/>
            <w:noWrap w:val="0"/>
            <w:vAlign w:val="center"/>
          </w:tcPr>
          <w:p>
            <w:pPr>
              <w:jc w:val="center"/>
              <w:rPr>
                <w:rFonts w:hint="eastAsia" w:hAnsi="宋体" w:cs="宋体"/>
                <w:color w:val="000000"/>
                <w:sz w:val="24"/>
                <w:szCs w:val="24"/>
              </w:rPr>
            </w:pPr>
            <w:r>
              <w:rPr>
                <w:rFonts w:hint="eastAsia" w:hAnsi="宋体" w:cs="宋体"/>
                <w:color w:val="000000"/>
                <w:sz w:val="24"/>
                <w:szCs w:val="24"/>
              </w:rPr>
              <w:t>0≤得分≤2分</w:t>
            </w:r>
          </w:p>
        </w:tc>
      </w:tr>
    </w:tbl>
    <w:p>
      <w:pPr>
        <w:adjustRightInd w:val="0"/>
        <w:snapToGrid w:val="0"/>
        <w:spacing w:line="360" w:lineRule="auto"/>
        <w:ind w:firstLine="413" w:firstLineChars="196"/>
        <w:rPr>
          <w:rFonts w:hint="eastAsia"/>
          <w:b/>
          <w:bCs/>
          <w:color w:val="0000FF"/>
          <w:sz w:val="21"/>
          <w:szCs w:val="21"/>
          <w:u w:val="single"/>
          <w:lang w:eastAsia="zh-CN"/>
        </w:rPr>
      </w:pPr>
      <w:r>
        <w:rPr>
          <w:rFonts w:hint="eastAsia" w:cs="宋体"/>
          <w:b/>
          <w:bCs/>
          <w:color w:val="000000"/>
          <w:sz w:val="21"/>
          <w:szCs w:val="21"/>
          <w:u w:val="single"/>
          <w:lang w:val="en-US" w:eastAsia="zh-CN" w:bidi="ar-SA"/>
        </w:rPr>
        <w:t>注：1）不良信用信息采集见省级住房城乡建设主管部门以及信用中国、信用河南、国家企业信用信息公示系统和全国法院失信被执行人名单信息公布与查询平台等网站中公示的与建筑活动有关的信息。2）</w:t>
      </w:r>
      <w:r>
        <w:rPr>
          <w:rFonts w:hint="eastAsia"/>
          <w:b/>
          <w:bCs/>
          <w:color w:val="000000"/>
          <w:sz w:val="21"/>
          <w:szCs w:val="21"/>
          <w:u w:val="single"/>
        </w:rPr>
        <w:t>业绩合同以合同签订日期为准，获奖证书以发证日期为准</w:t>
      </w:r>
      <w:r>
        <w:rPr>
          <w:rFonts w:hint="eastAsia"/>
          <w:b/>
          <w:bCs/>
          <w:color w:val="000000"/>
          <w:sz w:val="21"/>
          <w:szCs w:val="21"/>
          <w:u w:val="single"/>
          <w:lang w:eastAsia="zh-CN"/>
        </w:rPr>
        <w:t>；标书中附原件复印件或扫描件。</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w:t>
      </w:r>
    </w:p>
    <w:p>
      <w:pPr>
        <w:snapToGrid w:val="0"/>
        <w:spacing w:line="360" w:lineRule="auto"/>
        <w:ind w:firstLine="481"/>
        <w:rPr>
          <w:rFonts w:hint="eastAsia" w:hAnsi="宋体" w:cs="宋体"/>
          <w:sz w:val="24"/>
          <w:szCs w:val="24"/>
        </w:rPr>
      </w:pPr>
      <w:r>
        <w:rPr>
          <w:rFonts w:hint="eastAsia" w:hAnsi="宋体" w:cs="宋体"/>
          <w:sz w:val="24"/>
          <w:szCs w:val="24"/>
        </w:rPr>
        <w:t>评标委员会应按下列公式计算得分，分值均保留两位小数。</w:t>
      </w:r>
    </w:p>
    <w:p>
      <w:pPr>
        <w:snapToGrid w:val="0"/>
        <w:spacing w:line="360" w:lineRule="auto"/>
        <w:ind w:firstLine="481"/>
        <w:rPr>
          <w:rFonts w:hint="eastAsia" w:hAnsi="宋体" w:cs="宋体"/>
          <w:sz w:val="24"/>
          <w:szCs w:val="24"/>
        </w:rPr>
      </w:pPr>
      <w:r>
        <w:rPr>
          <w:rFonts w:hint="eastAsia" w:hAnsi="宋体" w:cs="宋体"/>
          <w:sz w:val="24"/>
          <w:szCs w:val="24"/>
        </w:rPr>
        <w:t>投标人综合得分＝技术标得分＋商务标得分＋综合标得分。</w:t>
      </w:r>
    </w:p>
    <w:p>
      <w:pPr>
        <w:adjustRightInd w:val="0"/>
        <w:snapToGrid w:val="0"/>
        <w:spacing w:line="400" w:lineRule="exact"/>
        <w:rPr>
          <w:rFonts w:hAnsi="宋体" w:cs="宋体"/>
          <w:sz w:val="24"/>
          <w:szCs w:val="24"/>
        </w:rPr>
      </w:pPr>
      <w:r>
        <w:rPr>
          <w:rFonts w:hint="eastAsia" w:hAnsi="宋体" w:cs="宋体"/>
          <w:b/>
          <w:bCs/>
          <w:sz w:val="24"/>
          <w:szCs w:val="24"/>
        </w:rPr>
        <w:t xml:space="preserve">    （五）投标人的最终得分及中标候选人排序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sz w:val="24"/>
        </w:rPr>
      </w:pPr>
      <w:r>
        <w:rPr>
          <w:rFonts w:hint="eastAsia" w:hAnsi="宋体" w:cs="宋体"/>
          <w:b/>
          <w:sz w:val="24"/>
        </w:rPr>
        <w:t>七、定标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八、</w:t>
      </w:r>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75"/>
        <w:keepNext w:val="0"/>
        <w:keepLines w:val="0"/>
        <w:adjustRightInd w:val="0"/>
        <w:snapToGrid w:val="0"/>
        <w:spacing w:line="440" w:lineRule="exact"/>
        <w:ind w:firstLine="482" w:firstLineChars="200"/>
        <w:rPr>
          <w:rFonts w:hAnsi="宋体" w:eastAsia="宋体"/>
          <w:b/>
          <w:szCs w:val="24"/>
        </w:rPr>
      </w:pPr>
      <w:r>
        <w:rPr>
          <w:rFonts w:hint="eastAsia" w:hAnsi="宋体" w:eastAsia="宋体"/>
          <w:b/>
        </w:rPr>
        <w:t>九、</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w:t>
      </w:r>
      <w:r>
        <w:rPr>
          <w:rFonts w:hint="eastAsia" w:hAnsi="宋体" w:cs="宋体"/>
          <w:sz w:val="24"/>
          <w:lang w:val="en-US" w:eastAsia="zh-CN"/>
        </w:rPr>
        <w:t>4</w:t>
      </w:r>
      <w:r>
        <w:rPr>
          <w:rFonts w:hint="eastAsia" w:hAnsi="宋体" w:cs="宋体"/>
          <w:sz w:val="24"/>
        </w:rPr>
        <w:t>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十、特殊情况的处置程序</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10.2.1评标委员会应当执行连续评标的原则，按评标办法中规定的程序、内容、方法、标准完成全部评标工作。只有发生不可抗力导致评标工作无法继续时，评标活动方可暂停。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10.2.2发生评标暂停情况时，评标委员会应当封存全部投标文件和评标记录，待不可抗力的影响结束且具备继续评标的条件时，由原评标委员会继续评标。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10.3.1除非发生下列情况之一，评标委员会成员不得在评标中途更换：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10.3.2退出评标的评标委员会成员，其已完成的评标行为无效。由招标人根据本招标文件规定的评标委员会成员产生方式另行确定替代者进行评标。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outlineLvl w:val="0"/>
        <w:rPr>
          <w:rFonts w:hAnsi="宋体" w:cs="宋体"/>
          <w:b/>
          <w:sz w:val="24"/>
        </w:rPr>
      </w:pPr>
      <w:r>
        <w:rPr>
          <w:rFonts w:hint="eastAsia" w:hAnsi="宋体" w:cs="宋体"/>
          <w:b/>
          <w:sz w:val="24"/>
        </w:rPr>
        <w:t>10.4记名投票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10.5评标委员会对评标结果有异议的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pPr>
      <w:r>
        <w:rPr>
          <w:rFonts w:hint="eastAsia"/>
          <w:b/>
          <w:bCs/>
          <w:sz w:val="36"/>
          <w:szCs w:val="36"/>
        </w:rPr>
        <w:br w:type="page"/>
      </w:r>
    </w:p>
    <w:bookmarkEnd w:id="77"/>
    <w:bookmarkEnd w:id="78"/>
    <w:p>
      <w:pPr>
        <w:numPr>
          <w:ilvl w:val="0"/>
          <w:numId w:val="6"/>
        </w:numPr>
        <w:autoSpaceDE w:val="0"/>
        <w:autoSpaceDN w:val="0"/>
        <w:adjustRightInd w:val="0"/>
        <w:jc w:val="center"/>
        <w:outlineLvl w:val="0"/>
        <w:rPr>
          <w:b/>
          <w:bCs/>
          <w:sz w:val="36"/>
          <w:szCs w:val="36"/>
        </w:rPr>
      </w:pPr>
      <w:bookmarkStart w:id="79" w:name="_Toc278443518"/>
      <w:r>
        <w:rPr>
          <w:rFonts w:hint="eastAsia"/>
          <w:b/>
          <w:bCs/>
          <w:sz w:val="36"/>
          <w:szCs w:val="36"/>
        </w:rPr>
        <w:t>合同条款及格式</w:t>
      </w:r>
    </w:p>
    <w:p>
      <w:pPr>
        <w:autoSpaceDE w:val="0"/>
        <w:autoSpaceDN w:val="0"/>
        <w:adjustRightInd w:val="0"/>
        <w:outlineLvl w:val="0"/>
        <w:rPr>
          <w:b/>
          <w:bCs/>
          <w:sz w:val="36"/>
          <w:szCs w:val="36"/>
        </w:rPr>
      </w:pPr>
    </w:p>
    <w:p>
      <w:pPr>
        <w:tabs>
          <w:tab w:val="left" w:pos="5000"/>
        </w:tabs>
        <w:spacing w:line="360" w:lineRule="auto"/>
        <w:ind w:firstLine="490"/>
        <w:rPr>
          <w:rFonts w:hAnsi="宋体" w:cs="黑体"/>
          <w:b/>
          <w:sz w:val="24"/>
          <w:szCs w:val="24"/>
        </w:rPr>
      </w:pPr>
      <w:bookmarkStart w:id="80" w:name="_Toc278443514"/>
      <w:r>
        <w:rPr>
          <w:rFonts w:hint="eastAsia" w:hAnsi="宋体" w:cs="黑体"/>
          <w:b/>
          <w:sz w:val="32"/>
          <w:szCs w:val="32"/>
        </w:rPr>
        <w:t xml:space="preserve"> </w:t>
      </w:r>
      <w:r>
        <w:rPr>
          <w:rFonts w:hint="eastAsia" w:hAnsi="宋体" w:cs="黑体"/>
          <w:b/>
          <w:sz w:val="24"/>
          <w:szCs w:val="24"/>
        </w:rPr>
        <w:t>采用由中华人民共和国住房和城乡建设部与国家工商行政管理局联合制定的《建设工程施工合同示范文本》（GF-2017-0201）签订合</w:t>
      </w:r>
      <w:bookmarkEnd w:id="80"/>
      <w:r>
        <w:rPr>
          <w:rFonts w:hint="eastAsia" w:hAnsi="宋体" w:cs="黑体"/>
          <w:b/>
          <w:sz w:val="24"/>
          <w:szCs w:val="24"/>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b/>
          <w:bCs/>
          <w:sz w:val="36"/>
          <w:szCs w:val="36"/>
        </w:rPr>
      </w:pPr>
      <w:bookmarkStart w:id="81" w:name="_Toc457468592"/>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autoSpaceDE w:val="0"/>
        <w:autoSpaceDN w:val="0"/>
        <w:adjustRightInd w:val="0"/>
        <w:spacing w:line="360" w:lineRule="auto"/>
        <w:jc w:val="center"/>
        <w:outlineLvl w:val="0"/>
        <w:rPr>
          <w:b/>
          <w:bCs/>
          <w:sz w:val="36"/>
          <w:szCs w:val="36"/>
        </w:rPr>
      </w:pPr>
    </w:p>
    <w:p>
      <w:pPr>
        <w:pStyle w:val="2"/>
        <w:rPr>
          <w:b/>
          <w:bCs/>
          <w:sz w:val="36"/>
          <w:szCs w:val="36"/>
        </w:rPr>
      </w:pPr>
    </w:p>
    <w:p>
      <w:pPr>
        <w:autoSpaceDE w:val="0"/>
        <w:autoSpaceDN w:val="0"/>
        <w:adjustRightInd w:val="0"/>
        <w:spacing w:line="360" w:lineRule="auto"/>
        <w:jc w:val="both"/>
        <w:outlineLvl w:val="0"/>
        <w:rPr>
          <w:b/>
          <w:bCs/>
          <w:sz w:val="36"/>
          <w:szCs w:val="36"/>
        </w:rPr>
      </w:pPr>
    </w:p>
    <w:p>
      <w:pPr>
        <w:pStyle w:val="2"/>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81"/>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hint="eastAsia"/>
          <w:sz w:val="21"/>
          <w:szCs w:val="21"/>
        </w:rPr>
      </w:pPr>
      <w:r>
        <w:rPr>
          <w:sz w:val="21"/>
          <w:szCs w:val="21"/>
        </w:rPr>
        <w:t xml:space="preserve">(2) </w:t>
      </w:r>
      <w:r>
        <w:rPr>
          <w:rFonts w:hint="eastAsia"/>
          <w:sz w:val="21"/>
          <w:szCs w:val="21"/>
        </w:rPr>
        <w:t>《河南省园林绿化工程工程量清单综合单价》（2008）</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82" w:name="_Toc457468593"/>
    </w:p>
    <w:p>
      <w:pPr>
        <w:spacing w:line="440" w:lineRule="exact"/>
        <w:rPr>
          <w:b/>
          <w:bCs/>
          <w:sz w:val="36"/>
          <w:szCs w:val="36"/>
        </w:rPr>
      </w:pPr>
    </w:p>
    <w:bookmarkEnd w:id="79"/>
    <w:bookmarkEnd w:id="82"/>
    <w:p>
      <w:pPr>
        <w:autoSpaceDE w:val="0"/>
        <w:autoSpaceDN w:val="0"/>
        <w:adjustRightInd w:val="0"/>
        <w:rPr>
          <w:b/>
          <w:bCs/>
          <w:sz w:val="36"/>
          <w:szCs w:val="36"/>
        </w:rPr>
      </w:pPr>
      <w:bookmarkStart w:id="83" w:name="_Toc457468594"/>
      <w:bookmarkStart w:id="84" w:name="_Toc278443522"/>
    </w:p>
    <w:p>
      <w:pPr>
        <w:pStyle w:val="2"/>
        <w:ind w:firstLine="0" w:firstLineChars="0"/>
        <w:jc w:val="center"/>
        <w:rPr>
          <w:b/>
          <w:bCs/>
          <w:sz w:val="36"/>
          <w:szCs w:val="36"/>
        </w:rPr>
      </w:pPr>
      <w:r>
        <w:rPr>
          <w:rFonts w:hint="eastAsia"/>
          <w:b/>
          <w:bCs/>
          <w:sz w:val="36"/>
          <w:szCs w:val="36"/>
        </w:rPr>
        <w:t>第六章　图纸</w:t>
      </w:r>
    </w:p>
    <w:p>
      <w:pPr>
        <w:pStyle w:val="2"/>
        <w:ind w:firstLine="0" w:firstLineChars="0"/>
        <w:jc w:val="center"/>
        <w:rPr>
          <w:sz w:val="22"/>
          <w:szCs w:val="22"/>
        </w:rPr>
      </w:pPr>
    </w:p>
    <w:p>
      <w:pPr>
        <w:pStyle w:val="2"/>
        <w:ind w:firstLine="0" w:firstLineChars="0"/>
        <w:jc w:val="center"/>
        <w:rPr>
          <w:sz w:val="28"/>
          <w:szCs w:val="28"/>
        </w:rPr>
      </w:pPr>
      <w:r>
        <w:rPr>
          <w:rFonts w:hint="eastAsia"/>
          <w:sz w:val="22"/>
          <w:szCs w:val="22"/>
        </w:rPr>
        <w:t>按照招标文件中第二章投标人须知前附表第2.1款所给的网址自行下载。</w:t>
      </w: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center"/>
        <w:rPr>
          <w:b/>
          <w:bCs/>
          <w:sz w:val="36"/>
          <w:szCs w:val="36"/>
        </w:rPr>
      </w:pPr>
    </w:p>
    <w:p>
      <w:pPr>
        <w:pStyle w:val="2"/>
        <w:ind w:firstLine="0" w:firstLineChars="0"/>
        <w:jc w:val="both"/>
        <w:rPr>
          <w:b/>
          <w:bCs/>
          <w:sz w:val="36"/>
          <w:szCs w:val="36"/>
        </w:rPr>
      </w:pPr>
    </w:p>
    <w:p>
      <w:pPr>
        <w:pStyle w:val="2"/>
        <w:ind w:firstLine="0" w:firstLineChars="0"/>
        <w:jc w:val="center"/>
        <w:rPr>
          <w:b/>
          <w:bCs/>
          <w:sz w:val="36"/>
          <w:szCs w:val="36"/>
        </w:rPr>
      </w:pPr>
      <w:r>
        <w:rPr>
          <w:rFonts w:hint="eastAsia"/>
          <w:b/>
          <w:bCs/>
          <w:sz w:val="36"/>
          <w:szCs w:val="36"/>
        </w:rPr>
        <w:t>第七章　技术标准和要求</w:t>
      </w:r>
      <w:bookmarkEnd w:id="83"/>
      <w:bookmarkEnd w:id="84"/>
    </w:p>
    <w:p>
      <w:pPr>
        <w:pStyle w:val="2"/>
        <w:ind w:firstLine="0" w:firstLineChars="0"/>
      </w:pPr>
    </w:p>
    <w:p>
      <w:pPr>
        <w:numPr>
          <w:ilvl w:val="0"/>
          <w:numId w:val="7"/>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pP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85" w:name="_Toc457468595"/>
      <w:bookmarkStart w:id="86" w:name="_Toc27844352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36"/>
          <w:szCs w:val="36"/>
        </w:rPr>
      </w:pPr>
      <w:r>
        <w:rPr>
          <w:rFonts w:hint="eastAsia"/>
          <w:b/>
          <w:bCs/>
          <w:sz w:val="44"/>
          <w:szCs w:val="44"/>
        </w:rPr>
        <w:br w:type="page"/>
      </w: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85"/>
      <w:bookmarkEnd w:id="86"/>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hint="default" w:eastAsia="宋体" w:cs="Times New Roman"/>
          <w:sz w:val="24"/>
          <w:szCs w:val="24"/>
          <w:u w:val="single"/>
          <w:lang w:val="en-US" w:eastAsia="zh-CN"/>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u w:val="single"/>
          <w:lang w:val="en-US" w:eastAsia="zh-CN"/>
        </w:rPr>
        <w:t xml:space="preserve">  </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二、法定代表人身份证明、授权委托书、项目负责人承诺书；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87"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u w:val="single"/>
          <w:lang w:eastAsia="zh-CN"/>
        </w:rPr>
        <w:t>）</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规费RMB￥：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税金RMB￥：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917" w:firstLineChars="437"/>
        <w:rPr>
          <w:rFonts w:ascii="新宋体" w:eastAsia="新宋体"/>
          <w:color w:val="000000" w:themeColor="text1"/>
          <w:sz w:val="21"/>
          <w:szCs w:val="21"/>
        </w:rPr>
      </w:pPr>
      <w:r>
        <w:rPr>
          <w:rFonts w:hint="eastAsia" w:ascii="新宋体" w:eastAsia="新宋体"/>
          <w:color w:val="000000" w:themeColor="text1"/>
          <w:sz w:val="21"/>
          <w:szCs w:val="21"/>
        </w:rPr>
        <w:t>安全文明措施费RMB￥：</w:t>
      </w:r>
      <w:r>
        <w:rPr>
          <w:rFonts w:hint="eastAsia" w:ascii="新宋体" w:eastAsia="新宋体"/>
          <w:color w:val="000000" w:themeColor="text1"/>
          <w:sz w:val="21"/>
          <w:szCs w:val="21"/>
          <w:u w:val="single"/>
        </w:rPr>
        <w:t xml:space="preserve">                        </w:t>
      </w:r>
      <w:r>
        <w:rPr>
          <w:rFonts w:hint="eastAsia" w:ascii="新宋体" w:eastAsia="新宋体"/>
          <w:color w:val="000000" w:themeColor="text1"/>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88" w:name="_Toc250616672"/>
      <w:r>
        <w:rPr>
          <w:rFonts w:hint="eastAsia" w:ascii="黑体" w:eastAsia="黑体" w:cs="黑体"/>
          <w:sz w:val="28"/>
          <w:szCs w:val="28"/>
        </w:rPr>
        <w:br w:type="page"/>
      </w:r>
      <w:r>
        <w:rPr>
          <w:rFonts w:hint="eastAsia" w:cs="黑体"/>
          <w:sz w:val="28"/>
          <w:szCs w:val="28"/>
        </w:rPr>
        <w:t>（二）投标函附录</w:t>
      </w:r>
      <w:bookmarkEnd w:id="88"/>
    </w:p>
    <w:p>
      <w:pPr>
        <w:rPr>
          <w:rFonts w:ascii="新宋体" w:eastAsia="新宋体"/>
        </w:rPr>
      </w:pPr>
    </w:p>
    <w:tbl>
      <w:tblPr>
        <w:tblStyle w:val="4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hAnsi="宋体"/>
                <w:sz w:val="24"/>
              </w:rPr>
              <w:t>工程名称</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sz w:val="24"/>
              </w:rPr>
            </w:pPr>
            <w:r>
              <w:rPr>
                <w:rFonts w:hint="eastAsia" w:hAnsi="宋体"/>
                <w:sz w:val="24"/>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项目负责人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hAnsi="宋体"/>
                <w:sz w:val="24"/>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hAnsi="宋体"/>
                <w:sz w:val="24"/>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hAnsi="宋体"/>
                <w:sz w:val="24"/>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hAnsi="宋体"/>
                <w:sz w:val="24"/>
              </w:rPr>
              <w:t>投标总报价</w:t>
            </w:r>
          </w:p>
        </w:tc>
        <w:tc>
          <w:tcPr>
            <w:tcW w:w="3320" w:type="dxa"/>
            <w:gridSpan w:val="3"/>
            <w:vAlign w:val="center"/>
          </w:tcPr>
          <w:p>
            <w:pPr>
              <w:rPr>
                <w:rFonts w:ascii="新宋体" w:eastAsia="新宋体"/>
                <w:sz w:val="21"/>
                <w:szCs w:val="21"/>
              </w:rPr>
            </w:pPr>
            <w:r>
              <w:rPr>
                <w:rFonts w:hint="eastAsia" w:hAnsi="宋体"/>
                <w:sz w:val="24"/>
              </w:rPr>
              <w:t>（大写）</w:t>
            </w:r>
          </w:p>
        </w:tc>
        <w:tc>
          <w:tcPr>
            <w:tcW w:w="2694" w:type="dxa"/>
            <w:gridSpan w:val="2"/>
            <w:vAlign w:val="center"/>
          </w:tcPr>
          <w:p>
            <w:pPr>
              <w:rPr>
                <w:rFonts w:ascii="新宋体" w:eastAsia="新宋体"/>
                <w:sz w:val="21"/>
                <w:szCs w:val="21"/>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Ansi="宋体"/>
                <w:sz w:val="24"/>
              </w:rPr>
            </w:pPr>
            <w:r>
              <w:rPr>
                <w:rFonts w:hint="eastAsia" w:hAnsi="宋体"/>
                <w:sz w:val="24"/>
              </w:rPr>
              <w:t>其中：</w:t>
            </w:r>
          </w:p>
          <w:p>
            <w:pPr>
              <w:spacing w:line="480" w:lineRule="exact"/>
              <w:ind w:firstLine="600" w:firstLineChars="250"/>
              <w:rPr>
                <w:rFonts w:hAnsi="宋体"/>
                <w:sz w:val="24"/>
              </w:rPr>
            </w:pPr>
            <w:r>
              <w:rPr>
                <w:rFonts w:hint="eastAsia" w:hAnsi="宋体"/>
                <w:sz w:val="24"/>
              </w:rPr>
              <w:t>规费RMB￥：</w:t>
            </w:r>
            <w:r>
              <w:rPr>
                <w:rFonts w:hint="eastAsia" w:hAnsi="宋体"/>
                <w:sz w:val="24"/>
                <w:u w:val="single"/>
              </w:rPr>
              <w:t xml:space="preserve">                      </w:t>
            </w:r>
            <w:r>
              <w:rPr>
                <w:rFonts w:hint="eastAsia" w:hAnsi="宋体"/>
                <w:sz w:val="24"/>
              </w:rPr>
              <w:t>元</w:t>
            </w:r>
          </w:p>
          <w:p>
            <w:pPr>
              <w:spacing w:line="480" w:lineRule="exact"/>
              <w:ind w:firstLine="600" w:firstLineChars="250"/>
              <w:rPr>
                <w:rFonts w:hAnsi="宋体"/>
                <w:sz w:val="24"/>
              </w:rPr>
            </w:pPr>
            <w:r>
              <w:rPr>
                <w:rFonts w:hint="eastAsia" w:hAnsi="宋体"/>
                <w:sz w:val="24"/>
              </w:rPr>
              <w:t>税金RMB￥：</w:t>
            </w:r>
            <w:r>
              <w:rPr>
                <w:rFonts w:hint="eastAsia" w:hAnsi="宋体"/>
                <w:sz w:val="24"/>
                <w:u w:val="single"/>
              </w:rPr>
              <w:t xml:space="preserve">                      </w:t>
            </w:r>
            <w:r>
              <w:rPr>
                <w:rFonts w:hint="eastAsia" w:hAnsi="宋体"/>
                <w:sz w:val="24"/>
              </w:rPr>
              <w:t>元</w:t>
            </w:r>
          </w:p>
          <w:p>
            <w:pPr>
              <w:spacing w:line="480" w:lineRule="exact"/>
              <w:ind w:firstLine="600" w:firstLineChars="250"/>
              <w:rPr>
                <w:rFonts w:ascii="新宋体" w:eastAsia="新宋体"/>
                <w:sz w:val="21"/>
                <w:szCs w:val="21"/>
              </w:rPr>
            </w:pPr>
            <w:r>
              <w:rPr>
                <w:rFonts w:hint="eastAsia" w:hAnsi="宋体"/>
                <w:sz w:val="24"/>
              </w:rPr>
              <w:t>安全文明措施费RMB￥：</w:t>
            </w:r>
            <w:r>
              <w:rPr>
                <w:rFonts w:hint="eastAsia" w:hAnsi="宋体"/>
                <w:sz w:val="24"/>
                <w:u w:val="single"/>
              </w:rPr>
              <w:t xml:space="preserve">            </w:t>
            </w:r>
            <w:r>
              <w:rPr>
                <w:rFonts w:hint="eastAsia"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hAnsi="宋体"/>
                <w:sz w:val="24"/>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hAnsi="宋体"/>
                <w:sz w:val="24"/>
              </w:rPr>
              <w:t>投标工期</w:t>
            </w:r>
          </w:p>
        </w:tc>
        <w:tc>
          <w:tcPr>
            <w:tcW w:w="6014" w:type="dxa"/>
            <w:gridSpan w:val="5"/>
            <w:vAlign w:val="center"/>
          </w:tcPr>
          <w:p>
            <w:pPr>
              <w:jc w:val="center"/>
              <w:rPr>
                <w:rFonts w:ascii="新宋体" w:eastAsia="新宋体"/>
                <w:sz w:val="21"/>
                <w:szCs w:val="21"/>
              </w:rPr>
            </w:pPr>
            <w:r>
              <w:rPr>
                <w:rFonts w:hint="eastAsia" w:hAnsi="宋体"/>
                <w:sz w:val="24"/>
                <w:u w:val="single"/>
              </w:rPr>
              <w:t xml:space="preserve">       </w:t>
            </w:r>
            <w:r>
              <w:rPr>
                <w:rFonts w:hint="eastAsia" w:hAnsi="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hAnsi="宋体"/>
                <w:sz w:val="24"/>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9256" w:type="dxa"/>
            <w:gridSpan w:val="6"/>
          </w:tcPr>
          <w:p>
            <w:pPr>
              <w:rPr>
                <w:rFonts w:hAnsi="宋体"/>
                <w:sz w:val="24"/>
              </w:rPr>
            </w:pPr>
            <w:r>
              <w:rPr>
                <w:rFonts w:hint="eastAsia" w:hAnsi="宋体"/>
                <w:sz w:val="24"/>
              </w:rPr>
              <w:t xml:space="preserve"> </w:t>
            </w:r>
            <w:r>
              <w:rPr>
                <w:rFonts w:hint="eastAsia" w:hAnsi="宋体"/>
                <w:sz w:val="24"/>
                <w:lang w:eastAsia="zh-CN"/>
              </w:rPr>
              <w:t>备注</w:t>
            </w:r>
            <w:r>
              <w:rPr>
                <w:rFonts w:hint="eastAsia" w:hAnsi="宋体"/>
                <w:sz w:val="24"/>
              </w:rPr>
              <w:t>：</w:t>
            </w:r>
          </w:p>
          <w:p>
            <w:pPr>
              <w:rPr>
                <w:rFonts w:hAnsi="宋体"/>
                <w:sz w:val="24"/>
              </w:rPr>
            </w:pPr>
          </w:p>
          <w:p>
            <w:pPr>
              <w:rPr>
                <w:rFonts w:hAnsi="宋体"/>
                <w:sz w:val="24"/>
              </w:rPr>
            </w:pPr>
          </w:p>
          <w:p>
            <w:pPr>
              <w:rPr>
                <w:rFonts w:hAnsi="宋体"/>
                <w:sz w:val="24"/>
              </w:rPr>
            </w:pPr>
          </w:p>
          <w:p>
            <w:pPr>
              <w:rPr>
                <w:rFonts w:hAnsi="宋体"/>
                <w:sz w:val="24"/>
              </w:rPr>
            </w:pPr>
          </w:p>
          <w:p>
            <w:pPr>
              <w:pStyle w:val="36"/>
              <w:spacing w:line="360" w:lineRule="atLeast"/>
              <w:rPr>
                <w:rFonts w:ascii="新宋体" w:eastAsia="新宋体"/>
                <w:sz w:val="21"/>
                <w:szCs w:val="21"/>
              </w:rPr>
            </w:pPr>
          </w:p>
        </w:tc>
      </w:tr>
    </w:tbl>
    <w:p>
      <w:pPr>
        <w:wordWrap w:val="0"/>
        <w:spacing w:line="360" w:lineRule="auto"/>
        <w:ind w:right="475"/>
        <w:jc w:val="right"/>
        <w:rPr>
          <w:rFonts w:ascii="新宋体" w:eastAsia="新宋体"/>
          <w:sz w:val="21"/>
          <w:szCs w:val="21"/>
        </w:rPr>
      </w:pPr>
      <w:r>
        <w:rPr>
          <w:rFonts w:hint="eastAsia" w:ascii="新宋体" w:eastAsia="新宋体"/>
          <w:sz w:val="21"/>
          <w:szCs w:val="21"/>
        </w:rPr>
        <w:t>投标单位（盖章）：　　　　　　　　　　　　</w:t>
      </w:r>
    </w:p>
    <w:p>
      <w:pPr>
        <w:wordWrap w:val="0"/>
        <w:spacing w:line="360" w:lineRule="auto"/>
        <w:ind w:right="315"/>
        <w:jc w:val="right"/>
        <w:rPr>
          <w:rFonts w:ascii="新宋体" w:eastAsia="新宋体"/>
          <w:sz w:val="21"/>
          <w:szCs w:val="21"/>
        </w:rPr>
      </w:pPr>
      <w:r>
        <w:rPr>
          <w:rFonts w:hint="eastAsia" w:ascii="新宋体" w:eastAsia="新宋体"/>
          <w:sz w:val="21"/>
          <w:szCs w:val="21"/>
        </w:rPr>
        <w:t>法定代表人或委托代理人（签字）：　　　　　　</w:t>
      </w:r>
    </w:p>
    <w:p>
      <w:pPr>
        <w:tabs>
          <w:tab w:val="left" w:pos="7140"/>
        </w:tabs>
        <w:spacing w:line="360" w:lineRule="auto"/>
        <w:ind w:right="4"/>
        <w:jc w:val="right"/>
        <w:rPr>
          <w:rFonts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spacing w:line="360" w:lineRule="auto"/>
        <w:ind w:right="4"/>
        <w:jc w:val="center"/>
        <w:rPr>
          <w:rFonts w:ascii="黑体" w:eastAsia="黑体" w:cs="黑体"/>
          <w:sz w:val="21"/>
          <w:szCs w:val="21"/>
        </w:rPr>
      </w:pPr>
      <w:r>
        <w:rPr>
          <w:rFonts w:hint="eastAsia" w:ascii="黑体" w:eastAsia="黑体" w:cs="黑体"/>
          <w:sz w:val="28"/>
          <w:szCs w:val="28"/>
        </w:rPr>
        <w:t>二、</w:t>
      </w:r>
      <w:bookmarkEnd w:id="87"/>
      <w:r>
        <w:rPr>
          <w:rFonts w:hint="eastAsia" w:cs="仿宋_GB2312"/>
          <w:b/>
          <w:sz w:val="28"/>
          <w:szCs w:val="28"/>
        </w:rPr>
        <w:t>法定代表人身份证明、授权委托书及项目负责人承诺书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89" w:name="_Toc271787731"/>
      <w:r>
        <w:rPr>
          <w:rFonts w:hint="eastAsia" w:cs="黑体"/>
          <w:sz w:val="28"/>
          <w:szCs w:val="28"/>
        </w:rPr>
        <w:t>（一）法定代表人身份证明</w:t>
      </w:r>
      <w:bookmarkEnd w:id="89"/>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经营期限：</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90" w:name="_Toc271787732"/>
      <w:r>
        <w:rPr>
          <w:rFonts w:hint="eastAsia" w:ascii="黑体" w:eastAsia="黑体" w:cs="黑体"/>
          <w:sz w:val="28"/>
          <w:szCs w:val="28"/>
        </w:rPr>
        <w:br w:type="page"/>
      </w:r>
      <w:r>
        <w:rPr>
          <w:rFonts w:hint="eastAsia" w:cs="黑体"/>
          <w:sz w:val="28"/>
          <w:szCs w:val="28"/>
        </w:rPr>
        <w:t>（二）授权委托书</w:t>
      </w:r>
      <w:bookmarkEnd w:id="90"/>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（项目名称</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jc w:val="center"/>
        <w:rPr>
          <w:rFonts w:ascii="黑体" w:eastAsia="黑体" w:cs="黑体"/>
          <w:sz w:val="21"/>
          <w:szCs w:val="21"/>
        </w:rPr>
      </w:pPr>
      <w:r>
        <w:rPr>
          <w:rFonts w:hint="eastAsia" w:ascii="黑体" w:eastAsia="黑体" w:cs="黑体"/>
          <w:sz w:val="21"/>
          <w:szCs w:val="21"/>
        </w:rPr>
        <w:br w:type="page"/>
      </w:r>
    </w:p>
    <w:p>
      <w:pPr>
        <w:spacing w:line="360" w:lineRule="auto"/>
        <w:jc w:val="center"/>
        <w:rPr>
          <w:rFonts w:cs="黑体"/>
          <w:sz w:val="28"/>
          <w:szCs w:val="28"/>
        </w:rPr>
      </w:pPr>
      <w:r>
        <w:rPr>
          <w:rFonts w:hint="eastAsia" w:cs="黑体"/>
          <w:sz w:val="28"/>
          <w:szCs w:val="28"/>
        </w:rPr>
        <w:t>（三）项目负责人承诺书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的项目负责人，现承诺：亲自参加开标活动，并愿意承担因我方就此弄虚作假所引起的一切法律后果。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rFonts w:hint="eastAsia" w:eastAsia="宋体"/>
          <w:sz w:val="21"/>
          <w:szCs w:val="21"/>
          <w:lang w:val="en-US" w:eastAsia="zh-CN"/>
        </w:rPr>
      </w:pPr>
      <w:r>
        <w:rPr>
          <w:rFonts w:hint="eastAsia"/>
          <w:sz w:val="21"/>
          <w:szCs w:val="21"/>
        </w:rPr>
        <w:t>附：项目负责人身份证明</w:t>
      </w:r>
      <w:r>
        <w:rPr>
          <w:rFonts w:hint="eastAsia"/>
          <w:sz w:val="21"/>
          <w:szCs w:val="21"/>
          <w:lang w:val="en-US" w:eastAsia="zh-CN"/>
        </w:rPr>
        <w:t xml:space="preserve"> </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项目负责人：</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44"/>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职称证复印件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0"/>
          <w:szCs w:val="20"/>
        </w:rPr>
      </w:pPr>
      <w:r>
        <w:rPr>
          <w:rFonts w:hint="eastAsia" w:cs="仿宋_GB2312"/>
          <w:sz w:val="20"/>
          <w:szCs w:val="20"/>
        </w:rPr>
        <w:t>（附许昌</w:t>
      </w:r>
      <w:r>
        <w:rPr>
          <w:rFonts w:hint="eastAsia"/>
          <w:sz w:val="20"/>
          <w:szCs w:val="20"/>
          <w:lang w:val="zh-CN"/>
        </w:rPr>
        <w:t>公共资源交易中心保证金缴纳回执企业基本账户开户许可证</w:t>
      </w:r>
      <w:r>
        <w:rPr>
          <w:rFonts w:hint="eastAsia" w:hAnsi="Times New Roman"/>
          <w:sz w:val="20"/>
          <w:szCs w:val="20"/>
          <w:lang w:val="zh-CN" w:eastAsia="zh-CN"/>
        </w:rPr>
        <w:t>或基本存款账户信息</w:t>
      </w:r>
      <w:r>
        <w:rPr>
          <w:rFonts w:hint="eastAsia"/>
          <w:sz w:val="20"/>
          <w:szCs w:val="20"/>
          <w:lang w:val="zh-CN"/>
        </w:rPr>
        <w:t>复印件</w:t>
      </w:r>
      <w:r>
        <w:rPr>
          <w:rFonts w:hint="eastAsia" w:cs="仿宋_GB2312"/>
          <w:sz w:val="20"/>
          <w:szCs w:val="20"/>
        </w:rPr>
        <w:t>）</w:t>
      </w:r>
    </w:p>
    <w:p>
      <w:pPr>
        <w:autoSpaceDE w:val="0"/>
        <w:autoSpaceDN w:val="0"/>
        <w:adjustRightInd w:val="0"/>
        <w:spacing w:line="420" w:lineRule="exact"/>
        <w:jc w:val="center"/>
        <w:rPr>
          <w:b/>
          <w:sz w:val="32"/>
        </w:rPr>
      </w:pPr>
      <w:r>
        <w:rPr>
          <w:rFonts w:cs="仿宋_GB2312"/>
          <w:sz w:val="32"/>
          <w:szCs w:val="20"/>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4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附1：项目负责人简历表</w:t>
      </w:r>
    </w:p>
    <w:p>
      <w:pPr>
        <w:spacing w:line="420" w:lineRule="exact"/>
        <w:ind w:firstLine="480" w:firstLineChars="200"/>
        <w:rPr>
          <w:sz w:val="24"/>
          <w:szCs w:val="24"/>
        </w:rPr>
      </w:pPr>
      <w:r>
        <w:rPr>
          <w:rFonts w:hint="eastAsia"/>
          <w:sz w:val="24"/>
          <w:szCs w:val="24"/>
        </w:rPr>
        <w:t>项目负责人应附项目负责人职称证、身份证(需项目负责人本人签字）、养老保险复印件。</w:t>
      </w:r>
    </w:p>
    <w:tbl>
      <w:tblPr>
        <w:tblStyle w:val="4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姓  名</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年  龄</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学历</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lang w:eastAsia="zh-CN"/>
              </w:rPr>
              <w:t>性</w:t>
            </w:r>
            <w:bookmarkStart w:id="92" w:name="_GoBack"/>
            <w:bookmarkEnd w:id="92"/>
            <w:r>
              <w:rPr>
                <w:rFonts w:hint="eastAsia"/>
                <w:color w:val="000000"/>
                <w:sz w:val="21"/>
                <w:szCs w:val="21"/>
              </w:rPr>
              <w:t xml:space="preserve"> 别</w:t>
            </w:r>
          </w:p>
        </w:tc>
        <w:tc>
          <w:tcPr>
            <w:tcW w:w="1130" w:type="dxa"/>
            <w:vAlign w:val="center"/>
          </w:tcPr>
          <w:p>
            <w:pPr>
              <w:jc w:val="center"/>
              <w:rPr>
                <w:color w:val="000000"/>
                <w:sz w:val="21"/>
                <w:szCs w:val="21"/>
              </w:rPr>
            </w:pPr>
          </w:p>
        </w:tc>
        <w:tc>
          <w:tcPr>
            <w:tcW w:w="1236" w:type="dxa"/>
            <w:vAlign w:val="center"/>
          </w:tcPr>
          <w:p>
            <w:pPr>
              <w:jc w:val="center"/>
              <w:rPr>
                <w:color w:val="000000"/>
                <w:sz w:val="21"/>
                <w:szCs w:val="21"/>
              </w:rPr>
            </w:pPr>
            <w:r>
              <w:rPr>
                <w:rFonts w:hint="eastAsia"/>
                <w:color w:val="000000"/>
                <w:sz w:val="21"/>
                <w:szCs w:val="21"/>
              </w:rPr>
              <w:t>职  务</w:t>
            </w:r>
          </w:p>
        </w:tc>
        <w:tc>
          <w:tcPr>
            <w:tcW w:w="1392" w:type="dxa"/>
            <w:vAlign w:val="center"/>
          </w:tcPr>
          <w:p>
            <w:pPr>
              <w:jc w:val="center"/>
              <w:rPr>
                <w:color w:val="000000"/>
                <w:sz w:val="21"/>
                <w:szCs w:val="21"/>
              </w:rPr>
            </w:pPr>
          </w:p>
        </w:tc>
        <w:tc>
          <w:tcPr>
            <w:tcW w:w="2011" w:type="dxa"/>
            <w:vAlign w:val="center"/>
          </w:tcPr>
          <w:p>
            <w:pPr>
              <w:jc w:val="center"/>
              <w:rPr>
                <w:color w:val="000000"/>
                <w:sz w:val="21"/>
                <w:szCs w:val="21"/>
              </w:rPr>
            </w:pPr>
            <w:r>
              <w:rPr>
                <w:rFonts w:hint="eastAsia"/>
                <w:color w:val="000000"/>
                <w:sz w:val="21"/>
                <w:szCs w:val="21"/>
              </w:rPr>
              <w:t>拟在本工程任职</w:t>
            </w:r>
          </w:p>
        </w:tc>
        <w:tc>
          <w:tcPr>
            <w:tcW w:w="2319" w:type="dxa"/>
            <w:vAlign w:val="center"/>
          </w:tcPr>
          <w:p>
            <w:pPr>
              <w:jc w:val="center"/>
              <w:rPr>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color w:val="000000"/>
                <w:sz w:val="21"/>
                <w:szCs w:val="21"/>
              </w:rPr>
            </w:pPr>
            <w:r>
              <w:rPr>
                <w:rFonts w:hint="eastAsia"/>
                <w:color w:val="000000"/>
                <w:sz w:val="21"/>
                <w:szCs w:val="21"/>
              </w:rPr>
              <w:t>职称等级</w:t>
            </w:r>
          </w:p>
        </w:tc>
        <w:tc>
          <w:tcPr>
            <w:tcW w:w="1392" w:type="dxa"/>
            <w:vAlign w:val="center"/>
          </w:tcPr>
          <w:p>
            <w:pPr>
              <w:jc w:val="center"/>
              <w:rPr>
                <w:color w:val="000000"/>
                <w:sz w:val="21"/>
                <w:szCs w:val="21"/>
              </w:rPr>
            </w:pPr>
            <w:r>
              <w:rPr>
                <w:rFonts w:hint="eastAsia"/>
                <w:color w:val="000000"/>
                <w:sz w:val="21"/>
                <w:szCs w:val="21"/>
              </w:rPr>
              <w:t xml:space="preserve">      </w:t>
            </w:r>
          </w:p>
        </w:tc>
        <w:tc>
          <w:tcPr>
            <w:tcW w:w="2011" w:type="dxa"/>
            <w:vAlign w:val="center"/>
          </w:tcPr>
          <w:p>
            <w:pPr>
              <w:jc w:val="center"/>
              <w:rPr>
                <w:color w:val="000000"/>
                <w:sz w:val="21"/>
                <w:szCs w:val="21"/>
              </w:rPr>
            </w:pPr>
            <w:r>
              <w:rPr>
                <w:rFonts w:hint="eastAsia"/>
                <w:color w:val="000000"/>
                <w:sz w:val="21"/>
                <w:szCs w:val="21"/>
              </w:rPr>
              <w:t>证书编号</w:t>
            </w: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color w:val="000000"/>
                <w:sz w:val="21"/>
                <w:szCs w:val="21"/>
              </w:rPr>
            </w:pPr>
            <w:r>
              <w:rPr>
                <w:rFonts w:hint="eastAsia"/>
                <w:color w:val="000000"/>
                <w:sz w:val="21"/>
                <w:szCs w:val="21"/>
              </w:rPr>
              <w:t>毕业学校</w:t>
            </w:r>
          </w:p>
        </w:tc>
        <w:tc>
          <w:tcPr>
            <w:tcW w:w="8088" w:type="dxa"/>
            <w:gridSpan w:val="5"/>
            <w:vAlign w:val="center"/>
          </w:tcPr>
          <w:p>
            <w:pPr>
              <w:ind w:firstLine="840" w:firstLineChars="400"/>
              <w:rPr>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r>
              <w:rPr>
                <w:rFonts w:hint="eastAsia"/>
                <w:color w:val="000000"/>
                <w:sz w:val="21"/>
                <w:szCs w:val="21"/>
              </w:rPr>
              <w:t>时  间</w:t>
            </w:r>
          </w:p>
        </w:tc>
        <w:tc>
          <w:tcPr>
            <w:tcW w:w="3758" w:type="dxa"/>
            <w:gridSpan w:val="3"/>
            <w:vAlign w:val="center"/>
          </w:tcPr>
          <w:p>
            <w:pPr>
              <w:jc w:val="center"/>
              <w:rPr>
                <w:color w:val="000000"/>
                <w:sz w:val="21"/>
                <w:szCs w:val="21"/>
              </w:rPr>
            </w:pPr>
            <w:r>
              <w:rPr>
                <w:rFonts w:hint="eastAsia"/>
                <w:color w:val="000000"/>
                <w:sz w:val="21"/>
                <w:szCs w:val="21"/>
              </w:rPr>
              <w:t>参加过的类似项目名称</w:t>
            </w:r>
          </w:p>
        </w:tc>
        <w:tc>
          <w:tcPr>
            <w:tcW w:w="2011" w:type="dxa"/>
            <w:vAlign w:val="center"/>
          </w:tcPr>
          <w:p>
            <w:pPr>
              <w:jc w:val="center"/>
              <w:rPr>
                <w:color w:val="000000"/>
                <w:sz w:val="21"/>
                <w:szCs w:val="21"/>
              </w:rPr>
            </w:pPr>
            <w:r>
              <w:rPr>
                <w:rFonts w:hint="eastAsia"/>
                <w:color w:val="000000"/>
                <w:sz w:val="21"/>
                <w:szCs w:val="21"/>
              </w:rPr>
              <w:t>工程概况说明</w:t>
            </w:r>
          </w:p>
        </w:tc>
        <w:tc>
          <w:tcPr>
            <w:tcW w:w="2319" w:type="dxa"/>
            <w:vAlign w:val="center"/>
          </w:tcPr>
          <w:p>
            <w:pPr>
              <w:jc w:val="center"/>
              <w:rPr>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color w:val="000000"/>
                <w:sz w:val="21"/>
                <w:szCs w:val="21"/>
              </w:rPr>
            </w:pPr>
          </w:p>
        </w:tc>
        <w:tc>
          <w:tcPr>
            <w:tcW w:w="3758" w:type="dxa"/>
            <w:gridSpan w:val="3"/>
            <w:vAlign w:val="center"/>
          </w:tcPr>
          <w:p>
            <w:pPr>
              <w:jc w:val="center"/>
              <w:rPr>
                <w:color w:val="000000"/>
                <w:sz w:val="21"/>
                <w:szCs w:val="21"/>
              </w:rPr>
            </w:pPr>
          </w:p>
        </w:tc>
        <w:tc>
          <w:tcPr>
            <w:tcW w:w="2011" w:type="dxa"/>
            <w:vAlign w:val="center"/>
          </w:tcPr>
          <w:p>
            <w:pPr>
              <w:jc w:val="center"/>
              <w:rPr>
                <w:color w:val="000000"/>
                <w:sz w:val="21"/>
                <w:szCs w:val="21"/>
              </w:rPr>
            </w:pPr>
          </w:p>
        </w:tc>
        <w:tc>
          <w:tcPr>
            <w:tcW w:w="2319" w:type="dxa"/>
            <w:vAlign w:val="center"/>
          </w:tcPr>
          <w:p>
            <w:pPr>
              <w:jc w:val="center"/>
              <w:rPr>
                <w:color w:val="000000"/>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80" w:firstLineChars="200"/>
      </w:pPr>
      <w:r>
        <w:rPr>
          <w:rFonts w:hint="eastAsia"/>
          <w:sz w:val="24"/>
          <w:szCs w:val="24"/>
        </w:rPr>
        <w:t>主要项目管理人员应附资格证书、身份证复印件。</w:t>
      </w:r>
    </w:p>
    <w:tbl>
      <w:tblPr>
        <w:tblStyle w:val="44"/>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spacing w:line="360" w:lineRule="auto"/>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44"/>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项目负责人</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32"/>
        </w:rPr>
      </w:pP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rPr>
          <w:b/>
          <w:sz w:val="32"/>
          <w:szCs w:val="32"/>
        </w:rPr>
      </w:pPr>
      <w:r>
        <w:rPr>
          <w:b/>
          <w:sz w:val="32"/>
          <w:szCs w:val="32"/>
        </w:rPr>
        <w:br w:type="page"/>
      </w:r>
    </w:p>
    <w:p>
      <w:pPr>
        <w:jc w:val="center"/>
        <w:rPr>
          <w:rFonts w:hAnsi="宋体"/>
          <w:b/>
          <w:sz w:val="32"/>
          <w:szCs w:val="32"/>
        </w:rPr>
      </w:pPr>
      <w:bookmarkStart w:id="91" w:name="_Toc32597_WPSOffice_Level1"/>
    </w:p>
    <w:p>
      <w:pPr>
        <w:jc w:val="center"/>
        <w:rPr>
          <w:rFonts w:hAnsi="宋体"/>
          <w:b/>
          <w:sz w:val="32"/>
          <w:szCs w:val="32"/>
        </w:rPr>
      </w:pPr>
      <w:r>
        <w:rPr>
          <w:rFonts w:hint="eastAsia" w:hAnsi="宋体"/>
          <w:b/>
          <w:sz w:val="32"/>
          <w:szCs w:val="32"/>
        </w:rPr>
        <w:t>八、</w:t>
      </w:r>
      <w:bookmarkEnd w:id="91"/>
      <w:r>
        <w:rPr>
          <w:rFonts w:hint="eastAsia" w:hAnsi="宋体"/>
          <w:b/>
          <w:sz w:val="32"/>
          <w:szCs w:val="32"/>
        </w:rPr>
        <w:t>近年来发生的诉讼及仲裁情况</w:t>
      </w:r>
    </w:p>
    <w:p>
      <w:pPr>
        <w:adjustRightInd w:val="0"/>
        <w:spacing w:line="360" w:lineRule="auto"/>
        <w:ind w:firstLine="422" w:firstLineChars="200"/>
        <w:rPr>
          <w:rFonts w:ascii="Times New Roman"/>
          <w:b/>
          <w:color w:val="000000"/>
          <w:sz w:val="21"/>
          <w:szCs w:val="21"/>
        </w:rPr>
      </w:pPr>
    </w:p>
    <w:p>
      <w:pPr>
        <w:autoSpaceDE w:val="0"/>
        <w:autoSpaceDN w:val="0"/>
        <w:adjustRightInd w:val="0"/>
        <w:spacing w:line="360" w:lineRule="auto"/>
        <w:ind w:right="215" w:firstLine="3628" w:firstLineChars="1721"/>
        <w:rPr>
          <w:rFonts w:hAnsi="宋体"/>
          <w:b/>
          <w:bCs/>
          <w:sz w:val="21"/>
          <w:szCs w:val="21"/>
        </w:rPr>
      </w:pPr>
      <w:r>
        <w:rPr>
          <w:rFonts w:hint="eastAsia" w:hAnsi="宋体"/>
          <w:b/>
          <w:bCs/>
          <w:sz w:val="21"/>
          <w:szCs w:val="21"/>
        </w:rPr>
        <w:t>格式自行编制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4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spacing w:line="540" w:lineRule="exact"/>
        <w:jc w:val="center"/>
        <w:rPr>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（1）内容完整性；</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（2）主要施工方案和技术措施；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（3）质量管理体系与措施；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（4）安全管理体系与措施；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（5）文明施工、环境保护管理体系及施工现场扬尘治理措施；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（6）工期保证措施；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（7）拟投入资源配备计划；</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（8）施工进度表与网络计划图；</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（9）施工总平面图布置；</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（10）技术创新的应用实施措施；</w:t>
      </w:r>
    </w:p>
    <w:p>
      <w:pPr>
        <w:tabs>
          <w:tab w:val="left" w:pos="1260"/>
        </w:tabs>
        <w:autoSpaceDE w:val="0"/>
        <w:autoSpaceDN w:val="0"/>
        <w:adjustRightInd w:val="0"/>
        <w:spacing w:line="500" w:lineRule="exact"/>
        <w:ind w:firstLine="420" w:firstLineChars="200"/>
        <w:jc w:val="left"/>
        <w:rPr>
          <w:rFonts w:ascii="新宋体" w:hAnsi="新宋体" w:eastAsia="新宋体" w:cs="仿宋_GB2312"/>
          <w:sz w:val="21"/>
          <w:szCs w:val="21"/>
        </w:rPr>
      </w:pPr>
      <w:r>
        <w:rPr>
          <w:rFonts w:hint="eastAsia" w:ascii="新宋体" w:hAnsi="新宋体" w:eastAsia="新宋体" w:cs="仿宋_GB2312"/>
          <w:sz w:val="21"/>
          <w:szCs w:val="21"/>
        </w:rPr>
        <w:t>（11）采用新工艺、新技术、新设备、新材料、BIM等的程度；</w:t>
      </w:r>
    </w:p>
    <w:p>
      <w:pPr>
        <w:tabs>
          <w:tab w:val="left" w:pos="1260"/>
        </w:tabs>
        <w:autoSpaceDE w:val="0"/>
        <w:autoSpaceDN w:val="0"/>
        <w:adjustRightInd w:val="0"/>
        <w:spacing w:line="500" w:lineRule="exact"/>
        <w:ind w:firstLine="420" w:firstLineChars="200"/>
        <w:jc w:val="left"/>
        <w:rPr>
          <w:rFonts w:hint="eastAsia" w:ascii="新宋体" w:hAnsi="新宋体" w:eastAsia="新宋体" w:cs="仿宋_GB2312"/>
          <w:sz w:val="21"/>
          <w:szCs w:val="21"/>
        </w:rPr>
      </w:pPr>
      <w:r>
        <w:rPr>
          <w:rFonts w:hint="eastAsia" w:ascii="新宋体" w:hAnsi="新宋体" w:eastAsia="新宋体" w:cs="仿宋_GB2312"/>
          <w:sz w:val="21"/>
          <w:szCs w:val="21"/>
        </w:rPr>
        <w:t>（12）施工现场实施信息化监控和数据处理；</w:t>
      </w:r>
    </w:p>
    <w:p>
      <w:pPr>
        <w:tabs>
          <w:tab w:val="left" w:pos="1260"/>
        </w:tabs>
        <w:autoSpaceDE w:val="0"/>
        <w:autoSpaceDN w:val="0"/>
        <w:adjustRightInd w:val="0"/>
        <w:spacing w:line="500" w:lineRule="exact"/>
        <w:ind w:firstLine="420" w:firstLineChars="200"/>
        <w:jc w:val="left"/>
        <w:rPr>
          <w:rFonts w:hAnsi="宋体" w:cs="TimesNewRomanPSMT"/>
          <w:sz w:val="21"/>
          <w:szCs w:val="21"/>
        </w:rPr>
      </w:pPr>
      <w:r>
        <w:rPr>
          <w:rFonts w:hint="eastAsia" w:ascii="新宋体" w:hAnsi="新宋体" w:eastAsia="新宋体" w:cs="仿宋_GB2312"/>
          <w:sz w:val="21"/>
          <w:szCs w:val="21"/>
        </w:rPr>
        <w:t>（13）风险管理措施。</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rFonts w:hint="default" w:eastAsia="宋体"/>
          <w:b/>
          <w:sz w:val="36"/>
          <w:szCs w:val="36"/>
          <w:lang w:val="en-US" w:eastAsia="zh-CN"/>
        </w:rPr>
      </w:pPr>
      <w:r>
        <w:rPr>
          <w:rFonts w:hint="eastAsia"/>
          <w:b/>
          <w:sz w:val="36"/>
          <w:szCs w:val="36"/>
          <w:u w:val="single"/>
        </w:rPr>
        <w:t xml:space="preserve">                        项目名称</w:t>
      </w:r>
      <w:r>
        <w:rPr>
          <w:rFonts w:hint="eastAsia"/>
          <w:b/>
          <w:sz w:val="36"/>
          <w:szCs w:val="36"/>
          <w:u w:val="single"/>
          <w:lang w:val="en-US" w:eastAsia="zh-CN"/>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80" w:lineRule="auto"/>
        <w:ind w:left="1163" w:leftChars="342"/>
        <w:jc w:val="center"/>
        <w:rPr>
          <w:rFonts w:cs="仿宋_GB2312"/>
          <w:b/>
          <w:sz w:val="32"/>
          <w:szCs w:val="32"/>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cs="仿宋_GB2312"/>
          <w:b/>
          <w:sz w:val="32"/>
          <w:szCs w:val="32"/>
        </w:rPr>
      </w:pPr>
      <w:r>
        <w:rPr>
          <w:rFonts w:hint="eastAsia" w:cs="仿宋_GB2312"/>
          <w:b/>
          <w:sz w:val="32"/>
          <w:szCs w:val="32"/>
        </w:rPr>
        <w:t>商务标（已标价工程量清单）</w:t>
      </w:r>
    </w:p>
    <w:p>
      <w:pPr>
        <w:spacing w:line="360" w:lineRule="auto"/>
        <w:ind w:firstLine="420" w:firstLineChars="200"/>
        <w:rPr>
          <w:rFonts w:hint="eastAsia"/>
          <w:sz w:val="21"/>
          <w:szCs w:val="21"/>
        </w:rPr>
      </w:pPr>
    </w:p>
    <w:p>
      <w:pPr>
        <w:spacing w:line="360" w:lineRule="auto"/>
        <w:ind w:firstLine="420" w:firstLineChars="200"/>
        <w:rPr>
          <w:rFonts w:hint="eastAsia"/>
          <w:sz w:val="21"/>
          <w:szCs w:val="21"/>
        </w:rPr>
      </w:pPr>
      <w:r>
        <w:rPr>
          <w:rFonts w:hint="eastAsia"/>
          <w:sz w:val="21"/>
          <w:szCs w:val="21"/>
        </w:rPr>
        <w:t>工程量清单在【全国公共资源交易平台(河南省▪许昌市)】（</w:t>
      </w:r>
      <w:r>
        <w:rPr>
          <w:sz w:val="21"/>
          <w:szCs w:val="21"/>
        </w:rPr>
        <w:fldChar w:fldCharType="begin"/>
      </w:r>
      <w:r>
        <w:rPr>
          <w:sz w:val="21"/>
          <w:szCs w:val="21"/>
        </w:rPr>
        <w:instrText xml:space="preserve"> HYPERLINK "http://www.xczbtb.com/" </w:instrText>
      </w:r>
      <w:r>
        <w:rPr>
          <w:sz w:val="21"/>
          <w:szCs w:val="21"/>
        </w:rPr>
        <w:fldChar w:fldCharType="separate"/>
      </w:r>
      <w:r>
        <w:rPr>
          <w:sz w:val="21"/>
          <w:szCs w:val="21"/>
        </w:rPr>
        <w:t>http://www.xczbtb.com/</w:t>
      </w:r>
      <w:r>
        <w:rPr>
          <w:sz w:val="21"/>
          <w:szCs w:val="21"/>
        </w:rPr>
        <w:fldChar w:fldCharType="end"/>
      </w:r>
      <w:r>
        <w:rPr>
          <w:rFonts w:hint="eastAsia"/>
          <w:sz w:val="21"/>
          <w:szCs w:val="21"/>
        </w:rPr>
        <w:t>），通过“投标人/供应商登录”后自行下载。</w:t>
      </w:r>
    </w:p>
    <w:p>
      <w:pPr>
        <w:spacing w:line="360" w:lineRule="auto"/>
        <w:rPr>
          <w:rFonts w:hint="eastAsia"/>
          <w:sz w:val="21"/>
          <w:szCs w:val="21"/>
        </w:rPr>
      </w:pPr>
      <w:r>
        <w:rPr>
          <w:rFonts w:hint="eastAsia"/>
          <w:sz w:val="21"/>
          <w:szCs w:val="21"/>
        </w:rPr>
        <w:t>根据招标文件要求编制商务标。</w:t>
      </w:r>
    </w:p>
    <w:p>
      <w:pPr>
        <w:spacing w:line="360" w:lineRule="auto"/>
        <w:rPr>
          <w:rFonts w:hint="eastAsia"/>
          <w:sz w:val="21"/>
          <w:szCs w:val="21"/>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445"/>
        </w:tabs>
        <w:jc w:val="left"/>
      </w:pPr>
      <w:r>
        <w:rPr>
          <w:rFonts w:hint="eastAsia" w:cs="Times New Roman"/>
        </w:rPr>
        <w:tab/>
      </w:r>
    </w:p>
    <w:sectPr>
      <w:footerReference r:id="rId5"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p>
  <w:p>
    <w:pPr>
      <w:pStyle w:val="27"/>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w:r>
  </w:p>
  <w:p>
    <w:pPr>
      <w:pStyle w:val="27"/>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C9D97A"/>
    <w:multiLevelType w:val="singleLevel"/>
    <w:tmpl w:val="D3C9D97A"/>
    <w:lvl w:ilvl="0" w:tentative="0">
      <w:start w:val="3"/>
      <w:numFmt w:val="decimal"/>
      <w:lvlText w:val="%1."/>
      <w:lvlJc w:val="left"/>
      <w:pPr>
        <w:tabs>
          <w:tab w:val="left" w:pos="312"/>
        </w:tabs>
      </w:pPr>
    </w:lvl>
  </w:abstractNum>
  <w:abstractNum w:abstractNumId="1">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7"/>
      <w:lvlText w:val="%1.%2"/>
      <w:legacy w:legacy="1" w:legacySpace="0" w:legacyIndent="0"/>
      <w:lvlJc w:val="left"/>
      <w:pPr>
        <w:ind w:left="0" w:firstLine="0"/>
      </w:pPr>
    </w:lvl>
    <w:lvl w:ilvl="2" w:tentative="0">
      <w:start w:val="1"/>
      <w:numFmt w:val="decimal"/>
      <w:pStyle w:val="8"/>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10"/>
      <w:lvlText w:val="%1.%2.%3.%4.%5"/>
      <w:legacy w:legacy="1" w:legacySpace="0" w:legacyIndent="0"/>
      <w:lvlJc w:val="left"/>
      <w:pPr>
        <w:ind w:left="0" w:firstLine="0"/>
      </w:pPr>
    </w:lvl>
    <w:lvl w:ilvl="5" w:tentative="0">
      <w:start w:val="1"/>
      <w:numFmt w:val="decimal"/>
      <w:pStyle w:val="11"/>
      <w:lvlText w:val="%1.%2.%3.%4.%5.%6"/>
      <w:legacy w:legacy="1" w:legacySpace="0" w:legacyIndent="0"/>
      <w:lvlJc w:val="left"/>
      <w:pPr>
        <w:ind w:left="0" w:firstLine="0"/>
      </w:pPr>
    </w:lvl>
    <w:lvl w:ilvl="6" w:tentative="0">
      <w:start w:val="1"/>
      <w:numFmt w:val="decimal"/>
      <w:pStyle w:val="12"/>
      <w:lvlText w:val="%1.%2.%3.%4.%5.%6.%7"/>
      <w:legacy w:legacy="1" w:legacySpace="0" w:legacyIndent="0"/>
      <w:lvlJc w:val="left"/>
      <w:pPr>
        <w:ind w:left="0" w:firstLine="0"/>
      </w:pPr>
    </w:lvl>
    <w:lvl w:ilvl="7" w:tentative="0">
      <w:start w:val="1"/>
      <w:numFmt w:val="decimal"/>
      <w:pStyle w:val="13"/>
      <w:lvlText w:val="%1.%2.%3.%4.%5.%6.%7.%8"/>
      <w:legacy w:legacy="1" w:legacySpace="0" w:legacyIndent="0"/>
      <w:lvlJc w:val="left"/>
      <w:pPr>
        <w:ind w:left="0" w:firstLine="0"/>
      </w:pPr>
    </w:lvl>
    <w:lvl w:ilvl="8" w:tentative="0">
      <w:start w:val="1"/>
      <w:numFmt w:val="decimal"/>
      <w:pStyle w:val="14"/>
      <w:lvlText w:val="%1.%2.%3.%4.%5.%6.%7.%8.%9"/>
      <w:legacy w:legacy="1" w:legacySpace="0" w:legacyIndent="0"/>
      <w:lvlJc w:val="left"/>
      <w:pPr>
        <w:ind w:left="0" w:firstLine="0"/>
      </w:pPr>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12A62ABC"/>
    <w:multiLevelType w:val="singleLevel"/>
    <w:tmpl w:val="12A62ABC"/>
    <w:lvl w:ilvl="0" w:tentative="0">
      <w:start w:val="1"/>
      <w:numFmt w:val="chineseCounting"/>
      <w:suff w:val="nothing"/>
      <w:lvlText w:val="第%1章　"/>
      <w:lvlJc w:val="left"/>
      <w:rPr>
        <w:rFonts w:hint="eastAsia"/>
      </w:rPr>
    </w:lvl>
  </w:abstractNum>
  <w:abstractNum w:abstractNumId="4">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531C9"/>
    <w:rsid w:val="00080818"/>
    <w:rsid w:val="0009270B"/>
    <w:rsid w:val="000A37A7"/>
    <w:rsid w:val="000A5327"/>
    <w:rsid w:val="000A6421"/>
    <w:rsid w:val="000B024D"/>
    <w:rsid w:val="000B204A"/>
    <w:rsid w:val="000C3D11"/>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541E2"/>
    <w:rsid w:val="00186A97"/>
    <w:rsid w:val="00197B9E"/>
    <w:rsid w:val="00197CFA"/>
    <w:rsid w:val="001A022B"/>
    <w:rsid w:val="001A14EE"/>
    <w:rsid w:val="001A79FA"/>
    <w:rsid w:val="001B6526"/>
    <w:rsid w:val="001C483C"/>
    <w:rsid w:val="001F6CE2"/>
    <w:rsid w:val="0020429F"/>
    <w:rsid w:val="00204968"/>
    <w:rsid w:val="00216FD4"/>
    <w:rsid w:val="0022450E"/>
    <w:rsid w:val="002263DE"/>
    <w:rsid w:val="00230E97"/>
    <w:rsid w:val="00240BC8"/>
    <w:rsid w:val="00247D26"/>
    <w:rsid w:val="002520D8"/>
    <w:rsid w:val="00275832"/>
    <w:rsid w:val="00285A60"/>
    <w:rsid w:val="00295619"/>
    <w:rsid w:val="002B7E09"/>
    <w:rsid w:val="002C10B3"/>
    <w:rsid w:val="002C7C0E"/>
    <w:rsid w:val="002D24BE"/>
    <w:rsid w:val="002E3B63"/>
    <w:rsid w:val="002F250E"/>
    <w:rsid w:val="00302C26"/>
    <w:rsid w:val="003216B0"/>
    <w:rsid w:val="0033162B"/>
    <w:rsid w:val="00336540"/>
    <w:rsid w:val="00341B3E"/>
    <w:rsid w:val="00343BAE"/>
    <w:rsid w:val="0035749A"/>
    <w:rsid w:val="003771E2"/>
    <w:rsid w:val="003824E7"/>
    <w:rsid w:val="00383DCF"/>
    <w:rsid w:val="00386662"/>
    <w:rsid w:val="00391C0C"/>
    <w:rsid w:val="003B2E48"/>
    <w:rsid w:val="003E385B"/>
    <w:rsid w:val="003E5A06"/>
    <w:rsid w:val="00432351"/>
    <w:rsid w:val="00447791"/>
    <w:rsid w:val="00452975"/>
    <w:rsid w:val="00460AE4"/>
    <w:rsid w:val="00460B00"/>
    <w:rsid w:val="004857DA"/>
    <w:rsid w:val="004B47C8"/>
    <w:rsid w:val="004C0BE8"/>
    <w:rsid w:val="004D7C2E"/>
    <w:rsid w:val="004E325F"/>
    <w:rsid w:val="004E790C"/>
    <w:rsid w:val="005010A5"/>
    <w:rsid w:val="00506413"/>
    <w:rsid w:val="00512C40"/>
    <w:rsid w:val="00532A6A"/>
    <w:rsid w:val="00536263"/>
    <w:rsid w:val="005406F7"/>
    <w:rsid w:val="00545188"/>
    <w:rsid w:val="0055457E"/>
    <w:rsid w:val="00561372"/>
    <w:rsid w:val="0056302E"/>
    <w:rsid w:val="00583155"/>
    <w:rsid w:val="005A1D41"/>
    <w:rsid w:val="005A632A"/>
    <w:rsid w:val="005B51DA"/>
    <w:rsid w:val="006032CE"/>
    <w:rsid w:val="00604039"/>
    <w:rsid w:val="00620B36"/>
    <w:rsid w:val="006275DB"/>
    <w:rsid w:val="00634632"/>
    <w:rsid w:val="0064154E"/>
    <w:rsid w:val="00652CE9"/>
    <w:rsid w:val="00653DBF"/>
    <w:rsid w:val="00687FFE"/>
    <w:rsid w:val="006919FB"/>
    <w:rsid w:val="006C2B30"/>
    <w:rsid w:val="006D161C"/>
    <w:rsid w:val="006D333E"/>
    <w:rsid w:val="006F4014"/>
    <w:rsid w:val="00704A84"/>
    <w:rsid w:val="00705050"/>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1BEA"/>
    <w:rsid w:val="007C5B65"/>
    <w:rsid w:val="007D7C6D"/>
    <w:rsid w:val="007E2A58"/>
    <w:rsid w:val="007E660C"/>
    <w:rsid w:val="007F2218"/>
    <w:rsid w:val="007F6E92"/>
    <w:rsid w:val="00823912"/>
    <w:rsid w:val="0084183D"/>
    <w:rsid w:val="00844FB3"/>
    <w:rsid w:val="00856FAF"/>
    <w:rsid w:val="00862B98"/>
    <w:rsid w:val="00870627"/>
    <w:rsid w:val="00872165"/>
    <w:rsid w:val="0087752D"/>
    <w:rsid w:val="00892143"/>
    <w:rsid w:val="008C69F9"/>
    <w:rsid w:val="008C7AB7"/>
    <w:rsid w:val="008D15E8"/>
    <w:rsid w:val="008D20FC"/>
    <w:rsid w:val="008E039E"/>
    <w:rsid w:val="008E277E"/>
    <w:rsid w:val="008E5AE9"/>
    <w:rsid w:val="008F033F"/>
    <w:rsid w:val="008F3812"/>
    <w:rsid w:val="00905F2F"/>
    <w:rsid w:val="009076FE"/>
    <w:rsid w:val="0094613F"/>
    <w:rsid w:val="009947E1"/>
    <w:rsid w:val="009950F9"/>
    <w:rsid w:val="009A2E3E"/>
    <w:rsid w:val="009A30AE"/>
    <w:rsid w:val="009A5CFA"/>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0D"/>
    <w:rsid w:val="00A86235"/>
    <w:rsid w:val="00A9170C"/>
    <w:rsid w:val="00A95BBA"/>
    <w:rsid w:val="00AB147C"/>
    <w:rsid w:val="00AB48B5"/>
    <w:rsid w:val="00AB525D"/>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B2CB6"/>
    <w:rsid w:val="00BC63F2"/>
    <w:rsid w:val="00BD16B4"/>
    <w:rsid w:val="00BD2C6D"/>
    <w:rsid w:val="00BE4FDC"/>
    <w:rsid w:val="00C04047"/>
    <w:rsid w:val="00C25898"/>
    <w:rsid w:val="00C45194"/>
    <w:rsid w:val="00C52772"/>
    <w:rsid w:val="00C54527"/>
    <w:rsid w:val="00C9239C"/>
    <w:rsid w:val="00C962C5"/>
    <w:rsid w:val="00CA011A"/>
    <w:rsid w:val="00CB5F82"/>
    <w:rsid w:val="00CC1CC1"/>
    <w:rsid w:val="00CD5E45"/>
    <w:rsid w:val="00CE106C"/>
    <w:rsid w:val="00CF0C13"/>
    <w:rsid w:val="00D03AAE"/>
    <w:rsid w:val="00D21F13"/>
    <w:rsid w:val="00D319E5"/>
    <w:rsid w:val="00D35441"/>
    <w:rsid w:val="00D51936"/>
    <w:rsid w:val="00D53F92"/>
    <w:rsid w:val="00D651F9"/>
    <w:rsid w:val="00D662EF"/>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355F6"/>
    <w:rsid w:val="00F61B6C"/>
    <w:rsid w:val="00F6383A"/>
    <w:rsid w:val="00F66893"/>
    <w:rsid w:val="00F831D5"/>
    <w:rsid w:val="00F83C6A"/>
    <w:rsid w:val="00F95953"/>
    <w:rsid w:val="00FB2D96"/>
    <w:rsid w:val="00FB3433"/>
    <w:rsid w:val="00FD5731"/>
    <w:rsid w:val="00FE2538"/>
    <w:rsid w:val="01121385"/>
    <w:rsid w:val="01284644"/>
    <w:rsid w:val="01321238"/>
    <w:rsid w:val="018D284D"/>
    <w:rsid w:val="01D22DB2"/>
    <w:rsid w:val="01FA19F4"/>
    <w:rsid w:val="022F334E"/>
    <w:rsid w:val="026D69EF"/>
    <w:rsid w:val="02761E28"/>
    <w:rsid w:val="027D0308"/>
    <w:rsid w:val="02CA715B"/>
    <w:rsid w:val="02DE2A77"/>
    <w:rsid w:val="03310E6C"/>
    <w:rsid w:val="034E7EBA"/>
    <w:rsid w:val="03DC7C83"/>
    <w:rsid w:val="04492115"/>
    <w:rsid w:val="05517906"/>
    <w:rsid w:val="05734DD3"/>
    <w:rsid w:val="05775FFC"/>
    <w:rsid w:val="05970229"/>
    <w:rsid w:val="05AF2364"/>
    <w:rsid w:val="05AF63DA"/>
    <w:rsid w:val="05E57919"/>
    <w:rsid w:val="05FA2D25"/>
    <w:rsid w:val="0637734D"/>
    <w:rsid w:val="066279FD"/>
    <w:rsid w:val="06A153ED"/>
    <w:rsid w:val="06D12236"/>
    <w:rsid w:val="06DF10DB"/>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AF5BD5"/>
    <w:rsid w:val="0ABC7D9C"/>
    <w:rsid w:val="0AD85161"/>
    <w:rsid w:val="0B445D5E"/>
    <w:rsid w:val="0C5E56ED"/>
    <w:rsid w:val="0C90327B"/>
    <w:rsid w:val="0CAE1D58"/>
    <w:rsid w:val="0CCC33E9"/>
    <w:rsid w:val="0D652B52"/>
    <w:rsid w:val="0DC754DA"/>
    <w:rsid w:val="0DE174B5"/>
    <w:rsid w:val="0E1930A3"/>
    <w:rsid w:val="0E6E3F04"/>
    <w:rsid w:val="0EA261DD"/>
    <w:rsid w:val="0EA85264"/>
    <w:rsid w:val="0EAB66CB"/>
    <w:rsid w:val="0F491BE8"/>
    <w:rsid w:val="0FB930FD"/>
    <w:rsid w:val="0FC56433"/>
    <w:rsid w:val="100E1718"/>
    <w:rsid w:val="10474FAE"/>
    <w:rsid w:val="10553DF7"/>
    <w:rsid w:val="10A64483"/>
    <w:rsid w:val="111F38E7"/>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5A3277"/>
    <w:rsid w:val="1A6629B5"/>
    <w:rsid w:val="1A9B3E58"/>
    <w:rsid w:val="1AF833BA"/>
    <w:rsid w:val="1B175A77"/>
    <w:rsid w:val="1B746382"/>
    <w:rsid w:val="1BA41B87"/>
    <w:rsid w:val="1C1C7B89"/>
    <w:rsid w:val="1C6311EF"/>
    <w:rsid w:val="1C871A4B"/>
    <w:rsid w:val="1C9F3E44"/>
    <w:rsid w:val="1CD73743"/>
    <w:rsid w:val="1DC6469D"/>
    <w:rsid w:val="1E01079F"/>
    <w:rsid w:val="1E783212"/>
    <w:rsid w:val="1EB363DB"/>
    <w:rsid w:val="1EBF1DAA"/>
    <w:rsid w:val="1ED44DE1"/>
    <w:rsid w:val="1F0624AB"/>
    <w:rsid w:val="1F127CBE"/>
    <w:rsid w:val="1F130311"/>
    <w:rsid w:val="1F170DC0"/>
    <w:rsid w:val="1F4D7801"/>
    <w:rsid w:val="207A6213"/>
    <w:rsid w:val="20D173AD"/>
    <w:rsid w:val="20D200DF"/>
    <w:rsid w:val="210B37F8"/>
    <w:rsid w:val="211221EE"/>
    <w:rsid w:val="21161E84"/>
    <w:rsid w:val="21687EFD"/>
    <w:rsid w:val="2194523D"/>
    <w:rsid w:val="21CD5B89"/>
    <w:rsid w:val="21DD7EE0"/>
    <w:rsid w:val="22030F02"/>
    <w:rsid w:val="22AC5572"/>
    <w:rsid w:val="22CE2E3D"/>
    <w:rsid w:val="2315794D"/>
    <w:rsid w:val="232F7BEA"/>
    <w:rsid w:val="23335048"/>
    <w:rsid w:val="23400316"/>
    <w:rsid w:val="23527BDD"/>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5E3AA5"/>
    <w:rsid w:val="29945B46"/>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37346"/>
    <w:rsid w:val="33791E09"/>
    <w:rsid w:val="33950533"/>
    <w:rsid w:val="33CB76C4"/>
    <w:rsid w:val="33CD1BD9"/>
    <w:rsid w:val="33D61FFC"/>
    <w:rsid w:val="33DE292B"/>
    <w:rsid w:val="33FD5188"/>
    <w:rsid w:val="340507FA"/>
    <w:rsid w:val="343D2379"/>
    <w:rsid w:val="346C26B5"/>
    <w:rsid w:val="349F7E01"/>
    <w:rsid w:val="34A919AE"/>
    <w:rsid w:val="355479FA"/>
    <w:rsid w:val="357A2490"/>
    <w:rsid w:val="35B30CAC"/>
    <w:rsid w:val="35E46207"/>
    <w:rsid w:val="35FD3952"/>
    <w:rsid w:val="362C5BCB"/>
    <w:rsid w:val="364A188E"/>
    <w:rsid w:val="36812318"/>
    <w:rsid w:val="36F372AE"/>
    <w:rsid w:val="370619C6"/>
    <w:rsid w:val="378301C2"/>
    <w:rsid w:val="37B541CB"/>
    <w:rsid w:val="38A673EF"/>
    <w:rsid w:val="38C40879"/>
    <w:rsid w:val="38E3126F"/>
    <w:rsid w:val="392A5471"/>
    <w:rsid w:val="3A074ABE"/>
    <w:rsid w:val="3A9140A3"/>
    <w:rsid w:val="3AB468F6"/>
    <w:rsid w:val="3AB524AF"/>
    <w:rsid w:val="3AB56C0B"/>
    <w:rsid w:val="3AC80E37"/>
    <w:rsid w:val="3AFC5304"/>
    <w:rsid w:val="3B185E21"/>
    <w:rsid w:val="3B594AD4"/>
    <w:rsid w:val="3BB87E64"/>
    <w:rsid w:val="3BD562C1"/>
    <w:rsid w:val="3BE9553C"/>
    <w:rsid w:val="3BF31B51"/>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077E8E"/>
    <w:rsid w:val="43CC7E36"/>
    <w:rsid w:val="43E75AC5"/>
    <w:rsid w:val="43EB697F"/>
    <w:rsid w:val="441337BA"/>
    <w:rsid w:val="44674FB5"/>
    <w:rsid w:val="446F6B56"/>
    <w:rsid w:val="448D41E4"/>
    <w:rsid w:val="44E60970"/>
    <w:rsid w:val="451066E2"/>
    <w:rsid w:val="451727A9"/>
    <w:rsid w:val="45277B18"/>
    <w:rsid w:val="4534104D"/>
    <w:rsid w:val="453F4D81"/>
    <w:rsid w:val="45802091"/>
    <w:rsid w:val="45811E73"/>
    <w:rsid w:val="46112A9E"/>
    <w:rsid w:val="466605E3"/>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947ED4"/>
    <w:rsid w:val="4AB061D5"/>
    <w:rsid w:val="4AB450BF"/>
    <w:rsid w:val="4ADA51CA"/>
    <w:rsid w:val="4B0F551D"/>
    <w:rsid w:val="4B6033A3"/>
    <w:rsid w:val="4B626CF4"/>
    <w:rsid w:val="4BA000D0"/>
    <w:rsid w:val="4BB23C84"/>
    <w:rsid w:val="4C53322F"/>
    <w:rsid w:val="4C6D79C7"/>
    <w:rsid w:val="4C8D62BA"/>
    <w:rsid w:val="4CA843D2"/>
    <w:rsid w:val="4CB66702"/>
    <w:rsid w:val="4CE36578"/>
    <w:rsid w:val="4CF33243"/>
    <w:rsid w:val="4D4A57C1"/>
    <w:rsid w:val="4D8B5A60"/>
    <w:rsid w:val="4DA266BC"/>
    <w:rsid w:val="4E9406D4"/>
    <w:rsid w:val="4ECE2099"/>
    <w:rsid w:val="4F5B6221"/>
    <w:rsid w:val="4F5B706D"/>
    <w:rsid w:val="50437D06"/>
    <w:rsid w:val="505C515F"/>
    <w:rsid w:val="507B319C"/>
    <w:rsid w:val="50945099"/>
    <w:rsid w:val="509B48A1"/>
    <w:rsid w:val="512E765E"/>
    <w:rsid w:val="516D0B50"/>
    <w:rsid w:val="516D30D9"/>
    <w:rsid w:val="51882726"/>
    <w:rsid w:val="519219E9"/>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F038E7"/>
    <w:rsid w:val="5A0450D2"/>
    <w:rsid w:val="5A2D7EAA"/>
    <w:rsid w:val="5A721296"/>
    <w:rsid w:val="5AED6F61"/>
    <w:rsid w:val="5AFB2F1F"/>
    <w:rsid w:val="5B0952E3"/>
    <w:rsid w:val="5B0C6806"/>
    <w:rsid w:val="5BA1567D"/>
    <w:rsid w:val="5BAC74D7"/>
    <w:rsid w:val="5BE44428"/>
    <w:rsid w:val="5BF40633"/>
    <w:rsid w:val="5C964E40"/>
    <w:rsid w:val="5CB976AC"/>
    <w:rsid w:val="5D560F60"/>
    <w:rsid w:val="5DE7500C"/>
    <w:rsid w:val="5DE907C1"/>
    <w:rsid w:val="5E4C5A07"/>
    <w:rsid w:val="5E6D68CD"/>
    <w:rsid w:val="5E780B48"/>
    <w:rsid w:val="5E8C0EAD"/>
    <w:rsid w:val="5ED27A36"/>
    <w:rsid w:val="5F257E2C"/>
    <w:rsid w:val="5F6D152F"/>
    <w:rsid w:val="60D50621"/>
    <w:rsid w:val="60DE2F41"/>
    <w:rsid w:val="61000435"/>
    <w:rsid w:val="610005D1"/>
    <w:rsid w:val="61564B7A"/>
    <w:rsid w:val="616F1938"/>
    <w:rsid w:val="61EC0603"/>
    <w:rsid w:val="61EE54A7"/>
    <w:rsid w:val="62510D55"/>
    <w:rsid w:val="6258355A"/>
    <w:rsid w:val="62926523"/>
    <w:rsid w:val="62C8475A"/>
    <w:rsid w:val="63212A6C"/>
    <w:rsid w:val="64041F34"/>
    <w:rsid w:val="644E1145"/>
    <w:rsid w:val="646A353E"/>
    <w:rsid w:val="646C0629"/>
    <w:rsid w:val="64AB58D9"/>
    <w:rsid w:val="65A23697"/>
    <w:rsid w:val="65C35A58"/>
    <w:rsid w:val="65E20394"/>
    <w:rsid w:val="65FD5841"/>
    <w:rsid w:val="667A085A"/>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686D07"/>
    <w:rsid w:val="6F8406F6"/>
    <w:rsid w:val="6F8971D4"/>
    <w:rsid w:val="6FAB69F9"/>
    <w:rsid w:val="6FB21801"/>
    <w:rsid w:val="6FE07A5E"/>
    <w:rsid w:val="70705DCA"/>
    <w:rsid w:val="707C2AF6"/>
    <w:rsid w:val="70932365"/>
    <w:rsid w:val="71123883"/>
    <w:rsid w:val="715D7A0E"/>
    <w:rsid w:val="71BF06F5"/>
    <w:rsid w:val="72050867"/>
    <w:rsid w:val="725016FC"/>
    <w:rsid w:val="72B17C09"/>
    <w:rsid w:val="72BF540A"/>
    <w:rsid w:val="72CA0520"/>
    <w:rsid w:val="72E92AAC"/>
    <w:rsid w:val="72EB7856"/>
    <w:rsid w:val="73051493"/>
    <w:rsid w:val="736F5A20"/>
    <w:rsid w:val="73EB216D"/>
    <w:rsid w:val="743576A9"/>
    <w:rsid w:val="744A722F"/>
    <w:rsid w:val="74A37145"/>
    <w:rsid w:val="74DC6012"/>
    <w:rsid w:val="75047092"/>
    <w:rsid w:val="75174D55"/>
    <w:rsid w:val="757F1167"/>
    <w:rsid w:val="75A478F1"/>
    <w:rsid w:val="75B24A92"/>
    <w:rsid w:val="75D935E3"/>
    <w:rsid w:val="75F31369"/>
    <w:rsid w:val="76987059"/>
    <w:rsid w:val="76F97472"/>
    <w:rsid w:val="77313DAC"/>
    <w:rsid w:val="777574F5"/>
    <w:rsid w:val="779A782F"/>
    <w:rsid w:val="77D64AFF"/>
    <w:rsid w:val="786A62D8"/>
    <w:rsid w:val="786E7FE3"/>
    <w:rsid w:val="78713839"/>
    <w:rsid w:val="78A22E0B"/>
    <w:rsid w:val="78F70887"/>
    <w:rsid w:val="790F322E"/>
    <w:rsid w:val="79240B16"/>
    <w:rsid w:val="793F53C2"/>
    <w:rsid w:val="7AC60887"/>
    <w:rsid w:val="7B273A85"/>
    <w:rsid w:val="7B5D4B7C"/>
    <w:rsid w:val="7B736BC1"/>
    <w:rsid w:val="7C690216"/>
    <w:rsid w:val="7CB45876"/>
    <w:rsid w:val="7CC40FCA"/>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8">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9">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10">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11">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2">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3">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4">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8">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81"/>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paragraph" w:styleId="15">
    <w:name w:val="toc 7"/>
    <w:basedOn w:val="1"/>
    <w:next w:val="1"/>
    <w:qFormat/>
    <w:uiPriority w:val="0"/>
    <w:pPr>
      <w:ind w:left="1200" w:leftChars="1200"/>
    </w:pPr>
  </w:style>
  <w:style w:type="paragraph" w:styleId="16">
    <w:name w:val="Normal Indent"/>
    <w:basedOn w:val="1"/>
    <w:qFormat/>
    <w:uiPriority w:val="0"/>
    <w:pPr>
      <w:ind w:firstLine="200" w:firstLineChars="200"/>
    </w:p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rPr>
      <w:sz w:val="24"/>
      <w:szCs w:val="24"/>
    </w:rPr>
  </w:style>
  <w:style w:type="paragraph" w:styleId="20">
    <w:name w:val="toc 5"/>
    <w:basedOn w:val="1"/>
    <w:next w:val="1"/>
    <w:qFormat/>
    <w:uiPriority w:val="0"/>
    <w:pPr>
      <w:ind w:left="800" w:leftChars="800"/>
    </w:pPr>
  </w:style>
  <w:style w:type="paragraph" w:styleId="21">
    <w:name w:val="toc 3"/>
    <w:basedOn w:val="1"/>
    <w:next w:val="1"/>
    <w:qFormat/>
    <w:uiPriority w:val="0"/>
    <w:pPr>
      <w:ind w:left="400" w:leftChars="400"/>
    </w:pPr>
  </w:style>
  <w:style w:type="paragraph" w:styleId="22">
    <w:name w:val="Plain Text"/>
    <w:basedOn w:val="1"/>
    <w:qFormat/>
    <w:uiPriority w:val="0"/>
    <w:rPr>
      <w:kern w:val="2"/>
      <w:sz w:val="21"/>
      <w:szCs w:val="21"/>
    </w:rPr>
  </w:style>
  <w:style w:type="paragraph" w:styleId="23">
    <w:name w:val="toc 8"/>
    <w:basedOn w:val="1"/>
    <w:next w:val="1"/>
    <w:qFormat/>
    <w:uiPriority w:val="0"/>
    <w:pPr>
      <w:ind w:left="1400" w:leftChars="1400"/>
    </w:pPr>
  </w:style>
  <w:style w:type="paragraph" w:styleId="24">
    <w:name w:val="Date"/>
    <w:basedOn w:val="1"/>
    <w:next w:val="1"/>
    <w:qFormat/>
    <w:uiPriority w:val="0"/>
    <w:pPr>
      <w:ind w:left="2500" w:leftChars="2500"/>
    </w:p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qFormat/>
    <w:uiPriority w:val="0"/>
    <w:pPr>
      <w:ind w:firstLine="200" w:firstLineChars="2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6">
    <w:name w:val="Normal (Web)"/>
    <w:basedOn w:val="1"/>
    <w:qFormat/>
    <w:uiPriority w:val="0"/>
    <w:pPr>
      <w:widowControl/>
      <w:spacing w:before="100" w:beforeAutospacing="1" w:after="100" w:afterAutospacing="1"/>
      <w:jc w:val="left"/>
    </w:pPr>
    <w:rPr>
      <w:sz w:val="24"/>
      <w:szCs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character" w:styleId="39">
    <w:name w:val="Strong"/>
    <w:basedOn w:val="38"/>
    <w:qFormat/>
    <w:uiPriority w:val="0"/>
    <w:rPr>
      <w:bCs/>
    </w:rPr>
  </w:style>
  <w:style w:type="character" w:styleId="40">
    <w:name w:val="page number"/>
    <w:basedOn w:val="38"/>
    <w:qFormat/>
    <w:uiPriority w:val="0"/>
  </w:style>
  <w:style w:type="character" w:styleId="41">
    <w:name w:val="FollowedHyperlink"/>
    <w:basedOn w:val="38"/>
    <w:qFormat/>
    <w:uiPriority w:val="0"/>
    <w:rPr>
      <w:color w:val="000000"/>
      <w:u w:val="none"/>
    </w:rPr>
  </w:style>
  <w:style w:type="character" w:styleId="42">
    <w:name w:val="Emphasis"/>
    <w:basedOn w:val="38"/>
    <w:qFormat/>
    <w:uiPriority w:val="0"/>
  </w:style>
  <w:style w:type="character" w:styleId="43">
    <w:name w:val="Hyperlink"/>
    <w:basedOn w:val="38"/>
    <w:qFormat/>
    <w:uiPriority w:val="0"/>
    <w:rPr>
      <w:color w:val="000000"/>
      <w:u w:val="none"/>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apple-converted-space"/>
    <w:basedOn w:val="38"/>
    <w:qFormat/>
    <w:uiPriority w:val="0"/>
  </w:style>
  <w:style w:type="character" w:customStyle="1" w:styleId="47">
    <w:name w:val="red1"/>
    <w:basedOn w:val="38"/>
    <w:qFormat/>
    <w:uiPriority w:val="0"/>
    <w:rPr>
      <w:color w:val="FF0000"/>
      <w:sz w:val="18"/>
      <w:szCs w:val="18"/>
    </w:rPr>
  </w:style>
  <w:style w:type="character" w:customStyle="1" w:styleId="48">
    <w:name w:val="gb-jt"/>
    <w:basedOn w:val="38"/>
    <w:qFormat/>
    <w:uiPriority w:val="0"/>
  </w:style>
  <w:style w:type="character" w:customStyle="1" w:styleId="49">
    <w:name w:val="font161"/>
    <w:basedOn w:val="38"/>
    <w:qFormat/>
    <w:uiPriority w:val="0"/>
    <w:rPr>
      <w:bCs/>
      <w:sz w:val="32"/>
      <w:szCs w:val="32"/>
    </w:rPr>
  </w:style>
  <w:style w:type="character" w:customStyle="1" w:styleId="50">
    <w:name w:val="green1"/>
    <w:basedOn w:val="38"/>
    <w:qFormat/>
    <w:uiPriority w:val="0"/>
    <w:rPr>
      <w:color w:val="66AE00"/>
      <w:sz w:val="18"/>
      <w:szCs w:val="18"/>
    </w:rPr>
  </w:style>
  <w:style w:type="character" w:customStyle="1" w:styleId="51">
    <w:name w:val="textcontents"/>
    <w:basedOn w:val="38"/>
    <w:qFormat/>
    <w:uiPriority w:val="0"/>
  </w:style>
  <w:style w:type="character" w:customStyle="1" w:styleId="52">
    <w:name w:val="right"/>
    <w:basedOn w:val="38"/>
    <w:qFormat/>
    <w:uiPriority w:val="0"/>
    <w:rPr>
      <w:color w:val="999999"/>
      <w:sz w:val="18"/>
      <w:szCs w:val="18"/>
    </w:rPr>
  </w:style>
  <w:style w:type="character" w:customStyle="1" w:styleId="53">
    <w:name w:val="red2"/>
    <w:basedOn w:val="38"/>
    <w:qFormat/>
    <w:uiPriority w:val="0"/>
    <w:rPr>
      <w:color w:val="FF0000"/>
      <w:sz w:val="18"/>
      <w:szCs w:val="18"/>
    </w:rPr>
  </w:style>
  <w:style w:type="character" w:customStyle="1" w:styleId="54">
    <w:name w:val="hover"/>
    <w:basedOn w:val="38"/>
    <w:qFormat/>
    <w:uiPriority w:val="0"/>
  </w:style>
  <w:style w:type="character" w:customStyle="1" w:styleId="55">
    <w:name w:val="blue"/>
    <w:basedOn w:val="38"/>
    <w:qFormat/>
    <w:uiPriority w:val="0"/>
    <w:rPr>
      <w:color w:val="0371C6"/>
      <w:sz w:val="21"/>
      <w:szCs w:val="21"/>
    </w:rPr>
  </w:style>
  <w:style w:type="character" w:customStyle="1" w:styleId="56">
    <w:name w:val="green"/>
    <w:basedOn w:val="38"/>
    <w:qFormat/>
    <w:uiPriority w:val="0"/>
    <w:rPr>
      <w:color w:val="66AE00"/>
      <w:sz w:val="18"/>
      <w:szCs w:val="18"/>
    </w:rPr>
  </w:style>
  <w:style w:type="character" w:customStyle="1" w:styleId="57">
    <w:name w:val="red"/>
    <w:basedOn w:val="38"/>
    <w:qFormat/>
    <w:uiPriority w:val="0"/>
    <w:rPr>
      <w:color w:val="FF0000"/>
    </w:rPr>
  </w:style>
  <w:style w:type="paragraph" w:customStyle="1" w:styleId="58">
    <w:name w:val="List Paragraph1"/>
    <w:basedOn w:val="1"/>
    <w:qFormat/>
    <w:uiPriority w:val="0"/>
    <w:pPr>
      <w:adjustRightInd w:val="0"/>
      <w:snapToGrid w:val="0"/>
      <w:spacing w:line="360" w:lineRule="auto"/>
      <w:ind w:firstLine="200" w:firstLineChars="200"/>
    </w:pPr>
    <w:rPr>
      <w:color w:val="000000"/>
    </w:rPr>
  </w:style>
  <w:style w:type="paragraph" w:customStyle="1" w:styleId="59">
    <w:name w:val="正文 + 自动设置"/>
    <w:basedOn w:val="6"/>
    <w:qFormat/>
    <w:uiPriority w:val="0"/>
    <w:pPr>
      <w:tabs>
        <w:tab w:val="left" w:pos="840"/>
      </w:tabs>
      <w:spacing w:before="360" w:after="360" w:line="480" w:lineRule="auto"/>
      <w:jc w:val="center"/>
    </w:pPr>
    <w:rPr>
      <w:rFonts w:eastAsia="黑体"/>
      <w:sz w:val="36"/>
      <w:szCs w:val="36"/>
    </w:rPr>
  </w:style>
  <w:style w:type="paragraph" w:customStyle="1" w:styleId="60">
    <w:name w:val="样式 标题 2 + Times New Roman 四号 非加粗 段前: 5 磅 段后: 0 磅 行距: 固定值 20..."/>
    <w:basedOn w:val="7"/>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1">
    <w:name w:val="表格文字"/>
    <w:basedOn w:val="1"/>
    <w:qFormat/>
    <w:uiPriority w:val="0"/>
    <w:pPr>
      <w:adjustRightInd w:val="0"/>
      <w:spacing w:line="420" w:lineRule="atLeast"/>
      <w:jc w:val="left"/>
      <w:textAlignment w:val="baseline"/>
    </w:pPr>
  </w:style>
  <w:style w:type="paragraph" w:customStyle="1" w:styleId="6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3">
    <w:name w:val="Char"/>
    <w:basedOn w:val="1"/>
    <w:qFormat/>
    <w:uiPriority w:val="0"/>
    <w:rPr>
      <w:rFonts w:ascii="仿宋_GB2312" w:eastAsia="仿宋_GB2312"/>
      <w:b/>
      <w:sz w:val="32"/>
      <w:szCs w:val="32"/>
    </w:rPr>
  </w:style>
  <w:style w:type="paragraph" w:customStyle="1" w:styleId="64">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5">
    <w:name w:val="默认段落字体 Para Char Char Char Char Char Char Char"/>
    <w:basedOn w:val="1"/>
    <w:qFormat/>
    <w:uiPriority w:val="0"/>
    <w:rPr>
      <w:rFonts w:ascii="Tahoma" w:hAnsi="Tahoma" w:cs="Tahoma"/>
      <w:sz w:val="24"/>
      <w:szCs w:val="24"/>
    </w:rPr>
  </w:style>
  <w:style w:type="paragraph" w:customStyle="1" w:styleId="66">
    <w:name w:val="1"/>
    <w:basedOn w:val="1"/>
    <w:next w:val="1"/>
    <w:qFormat/>
    <w:uiPriority w:val="0"/>
  </w:style>
  <w:style w:type="paragraph" w:customStyle="1" w:styleId="67">
    <w:name w:val="Normal (Web)1"/>
    <w:basedOn w:val="1"/>
    <w:qFormat/>
    <w:uiPriority w:val="0"/>
    <w:pPr>
      <w:widowControl/>
      <w:spacing w:before="100" w:beforeAutospacing="1" w:after="100" w:afterAutospacing="1"/>
      <w:jc w:val="left"/>
    </w:pPr>
    <w:rPr>
      <w:sz w:val="24"/>
      <w:szCs w:val="24"/>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9">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70">
    <w:name w:val="Char11"/>
    <w:basedOn w:val="1"/>
    <w:qFormat/>
    <w:uiPriority w:val="0"/>
    <w:rPr>
      <w:rFonts w:ascii="仿宋_GB2312" w:eastAsia="仿宋_GB2312" w:cs="仿宋_GB2312"/>
      <w:b/>
      <w:bCs/>
      <w:sz w:val="32"/>
      <w:szCs w:val="32"/>
    </w:rPr>
  </w:style>
  <w:style w:type="paragraph" w:customStyle="1" w:styleId="71">
    <w:name w:val="样式 标题 1 + 黑体 三号 非加粗 居中 段前: 6 磅 段后: 6 磅 行距: 固定值 20 磅"/>
    <w:basedOn w:val="6"/>
    <w:qFormat/>
    <w:uiPriority w:val="0"/>
    <w:pPr>
      <w:spacing w:before="120" w:after="120" w:line="400" w:lineRule="exact"/>
      <w:jc w:val="center"/>
    </w:pPr>
    <w:rPr>
      <w:rFonts w:ascii="黑体" w:eastAsia="黑体" w:cs="黑体"/>
      <w:b w:val="0"/>
      <w:bCs w:val="0"/>
      <w:sz w:val="32"/>
      <w:szCs w:val="32"/>
    </w:rPr>
  </w:style>
  <w:style w:type="paragraph" w:customStyle="1" w:styleId="72">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样式 标题 3 + (中文) 黑体 小四 非加粗 段前: 7.8 磅 段后: 0 磅 行距: 固定值 20 磅"/>
    <w:basedOn w:val="8"/>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6">
    <w:name w:val="表格"/>
    <w:basedOn w:val="1"/>
    <w:qFormat/>
    <w:uiPriority w:val="0"/>
    <w:pPr>
      <w:jc w:val="center"/>
      <w:textAlignment w:val="center"/>
    </w:pPr>
    <w:rPr>
      <w:rFonts w:ascii="华文细黑" w:hAnsi="华文细黑" w:cs="华文细黑"/>
    </w:rPr>
  </w:style>
  <w:style w:type="paragraph" w:customStyle="1" w:styleId="77">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8">
    <w:name w:val="red3"/>
    <w:basedOn w:val="38"/>
    <w:qFormat/>
    <w:uiPriority w:val="0"/>
    <w:rPr>
      <w:color w:val="CC0000"/>
    </w:rPr>
  </w:style>
  <w:style w:type="character" w:customStyle="1" w:styleId="79">
    <w:name w:val="hover25"/>
    <w:basedOn w:val="38"/>
    <w:qFormat/>
    <w:uiPriority w:val="0"/>
  </w:style>
  <w:style w:type="paragraph" w:customStyle="1" w:styleId="80">
    <w:name w:val="WPSOffice手动目录 1"/>
    <w:qFormat/>
    <w:uiPriority w:val="0"/>
    <w:rPr>
      <w:rFonts w:ascii="Times New Roman" w:hAnsi="Times New Roman" w:eastAsia="宋体" w:cs="Times New Roman"/>
      <w:lang w:val="en-US" w:eastAsia="zh-CN" w:bidi="ar-SA"/>
    </w:rPr>
  </w:style>
  <w:style w:type="character" w:customStyle="1" w:styleId="81">
    <w:name w:val="正文首行缩进 Char"/>
    <w:basedOn w:val="38"/>
    <w:link w:val="2"/>
    <w:qFormat/>
    <w:uiPriority w:val="0"/>
    <w:rPr>
      <w:rFonts w:asci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79FA6-94F9-46EE-B47E-1F49BD94DADD}">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66</Pages>
  <Words>5711</Words>
  <Characters>32554</Characters>
  <Lines>271</Lines>
  <Paragraphs>76</Paragraphs>
  <TotalTime>12</TotalTime>
  <ScaleCrop>false</ScaleCrop>
  <LinksUpToDate>false</LinksUpToDate>
  <CharactersWithSpaces>38189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河南建标工程管理有限公司:李松岳</cp:lastModifiedBy>
  <cp:lastPrinted>2020-03-16T02:55:15Z</cp:lastPrinted>
  <dcterms:modified xsi:type="dcterms:W3CDTF">2020-03-16T03:06:25Z</dcterms:modified>
  <dc:title>禹州市妇幼保健院整体迁建装修工程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