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000000"/>
          <w:w w:val="90"/>
          <w:sz w:val="72"/>
          <w:szCs w:val="72"/>
        </w:rPr>
      </w:pPr>
      <w:r>
        <w:rPr>
          <w:rFonts w:hint="eastAsia" w:ascii="黑体" w:hAnsi="黑体" w:eastAsia="黑体" w:cs="黑体"/>
          <w:b/>
          <w:bCs/>
          <w:sz w:val="44"/>
          <w:szCs w:val="44"/>
          <w:lang w:val="en-US" w:eastAsia="zh-CN"/>
        </w:rPr>
        <w:t>禹州市大气污染防治第三方专家咨询服务项目</w:t>
      </w:r>
    </w:p>
    <w:p>
      <w:pPr>
        <w:jc w:val="center"/>
        <w:rPr>
          <w:rFonts w:hint="eastAsia" w:ascii="黑体" w:hAnsi="黑体" w:eastAsia="黑体" w:cs="黑体"/>
          <w:bCs/>
          <w:color w:val="000000"/>
          <w:w w:val="90"/>
          <w:sz w:val="72"/>
          <w:szCs w:val="72"/>
        </w:rPr>
      </w:pPr>
    </w:p>
    <w:p>
      <w:pPr>
        <w:pStyle w:val="30"/>
        <w:rPr>
          <w:rFonts w:hint="eastAsia" w:ascii="黑体" w:hAnsi="黑体" w:eastAsia="黑体" w:cs="黑体"/>
          <w:bCs/>
          <w:color w:val="000000"/>
          <w:w w:val="90"/>
          <w:sz w:val="72"/>
          <w:szCs w:val="72"/>
        </w:rPr>
      </w:pPr>
    </w:p>
    <w:p>
      <w:pPr>
        <w:pStyle w:val="30"/>
        <w:rPr>
          <w:rFonts w:hint="eastAsia" w:ascii="黑体" w:hAnsi="黑体" w:eastAsia="黑体" w:cs="黑体"/>
          <w:bCs/>
          <w:color w:val="000000"/>
          <w:w w:val="90"/>
          <w:sz w:val="72"/>
          <w:szCs w:val="72"/>
        </w:rPr>
      </w:pPr>
    </w:p>
    <w:p>
      <w:pPr>
        <w:pStyle w:val="30"/>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环境保护</w:t>
      </w:r>
      <w:r>
        <w:rPr>
          <w:rFonts w:hint="eastAsia" w:ascii="仿宋" w:hAnsi="仿宋" w:eastAsia="仿宋" w:cs="仿宋"/>
          <w:b/>
          <w:bCs/>
          <w:color w:val="000000"/>
          <w:sz w:val="32"/>
          <w:szCs w:val="32"/>
        </w:rPr>
        <w:t>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w:t>
      </w:r>
      <w:r>
        <w:rPr>
          <w:rFonts w:hint="eastAsia" w:ascii="仿宋" w:hAnsi="仿宋" w:eastAsia="仿宋" w:cs="仿宋"/>
          <w:b/>
          <w:bCs/>
          <w:color w:val="000000"/>
          <w:sz w:val="32"/>
          <w:szCs w:val="32"/>
          <w:lang w:val="en-US" w:eastAsia="zh-CN"/>
        </w:rPr>
        <w:t>20037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30"/>
      </w:pPr>
    </w:p>
    <w:p>
      <w:pPr>
        <w:pStyle w:val="30"/>
      </w:pPr>
    </w:p>
    <w:p>
      <w:pPr>
        <w:pStyle w:val="30"/>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eastAsia="zh-CN"/>
        </w:rPr>
      </w:pPr>
      <w:r>
        <w:rPr>
          <w:rFonts w:hint="eastAsia" w:ascii="黑体" w:hAnsi="黑体" w:eastAsia="黑体" w:cs="黑体"/>
          <w:b/>
          <w:bCs/>
          <w:sz w:val="36"/>
          <w:szCs w:val="36"/>
          <w:lang w:eastAsia="zh-CN"/>
        </w:rPr>
        <w:t>禹州市大气污染防治第三方专家咨询服务项目</w:t>
      </w:r>
    </w:p>
    <w:p>
      <w:pPr>
        <w:spacing w:line="60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 xml:space="preserve">招    标   </w:t>
      </w:r>
      <w:r>
        <w:rPr>
          <w:rFonts w:hint="eastAsia" w:ascii="黑体" w:hAnsi="黑体" w:eastAsia="黑体" w:cs="黑体"/>
          <w:b/>
          <w:bCs/>
          <w:sz w:val="36"/>
          <w:szCs w:val="36"/>
          <w:lang w:eastAsia="zh-CN"/>
        </w:rPr>
        <w:t>邀</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请</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函</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环境保护局</w:t>
      </w:r>
      <w:r>
        <w:rPr>
          <w:rFonts w:hint="eastAsia" w:ascii="新宋体" w:hAnsi="新宋体" w:eastAsia="新宋体" w:cs="新宋体"/>
          <w:sz w:val="24"/>
          <w:szCs w:val="24"/>
        </w:rPr>
        <w:t>的委托，就“</w:t>
      </w:r>
      <w:r>
        <w:rPr>
          <w:rFonts w:hint="eastAsia" w:ascii="新宋体" w:hAnsi="新宋体" w:eastAsia="新宋体" w:cs="新宋体"/>
          <w:sz w:val="24"/>
          <w:szCs w:val="24"/>
          <w:lang w:eastAsia="zh-CN"/>
        </w:rPr>
        <w:t>禹州市大气污染防治第三方专家咨询服务项目</w:t>
      </w:r>
      <w:r>
        <w:rPr>
          <w:rFonts w:hint="eastAsia" w:ascii="新宋体" w:hAnsi="新宋体" w:eastAsia="新宋体" w:cs="新宋体"/>
          <w:sz w:val="24"/>
          <w:szCs w:val="24"/>
        </w:rPr>
        <w:t>”进行公开招标，欢迎合格的投标人前来投标。</w:t>
      </w:r>
    </w:p>
    <w:p>
      <w:pPr>
        <w:pStyle w:val="61"/>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shd w:val="clear" w:color="auto" w:fill="FFFFFF"/>
        <w:spacing w:line="400" w:lineRule="exact"/>
        <w:ind w:firstLine="120" w:firstLineChars="50"/>
        <w:jc w:val="left"/>
        <w:rPr>
          <w:rFonts w:hint="eastAsia" w:ascii="新宋体" w:hAnsi="新宋体" w:eastAsia="新宋体" w:cs="新宋体"/>
          <w:sz w:val="24"/>
          <w:szCs w:val="24"/>
        </w:rPr>
      </w:pPr>
      <w:r>
        <w:rPr>
          <w:rFonts w:hint="eastAsia" w:ascii="新宋体" w:hAnsi="新宋体" w:eastAsia="新宋体" w:cs="新宋体"/>
          <w:sz w:val="24"/>
          <w:szCs w:val="24"/>
        </w:rPr>
        <w:t>1.采购人：禹州市</w:t>
      </w:r>
      <w:r>
        <w:rPr>
          <w:rFonts w:hint="eastAsia" w:ascii="新宋体" w:hAnsi="新宋体" w:eastAsia="新宋体" w:cs="新宋体"/>
          <w:sz w:val="24"/>
          <w:szCs w:val="24"/>
          <w:lang w:eastAsia="zh-CN"/>
        </w:rPr>
        <w:t>环境保护</w:t>
      </w:r>
      <w:r>
        <w:rPr>
          <w:rFonts w:hint="eastAsia" w:ascii="新宋体" w:hAnsi="新宋体" w:eastAsia="新宋体" w:cs="新宋体"/>
          <w:sz w:val="24"/>
          <w:szCs w:val="24"/>
        </w:rPr>
        <w:t>局</w:t>
      </w:r>
    </w:p>
    <w:p>
      <w:pPr>
        <w:spacing w:line="600" w:lineRule="exact"/>
        <w:ind w:firstLine="120" w:firstLineChars="5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2.项目名称：禹州市大气污染防治第三方专家咨询服务项目</w:t>
      </w:r>
    </w:p>
    <w:p>
      <w:pPr>
        <w:spacing w:line="600" w:lineRule="exact"/>
        <w:ind w:firstLine="120" w:firstLineChars="5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w:t>
      </w:r>
      <w:r>
        <w:rPr>
          <w:rFonts w:hint="eastAsia" w:ascii="新宋体" w:hAnsi="新宋体" w:eastAsia="新宋体" w:cs="新宋体"/>
          <w:sz w:val="24"/>
          <w:szCs w:val="24"/>
          <w:lang w:val="en-US" w:eastAsia="zh-CN"/>
        </w:rPr>
        <w:t>20038</w:t>
      </w:r>
    </w:p>
    <w:p>
      <w:pPr>
        <w:spacing w:line="600" w:lineRule="exact"/>
        <w:ind w:firstLine="120" w:firstLineChars="5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大气污染防治第三方专家咨询服务</w:t>
      </w:r>
      <w:r>
        <w:rPr>
          <w:rFonts w:hint="eastAsia" w:ascii="新宋体" w:hAnsi="新宋体" w:eastAsia="新宋体" w:cs="新宋体"/>
          <w:color w:val="000000"/>
          <w:kern w:val="0"/>
          <w:sz w:val="24"/>
          <w:szCs w:val="24"/>
        </w:rPr>
        <w:t>（详见招标文件）</w:t>
      </w:r>
    </w:p>
    <w:p>
      <w:pPr>
        <w:spacing w:line="600" w:lineRule="exact"/>
        <w:ind w:firstLine="120" w:firstLineChars="50"/>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kern w:val="0"/>
          <w:sz w:val="24"/>
          <w:szCs w:val="24"/>
          <w:lang w:val="en-US" w:eastAsia="zh-CN"/>
        </w:rPr>
        <w:t>372万</w:t>
      </w:r>
      <w:r>
        <w:rPr>
          <w:rFonts w:hint="eastAsia" w:ascii="新宋体" w:hAnsi="新宋体" w:eastAsia="新宋体" w:cs="新宋体"/>
          <w:sz w:val="24"/>
          <w:szCs w:val="24"/>
        </w:rPr>
        <w:t>元</w:t>
      </w:r>
    </w:p>
    <w:p>
      <w:pPr>
        <w:spacing w:line="600" w:lineRule="exact"/>
        <w:ind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6、采购限价：</w:t>
      </w:r>
      <w:r>
        <w:rPr>
          <w:rFonts w:hint="eastAsia" w:ascii="新宋体" w:hAnsi="新宋体" w:eastAsia="新宋体" w:cs="新宋体"/>
          <w:sz w:val="24"/>
          <w:szCs w:val="24"/>
          <w:lang w:val="en-US" w:eastAsia="zh-CN"/>
        </w:rPr>
        <w:t>372</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，具有独立法人资格及</w:t>
      </w:r>
      <w:r>
        <w:rPr>
          <w:rFonts w:hint="eastAsia" w:ascii="新宋体" w:hAnsi="新宋体" w:eastAsia="新宋体" w:cs="新宋体"/>
          <w:sz w:val="24"/>
          <w:szCs w:val="24"/>
        </w:rPr>
        <w:t>相应的经营范围（以营业执照为准）；</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keepNext w:val="0"/>
        <w:keepLines w:val="0"/>
        <w:pageBreakBefore w:val="0"/>
        <w:kinsoku/>
        <w:wordWrap w:val="0"/>
        <w:overflowPunct/>
        <w:topLinePunct/>
        <w:bidi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keepNext w:val="0"/>
        <w:keepLines w:val="0"/>
        <w:pageBreakBefore w:val="0"/>
        <w:kinsoku/>
        <w:wordWrap w:val="0"/>
        <w:overflowPunct/>
        <w:topLinePunct/>
        <w:autoSpaceDE w:val="0"/>
        <w:autoSpaceDN w:val="0"/>
        <w:bidi w:val="0"/>
        <w:adjustRightInd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keepNext w:val="0"/>
        <w:keepLines w:val="0"/>
        <w:pageBreakBefore w:val="0"/>
        <w:kinsoku/>
        <w:overflowPunct/>
        <w:bidi w:val="0"/>
        <w:spacing w:line="4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0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文件每份售价人民币300元（现场现金收取），于递交投标文件时缴纳给采购代理机构，售后不退。</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时间及地点：</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投标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年 </w:t>
      </w: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9：00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环境保护</w:t>
      </w:r>
      <w:r>
        <w:rPr>
          <w:rFonts w:hint="eastAsia" w:ascii="新宋体" w:hAnsi="新宋体" w:eastAsia="新宋体" w:cs="新宋体"/>
          <w:sz w:val="24"/>
          <w:szCs w:val="24"/>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创业大厦</w:t>
      </w:r>
    </w:p>
    <w:p>
      <w:pPr>
        <w:spacing w:line="400" w:lineRule="exact"/>
        <w:ind w:firstLine="480" w:firstLineChars="200"/>
        <w:rPr>
          <w:rFonts w:hint="eastAsia" w:ascii="新宋体" w:hAnsi="新宋体" w:eastAsia="新宋体" w:cs="新宋体"/>
          <w:sz w:val="24"/>
          <w:szCs w:val="24"/>
          <w:lang w:val="en-US"/>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梁</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17839126378</w:t>
      </w:r>
    </w:p>
    <w:p>
      <w:pPr>
        <w:keepNext w:val="0"/>
        <w:keepLines w:val="0"/>
        <w:pageBreakBefore w:val="0"/>
        <w:kinsoku/>
        <w:overflowPunct/>
        <w:bidi w:val="0"/>
        <w:spacing w:line="440" w:lineRule="exact"/>
        <w:ind w:firstLine="2640" w:firstLineChars="11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w:t>
      </w:r>
    </w:p>
    <w:p>
      <w:pPr>
        <w:keepNext w:val="0"/>
        <w:keepLines w:val="0"/>
        <w:pageBreakBefore w:val="0"/>
        <w:kinsoku/>
        <w:overflowPunct/>
        <w:bidi w:val="0"/>
        <w:spacing w:line="440" w:lineRule="exact"/>
        <w:ind w:firstLine="2880" w:firstLineChars="1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p>
    <w:p>
      <w:pPr>
        <w:spacing w:line="360" w:lineRule="auto"/>
        <w:rPr>
          <w:rFonts w:hint="eastAsia" w:hAnsi="宋体"/>
          <w:b/>
          <w:sz w:val="32"/>
          <w:szCs w:val="32"/>
        </w:rPr>
      </w:pPr>
    </w:p>
    <w:p>
      <w:pPr>
        <w:spacing w:line="360" w:lineRule="auto"/>
        <w:rPr>
          <w:rFonts w:hint="eastAsia" w:hAnsi="宋体"/>
          <w:b/>
          <w:color w:val="FF0000"/>
          <w:sz w:val="28"/>
          <w:szCs w:val="28"/>
          <w:lang w:eastAsia="zh-CN"/>
        </w:rPr>
      </w:pPr>
      <w:r>
        <w:rPr>
          <w:rFonts w:hint="eastAsia" w:hAnsi="宋体"/>
          <w:b/>
          <w:sz w:val="32"/>
          <w:szCs w:val="32"/>
        </w:rPr>
        <w:t>温馨提示</w:t>
      </w:r>
      <w:r>
        <w:rPr>
          <w:rFonts w:hint="eastAsia" w:hAnsi="宋体"/>
          <w:b/>
          <w:sz w:val="28"/>
          <w:szCs w:val="28"/>
        </w:rPr>
        <w:t>：</w:t>
      </w:r>
      <w:r>
        <w:rPr>
          <w:rFonts w:hint="eastAsia" w:hAnsi="宋体"/>
          <w:b/>
          <w:color w:val="FF0000"/>
          <w:sz w:val="28"/>
          <w:szCs w:val="28"/>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r>
        <w:rPr>
          <w:rFonts w:hint="eastAsia" w:hAnsi="宋体"/>
          <w:b/>
          <w:color w:val="FF0000"/>
          <w:sz w:val="28"/>
          <w:szCs w:val="28"/>
          <w:lang w:eastAsia="zh-CN"/>
        </w:rPr>
        <w:t>。</w:t>
      </w:r>
    </w:p>
    <w:p>
      <w:pPr>
        <w:pStyle w:val="30"/>
        <w:rPr>
          <w:rFonts w:hint="eastAsia"/>
          <w:lang w:eastAsia="zh-CN"/>
        </w:rPr>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2"/>
        <w:rPr>
          <w:rFonts w:hint="eastAsia"/>
        </w:rPr>
      </w:pP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b/>
          <w:bCs/>
          <w:color w:val="000000"/>
          <w:kern w:val="0"/>
          <w:sz w:val="24"/>
          <w:szCs w:val="24"/>
          <w:lang w:eastAsia="zh-CN"/>
        </w:rPr>
        <w:t>（二）</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kern w:val="0"/>
          <w:sz w:val="24"/>
          <w:szCs w:val="24"/>
        </w:rPr>
        <w:t>实现功能：通过聘请专家团队，利用“河南省空气质量自动监控系统”、“智慧环保管理系统”，结合城市环境监管服务需要，提出管控建议，实现常态化服务。</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具体目标：</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1、全方位立体网格监控</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整合评价点、对照点、背景点、监控点的数据，打破国控省控市控界限，通过不同类型的立体监测网格的建设和融合，实现对监测区域的全方位精准监控，消灭监测盲区，实时掌握区域内环境污染分布现状及空气质量变化趋势；</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（2）建立不同网格间的联动关系，发现污染来源及扩散趋势，准确监控环境事件从产生到消失的全过程。</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2、全面提高环境监管效率</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（1）以实时、准确的环境监测数据作为管理基础，及时发现环境污染事件或突发问题，缩短环境异常事件的响应与处理时间，并可为监管提供定性定量的数据支撑；</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打通监测与监管之间的通道，协助环保部门从传统“点对点”（执法人员对具体排污单位）的监测监管模式向“点对面”（执法人员掌握所有点位的污染状况）模式转变，提高了工作效率；打破以往环保部门单打独斗的局面，实现由单一部门治理向多部门协同治理、共同治理转变，履清分工、划分责任，在全地区构建大环保、大监管格局。</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3、技术支持中长期防治规划</w:t>
      </w:r>
    </w:p>
    <w:p>
      <w:pPr>
        <w:widowControl/>
        <w:shd w:val="clear" w:color="auto" w:fill="FFFFFF"/>
        <w:spacing w:line="360" w:lineRule="auto"/>
        <w:ind w:firstLine="6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（1）利用大数据平台，结合气象数据、地理信息数据、多种环境质量模型，甑别影响区域空气质量的主要因素及其污染贡献率，实现靶向治理和更精准的专项引导；</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kern w:val="0"/>
          <w:sz w:val="24"/>
          <w:szCs w:val="24"/>
        </w:rPr>
        <w:t>（2）通过中长期的连续监测，对短期管理手段和长期治理效果评价，为政府优化产业结构、推进产业转型升级、制定大气污染防治决策支持行动计划等提供科学依据。</w:t>
      </w:r>
    </w:p>
    <w:p>
      <w:pPr>
        <w:keepNext w:val="0"/>
        <w:keepLines w:val="0"/>
        <w:pageBreakBefore w:val="0"/>
        <w:tabs>
          <w:tab w:val="left" w:pos="7230"/>
        </w:tabs>
        <w:kinsoku/>
        <w:wordWrap/>
        <w:overflowPunct/>
        <w:topLinePunct w:val="0"/>
        <w:autoSpaceDE/>
        <w:autoSpaceDN/>
        <w:bidi w:val="0"/>
        <w:adjustRightInd/>
        <w:snapToGrid/>
        <w:spacing w:line="360" w:lineRule="auto"/>
        <w:ind w:firstLine="482" w:firstLineChars="200"/>
        <w:jc w:val="left"/>
        <w:textAlignment w:val="auto"/>
        <w:rPr>
          <w:rFonts w:hint="eastAsia" w:ascii="新宋体" w:hAnsi="新宋体" w:eastAsia="新宋体" w:cs="新宋体"/>
          <w:sz w:val="24"/>
          <w:szCs w:val="24"/>
        </w:rPr>
      </w:pPr>
      <w:r>
        <w:rPr>
          <w:rFonts w:hint="eastAsia" w:ascii="新宋体" w:hAnsi="新宋体" w:eastAsia="新宋体" w:cs="新宋体"/>
          <w:b/>
          <w:bCs/>
          <w:color w:val="000000"/>
          <w:kern w:val="0"/>
          <w:sz w:val="24"/>
          <w:szCs w:val="24"/>
          <w:lang w:eastAsia="zh-CN"/>
        </w:rPr>
        <w:t>（二）</w:t>
      </w: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r>
        <w:rPr>
          <w:rFonts w:hint="eastAsia"/>
        </w:rPr>
        <w:t xml:space="preserve">  </w:t>
      </w:r>
      <w:r>
        <w:rPr>
          <w:rFonts w:hint="eastAsia" w:ascii="新宋体" w:hAnsi="新宋体" w:eastAsia="新宋体" w:cs="新宋体"/>
          <w:sz w:val="24"/>
          <w:szCs w:val="24"/>
        </w:rPr>
        <w:t>通过聘请专家团队，利用“河南省空气质量自动监控系统”、“智慧环保管理系统”，结合城市环境监管服务需要，提出管控建议，实现常态化服务。专家团队配置4-6人，车辆1-2辆，提供日常巡查、研判、分析等任务。</w:t>
      </w:r>
    </w:p>
    <w:p>
      <w:pPr>
        <w:keepNext w:val="0"/>
        <w:keepLines w:val="0"/>
        <w:pageBreakBefore w:val="0"/>
        <w:tabs>
          <w:tab w:val="left" w:pos="7230"/>
        </w:tabs>
        <w:kinsoku/>
        <w:wordWrap/>
        <w:overflowPunct/>
        <w:topLinePunct w:val="0"/>
        <w:autoSpaceDE/>
        <w:autoSpaceDN/>
        <w:bidi w:val="0"/>
        <w:adjustRightInd/>
        <w:snapToGrid/>
        <w:spacing w:line="360"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日常巡查</w:t>
      </w:r>
    </w:p>
    <w:p>
      <w:pPr>
        <w:keepNext w:val="0"/>
        <w:keepLines w:val="0"/>
        <w:pageBreakBefore w:val="0"/>
        <w:tabs>
          <w:tab w:val="left" w:pos="7230"/>
        </w:tabs>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针对网格化监测系统推送的异常报警信息，派遣现场巡查人员对报警点位周边进行现场排查并对污染来源进行定位，并将现场照片及巡检记录上报，督促相关部门及责任人及时对污染事件进行处理，降低其对周边环境影响。</w:t>
      </w:r>
    </w:p>
    <w:p>
      <w:pPr>
        <w:keepNext w:val="0"/>
        <w:keepLines w:val="0"/>
        <w:pageBreakBefore w:val="0"/>
        <w:tabs>
          <w:tab w:val="left" w:pos="7230"/>
        </w:tabs>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对城市省控、市控监测点周边2公里范围进行日常重点巡查，对市区主要道路、重点建筑工地、企业、垃圾焚烧、餐饮油烟等各类污染源进行调查取证并及时上报，协助进行相关现场督察及处理，并提交污染事件统计及处理报告。</w:t>
      </w:r>
      <w:bookmarkStart w:id="0" w:name="_Toc14857"/>
    </w:p>
    <w:p>
      <w:pPr>
        <w:keepNext w:val="0"/>
        <w:keepLines w:val="0"/>
        <w:pageBreakBefore w:val="0"/>
        <w:tabs>
          <w:tab w:val="left" w:pos="7230"/>
        </w:tabs>
        <w:kinsoku/>
        <w:wordWrap/>
        <w:overflowPunct/>
        <w:topLinePunct w:val="0"/>
        <w:autoSpaceDE/>
        <w:autoSpaceDN/>
        <w:bidi w:val="0"/>
        <w:adjustRightInd/>
        <w:snapToGrid/>
        <w:spacing w:line="360"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研判会议</w:t>
      </w:r>
      <w:bookmarkEnd w:id="0"/>
    </w:p>
    <w:p>
      <w:pPr>
        <w:keepNext w:val="0"/>
        <w:keepLines w:val="0"/>
        <w:pageBreakBefore w:val="0"/>
        <w:tabs>
          <w:tab w:val="left" w:pos="7230"/>
        </w:tabs>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配合相关部门，实施“研判会商”的会议制度。利用省控、市控站、网格化数据对城市空气质量及变化规律进行研判，并提出管控建议。</w:t>
      </w:r>
    </w:p>
    <w:p>
      <w:pPr>
        <w:keepNext w:val="0"/>
        <w:keepLines w:val="0"/>
        <w:pageBreakBefore w:val="0"/>
        <w:tabs>
          <w:tab w:val="left" w:pos="7230"/>
        </w:tabs>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在研判会议的基础上，根据环境监管需要，配合组织召开月度、季度、半年度以及年度城市大气污染防治会议及重污染天气重点管控等专项会议，并提供针对性分析报告及管控建议。</w:t>
      </w:r>
      <w:bookmarkStart w:id="1" w:name="_Toc27245"/>
      <w:bookmarkStart w:id="2" w:name="_Toc7292"/>
    </w:p>
    <w:p>
      <w:pPr>
        <w:keepNext w:val="0"/>
        <w:keepLines w:val="0"/>
        <w:pageBreakBefore w:val="0"/>
        <w:tabs>
          <w:tab w:val="left" w:pos="7230"/>
        </w:tabs>
        <w:kinsoku/>
        <w:wordWrap/>
        <w:overflowPunct/>
        <w:topLinePunct w:val="0"/>
        <w:autoSpaceDE/>
        <w:autoSpaceDN/>
        <w:bidi w:val="0"/>
        <w:adjustRightInd/>
        <w:snapToGrid/>
        <w:spacing w:line="360"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污染治理规划</w:t>
      </w:r>
      <w:bookmarkEnd w:id="1"/>
      <w:bookmarkEnd w:id="2"/>
    </w:p>
    <w:p>
      <w:pPr>
        <w:keepNext w:val="0"/>
        <w:keepLines w:val="0"/>
        <w:pageBreakBefore w:val="0"/>
        <w:tabs>
          <w:tab w:val="left" w:pos="7230"/>
        </w:tabs>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结合2019年度城市及周边城市空气质量综合指数及空气质量综合指数同比下降率情况，结合地理及气象条件，分析2020年度城市污染变化趋势，并对系统建设完成后城市空气质量综合指数进行预判及评估。针对道路交通、燃煤、建筑烟尘、企业排放、生活污染等重点污染源制定相应管控任务及指标，以及重污染天气时各项的管控措施建议。</w:t>
      </w:r>
    </w:p>
    <w:p>
      <w:pPr>
        <w:keepNext w:val="0"/>
        <w:keepLines w:val="0"/>
        <w:pageBreakBefore w:val="0"/>
        <w:tabs>
          <w:tab w:val="left" w:pos="7230"/>
        </w:tabs>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根据省下达的2020年考核目标值，结合历史数</w:t>
      </w:r>
      <w:bookmarkStart w:id="18" w:name="_GoBack"/>
      <w:bookmarkEnd w:id="18"/>
      <w:r>
        <w:rPr>
          <w:rFonts w:hint="eastAsia" w:ascii="新宋体" w:hAnsi="新宋体" w:eastAsia="新宋体" w:cs="新宋体"/>
          <w:sz w:val="24"/>
          <w:szCs w:val="24"/>
        </w:rPr>
        <w:t>据，进行月度目标值的计算，合理分解压力，确保顺利完成年度目标考核，减少生态扣款等。</w:t>
      </w:r>
    </w:p>
    <w:p>
      <w:pPr>
        <w:keepNext w:val="0"/>
        <w:keepLines w:val="0"/>
        <w:pageBreakBefore w:val="0"/>
        <w:tabs>
          <w:tab w:val="left" w:pos="7230"/>
        </w:tabs>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同时，通过对区域月度综合指数及同比下降率进行计算，并与其他区域数据进行对比，分析排名情况、与其他区域的差距以及需首要控制的污染物，提出针对性的有效的管控建议。</w:t>
      </w:r>
      <w:bookmarkStart w:id="3" w:name="_Toc25427"/>
      <w:bookmarkStart w:id="4" w:name="_Toc11108"/>
    </w:p>
    <w:p>
      <w:pPr>
        <w:keepNext w:val="0"/>
        <w:keepLines w:val="0"/>
        <w:pageBreakBefore w:val="0"/>
        <w:tabs>
          <w:tab w:val="left" w:pos="7230"/>
        </w:tabs>
        <w:kinsoku/>
        <w:wordWrap/>
        <w:overflowPunct/>
        <w:topLinePunct w:val="0"/>
        <w:autoSpaceDE/>
        <w:autoSpaceDN/>
        <w:bidi w:val="0"/>
        <w:adjustRightInd/>
        <w:snapToGrid/>
        <w:spacing w:line="360"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大数据研判分析报告</w:t>
      </w:r>
      <w:bookmarkEnd w:id="3"/>
      <w:bookmarkEnd w:id="4"/>
    </w:p>
    <w:p>
      <w:pPr>
        <w:keepNext w:val="0"/>
        <w:keepLines w:val="0"/>
        <w:pageBreakBefore w:val="0"/>
        <w:tabs>
          <w:tab w:val="left" w:pos="7230"/>
        </w:tabs>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利用省控空气质量、在线污染源、网格化系统、气象信息等多维数据进行整合，对城市环境空气质量进行研判并提供分析，具体报告如下： </w:t>
      </w:r>
      <w:bookmarkStart w:id="5" w:name="_Toc443"/>
    </w:p>
    <w:p>
      <w:pPr>
        <w:keepNext w:val="0"/>
        <w:keepLines w:val="0"/>
        <w:pageBreakBefore w:val="0"/>
        <w:tabs>
          <w:tab w:val="left" w:pos="7230"/>
        </w:tabs>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1、常规分析报告</w:t>
      </w:r>
      <w:bookmarkEnd w:id="5"/>
    </w:p>
    <w:p>
      <w:pPr>
        <w:keepNext w:val="0"/>
        <w:keepLines w:val="0"/>
        <w:pageBreakBefore w:val="0"/>
        <w:tabs>
          <w:tab w:val="left" w:pos="7230"/>
        </w:tabs>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日报（365期）：根据昨日禹州市及其他市县区环境空气质量浓度（含6因子浓度、AQI、空气质量级别类别），获得本市空气质量排名，分析禹州市当日空气质量污染物累计浓度（含6因子浓度、AQI、空气质量级别类别），对当日本市空气站点数据变化进行分析，对六因子污染浓度进行趋势分析及排名。结合未来3天气象条件进行未来三天的空气质量进行预测分析，并给出环境管理措施建议；</w:t>
      </w:r>
    </w:p>
    <w:p>
      <w:pPr>
        <w:keepNext w:val="0"/>
        <w:keepLines w:val="0"/>
        <w:pageBreakBefore w:val="0"/>
        <w:tabs>
          <w:tab w:val="left" w:pos="7230"/>
        </w:tabs>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周报（52期）：分析本周禹州市环境空气质量浓度含6因子浓度、AQI、空气质量级别类别），获得本市排名信息，分析禹州市当周空气质量污染物累计浓度（含6因子浓度、AQI、空气质量级别类别），对六因子污染浓度进行趋势分析。对周巡检问题及处理情况汇总，及时对运维工作进行调整，对本周空气站点空气质量数据变化、异常数据及巡检问题和处理情况进行分析汇总，及时提出下一周管控措施和建议；</w:t>
      </w:r>
    </w:p>
    <w:p>
      <w:pPr>
        <w:keepNext w:val="0"/>
        <w:keepLines w:val="0"/>
        <w:pageBreakBefore w:val="0"/>
        <w:tabs>
          <w:tab w:val="left" w:pos="7230"/>
        </w:tabs>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月报（12期）：对当月禹州市环境空气质量综合指数和排名情况进行分析汇总（含6因子浓度、AQI、空气质量级别类别），分析禹州市当月空气质量污染物累计浓度（含6因子浓度、AQI、空气质量级别类别），与其他市县区进行对比分析，对污染浓度进行趋势分析。总结当月空气站点数据变化、异常数据及污染过程分析，对巡检问题及处理情况进行月度汇总，分析禹州市各项指标目标的完成情况，及六项污染物月度同比及环比的比较情况，并提出下个月重点控制污染源及管控措施建议；</w:t>
      </w:r>
    </w:p>
    <w:p>
      <w:pPr>
        <w:keepNext w:val="0"/>
        <w:keepLines w:val="0"/>
        <w:pageBreakBefore w:val="0"/>
        <w:tabs>
          <w:tab w:val="left" w:pos="7230"/>
        </w:tabs>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年报（1期）：分析当年禹州市环境空气质量累计状况（含6因子浓度、AQI、空气质量级别类别），分析禹州市当年空气质量累计状况（含6因子浓度、AQI、空气质量级别类别）与其他市县区进行差距分析，分析当年禹州市环境空气质量综合指数及排名情况，与其他城市进行差距分析，分析年度累计目标的完成情况，分析当年环境空气质量变化趋势及年度比较，分析禹州市各项指标目标的完成情况，综合整年本区环境空气质量数据，分析本市及其他市县区综合指数差距，对整年空气站点异常数据、网格化设备的数据变化情况及处理情况汇总分析，针对年度污染过程总结分析。</w:t>
      </w:r>
      <w:bookmarkStart w:id="6" w:name="_Toc32678"/>
    </w:p>
    <w:p>
      <w:pPr>
        <w:keepNext w:val="0"/>
        <w:keepLines w:val="0"/>
        <w:pageBreakBefore w:val="0"/>
        <w:tabs>
          <w:tab w:val="left" w:pos="7230"/>
        </w:tabs>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2、根据需要提供污染分析专题报告等。</w:t>
      </w:r>
    </w:p>
    <w:p>
      <w:pPr>
        <w:keepNext w:val="0"/>
        <w:keepLines w:val="0"/>
        <w:pageBreakBefore w:val="0"/>
        <w:tabs>
          <w:tab w:val="left" w:pos="7230"/>
        </w:tabs>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3、激光雷达走航车专项服务</w:t>
      </w:r>
      <w:bookmarkEnd w:id="6"/>
    </w:p>
    <w:p>
      <w:pPr>
        <w:keepNext w:val="0"/>
        <w:keepLines w:val="0"/>
        <w:pageBreakBefore w:val="0"/>
        <w:tabs>
          <w:tab w:val="left" w:pos="7230"/>
        </w:tabs>
        <w:kinsoku/>
        <w:wordWrap/>
        <w:overflowPunct/>
        <w:topLinePunct w:val="0"/>
        <w:autoSpaceDE/>
        <w:autoSpaceDN/>
        <w:bidi w:val="0"/>
        <w:adjustRightInd/>
        <w:snapToGrid/>
        <w:spacing w:line="360" w:lineRule="auto"/>
        <w:ind w:firstLine="360" w:firstLineChars="15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根据实际需要，进行不定时走航，定向观察污染物传输、环境质量演变，侧面监控污染物排放情况，为应急管控效果评估、重污染天气响应提供数据支持和科学依据。</w:t>
      </w:r>
      <w:bookmarkStart w:id="7" w:name="_Toc4999"/>
    </w:p>
    <w:p>
      <w:pPr>
        <w:keepNext w:val="0"/>
        <w:keepLines w:val="0"/>
        <w:pageBreakBefore w:val="0"/>
        <w:tabs>
          <w:tab w:val="left" w:pos="7230"/>
        </w:tabs>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4、无人机污染源取证服务</w:t>
      </w:r>
      <w:bookmarkEnd w:id="7"/>
    </w:p>
    <w:p>
      <w:pPr>
        <w:keepNext w:val="0"/>
        <w:keepLines w:val="0"/>
        <w:pageBreakBefore w:val="0"/>
        <w:tabs>
          <w:tab w:val="left" w:pos="7230"/>
        </w:tabs>
        <w:kinsoku/>
        <w:wordWrap/>
        <w:overflowPunct/>
        <w:topLinePunct w:val="0"/>
        <w:autoSpaceDE/>
        <w:autoSpaceDN/>
        <w:bidi w:val="0"/>
        <w:adjustRightInd/>
        <w:snapToGrid/>
        <w:spacing w:line="360" w:lineRule="auto"/>
        <w:ind w:firstLine="360" w:firstLineChars="15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现场排查污染源人员利用无人机对疑似污染源，在无法靠近进行取证时，采取无人机进行空中拍照取证。</w:t>
      </w:r>
      <w:bookmarkStart w:id="8" w:name="_Toc9374"/>
    </w:p>
    <w:p>
      <w:pPr>
        <w:keepNext w:val="0"/>
        <w:keepLines w:val="0"/>
        <w:pageBreakBefore w:val="0"/>
        <w:tabs>
          <w:tab w:val="left" w:pos="7230"/>
        </w:tabs>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5、预期目标</w:t>
      </w:r>
      <w:bookmarkEnd w:id="8"/>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707"/>
        <w:contextualSpacing/>
        <w:jc w:val="left"/>
        <w:textAlignment w:val="auto"/>
        <w:rPr>
          <w:rFonts w:hint="eastAsia" w:ascii="新宋体" w:hAnsi="新宋体" w:eastAsia="新宋体" w:cs="新宋体"/>
          <w:b/>
          <w:bCs/>
          <w:color w:val="000000"/>
          <w:kern w:val="0"/>
          <w:sz w:val="24"/>
          <w:szCs w:val="24"/>
          <w:lang w:eastAsia="zh-CN"/>
        </w:rPr>
      </w:pPr>
      <w:r>
        <w:rPr>
          <w:rFonts w:hint="eastAsia" w:ascii="新宋体" w:hAnsi="新宋体" w:eastAsia="新宋体" w:cs="新宋体"/>
          <w:sz w:val="24"/>
          <w:szCs w:val="24"/>
        </w:rPr>
        <w:t xml:space="preserve">希望通过环境咨询服务项目，客观真实的分析禹州市环境空气质量现状和演变趋势，提供大气污染防治的治理和技术支持，进一步提高大气污染防治和监管执法实时化，精细化，科学化，实现对污染物的实时监测、精准排查、精细化管控，有的放矢的治理区域环境污染，并结合短期考核目标以及环境保护中长期规划，积极做好大气污染防治工作，持续有效改善空气质量、打赢蓝天保卫战、形成区域联防联控大气污染的长效机制。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2"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ascii="新宋体" w:hAnsi="新宋体" w:eastAsia="新宋体" w:cs="新宋体"/>
          <w:b w:val="0"/>
          <w:bCs w:val="0"/>
          <w:color w:val="000000"/>
          <w:kern w:val="0"/>
          <w:sz w:val="24"/>
          <w:szCs w:val="24"/>
          <w:lang w:val="en-US" w:eastAsia="zh-CN" w:bidi="ar-SA"/>
        </w:rPr>
        <w:t>达到国家、行业、地方政府有关法律法规及技术规范要求，并通过有关部门审查。</w:t>
      </w:r>
    </w:p>
    <w:p>
      <w:pPr>
        <w:pStyle w:val="30"/>
        <w:keepNext w:val="0"/>
        <w:keepLines w:val="0"/>
        <w:pageBreakBefore w:val="0"/>
        <w:widowControl w:val="0"/>
        <w:kinsoku/>
        <w:overflowPunct/>
        <w:autoSpaceDE/>
        <w:autoSpaceDN/>
        <w:bidi w:val="0"/>
        <w:adjustRightInd/>
        <w:snapToGrid/>
        <w:spacing w:line="360" w:lineRule="auto"/>
        <w:ind w:firstLine="240" w:firstLineChars="100"/>
        <w:textAlignment w:val="auto"/>
        <w:rPr>
          <w:rFonts w:hint="eastAsia"/>
          <w:lang w:val="en-US" w:eastAsia="zh-CN"/>
        </w:rPr>
      </w:pPr>
      <w:r>
        <w:rPr>
          <w:rFonts w:hint="eastAsia"/>
          <w:lang w:val="en-US" w:eastAsia="zh-CN"/>
        </w:rPr>
        <w:t>（四）服务标准、期限、效果等要求</w:t>
      </w:r>
    </w:p>
    <w:p>
      <w:pPr>
        <w:pStyle w:val="30"/>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服务标准：满足招标人要求并通过相关部门组织的综合考评考核和验收。</w:t>
      </w:r>
    </w:p>
    <w:p>
      <w:pPr>
        <w:pStyle w:val="30"/>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服务期限：以合同为准。</w:t>
      </w:r>
    </w:p>
    <w:p>
      <w:pPr>
        <w:pStyle w:val="30"/>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服务效率：以合同为准。</w:t>
      </w:r>
    </w:p>
    <w:p>
      <w:pPr>
        <w:keepNext w:val="0"/>
        <w:keepLines w:val="0"/>
        <w:pageBreakBefore w:val="0"/>
        <w:widowControl w:val="0"/>
        <w:kinsoku/>
        <w:wordWrap w:val="0"/>
        <w:overflowPunct/>
        <w:topLinePunct/>
        <w:autoSpaceDE/>
        <w:autoSpaceDN/>
        <w:bidi w:val="0"/>
        <w:adjustRightInd/>
        <w:snapToGrid/>
        <w:spacing w:line="360" w:lineRule="auto"/>
        <w:ind w:firstLine="723" w:firstLineChars="300"/>
        <w:textAlignment w:val="auto"/>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1"/>
        <w:wordWrap w:val="0"/>
        <w:topLinePunct/>
        <w:autoSpaceDE w:val="0"/>
        <w:autoSpaceDN w:val="0"/>
        <w:adjustRightInd w:val="0"/>
        <w:spacing w:line="360" w:lineRule="auto"/>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2"/>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2"/>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pStyle w:val="3"/>
        <w:numPr>
          <w:ilvl w:val="0"/>
          <w:numId w:val="0"/>
        </w:numPr>
        <w:rPr>
          <w:rFonts w:hint="eastAsia"/>
        </w:rPr>
      </w:pPr>
    </w:p>
    <w:p>
      <w:pPr>
        <w:rPr>
          <w:rFonts w:hint="eastAsia"/>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1446" w:firstLineChars="400"/>
        <w:rPr>
          <w:rFonts w:hint="eastAsia" w:cs="宋体" w:asciiTheme="majorEastAsia" w:hAnsiTheme="majorEastAsia" w:eastAsiaTheme="majorEastAsia"/>
          <w:b/>
          <w:kern w:val="0"/>
          <w:sz w:val="36"/>
          <w:szCs w:val="36"/>
        </w:rPr>
      </w:pPr>
    </w:p>
    <w:p>
      <w:pPr>
        <w:autoSpaceDE w:val="0"/>
        <w:autoSpaceDN w:val="0"/>
        <w:adjustRightInd w:val="0"/>
        <w:ind w:firstLine="1446" w:firstLineChars="4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禹州市大气污染防治第三方专家咨询服务项目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YZCG-G2020038</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名称：禹州市环境保护局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地址：禹州市行政北路</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联系人：梁先生   联系电话：17839126378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lang w:val="en-US" w:eastAsia="zh-CN"/>
              </w:rPr>
            </w:pPr>
            <w:r>
              <w:rPr>
                <w:rFonts w:hint="eastAsia"/>
                <w:lang w:val="en-US" w:eastAsia="zh-CN"/>
              </w:rPr>
              <w:t>6</w:t>
            </w:r>
            <w:r>
              <w:rPr>
                <w:rFonts w:hint="eastAsia"/>
              </w:rPr>
              <w:t>、被委托</w:t>
            </w:r>
            <w:r>
              <w:rPr>
                <w:rFonts w:hint="eastAsia"/>
                <w:lang w:eastAsia="zh-CN"/>
              </w:rPr>
              <w:t>人</w:t>
            </w:r>
            <w:r>
              <w:rPr>
                <w:rFonts w:hint="eastAsia"/>
              </w:rPr>
              <w:t>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pStyle w:val="30"/>
              <w:rPr>
                <w:rFonts w:hint="default"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372万元，超出最高限价者为无效标。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rPr>
          <w:rFonts w:hint="eastAsia"/>
          <w:sz w:val="24"/>
          <w:szCs w:val="24"/>
        </w:rPr>
      </w:pPr>
      <w:r>
        <w:rPr>
          <w:rFonts w:hint="eastAsia"/>
          <w:sz w:val="24"/>
          <w:szCs w:val="24"/>
        </w:rPr>
        <w:t>（1）查询渠道：“信用中国”网站（www.creditchina.gov.cn）、“中国政府采购网”（www.ccgp.gov.cn）、“中国社会组织公共服务平台”网站（www.chinanpo.gov.cn）；</w:t>
      </w:r>
    </w:p>
    <w:p>
      <w:pPr>
        <w:pStyle w:val="31"/>
        <w:rPr>
          <w:rFonts w:hint="eastAsia"/>
          <w:sz w:val="24"/>
          <w:szCs w:val="24"/>
        </w:rPr>
      </w:pPr>
      <w:r>
        <w:rPr>
          <w:rFonts w:hint="eastAsia"/>
          <w:sz w:val="24"/>
          <w:szCs w:val="24"/>
        </w:rPr>
        <w:t>（2）截止时间：同投标截止时间；</w:t>
      </w:r>
    </w:p>
    <w:p>
      <w:pPr>
        <w:pStyle w:val="31"/>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1"/>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1"/>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9" w:name="OLE_LINK6"/>
      <w:r>
        <w:rPr>
          <w:rFonts w:hint="eastAsia" w:cs="仿宋_GB2312" w:asciiTheme="minorEastAsia" w:hAnsiTheme="minorEastAsia"/>
          <w:sz w:val="24"/>
          <w:szCs w:val="24"/>
          <w:lang w:val="zh-CN"/>
        </w:rPr>
        <w:t>财库[2014]68号</w:t>
      </w:r>
      <w:bookmarkEnd w:id="9"/>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keepNext w:val="0"/>
              <w:keepLines w:val="0"/>
              <w:pageBreakBefore w:val="0"/>
              <w:widowControl/>
              <w:shd w:val="clear" w:color="auto" w:fill="FFFFFF"/>
              <w:kinsoku/>
              <w:overflowPunct/>
              <w:bidi w:val="0"/>
              <w:spacing w:line="440" w:lineRule="exact"/>
              <w:jc w:val="left"/>
              <w:textAlignment w:val="auto"/>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5"/>
        <w:spacing w:line="360" w:lineRule="auto"/>
        <w:contextualSpacing/>
        <w:jc w:val="both"/>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6"/>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21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分值构成</w:t>
            </w:r>
          </w:p>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hint="eastAsia" w:ascii="新宋体" w:hAnsi="新宋体" w:eastAsia="新宋体" w:cs="新宋体"/>
                <w:sz w:val="24"/>
                <w:szCs w:val="24"/>
              </w:rPr>
            </w:pPr>
            <w:r>
              <w:rPr>
                <w:rFonts w:hint="eastAsia" w:ascii="新宋体" w:hAnsi="新宋体" w:eastAsia="新宋体" w:cs="新宋体"/>
                <w:sz w:val="24"/>
                <w:szCs w:val="24"/>
              </w:rPr>
              <w:t>价格分值：      30分</w:t>
            </w:r>
          </w:p>
          <w:p>
            <w:pPr>
              <w:widowControl/>
              <w:spacing w:line="360" w:lineRule="auto"/>
              <w:ind w:firstLine="480"/>
              <w:jc w:val="center"/>
              <w:rPr>
                <w:rFonts w:hint="eastAsia" w:ascii="新宋体" w:hAnsi="新宋体" w:eastAsia="新宋体" w:cs="新宋体"/>
                <w:sz w:val="24"/>
                <w:szCs w:val="24"/>
              </w:rPr>
            </w:pPr>
            <w:r>
              <w:rPr>
                <w:rFonts w:hint="eastAsia" w:ascii="新宋体" w:hAnsi="新宋体" w:eastAsia="新宋体" w:cs="新宋体"/>
                <w:sz w:val="24"/>
                <w:szCs w:val="24"/>
              </w:rPr>
              <w:t>商务部分：      30分</w:t>
            </w:r>
          </w:p>
          <w:p>
            <w:pPr>
              <w:widowControl/>
              <w:spacing w:line="360" w:lineRule="auto"/>
              <w:ind w:firstLine="480"/>
              <w:jc w:val="center"/>
              <w:rPr>
                <w:rFonts w:hint="eastAsia" w:ascii="新宋体" w:hAnsi="新宋体" w:eastAsia="新宋体" w:cs="新宋体"/>
                <w:sz w:val="24"/>
                <w:szCs w:val="24"/>
              </w:rPr>
            </w:pPr>
            <w:r>
              <w:rPr>
                <w:rFonts w:hint="eastAsia" w:ascii="新宋体" w:hAnsi="新宋体" w:eastAsia="新宋体" w:cs="新宋体"/>
                <w:sz w:val="24"/>
                <w:szCs w:val="24"/>
              </w:rPr>
              <w:t>技术部分：      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85" w:type="dxa"/>
            <w:gridSpan w:val="4"/>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一、价格部分（满分</w:t>
            </w:r>
            <w:r>
              <w:rPr>
                <w:rFonts w:hint="eastAsia" w:ascii="新宋体" w:hAnsi="新宋体" w:eastAsia="新宋体" w:cs="新宋体"/>
                <w:bCs/>
                <w:sz w:val="24"/>
                <w:szCs w:val="24"/>
              </w:rPr>
              <w:t>30</w:t>
            </w:r>
            <w:r>
              <w:rPr>
                <w:rFonts w:hint="eastAsia" w:ascii="新宋体" w:hAnsi="新宋体" w:eastAsia="新宋体" w:cs="新宋体"/>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21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投标报价</w:t>
            </w:r>
          </w:p>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212" w:lineRule="atLeast"/>
              <w:rPr>
                <w:rFonts w:hint="eastAsia" w:ascii="新宋体" w:hAnsi="新宋体" w:eastAsia="新宋体" w:cs="新宋体"/>
                <w:sz w:val="24"/>
                <w:szCs w:val="24"/>
              </w:rPr>
            </w:pPr>
            <w:r>
              <w:rPr>
                <w:rFonts w:hint="eastAsia" w:ascii="新宋体" w:hAnsi="新宋体" w:eastAsia="新宋体" w:cs="新宋体"/>
                <w:sz w:val="24"/>
                <w:szCs w:val="24"/>
              </w:rPr>
              <w:t>投标报价得分采用低价优先法计算，即满足招标文件要求且投标价格最低的投标报价为评标基准价，其价格分为满分。其他投标人的价格分统一按照下列公式计算：投标报价得分=（评标基准价/投标报价）×30</w:t>
            </w:r>
          </w:p>
          <w:p>
            <w:pPr>
              <w:spacing w:before="100" w:beforeAutospacing="1" w:after="100" w:afterAutospacing="1" w:line="212" w:lineRule="atLeast"/>
              <w:rPr>
                <w:rFonts w:hint="eastAsia" w:ascii="新宋体" w:hAnsi="新宋体" w:eastAsia="新宋体" w:cs="新宋体"/>
                <w:kern w:val="0"/>
                <w:sz w:val="24"/>
                <w:szCs w:val="24"/>
              </w:rPr>
            </w:pPr>
            <w:r>
              <w:rPr>
                <w:rFonts w:hint="eastAsia" w:ascii="新宋体" w:hAnsi="新宋体" w:eastAsia="新宋体" w:cs="新宋体"/>
                <w:sz w:val="24"/>
                <w:szCs w:val="24"/>
              </w:rPr>
              <w:t>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9285" w:type="dxa"/>
            <w:gridSpan w:val="4"/>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评分因素</w:t>
            </w:r>
          </w:p>
        </w:tc>
        <w:tc>
          <w:tcPr>
            <w:tcW w:w="619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2093" w:type="dxa"/>
            <w:tcBorders>
              <w:top w:val="single" w:color="auto" w:sz="4" w:space="0"/>
              <w:left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企业业绩</w:t>
            </w:r>
          </w:p>
        </w:tc>
        <w:tc>
          <w:tcPr>
            <w:tcW w:w="6190"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36" w:lineRule="auto"/>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 xml:space="preserve">投标人提供自2016年1月1日以来完成的类似项目业绩，每提供一个业绩得5分。本项最高得分30分，不提供不得分。（提供中标通知书及合同，时间以合同签订时间为准）                                                                                                            </w:t>
            </w:r>
          </w:p>
          <w:p>
            <w:pPr>
              <w:snapToGrid w:val="0"/>
              <w:spacing w:line="336" w:lineRule="auto"/>
              <w:outlineLvl w:val="0"/>
              <w:rPr>
                <w:rFonts w:hint="eastAsia" w:ascii="新宋体" w:hAnsi="新宋体" w:eastAsia="新宋体" w:cs="新宋体"/>
                <w:b/>
                <w:color w:val="000000" w:themeColor="text1"/>
                <w:sz w:val="24"/>
                <w:szCs w:val="24"/>
              </w:rPr>
            </w:pPr>
            <w:r>
              <w:rPr>
                <w:rFonts w:hint="eastAsia" w:ascii="新宋体" w:hAnsi="新宋体" w:eastAsia="新宋体" w:cs="新宋体"/>
                <w:b/>
                <w:color w:val="000000" w:themeColor="text1"/>
                <w:sz w:val="24"/>
                <w:szCs w:val="24"/>
              </w:rPr>
              <w:t>注：投标人须提供完整的证明材料，未提供或提供不全的不得分。</w:t>
            </w:r>
          </w:p>
        </w:tc>
        <w:tc>
          <w:tcPr>
            <w:tcW w:w="1002"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28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1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119" w:type="dxa"/>
            <w:gridSpan w:val="2"/>
            <w:vMerge w:val="restart"/>
            <w:tcBorders>
              <w:top w:val="single" w:color="auto" w:sz="4" w:space="0"/>
              <w:left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sz w:val="24"/>
                <w:szCs w:val="24"/>
              </w:rPr>
              <w:t>实施方案与措施</w:t>
            </w:r>
          </w:p>
        </w:tc>
        <w:tc>
          <w:tcPr>
            <w:tcW w:w="616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1.工作遵循规范和标准及编制依据：编制依据充分符合国家有关规定优质得8分，一般得4分。</w:t>
            </w:r>
          </w:p>
        </w:tc>
        <w:tc>
          <w:tcPr>
            <w:tcW w:w="100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119" w:type="dxa"/>
            <w:gridSpan w:val="2"/>
            <w:vMerge w:val="continue"/>
            <w:tcBorders>
              <w:top w:val="single" w:color="auto" w:sz="4" w:space="0"/>
              <w:left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p>
        </w:tc>
        <w:tc>
          <w:tcPr>
            <w:tcW w:w="6164" w:type="dxa"/>
            <w:tcBorders>
              <w:top w:val="single" w:color="auto" w:sz="4" w:space="0"/>
              <w:left w:val="single" w:color="auto" w:sz="4" w:space="0"/>
              <w:bottom w:val="single" w:color="auto" w:sz="4" w:space="0"/>
              <w:right w:val="single" w:color="auto" w:sz="4" w:space="0"/>
            </w:tcBorders>
            <w:noWrap/>
            <w:vAlign w:val="center"/>
          </w:tcPr>
          <w:p>
            <w:pPr>
              <w:pStyle w:val="22"/>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2.成果提交计划及保证措施：进度安排合理，成果提交计划满足业主要求，措施优质得8分，一般得4分。</w:t>
            </w:r>
          </w:p>
        </w:tc>
        <w:tc>
          <w:tcPr>
            <w:tcW w:w="100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gridSpan w:val="2"/>
            <w:vMerge w:val="continue"/>
            <w:tcBorders>
              <w:left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p>
        </w:tc>
        <w:tc>
          <w:tcPr>
            <w:tcW w:w="6164" w:type="dxa"/>
            <w:tcBorders>
              <w:top w:val="single" w:color="auto" w:sz="4" w:space="0"/>
              <w:left w:val="single" w:color="auto" w:sz="4" w:space="0"/>
              <w:bottom w:val="single" w:color="auto" w:sz="4" w:space="0"/>
              <w:right w:val="single" w:color="auto" w:sz="4" w:space="0"/>
            </w:tcBorders>
            <w:noWrap/>
            <w:vAlign w:val="center"/>
          </w:tcPr>
          <w:p>
            <w:pPr>
              <w:pStyle w:val="22"/>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3.提交的成果质量及保证措施：成果质量及保证措施具体、切实可行优质得8分，一般得4分。</w:t>
            </w:r>
          </w:p>
        </w:tc>
        <w:tc>
          <w:tcPr>
            <w:tcW w:w="1002" w:type="dxa"/>
            <w:tcBorders>
              <w:top w:val="single" w:color="auto" w:sz="4" w:space="0"/>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gridSpan w:val="2"/>
            <w:vMerge w:val="continue"/>
            <w:tcBorders>
              <w:left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p>
        </w:tc>
        <w:tc>
          <w:tcPr>
            <w:tcW w:w="6164" w:type="dxa"/>
            <w:tcBorders>
              <w:top w:val="single" w:color="auto" w:sz="4" w:space="0"/>
              <w:left w:val="single" w:color="auto" w:sz="4" w:space="0"/>
              <w:bottom w:val="single" w:color="auto" w:sz="4" w:space="0"/>
              <w:right w:val="single" w:color="auto" w:sz="4" w:space="0"/>
            </w:tcBorders>
            <w:noWrap/>
            <w:vAlign w:val="center"/>
          </w:tcPr>
          <w:p>
            <w:pPr>
              <w:pStyle w:val="22"/>
              <w:ind w:firstLine="0" w:firstLineChars="0"/>
              <w:rPr>
                <w:rFonts w:hint="eastAsia" w:ascii="新宋体" w:hAnsi="新宋体" w:eastAsia="新宋体" w:cs="新宋体"/>
                <w:sz w:val="24"/>
                <w:szCs w:val="24"/>
              </w:rPr>
            </w:pPr>
            <w:r>
              <w:rPr>
                <w:rFonts w:hint="eastAsia" w:ascii="新宋体" w:hAnsi="新宋体" w:eastAsia="新宋体" w:cs="新宋体"/>
                <w:sz w:val="24"/>
                <w:szCs w:val="24"/>
              </w:rPr>
              <w:t>4.实施方案：项目编写方案科学、合理并切实可行优质得8分，一般得4分。</w:t>
            </w:r>
          </w:p>
        </w:tc>
        <w:tc>
          <w:tcPr>
            <w:tcW w:w="100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gridSpan w:val="2"/>
            <w:vMerge w:val="continue"/>
            <w:tcBorders>
              <w:left w:val="single" w:color="auto" w:sz="4" w:space="0"/>
              <w:bottom w:val="single" w:color="auto" w:sz="4" w:space="0"/>
              <w:right w:val="single" w:color="auto" w:sz="4" w:space="0"/>
            </w:tcBorders>
            <w:noWrap/>
            <w:vAlign w:val="center"/>
          </w:tcPr>
          <w:p>
            <w:pPr>
              <w:widowControl/>
              <w:spacing w:line="330" w:lineRule="atLeast"/>
              <w:jc w:val="center"/>
              <w:rPr>
                <w:rFonts w:hint="eastAsia" w:ascii="新宋体" w:hAnsi="新宋体" w:eastAsia="新宋体" w:cs="新宋体"/>
                <w:kern w:val="0"/>
                <w:sz w:val="24"/>
                <w:szCs w:val="24"/>
              </w:rPr>
            </w:pPr>
          </w:p>
        </w:tc>
        <w:tc>
          <w:tcPr>
            <w:tcW w:w="6164"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hint="eastAsia" w:ascii="新宋体" w:hAnsi="新宋体" w:eastAsia="新宋体" w:cs="新宋体"/>
                <w:sz w:val="24"/>
                <w:szCs w:val="24"/>
              </w:rPr>
            </w:pPr>
            <w:r>
              <w:rPr>
                <w:rFonts w:hint="eastAsia" w:ascii="新宋体" w:hAnsi="新宋体" w:eastAsia="新宋体" w:cs="新宋体"/>
                <w:sz w:val="24"/>
                <w:szCs w:val="24"/>
              </w:rPr>
              <w:t>5.项目实施难点、关键过程分析及对策：项目实施难点、关键过程分析及与之相应的合理化建议合理到位、切实可行优质得8分，一般得4分。</w:t>
            </w:r>
          </w:p>
        </w:tc>
        <w:tc>
          <w:tcPr>
            <w:tcW w:w="100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hint="eastAsia" w:ascii="新宋体" w:hAnsi="新宋体" w:eastAsia="新宋体" w:cs="新宋体"/>
                <w:sz w:val="24"/>
                <w:szCs w:val="24"/>
              </w:rPr>
            </w:pPr>
            <w:r>
              <w:rPr>
                <w:rFonts w:hint="eastAsia" w:ascii="新宋体" w:hAnsi="新宋体" w:eastAsia="新宋体" w:cs="新宋体"/>
                <w:kern w:val="0"/>
                <w:sz w:val="24"/>
                <w:szCs w:val="24"/>
              </w:rPr>
              <w:t>8分</w:t>
            </w:r>
          </w:p>
        </w:tc>
      </w:tr>
    </w:tbl>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p>
      <w:pPr>
        <w:pStyle w:val="30"/>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30"/>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ind w:firstLine="2530" w:firstLineChars="7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0" w:name="_Toc186274126"/>
      <w:bookmarkStart w:id="11" w:name="_Toc184023138"/>
      <w:bookmarkStart w:id="12" w:name="_Toc174185203"/>
      <w:r>
        <w:rPr>
          <w:rFonts w:hint="eastAsia" w:cs="黑体" w:asciiTheme="minorEastAsia" w:hAnsiTheme="minorEastAsia" w:eastAsiaTheme="minorEastAsia"/>
          <w:color w:val="auto"/>
          <w:kern w:val="2"/>
          <w:sz w:val="28"/>
          <w:szCs w:val="28"/>
          <w:lang w:val="zh-CN"/>
        </w:rPr>
        <w:t>一、投标人应答索引表</w:t>
      </w:r>
      <w:bookmarkEnd w:id="10"/>
      <w:bookmarkEnd w:id="11"/>
      <w:bookmarkEnd w:id="12"/>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both"/>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3" w:name="_资格证明文件"/>
            <w:bookmarkEnd w:id="13"/>
            <w:bookmarkStart w:id="14"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4"/>
          </w:p>
        </w:tc>
        <w:tc>
          <w:tcPr>
            <w:tcW w:w="4492" w:type="dxa"/>
            <w:gridSpan w:val="2"/>
            <w:vAlign w:val="center"/>
          </w:tcPr>
          <w:p>
            <w:pPr>
              <w:jc w:val="center"/>
              <w:rPr>
                <w:rFonts w:asciiTheme="minorEastAsia" w:hAnsiTheme="minorEastAsia"/>
                <w:szCs w:val="21"/>
              </w:rPr>
            </w:pPr>
            <w:bookmarkStart w:id="15"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5"/>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0"/>
        <w:rPr>
          <w:rFonts w:hint="eastAsia" w:ascii="宋体" w:hAnsi="宋体"/>
          <w:b/>
          <w:bCs/>
          <w:color w:val="000000"/>
          <w:sz w:val="24"/>
          <w:szCs w:val="24"/>
        </w:rPr>
      </w:pPr>
    </w:p>
    <w:p>
      <w:pPr>
        <w:pStyle w:val="30"/>
        <w:rPr>
          <w:rFonts w:hint="eastAsia" w:ascii="宋体" w:hAnsi="宋体"/>
          <w:b/>
          <w:bCs/>
          <w:color w:val="000000"/>
          <w:sz w:val="24"/>
          <w:szCs w:val="24"/>
        </w:rPr>
      </w:pPr>
    </w:p>
    <w:p>
      <w:pPr>
        <w:pStyle w:val="3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16" w:name="OLE_LINK13"/>
      <w:bookmarkStart w:id="17" w:name="OLE_LINK14"/>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16"/>
    <w:bookmarkEnd w:id="17"/>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4"/>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3"/>
  </w:num>
  <w:num w:numId="6">
    <w:abstractNumId w:val="7"/>
  </w:num>
  <w:num w:numId="7">
    <w:abstractNumId w:val="0"/>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5B7C17"/>
    <w:rsid w:val="037217D3"/>
    <w:rsid w:val="03813929"/>
    <w:rsid w:val="03A87C38"/>
    <w:rsid w:val="03C54AE6"/>
    <w:rsid w:val="04AC3A15"/>
    <w:rsid w:val="06055098"/>
    <w:rsid w:val="0630250D"/>
    <w:rsid w:val="067B2CDB"/>
    <w:rsid w:val="07732CDA"/>
    <w:rsid w:val="07DA78CD"/>
    <w:rsid w:val="080C2BBA"/>
    <w:rsid w:val="08C0181D"/>
    <w:rsid w:val="08FD5745"/>
    <w:rsid w:val="0A3A482D"/>
    <w:rsid w:val="0A5E16AE"/>
    <w:rsid w:val="0A7C3AAF"/>
    <w:rsid w:val="0A997A60"/>
    <w:rsid w:val="0AB50907"/>
    <w:rsid w:val="0B01317F"/>
    <w:rsid w:val="0B505469"/>
    <w:rsid w:val="0BBD5765"/>
    <w:rsid w:val="0BEA24E4"/>
    <w:rsid w:val="0C1C3D54"/>
    <w:rsid w:val="0C1D2223"/>
    <w:rsid w:val="0C3D4298"/>
    <w:rsid w:val="0C9523A6"/>
    <w:rsid w:val="0CA67F00"/>
    <w:rsid w:val="0CAB7FE2"/>
    <w:rsid w:val="0CCD3572"/>
    <w:rsid w:val="0CF46B6D"/>
    <w:rsid w:val="0CF874BC"/>
    <w:rsid w:val="0D057A5F"/>
    <w:rsid w:val="0D403087"/>
    <w:rsid w:val="0DA22AE9"/>
    <w:rsid w:val="0DC65574"/>
    <w:rsid w:val="0E3648A2"/>
    <w:rsid w:val="0EF84FFA"/>
    <w:rsid w:val="0F485C64"/>
    <w:rsid w:val="0F7B5351"/>
    <w:rsid w:val="0FD30C14"/>
    <w:rsid w:val="101B403B"/>
    <w:rsid w:val="105D734C"/>
    <w:rsid w:val="110E6851"/>
    <w:rsid w:val="1139362B"/>
    <w:rsid w:val="116D26CD"/>
    <w:rsid w:val="11C23651"/>
    <w:rsid w:val="11E13F76"/>
    <w:rsid w:val="123143AC"/>
    <w:rsid w:val="129267D1"/>
    <w:rsid w:val="12C422CE"/>
    <w:rsid w:val="13903C42"/>
    <w:rsid w:val="13B159A7"/>
    <w:rsid w:val="13D62A9D"/>
    <w:rsid w:val="13EB69AF"/>
    <w:rsid w:val="13EF7D11"/>
    <w:rsid w:val="140778EB"/>
    <w:rsid w:val="15437E44"/>
    <w:rsid w:val="155C6126"/>
    <w:rsid w:val="155E38CF"/>
    <w:rsid w:val="158908A7"/>
    <w:rsid w:val="160E3E81"/>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4B7B2E"/>
    <w:rsid w:val="1B7847FF"/>
    <w:rsid w:val="1BAE49D7"/>
    <w:rsid w:val="1C2D1536"/>
    <w:rsid w:val="1CCF2F1D"/>
    <w:rsid w:val="1CF87F0B"/>
    <w:rsid w:val="1CFB73D3"/>
    <w:rsid w:val="1D3B1EEC"/>
    <w:rsid w:val="1D767D0D"/>
    <w:rsid w:val="1E8E722F"/>
    <w:rsid w:val="1EF76DF1"/>
    <w:rsid w:val="1F8E45BB"/>
    <w:rsid w:val="1FE15514"/>
    <w:rsid w:val="1FF158F3"/>
    <w:rsid w:val="20611B1C"/>
    <w:rsid w:val="208614E5"/>
    <w:rsid w:val="21031FC5"/>
    <w:rsid w:val="213729F0"/>
    <w:rsid w:val="2157706F"/>
    <w:rsid w:val="21DC7D3C"/>
    <w:rsid w:val="21DD4A96"/>
    <w:rsid w:val="2298317C"/>
    <w:rsid w:val="22CE29EE"/>
    <w:rsid w:val="22E01AF5"/>
    <w:rsid w:val="24D35795"/>
    <w:rsid w:val="255E48CD"/>
    <w:rsid w:val="26B87348"/>
    <w:rsid w:val="26BD0C2F"/>
    <w:rsid w:val="26BD3B85"/>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C710B40"/>
    <w:rsid w:val="2CBF3D3E"/>
    <w:rsid w:val="2D3257AD"/>
    <w:rsid w:val="2D4A693F"/>
    <w:rsid w:val="2D7511B5"/>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19659B"/>
    <w:rsid w:val="35D905EB"/>
    <w:rsid w:val="35DF72FB"/>
    <w:rsid w:val="36B46A4A"/>
    <w:rsid w:val="36E65B38"/>
    <w:rsid w:val="36F866E5"/>
    <w:rsid w:val="375656B9"/>
    <w:rsid w:val="375B6549"/>
    <w:rsid w:val="37627558"/>
    <w:rsid w:val="37AC24EF"/>
    <w:rsid w:val="37B91083"/>
    <w:rsid w:val="383731D3"/>
    <w:rsid w:val="38C076BF"/>
    <w:rsid w:val="38ED1382"/>
    <w:rsid w:val="39FD28B4"/>
    <w:rsid w:val="3A332610"/>
    <w:rsid w:val="3A34267C"/>
    <w:rsid w:val="3A403E64"/>
    <w:rsid w:val="3AC47AB6"/>
    <w:rsid w:val="3ADD0A2E"/>
    <w:rsid w:val="3B4C7808"/>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414D7438"/>
    <w:rsid w:val="41572B91"/>
    <w:rsid w:val="41A16B13"/>
    <w:rsid w:val="41EF3AE9"/>
    <w:rsid w:val="42065704"/>
    <w:rsid w:val="423A7A11"/>
    <w:rsid w:val="428968C5"/>
    <w:rsid w:val="430D37F8"/>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BF03910"/>
    <w:rsid w:val="4CA91082"/>
    <w:rsid w:val="4D1C4C00"/>
    <w:rsid w:val="4E8F0D2C"/>
    <w:rsid w:val="4E9D24DB"/>
    <w:rsid w:val="4EAC4ADD"/>
    <w:rsid w:val="4EB72836"/>
    <w:rsid w:val="4ED23FD5"/>
    <w:rsid w:val="4EE945C2"/>
    <w:rsid w:val="4EF775A1"/>
    <w:rsid w:val="4EFB1FC3"/>
    <w:rsid w:val="4F2D1244"/>
    <w:rsid w:val="4F3C1178"/>
    <w:rsid w:val="4F4170F7"/>
    <w:rsid w:val="4F661CEB"/>
    <w:rsid w:val="4FEB5C49"/>
    <w:rsid w:val="505C6771"/>
    <w:rsid w:val="51260813"/>
    <w:rsid w:val="527B1821"/>
    <w:rsid w:val="5310611D"/>
    <w:rsid w:val="53276344"/>
    <w:rsid w:val="53293BFC"/>
    <w:rsid w:val="533D55CA"/>
    <w:rsid w:val="535D3032"/>
    <w:rsid w:val="53C97953"/>
    <w:rsid w:val="53DA095B"/>
    <w:rsid w:val="53F5577A"/>
    <w:rsid w:val="54EC2987"/>
    <w:rsid w:val="55026173"/>
    <w:rsid w:val="5590515E"/>
    <w:rsid w:val="55EF2276"/>
    <w:rsid w:val="562D2F69"/>
    <w:rsid w:val="5656263B"/>
    <w:rsid w:val="56563817"/>
    <w:rsid w:val="57024892"/>
    <w:rsid w:val="5703196B"/>
    <w:rsid w:val="57140DA8"/>
    <w:rsid w:val="574A43AC"/>
    <w:rsid w:val="58077CBD"/>
    <w:rsid w:val="5812110B"/>
    <w:rsid w:val="582E1358"/>
    <w:rsid w:val="58323449"/>
    <w:rsid w:val="58854954"/>
    <w:rsid w:val="589505A8"/>
    <w:rsid w:val="58D254DE"/>
    <w:rsid w:val="58FD658D"/>
    <w:rsid w:val="59454145"/>
    <w:rsid w:val="5A836AC3"/>
    <w:rsid w:val="5A94205E"/>
    <w:rsid w:val="5B0C6CA4"/>
    <w:rsid w:val="5B410FDE"/>
    <w:rsid w:val="5BCD4474"/>
    <w:rsid w:val="5BDD720D"/>
    <w:rsid w:val="5CE07F87"/>
    <w:rsid w:val="5CFD3C28"/>
    <w:rsid w:val="5E075123"/>
    <w:rsid w:val="5E2C7B65"/>
    <w:rsid w:val="5E8E1ADB"/>
    <w:rsid w:val="5EB8046C"/>
    <w:rsid w:val="5EC23D91"/>
    <w:rsid w:val="5EEA6FD8"/>
    <w:rsid w:val="5F5D3B89"/>
    <w:rsid w:val="5F91300B"/>
    <w:rsid w:val="5FBD74DE"/>
    <w:rsid w:val="601812B8"/>
    <w:rsid w:val="603F2634"/>
    <w:rsid w:val="6041372E"/>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7716CE1"/>
    <w:rsid w:val="68594ADA"/>
    <w:rsid w:val="68741D48"/>
    <w:rsid w:val="693A6BDC"/>
    <w:rsid w:val="69FF0DA5"/>
    <w:rsid w:val="6A250A9F"/>
    <w:rsid w:val="6A7735B4"/>
    <w:rsid w:val="6AB31C19"/>
    <w:rsid w:val="6B357A50"/>
    <w:rsid w:val="6B5B7DCB"/>
    <w:rsid w:val="6B930197"/>
    <w:rsid w:val="6BB95672"/>
    <w:rsid w:val="6C1E4AF0"/>
    <w:rsid w:val="6C4712E8"/>
    <w:rsid w:val="6C9C46AE"/>
    <w:rsid w:val="6CE55F45"/>
    <w:rsid w:val="6D15465F"/>
    <w:rsid w:val="6D6121F0"/>
    <w:rsid w:val="6D8D5D8A"/>
    <w:rsid w:val="6DB31E54"/>
    <w:rsid w:val="6DD92BDD"/>
    <w:rsid w:val="6DE87E82"/>
    <w:rsid w:val="6DFC3DF2"/>
    <w:rsid w:val="6E673C05"/>
    <w:rsid w:val="6E6A634D"/>
    <w:rsid w:val="6E6F4DC3"/>
    <w:rsid w:val="6E7511ED"/>
    <w:rsid w:val="6E76180E"/>
    <w:rsid w:val="6ED546F7"/>
    <w:rsid w:val="6F272507"/>
    <w:rsid w:val="6F2F7205"/>
    <w:rsid w:val="6F992BAA"/>
    <w:rsid w:val="6FF11A89"/>
    <w:rsid w:val="70117814"/>
    <w:rsid w:val="70602224"/>
    <w:rsid w:val="70C1699F"/>
    <w:rsid w:val="711034C3"/>
    <w:rsid w:val="7151172F"/>
    <w:rsid w:val="71617265"/>
    <w:rsid w:val="71637D8F"/>
    <w:rsid w:val="719549A9"/>
    <w:rsid w:val="71C32A07"/>
    <w:rsid w:val="71E53350"/>
    <w:rsid w:val="720E5D3A"/>
    <w:rsid w:val="72254E2A"/>
    <w:rsid w:val="72580CA4"/>
    <w:rsid w:val="72ED3426"/>
    <w:rsid w:val="73184127"/>
    <w:rsid w:val="73555ECB"/>
    <w:rsid w:val="73733509"/>
    <w:rsid w:val="73D40348"/>
    <w:rsid w:val="74304EB5"/>
    <w:rsid w:val="7443036E"/>
    <w:rsid w:val="74AB41BE"/>
    <w:rsid w:val="75EA3934"/>
    <w:rsid w:val="76AF6448"/>
    <w:rsid w:val="774700AD"/>
    <w:rsid w:val="777E0158"/>
    <w:rsid w:val="777F7752"/>
    <w:rsid w:val="77A5121A"/>
    <w:rsid w:val="78771340"/>
    <w:rsid w:val="788A0F31"/>
    <w:rsid w:val="78F56DD8"/>
    <w:rsid w:val="79373D17"/>
    <w:rsid w:val="7A77760E"/>
    <w:rsid w:val="7AC70899"/>
    <w:rsid w:val="7B3F7553"/>
    <w:rsid w:val="7B7986D1"/>
    <w:rsid w:val="7B877587"/>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5"/>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1"/>
    <w:qFormat/>
    <w:uiPriority w:val="0"/>
    <w:rPr>
      <w:rFonts w:ascii="Times New Roman" w:hAnsi="Times New Roman" w:eastAsia="宋体" w:cs="Times New Roman"/>
      <w:color w:val="FF0000"/>
      <w:sz w:val="24"/>
      <w:szCs w:val="24"/>
    </w:rPr>
  </w:style>
  <w:style w:type="paragraph" w:styleId="10">
    <w:name w:val="Body Text Indent"/>
    <w:basedOn w:val="1"/>
    <w:next w:val="11"/>
    <w:qFormat/>
    <w:uiPriority w:val="0"/>
    <w:pPr>
      <w:spacing w:line="400" w:lineRule="exact"/>
      <w:ind w:left="630"/>
    </w:pPr>
    <w:rPr>
      <w:rFonts w:ascii="楷体_GB2312" w:eastAsia="宋体"/>
      <w:sz w:val="21"/>
    </w:rPr>
  </w:style>
  <w:style w:type="paragraph" w:styleId="11">
    <w:name w:val="envelope return"/>
    <w:basedOn w:val="1"/>
    <w:semiHidden/>
    <w:unhideWhenUsed/>
    <w:qFormat/>
    <w:uiPriority w:val="99"/>
    <w:pPr>
      <w:snapToGrid w:val="0"/>
    </w:pPr>
    <w:rPr>
      <w:rFonts w:hint="eastAsia" w:ascii="Arial" w:hAnsi="Arial"/>
      <w:sz w:val="24"/>
    </w:rPr>
  </w:style>
  <w:style w:type="paragraph" w:styleId="12">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7"/>
    <w:qFormat/>
    <w:uiPriority w:val="0"/>
    <w:rPr>
      <w:rFonts w:eastAsia="宋体"/>
      <w:sz w:val="24"/>
    </w:rPr>
  </w:style>
  <w:style w:type="paragraph" w:styleId="16">
    <w:name w:val="Date"/>
    <w:basedOn w:val="1"/>
    <w:next w:val="1"/>
    <w:link w:val="38"/>
    <w:unhideWhenUsed/>
    <w:qFormat/>
    <w:uiPriority w:val="99"/>
    <w:pPr>
      <w:ind w:left="100" w:leftChars="2500"/>
    </w:p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2"/>
    <w:link w:val="56"/>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无间隔1"/>
    <w:basedOn w:val="1"/>
    <w:qFormat/>
    <w:uiPriority w:val="0"/>
    <w:pPr>
      <w:spacing w:line="400" w:lineRule="exact"/>
    </w:pPr>
    <w:rPr>
      <w:sz w:val="24"/>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paragraph" w:customStyle="1" w:styleId="32">
    <w:name w:val="列出段落1"/>
    <w:basedOn w:val="1"/>
    <w:unhideWhenUsed/>
    <w:qFormat/>
    <w:uiPriority w:val="99"/>
    <w:pPr>
      <w:ind w:firstLine="420" w:firstLineChars="200"/>
    </w:pPr>
  </w:style>
  <w:style w:type="character" w:customStyle="1" w:styleId="33">
    <w:name w:val="标题 1 Char"/>
    <w:basedOn w:val="25"/>
    <w:link w:val="3"/>
    <w:qFormat/>
    <w:uiPriority w:val="0"/>
    <w:rPr>
      <w:rFonts w:ascii="Calibri" w:hAnsi="Calibri" w:eastAsia="宋体" w:cs="Times New Roman"/>
      <w:b/>
      <w:bCs/>
      <w:kern w:val="44"/>
      <w:sz w:val="44"/>
      <w:szCs w:val="44"/>
    </w:rPr>
  </w:style>
  <w:style w:type="character" w:customStyle="1" w:styleId="34">
    <w:name w:val="标题 2 Char"/>
    <w:basedOn w:val="25"/>
    <w:link w:val="4"/>
    <w:qFormat/>
    <w:uiPriority w:val="0"/>
    <w:rPr>
      <w:rFonts w:ascii="Arial" w:hAnsi="Arial" w:eastAsia="黑体" w:cs="Times New Roman"/>
      <w:b/>
      <w:bCs/>
      <w:kern w:val="0"/>
      <w:sz w:val="32"/>
      <w:szCs w:val="32"/>
    </w:rPr>
  </w:style>
  <w:style w:type="character" w:customStyle="1" w:styleId="35">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5"/>
    <w:link w:val="6"/>
    <w:qFormat/>
    <w:uiPriority w:val="0"/>
    <w:rPr>
      <w:rFonts w:ascii="Arial" w:hAnsi="Arial" w:eastAsia="黑体" w:cs="Times New Roman"/>
      <w:b/>
      <w:bCs/>
      <w:kern w:val="0"/>
      <w:sz w:val="28"/>
      <w:szCs w:val="28"/>
    </w:rPr>
  </w:style>
  <w:style w:type="character" w:customStyle="1" w:styleId="37">
    <w:name w:val="纯文本 Char"/>
    <w:basedOn w:val="25"/>
    <w:link w:val="15"/>
    <w:qFormat/>
    <w:uiPriority w:val="0"/>
    <w:rPr>
      <w:rFonts w:eastAsia="宋体"/>
      <w:sz w:val="24"/>
    </w:rPr>
  </w:style>
  <w:style w:type="character" w:customStyle="1" w:styleId="38">
    <w:name w:val="日期 Char"/>
    <w:basedOn w:val="25"/>
    <w:link w:val="16"/>
    <w:qFormat/>
    <w:uiPriority w:val="99"/>
  </w:style>
  <w:style w:type="character" w:customStyle="1" w:styleId="39">
    <w:name w:val="页脚 Char"/>
    <w:basedOn w:val="25"/>
    <w:link w:val="17"/>
    <w:qFormat/>
    <w:uiPriority w:val="99"/>
    <w:rPr>
      <w:sz w:val="18"/>
      <w:szCs w:val="18"/>
    </w:rPr>
  </w:style>
  <w:style w:type="character" w:customStyle="1" w:styleId="40">
    <w:name w:val="页眉 Char"/>
    <w:basedOn w:val="25"/>
    <w:link w:val="18"/>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5"/>
    <w:link w:val="9"/>
    <w:qFormat/>
    <w:uiPriority w:val="0"/>
    <w:rPr>
      <w:rFonts w:ascii="Times New Roman" w:hAnsi="Times New Roman" w:eastAsia="宋体" w:cs="Times New Roman"/>
      <w:color w:val="FF0000"/>
      <w:sz w:val="24"/>
      <w:szCs w:val="24"/>
    </w:rPr>
  </w:style>
  <w:style w:type="character" w:customStyle="1" w:styleId="52">
    <w:name w:val="edittexttarea"/>
    <w:basedOn w:val="25"/>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5"/>
    <w:link w:val="2"/>
    <w:semiHidden/>
    <w:qFormat/>
    <w:uiPriority w:val="99"/>
  </w:style>
  <w:style w:type="character" w:customStyle="1" w:styleId="56">
    <w:name w:val="正文首行缩进 Char"/>
    <w:basedOn w:val="55"/>
    <w:link w:val="22"/>
    <w:qFormat/>
    <w:uiPriority w:val="0"/>
    <w:rPr>
      <w:rFonts w:ascii="宋体" w:hAnsi="Times New Roman" w:eastAsia="宋体" w:cs="Times New Roman"/>
      <w:kern w:val="0"/>
      <w:sz w:val="34"/>
      <w:szCs w:val="20"/>
    </w:rPr>
  </w:style>
  <w:style w:type="character" w:customStyle="1" w:styleId="57">
    <w:name w:val="HTML 预设格式 Char"/>
    <w:basedOn w:val="25"/>
    <w:link w:val="20"/>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5"/>
    <w:qFormat/>
    <w:uiPriority w:val="0"/>
    <w:rPr>
      <w:rFonts w:hint="eastAsia" w:ascii="宋体" w:hAnsi="宋体" w:eastAsia="宋体" w:cs="宋体"/>
      <w:color w:val="000000"/>
      <w:sz w:val="22"/>
      <w:szCs w:val="22"/>
      <w:u w:val="none"/>
    </w:rPr>
  </w:style>
  <w:style w:type="character" w:customStyle="1" w:styleId="63">
    <w:name w:val="font21"/>
    <w:basedOn w:val="25"/>
    <w:qFormat/>
    <w:uiPriority w:val="0"/>
    <w:rPr>
      <w:rFonts w:hint="eastAsia" w:ascii="宋体" w:hAnsi="宋体" w:eastAsia="宋体" w:cs="宋体"/>
      <w:color w:val="000000"/>
      <w:sz w:val="28"/>
      <w:szCs w:val="28"/>
      <w:u w:val="none"/>
    </w:rPr>
  </w:style>
  <w:style w:type="character" w:customStyle="1" w:styleId="64">
    <w:name w:val="font11"/>
    <w:basedOn w:val="25"/>
    <w:qFormat/>
    <w:uiPriority w:val="0"/>
    <w:rPr>
      <w:rFonts w:ascii="Calibri" w:hAnsi="Calibri" w:cs="Calibri"/>
      <w:color w:val="000000"/>
      <w:sz w:val="28"/>
      <w:szCs w:val="28"/>
      <w:u w:val="none"/>
    </w:rPr>
  </w:style>
  <w:style w:type="paragraph" w:customStyle="1" w:styleId="65">
    <w:name w:val="p0"/>
    <w:basedOn w:val="1"/>
    <w:qFormat/>
    <w:uiPriority w:val="0"/>
    <w:pPr>
      <w:widowControl/>
    </w:pPr>
    <w:rPr>
      <w:kern w:val="0"/>
      <w:szCs w:val="21"/>
    </w:rPr>
  </w:style>
  <w:style w:type="paragraph" w:customStyle="1" w:styleId="66">
    <w:name w:val="USE 1"/>
    <w:basedOn w:val="1"/>
    <w:qFormat/>
    <w:uiPriority w:val="0"/>
    <w:pPr>
      <w:spacing w:line="200" w:lineRule="atLeast"/>
      <w:jc w:val="left"/>
    </w:pPr>
    <w:rPr>
      <w:rFonts w:ascii="宋体" w:hAnsi="宋体" w:eastAsia="宋体" w:cs="Times New Roman"/>
      <w:b/>
      <w:sz w:val="24"/>
      <w:szCs w:val="20"/>
    </w:rPr>
  </w:style>
  <w:style w:type="paragraph" w:customStyle="1" w:styleId="67">
    <w:name w:val="正文一"/>
    <w:basedOn w:val="61"/>
    <w:qFormat/>
    <w:uiPriority w:val="99"/>
    <w:pPr>
      <w:spacing w:line="600" w:lineRule="exact"/>
      <w:ind w:firstLine="200"/>
    </w:pPr>
    <w:rPr>
      <w:rFonts w:ascii="仿宋" w:hAnsi="仿宋" w:eastAsia="仿宋"/>
      <w:sz w:val="28"/>
      <w:szCs w:val="28"/>
    </w:rPr>
  </w:style>
  <w:style w:type="paragraph" w:customStyle="1" w:styleId="68">
    <w:name w:val="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40</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2020-03-17T02:03:23Z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