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2018年禹州市新型农业经营主体粮食生产</w:t>
      </w:r>
    </w:p>
    <w:p>
      <w:pPr>
        <w:spacing w:line="600" w:lineRule="exact"/>
        <w:jc w:val="center"/>
        <w:rPr>
          <w:rFonts w:ascii="仿宋" w:hAnsi="仿宋" w:eastAsia="仿宋" w:cs="仿宋"/>
          <w:b/>
          <w:bCs/>
          <w:sz w:val="44"/>
          <w:szCs w:val="44"/>
        </w:rPr>
      </w:pPr>
      <w:r>
        <w:rPr>
          <w:rFonts w:hint="eastAsia" w:ascii="仿宋" w:hAnsi="仿宋" w:eastAsia="仿宋" w:cs="仿宋"/>
          <w:b/>
          <w:bCs/>
          <w:sz w:val="44"/>
          <w:szCs w:val="44"/>
          <w:lang w:val="en-US" w:eastAsia="zh-CN"/>
        </w:rPr>
        <w:t>装备水平提升项目</w:t>
      </w:r>
    </w:p>
    <w:p>
      <w:pPr>
        <w:rPr>
          <w:rFonts w:ascii="微软简隶书" w:eastAsia="微软简隶书"/>
          <w:color w:val="000000"/>
        </w:rPr>
      </w:pPr>
    </w:p>
    <w:p>
      <w:pPr>
        <w:jc w:val="center"/>
        <w:rPr>
          <w:rFonts w:ascii="黑体" w:hAnsi="黑体" w:eastAsia="黑体" w:cs="黑体"/>
          <w:bCs/>
          <w:color w:val="000000"/>
          <w:w w:val="90"/>
          <w:sz w:val="72"/>
          <w:szCs w:val="72"/>
        </w:rPr>
      </w:pPr>
    </w:p>
    <w:p>
      <w:pPr>
        <w:pStyle w:val="3"/>
        <w:numPr>
          <w:ilvl w:val="0"/>
          <w:numId w:val="0"/>
        </w:numPr>
        <w:ind w:left="288"/>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采购单位：</w:t>
      </w:r>
      <w:r>
        <w:rPr>
          <w:rFonts w:hint="eastAsia" w:ascii="仿宋" w:hAnsi="仿宋" w:eastAsia="仿宋" w:cs="仿宋"/>
          <w:b/>
          <w:bCs/>
          <w:color w:val="000000"/>
          <w:sz w:val="32"/>
          <w:szCs w:val="32"/>
          <w:lang w:val="en-US" w:eastAsia="zh-CN"/>
        </w:rPr>
        <w:t>禹州市农业农村局</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w:t>
      </w:r>
      <w:r>
        <w:rPr>
          <w:rFonts w:hint="eastAsia" w:ascii="仿宋" w:hAnsi="仿宋" w:eastAsia="仿宋" w:cs="仿宋"/>
          <w:b/>
          <w:bCs/>
          <w:color w:val="000000"/>
          <w:sz w:val="32"/>
          <w:szCs w:val="32"/>
          <w:lang w:val="en-US" w:eastAsia="zh-CN"/>
        </w:rPr>
        <w:t>20037</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pStyle w:val="3"/>
        <w:numPr>
          <w:ilvl w:val="0"/>
          <w:numId w:val="0"/>
        </w:numPr>
        <w:ind w:left="288"/>
      </w:pPr>
    </w:p>
    <w:p>
      <w:pPr>
        <w:ind w:firstLine="2891" w:firstLineChars="800"/>
        <w:rPr>
          <w:rFonts w:cs="黑体" w:asciiTheme="minorEastAsia" w:hAnsiTheme="minorEastAsia"/>
          <w:b/>
          <w:bCs/>
          <w:sz w:val="44"/>
          <w:szCs w:val="44"/>
          <w:lang w:val="zh-CN"/>
        </w:rPr>
      </w:pPr>
      <w:r>
        <w:rPr>
          <w:rFonts w:hint="eastAsia" w:ascii="仿宋" w:hAnsi="仿宋" w:eastAsia="仿宋" w:cs="仿宋"/>
          <w:b/>
          <w:bCs/>
          <w:color w:val="000000"/>
          <w:sz w:val="36"/>
          <w:szCs w:val="36"/>
        </w:rPr>
        <w:t>二〇二〇年</w:t>
      </w:r>
      <w:r>
        <w:rPr>
          <w:rFonts w:hint="eastAsia" w:ascii="仿宋" w:hAnsi="仿宋" w:eastAsia="仿宋" w:cs="仿宋"/>
          <w:b/>
          <w:bCs/>
          <w:color w:val="000000"/>
          <w:sz w:val="36"/>
          <w:szCs w:val="36"/>
          <w:lang w:val="en-US" w:eastAsia="zh-CN"/>
        </w:rPr>
        <w:t>三</w:t>
      </w:r>
      <w:r>
        <w:rPr>
          <w:rFonts w:hint="eastAsia" w:ascii="仿宋" w:hAnsi="仿宋" w:eastAsia="仿宋" w:cs="仿宋"/>
          <w:b/>
          <w:bCs/>
          <w:color w:val="000000"/>
          <w:sz w:val="36"/>
          <w:szCs w:val="36"/>
        </w:rPr>
        <w:t xml:space="preserve">月 </w:t>
      </w:r>
    </w:p>
    <w:p>
      <w:pPr>
        <w:autoSpaceDE w:val="0"/>
        <w:autoSpaceDN w:val="0"/>
        <w:adjustRightInd w:val="0"/>
        <w:spacing w:line="700" w:lineRule="exact"/>
        <w:ind w:firstLine="2209" w:firstLineChars="500"/>
        <w:rPr>
          <w:rFonts w:cs="黑体" w:asciiTheme="minorEastAsia" w:hAnsiTheme="minorEastAsia"/>
          <w:b/>
          <w:bCs/>
          <w:sz w:val="44"/>
          <w:szCs w:val="44"/>
          <w:lang w:val="zh-CN"/>
        </w:rPr>
      </w:pPr>
    </w:p>
    <w:p>
      <w:pPr>
        <w:autoSpaceDE w:val="0"/>
        <w:autoSpaceDN w:val="0"/>
        <w:adjustRightInd w:val="0"/>
        <w:spacing w:line="700" w:lineRule="exact"/>
        <w:ind w:firstLine="3092" w:firstLineChars="700"/>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0"/>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0"/>
        <w:widowControl/>
        <w:shd w:val="clear" w:color="auto" w:fill="FFFFFF"/>
        <w:spacing w:line="315" w:lineRule="atLeast"/>
        <w:rPr>
          <w:rFonts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2018年禹州市新型农业经营主体粮食生产</w:t>
      </w: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lang w:val="en-US" w:eastAsia="zh-CN"/>
        </w:rPr>
        <w:t>装备水平提升项目</w:t>
      </w: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rPr>
        <w:t>招标公告</w:t>
      </w:r>
    </w:p>
    <w:p>
      <w:pPr>
        <w:spacing w:line="600" w:lineRule="exact"/>
        <w:jc w:val="center"/>
        <w:rPr>
          <w:rFonts w:ascii="仿宋" w:hAnsi="仿宋" w:eastAsia="仿宋" w:cs="仿宋"/>
          <w:b/>
          <w:bCs/>
          <w:sz w:val="36"/>
          <w:szCs w:val="36"/>
        </w:rPr>
      </w:pP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禹州市政府采购中心受</w:t>
      </w:r>
      <w:r>
        <w:rPr>
          <w:rFonts w:hint="eastAsia" w:ascii="仿宋" w:hAnsi="仿宋" w:eastAsia="仿宋" w:cs="仿宋"/>
          <w:sz w:val="32"/>
          <w:szCs w:val="32"/>
          <w:lang w:val="en-US" w:eastAsia="zh-CN"/>
        </w:rPr>
        <w:t>禹州市农业农村局</w:t>
      </w:r>
      <w:r>
        <w:rPr>
          <w:rFonts w:hint="eastAsia" w:ascii="仿宋" w:hAnsi="仿宋" w:eastAsia="仿宋" w:cs="仿宋"/>
          <w:sz w:val="32"/>
          <w:szCs w:val="32"/>
        </w:rPr>
        <w:t>的委托，就“</w:t>
      </w:r>
      <w:r>
        <w:rPr>
          <w:rFonts w:hint="eastAsia" w:ascii="仿宋" w:hAnsi="仿宋" w:eastAsia="仿宋" w:cs="仿宋"/>
          <w:sz w:val="32"/>
          <w:szCs w:val="32"/>
          <w:lang w:val="en-US" w:eastAsia="zh-CN"/>
        </w:rPr>
        <w:t>2018年禹州市新型农业经营主体粮食生产装备水平提升项目</w:t>
      </w:r>
      <w:r>
        <w:rPr>
          <w:rFonts w:hint="eastAsia" w:ascii="仿宋" w:hAnsi="仿宋" w:eastAsia="仿宋" w:cs="仿宋"/>
          <w:sz w:val="32"/>
          <w:szCs w:val="32"/>
        </w:rPr>
        <w:t>”进行公开招标，欢迎合格的投标人前来投标。</w:t>
      </w:r>
    </w:p>
    <w:p>
      <w:pPr>
        <w:pStyle w:val="60"/>
        <w:widowControl/>
        <w:shd w:val="clear" w:color="auto" w:fill="FFFFFF"/>
        <w:spacing w:line="400" w:lineRule="exact"/>
        <w:ind w:firstLine="643"/>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一、项目基本情况</w:t>
      </w:r>
    </w:p>
    <w:p>
      <w:pPr>
        <w:widowControl/>
        <w:shd w:val="clear" w:color="auto" w:fill="FFFFFF"/>
        <w:spacing w:line="400" w:lineRule="exact"/>
        <w:jc w:val="left"/>
        <w:rPr>
          <w:rFonts w:ascii="仿宋" w:hAnsi="仿宋" w:eastAsia="仿宋" w:cs="仿宋"/>
          <w:sz w:val="32"/>
          <w:szCs w:val="32"/>
        </w:rPr>
      </w:pPr>
      <w:r>
        <w:rPr>
          <w:rFonts w:hint="eastAsia" w:ascii="仿宋" w:hAnsi="仿宋" w:eastAsia="仿宋" w:cs="仿宋"/>
          <w:sz w:val="32"/>
          <w:szCs w:val="32"/>
        </w:rPr>
        <w:t>1、采购人：</w:t>
      </w:r>
      <w:r>
        <w:rPr>
          <w:rFonts w:hint="eastAsia" w:ascii="仿宋" w:hAnsi="仿宋" w:eastAsia="仿宋" w:cs="仿宋"/>
          <w:sz w:val="32"/>
          <w:szCs w:val="32"/>
          <w:lang w:val="en-US" w:eastAsia="zh-CN"/>
        </w:rPr>
        <w:t>禹州市农业农村局</w:t>
      </w:r>
      <w:r>
        <w:rPr>
          <w:rFonts w:ascii="仿宋" w:hAnsi="仿宋" w:eastAsia="仿宋" w:cs="仿宋"/>
          <w:sz w:val="32"/>
          <w:szCs w:val="32"/>
        </w:rPr>
        <w:t xml:space="preserve"> </w:t>
      </w:r>
    </w:p>
    <w:p>
      <w:pPr>
        <w:widowControl/>
        <w:shd w:val="clear" w:color="auto" w:fill="FFFFFF"/>
        <w:spacing w:line="400" w:lineRule="exact"/>
        <w:jc w:val="left"/>
        <w:rPr>
          <w:rFonts w:ascii="仿宋" w:hAnsi="仿宋" w:eastAsia="仿宋" w:cs="仿宋"/>
          <w:color w:val="000000"/>
          <w:kern w:val="0"/>
          <w:sz w:val="32"/>
          <w:szCs w:val="32"/>
        </w:rPr>
      </w:pPr>
      <w:r>
        <w:rPr>
          <w:rFonts w:hint="eastAsia" w:ascii="仿宋" w:hAnsi="仿宋" w:eastAsia="仿宋" w:cs="仿宋"/>
          <w:sz w:val="32"/>
          <w:szCs w:val="32"/>
        </w:rPr>
        <w:t>2、</w:t>
      </w:r>
      <w:r>
        <w:rPr>
          <w:rFonts w:hint="eastAsia" w:ascii="仿宋" w:hAnsi="仿宋" w:eastAsia="仿宋" w:cs="仿宋"/>
          <w:color w:val="000000"/>
          <w:kern w:val="0"/>
          <w:sz w:val="32"/>
          <w:szCs w:val="32"/>
        </w:rPr>
        <w:t>项目名称：</w:t>
      </w:r>
      <w:r>
        <w:rPr>
          <w:rFonts w:hint="eastAsia" w:ascii="仿宋" w:hAnsi="仿宋" w:eastAsia="仿宋" w:cs="仿宋"/>
          <w:color w:val="000000"/>
          <w:kern w:val="0"/>
          <w:sz w:val="32"/>
          <w:szCs w:val="32"/>
          <w:lang w:val="en-US" w:eastAsia="zh-CN"/>
        </w:rPr>
        <w:t>2018年禹州市新型农业经营主体粮食生产装备水平提升项目</w:t>
      </w:r>
    </w:p>
    <w:p>
      <w:pPr>
        <w:widowControl/>
        <w:shd w:val="clear" w:color="auto" w:fill="FFFFFF"/>
        <w:spacing w:line="400" w:lineRule="exact"/>
        <w:jc w:val="left"/>
        <w:rPr>
          <w:rFonts w:hint="default" w:ascii="仿宋" w:hAnsi="仿宋" w:eastAsia="仿宋" w:cs="仿宋"/>
          <w:sz w:val="32"/>
          <w:szCs w:val="32"/>
          <w:lang w:val="en-US" w:eastAsia="zh-CN"/>
        </w:rPr>
      </w:pPr>
      <w:r>
        <w:rPr>
          <w:rFonts w:hint="eastAsia" w:ascii="仿宋" w:hAnsi="仿宋" w:eastAsia="仿宋" w:cs="仿宋"/>
          <w:color w:val="000000"/>
          <w:kern w:val="0"/>
          <w:sz w:val="32"/>
          <w:szCs w:val="32"/>
        </w:rPr>
        <w:t>3、采购编号：</w:t>
      </w:r>
      <w:r>
        <w:rPr>
          <w:rFonts w:hint="eastAsia" w:ascii="仿宋" w:hAnsi="仿宋" w:eastAsia="仿宋" w:cs="仿宋"/>
          <w:sz w:val="32"/>
          <w:szCs w:val="32"/>
        </w:rPr>
        <w:t>YZCG-G20</w:t>
      </w:r>
      <w:r>
        <w:rPr>
          <w:rFonts w:hint="eastAsia" w:ascii="仿宋" w:hAnsi="仿宋" w:eastAsia="仿宋" w:cs="仿宋"/>
          <w:sz w:val="32"/>
          <w:szCs w:val="32"/>
          <w:lang w:val="en-US" w:eastAsia="zh-CN"/>
        </w:rPr>
        <w:t>20037</w:t>
      </w:r>
    </w:p>
    <w:p>
      <w:pPr>
        <w:widowControl/>
        <w:shd w:val="clear" w:color="auto" w:fill="FFFFFF"/>
        <w:spacing w:line="400" w:lineRule="exact"/>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4、项目需求：</w:t>
      </w:r>
      <w:r>
        <w:rPr>
          <w:rFonts w:hint="eastAsia" w:ascii="仿宋" w:hAnsi="仿宋" w:eastAsia="仿宋" w:cs="仿宋"/>
          <w:color w:val="000000"/>
          <w:kern w:val="0"/>
          <w:sz w:val="32"/>
          <w:szCs w:val="32"/>
          <w:lang w:val="en-US" w:eastAsia="zh-CN"/>
        </w:rPr>
        <w:t>采购农业机械装备一批</w:t>
      </w:r>
      <w:r>
        <w:rPr>
          <w:rFonts w:hint="eastAsia" w:ascii="仿宋" w:hAnsi="仿宋" w:eastAsia="仿宋" w:cs="仿宋"/>
          <w:color w:val="000000"/>
          <w:kern w:val="0"/>
          <w:sz w:val="32"/>
          <w:szCs w:val="32"/>
        </w:rPr>
        <w:t>（详见招标文件）</w:t>
      </w:r>
    </w:p>
    <w:p>
      <w:pPr>
        <w:widowControl/>
        <w:shd w:val="clear" w:color="auto" w:fill="FFFFFF"/>
        <w:spacing w:line="400" w:lineRule="exact"/>
        <w:jc w:val="left"/>
        <w:rPr>
          <w:rFonts w:ascii="仿宋" w:hAnsi="仿宋" w:eastAsia="仿宋" w:cs="仿宋"/>
          <w:sz w:val="32"/>
          <w:szCs w:val="32"/>
        </w:rPr>
      </w:pPr>
      <w:r>
        <w:rPr>
          <w:rFonts w:hint="eastAsia" w:ascii="仿宋" w:hAnsi="仿宋" w:eastAsia="仿宋" w:cs="仿宋"/>
          <w:color w:val="000000"/>
          <w:kern w:val="0"/>
          <w:sz w:val="32"/>
          <w:szCs w:val="32"/>
        </w:rPr>
        <w:t>5、采购预算：</w:t>
      </w:r>
      <w:r>
        <w:rPr>
          <w:rFonts w:hint="eastAsia" w:ascii="仿宋" w:hAnsi="仿宋" w:eastAsia="仿宋" w:cs="仿宋"/>
          <w:color w:val="000000"/>
          <w:kern w:val="0"/>
          <w:sz w:val="32"/>
          <w:szCs w:val="32"/>
          <w:lang w:val="en-US" w:eastAsia="zh-CN"/>
        </w:rPr>
        <w:t>100万元</w:t>
      </w:r>
    </w:p>
    <w:p>
      <w:pPr>
        <w:widowControl/>
        <w:shd w:val="clear" w:color="auto" w:fill="FFFFFF"/>
        <w:spacing w:line="400" w:lineRule="exact"/>
        <w:jc w:val="left"/>
        <w:rPr>
          <w:rFonts w:ascii="仿宋" w:hAnsi="仿宋" w:eastAsia="仿宋" w:cs="仿宋"/>
          <w:sz w:val="32"/>
          <w:szCs w:val="32"/>
        </w:rPr>
      </w:pPr>
      <w:r>
        <w:rPr>
          <w:rFonts w:hint="eastAsia" w:ascii="仿宋" w:hAnsi="仿宋" w:eastAsia="仿宋" w:cs="仿宋"/>
          <w:sz w:val="32"/>
          <w:szCs w:val="32"/>
        </w:rPr>
        <w:t>6、采购限价：</w:t>
      </w:r>
      <w:r>
        <w:rPr>
          <w:rFonts w:hint="eastAsia" w:ascii="仿宋" w:hAnsi="仿宋" w:eastAsia="仿宋" w:cs="仿宋"/>
          <w:sz w:val="32"/>
          <w:szCs w:val="32"/>
          <w:lang w:val="en-US" w:eastAsia="zh-CN"/>
        </w:rPr>
        <w:t>100万元</w:t>
      </w:r>
    </w:p>
    <w:p>
      <w:pPr>
        <w:widowControl/>
        <w:shd w:val="clear" w:color="auto" w:fill="FFFFFF"/>
        <w:spacing w:line="400" w:lineRule="exact"/>
        <w:ind w:firstLine="472" w:firstLineChars="147"/>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二、需要落实的政府采购政策</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三、供应商资格要求：</w:t>
      </w:r>
    </w:p>
    <w:p>
      <w:pPr>
        <w:widowControl/>
        <w:shd w:val="clear" w:color="auto" w:fill="FFFFFF"/>
        <w:spacing w:line="400" w:lineRule="exact"/>
        <w:ind w:firstLine="641"/>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1、符合《政府采购法》第二十二条之规定；</w:t>
      </w:r>
    </w:p>
    <w:p>
      <w:pPr>
        <w:widowControl/>
        <w:shd w:val="clear" w:color="auto" w:fill="FFFFFF"/>
        <w:spacing w:line="400" w:lineRule="exact"/>
        <w:ind w:firstLine="641"/>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2、供应商具有相应的经营范围；（以营业执照为准）</w:t>
      </w:r>
    </w:p>
    <w:p>
      <w:pPr>
        <w:widowControl/>
        <w:shd w:val="clear" w:color="auto" w:fill="FFFFFF"/>
        <w:spacing w:line="400" w:lineRule="exact"/>
        <w:ind w:firstLine="641"/>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3、被委托人须是本单位职工，须提供公司为本人缴纳社会保险证明；</w:t>
      </w:r>
    </w:p>
    <w:p>
      <w:pPr>
        <w:widowControl/>
        <w:shd w:val="clear" w:color="auto" w:fill="FFFFFF"/>
        <w:spacing w:line="400" w:lineRule="exact"/>
        <w:ind w:firstLine="641"/>
        <w:jc w:val="left"/>
        <w:rPr>
          <w:rFonts w:ascii="仿宋" w:hAnsi="仿宋" w:eastAsia="仿宋" w:cs="仿宋"/>
          <w:sz w:val="32"/>
          <w:szCs w:val="32"/>
        </w:rPr>
      </w:pPr>
      <w:r>
        <w:rPr>
          <w:rFonts w:hint="eastAsia" w:ascii="仿宋" w:hAnsi="仿宋" w:eastAsia="仿宋" w:cs="仿宋"/>
          <w:color w:val="000000"/>
          <w:kern w:val="0"/>
          <w:sz w:val="32"/>
          <w:szCs w:val="32"/>
          <w:lang w:val="en-US" w:eastAsia="zh-CN"/>
        </w:rPr>
        <w:t>4、本项目不接受联合体投标。</w:t>
      </w:r>
    </w:p>
    <w:p>
      <w:pPr>
        <w:widowControl/>
        <w:shd w:val="clear" w:color="auto" w:fill="FFFFFF"/>
        <w:spacing w:line="400" w:lineRule="exact"/>
        <w:ind w:firstLine="482"/>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四、获取招标文件的方式、时间、地点</w:t>
      </w:r>
    </w:p>
    <w:p>
      <w:pPr>
        <w:wordWrap w:val="0"/>
        <w:topLinePunct/>
        <w:snapToGrid w:val="0"/>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zh-CN"/>
        </w:rPr>
        <w:t>、持</w:t>
      </w:r>
      <w:r>
        <w:rPr>
          <w:rFonts w:hint="eastAsia" w:ascii="仿宋" w:hAnsi="仿宋" w:eastAsia="仿宋" w:cs="仿宋"/>
          <w:sz w:val="32"/>
          <w:szCs w:val="32"/>
        </w:rPr>
        <w:t>CA</w:t>
      </w:r>
      <w:r>
        <w:rPr>
          <w:rFonts w:hint="eastAsia" w:ascii="仿宋" w:hAnsi="仿宋" w:eastAsia="仿宋" w:cs="仿宋"/>
          <w:sz w:val="32"/>
          <w:szCs w:val="32"/>
          <w:lang w:val="zh-CN"/>
        </w:rPr>
        <w:t>数字认证证书</w:t>
      </w:r>
      <w:r>
        <w:rPr>
          <w:rFonts w:hint="eastAsia" w:ascii="仿宋" w:hAnsi="仿宋" w:eastAsia="仿宋" w:cs="仿宋"/>
          <w:sz w:val="32"/>
          <w:szCs w:val="32"/>
        </w:rPr>
        <w:t>，</w:t>
      </w:r>
      <w:r>
        <w:rPr>
          <w:rFonts w:hint="eastAsia" w:ascii="仿宋" w:hAnsi="仿宋" w:eastAsia="仿宋" w:cs="仿宋"/>
          <w:sz w:val="32"/>
          <w:szCs w:val="32"/>
          <w:lang w:val="zh-CN"/>
        </w:rPr>
        <w:t>登录</w:t>
      </w:r>
      <w:r>
        <w:fldChar w:fldCharType="begin"/>
      </w:r>
      <w:r>
        <w:instrText xml:space="preserve"> HYPERLINK "http://221.14.6.70:8088/ggzy/eps/public/RegistAllJcxx.html" </w:instrText>
      </w:r>
      <w:r>
        <w:fldChar w:fldCharType="separate"/>
      </w:r>
      <w:r>
        <w:rPr>
          <w:rFonts w:hint="eastAsia" w:ascii="仿宋" w:hAnsi="仿宋" w:eastAsia="仿宋" w:cs="仿宋"/>
          <w:sz w:val="32"/>
          <w:szCs w:val="32"/>
        </w:rPr>
        <w:t>http://221.14.6.70:8088/ggzy/eps/public/RegistAllJcxx.html</w:t>
      </w:r>
      <w:r>
        <w:rPr>
          <w:rFonts w:hint="eastAsia" w:ascii="仿宋" w:hAnsi="仿宋" w:eastAsia="仿宋" w:cs="仿宋"/>
          <w:sz w:val="32"/>
          <w:szCs w:val="32"/>
        </w:rPr>
        <w:fldChar w:fldCharType="end"/>
      </w:r>
      <w:r>
        <w:rPr>
          <w:rFonts w:hint="eastAsia" w:ascii="仿宋" w:hAnsi="仿宋" w:eastAsia="仿宋" w:cs="仿宋"/>
          <w:sz w:val="32"/>
          <w:szCs w:val="32"/>
          <w:lang w:val="zh-CN"/>
        </w:rPr>
        <w:t>进行免费注册登记</w:t>
      </w:r>
      <w:r>
        <w:rPr>
          <w:rFonts w:hint="eastAsia" w:ascii="仿宋" w:hAnsi="仿宋" w:eastAsia="仿宋" w:cs="仿宋"/>
          <w:sz w:val="32"/>
          <w:szCs w:val="32"/>
        </w:rPr>
        <w:t>（</w:t>
      </w:r>
      <w:r>
        <w:rPr>
          <w:rFonts w:hint="eastAsia" w:ascii="仿宋" w:hAnsi="仿宋" w:eastAsia="仿宋" w:cs="仿宋"/>
          <w:sz w:val="32"/>
          <w:szCs w:val="32"/>
          <w:lang w:val="zh-CN"/>
        </w:rPr>
        <w:t>详见全国公共资源交易平台</w:t>
      </w:r>
      <w:r>
        <w:rPr>
          <w:rFonts w:hint="eastAsia" w:ascii="仿宋" w:hAnsi="仿宋" w:eastAsia="仿宋" w:cs="仿宋"/>
          <w:sz w:val="32"/>
          <w:szCs w:val="32"/>
        </w:rPr>
        <w:t>（</w:t>
      </w:r>
      <w:r>
        <w:rPr>
          <w:rFonts w:hint="eastAsia" w:ascii="仿宋" w:hAnsi="仿宋" w:eastAsia="仿宋" w:cs="仿宋"/>
          <w:sz w:val="32"/>
          <w:szCs w:val="32"/>
          <w:lang w:val="zh-CN"/>
        </w:rPr>
        <w:t>河南省</w:t>
      </w:r>
      <w:r>
        <w:rPr>
          <w:rFonts w:hint="eastAsia" w:ascii="仿宋" w:hAnsi="仿宋" w:eastAsia="仿宋" w:cs="仿宋"/>
          <w:sz w:val="32"/>
          <w:szCs w:val="32"/>
        </w:rPr>
        <w:t>·</w:t>
      </w:r>
      <w:r>
        <w:rPr>
          <w:rFonts w:hint="eastAsia" w:ascii="仿宋" w:hAnsi="仿宋" w:eastAsia="仿宋" w:cs="仿宋"/>
          <w:sz w:val="32"/>
          <w:szCs w:val="32"/>
          <w:lang w:val="zh-CN"/>
        </w:rPr>
        <w:t>许昌市</w:t>
      </w:r>
      <w:r>
        <w:rPr>
          <w:rFonts w:hint="eastAsia" w:ascii="仿宋" w:hAnsi="仿宋" w:eastAsia="仿宋" w:cs="仿宋"/>
          <w:sz w:val="32"/>
          <w:szCs w:val="32"/>
        </w:rPr>
        <w:t>）“</w:t>
      </w:r>
      <w:r>
        <w:rPr>
          <w:rFonts w:hint="eastAsia" w:ascii="仿宋" w:hAnsi="仿宋" w:eastAsia="仿宋" w:cs="仿宋"/>
          <w:sz w:val="32"/>
          <w:szCs w:val="32"/>
          <w:lang w:val="zh-CN"/>
        </w:rPr>
        <w:t>常见问题解答</w:t>
      </w:r>
      <w:r>
        <w:rPr>
          <w:rFonts w:hint="eastAsia" w:ascii="仿宋" w:hAnsi="仿宋" w:eastAsia="仿宋" w:cs="仿宋"/>
          <w:sz w:val="32"/>
          <w:szCs w:val="32"/>
        </w:rPr>
        <w:t>-</w:t>
      </w:r>
      <w:r>
        <w:rPr>
          <w:rFonts w:hint="eastAsia" w:ascii="仿宋" w:hAnsi="仿宋" w:eastAsia="仿宋" w:cs="仿宋"/>
          <w:sz w:val="32"/>
          <w:szCs w:val="32"/>
          <w:lang w:val="zh-CN"/>
        </w:rPr>
        <w:t>诚信库网上注册相关资料下载</w:t>
      </w:r>
      <w:r>
        <w:rPr>
          <w:rFonts w:hint="eastAsia" w:ascii="仿宋" w:hAnsi="仿宋" w:eastAsia="仿宋" w:cs="仿宋"/>
          <w:sz w:val="32"/>
          <w:szCs w:val="32"/>
        </w:rPr>
        <w:t>”）；</w:t>
      </w:r>
    </w:p>
    <w:p>
      <w:pPr>
        <w:wordWrap w:val="0"/>
        <w:topLinePunct/>
        <w:autoSpaceDE w:val="0"/>
        <w:autoSpaceDN w:val="0"/>
        <w:adjustRightInd w:val="0"/>
        <w:snapToGrid w:val="0"/>
        <w:spacing w:line="400" w:lineRule="exact"/>
        <w:ind w:firstLine="482"/>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zh-CN"/>
        </w:rPr>
        <w:t>、在投标截止时间前登录</w:t>
      </w:r>
      <w:r>
        <w:fldChar w:fldCharType="begin"/>
      </w:r>
      <w:r>
        <w:instrText xml:space="preserve"> HYPERLINK "360安全浏览器.lnk" </w:instrText>
      </w:r>
      <w:r>
        <w:fldChar w:fldCharType="separate"/>
      </w:r>
      <w:r>
        <w:rPr>
          <w:rStyle w:val="29"/>
          <w:rFonts w:hint="eastAsia" w:ascii="仿宋" w:hAnsi="仿宋" w:eastAsia="仿宋" w:cs="仿宋"/>
          <w:sz w:val="32"/>
          <w:szCs w:val="32"/>
        </w:rPr>
        <w:t>http://ggzy.xuchang.gov.cn</w:t>
      </w:r>
      <w:r>
        <w:rPr>
          <w:rStyle w:val="29"/>
          <w:rFonts w:hint="eastAsia" w:ascii="仿宋" w:hAnsi="仿宋" w:eastAsia="仿宋" w:cs="仿宋"/>
          <w:sz w:val="32"/>
          <w:szCs w:val="32"/>
        </w:rPr>
        <w:fldChar w:fldCharType="end"/>
      </w:r>
      <w:r>
        <w:rPr>
          <w:rFonts w:hint="eastAsia" w:ascii="仿宋" w:hAnsi="仿宋" w:eastAsia="仿宋" w:cs="仿宋"/>
          <w:sz w:val="32"/>
          <w:szCs w:val="32"/>
        </w:rPr>
        <w:t>，</w:t>
      </w:r>
      <w:r>
        <w:rPr>
          <w:rFonts w:hint="eastAsia" w:ascii="仿宋" w:hAnsi="仿宋" w:eastAsia="仿宋" w:cs="仿宋"/>
          <w:sz w:val="32"/>
          <w:szCs w:val="32"/>
          <w:lang w:val="zh-CN"/>
        </w:rPr>
        <w:t>自行下载招标文件</w:t>
      </w:r>
      <w:r>
        <w:rPr>
          <w:rFonts w:hint="eastAsia" w:ascii="仿宋" w:hAnsi="仿宋" w:eastAsia="仿宋" w:cs="仿宋"/>
          <w:sz w:val="32"/>
          <w:szCs w:val="32"/>
        </w:rPr>
        <w:t>（</w:t>
      </w:r>
      <w:r>
        <w:rPr>
          <w:rFonts w:hint="eastAsia" w:ascii="仿宋" w:hAnsi="仿宋" w:eastAsia="仿宋" w:cs="仿宋"/>
          <w:sz w:val="32"/>
          <w:szCs w:val="32"/>
          <w:lang w:val="zh-CN"/>
        </w:rPr>
        <w:t>详见全国公共资源交易平台</w:t>
      </w:r>
      <w:r>
        <w:rPr>
          <w:rFonts w:hint="eastAsia" w:ascii="仿宋" w:hAnsi="仿宋" w:eastAsia="仿宋" w:cs="仿宋"/>
          <w:sz w:val="32"/>
          <w:szCs w:val="32"/>
        </w:rPr>
        <w:t>（</w:t>
      </w:r>
      <w:r>
        <w:rPr>
          <w:rFonts w:hint="eastAsia" w:ascii="仿宋" w:hAnsi="仿宋" w:eastAsia="仿宋" w:cs="仿宋"/>
          <w:sz w:val="32"/>
          <w:szCs w:val="32"/>
          <w:lang w:val="zh-CN"/>
        </w:rPr>
        <w:t>河南省</w:t>
      </w:r>
      <w:r>
        <w:rPr>
          <w:rFonts w:hint="eastAsia" w:ascii="仿宋" w:hAnsi="仿宋" w:eastAsia="仿宋" w:cs="仿宋"/>
          <w:sz w:val="32"/>
          <w:szCs w:val="32"/>
        </w:rPr>
        <w:t>·</w:t>
      </w:r>
      <w:r>
        <w:rPr>
          <w:rFonts w:hint="eastAsia" w:ascii="仿宋" w:hAnsi="仿宋" w:eastAsia="仿宋" w:cs="仿宋"/>
          <w:sz w:val="32"/>
          <w:szCs w:val="32"/>
          <w:lang w:val="zh-CN"/>
        </w:rPr>
        <w:t>许昌市</w:t>
      </w:r>
      <w:r>
        <w:rPr>
          <w:rFonts w:hint="eastAsia" w:ascii="仿宋" w:hAnsi="仿宋" w:eastAsia="仿宋" w:cs="仿宋"/>
          <w:sz w:val="32"/>
          <w:szCs w:val="32"/>
        </w:rPr>
        <w:t>）“</w:t>
      </w:r>
      <w:r>
        <w:rPr>
          <w:rFonts w:hint="eastAsia" w:ascii="仿宋" w:hAnsi="仿宋" w:eastAsia="仿宋" w:cs="仿宋"/>
          <w:sz w:val="32"/>
          <w:szCs w:val="32"/>
          <w:lang w:val="zh-CN"/>
        </w:rPr>
        <w:t>常见问题解答</w:t>
      </w:r>
      <w:r>
        <w:rPr>
          <w:rFonts w:hint="eastAsia" w:ascii="仿宋" w:hAnsi="仿宋" w:eastAsia="仿宋" w:cs="仿宋"/>
          <w:sz w:val="32"/>
          <w:szCs w:val="32"/>
        </w:rPr>
        <w:t>-</w:t>
      </w:r>
      <w:r>
        <w:rPr>
          <w:rFonts w:hint="eastAsia" w:ascii="仿宋" w:hAnsi="仿宋" w:eastAsia="仿宋" w:cs="仿宋"/>
          <w:sz w:val="32"/>
          <w:szCs w:val="32"/>
          <w:lang w:val="zh-CN"/>
        </w:rPr>
        <w:t>交易系统操作手册</w:t>
      </w:r>
      <w:r>
        <w:rPr>
          <w:rFonts w:hint="eastAsia" w:ascii="仿宋" w:hAnsi="仿宋" w:eastAsia="仿宋" w:cs="仿宋"/>
          <w:sz w:val="32"/>
          <w:szCs w:val="32"/>
        </w:rPr>
        <w:t>”）</w:t>
      </w:r>
      <w:r>
        <w:rPr>
          <w:rFonts w:hint="eastAsia" w:ascii="仿宋" w:hAnsi="仿宋" w:eastAsia="仿宋" w:cs="仿宋"/>
          <w:sz w:val="32"/>
          <w:szCs w:val="32"/>
          <w:lang w:val="zh-CN"/>
        </w:rPr>
        <w:t>。</w:t>
      </w:r>
    </w:p>
    <w:p>
      <w:pPr>
        <w:spacing w:line="400" w:lineRule="exact"/>
        <w:rPr>
          <w:rFonts w:ascii="仿宋" w:hAnsi="仿宋" w:eastAsia="仿宋" w:cs="仿宋"/>
          <w:sz w:val="32"/>
          <w:szCs w:val="32"/>
        </w:rPr>
      </w:pPr>
      <w:r>
        <w:rPr>
          <w:rFonts w:hint="eastAsia" w:ascii="仿宋" w:hAnsi="仿宋" w:eastAsia="仿宋" w:cs="仿宋"/>
          <w:sz w:val="32"/>
          <w:szCs w:val="32"/>
        </w:rPr>
        <w:t>　　3、未通过全国公共资源交易平台（河南省·许昌市）下载招标文件的投标企业，拒收其递交的投标文件。</w:t>
      </w:r>
    </w:p>
    <w:p>
      <w:pPr>
        <w:spacing w:line="400" w:lineRule="exact"/>
        <w:ind w:firstLine="640"/>
        <w:rPr>
          <w:rFonts w:ascii="仿宋" w:hAnsi="仿宋" w:eastAsia="仿宋" w:cs="仿宋"/>
          <w:sz w:val="32"/>
          <w:szCs w:val="32"/>
        </w:rPr>
      </w:pPr>
      <w:r>
        <w:rPr>
          <w:rFonts w:hint="eastAsia" w:ascii="仿宋" w:hAnsi="仿宋" w:eastAsia="仿宋" w:cs="仿宋"/>
          <w:sz w:val="32"/>
          <w:szCs w:val="32"/>
        </w:rPr>
        <w:t>4、招标文件每份售价人民500元（开标时现场收取现金），于递交投标文件时缴纳给采购代理机构，售后不退。</w:t>
      </w:r>
    </w:p>
    <w:p>
      <w:pPr>
        <w:widowControl/>
        <w:shd w:val="clear" w:color="auto" w:fill="FFFFFF"/>
        <w:spacing w:line="400" w:lineRule="exact"/>
        <w:ind w:firstLine="482"/>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五、投标截止时间、开标时间及地点：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1、投标截止及开标时间：</w:t>
      </w:r>
      <w:r>
        <w:rPr>
          <w:rFonts w:hint="eastAsia" w:ascii="仿宋" w:hAnsi="仿宋" w:eastAsia="仿宋" w:cs="仿宋"/>
          <w:color w:val="000000"/>
          <w:kern w:val="0"/>
          <w:sz w:val="32"/>
          <w:szCs w:val="32"/>
          <w:lang w:val="en-US" w:eastAsia="zh-CN"/>
        </w:rPr>
        <w:t>2020</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 xml:space="preserve"> 日</w:t>
      </w:r>
      <w:r>
        <w:rPr>
          <w:rFonts w:hint="eastAsia" w:ascii="仿宋" w:hAnsi="仿宋" w:eastAsia="仿宋" w:cs="仿宋"/>
          <w:color w:val="000000"/>
          <w:kern w:val="0"/>
          <w:sz w:val="32"/>
          <w:szCs w:val="32"/>
          <w:lang w:val="en-US" w:eastAsia="zh-CN"/>
        </w:rPr>
        <w:t>9</w:t>
      </w:r>
      <w:r>
        <w:rPr>
          <w:rFonts w:hint="eastAsia" w:ascii="仿宋" w:hAnsi="仿宋" w:eastAsia="仿宋" w:cs="仿宋"/>
          <w:color w:val="000000"/>
          <w:kern w:val="0"/>
          <w:sz w:val="32"/>
          <w:szCs w:val="32"/>
        </w:rPr>
        <w:t>：00（北京时间），逾期送达或不符合规定的投标文件不予接受。</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2、开标地点：</w:t>
      </w:r>
      <w:r>
        <w:rPr>
          <w:rFonts w:hint="eastAsia" w:ascii="仿宋" w:hAnsi="仿宋" w:eastAsia="仿宋" w:cs="仿宋"/>
          <w:sz w:val="32"/>
          <w:szCs w:val="32"/>
        </w:rPr>
        <w:t>禹州市公共资源交易中心第二开标室（禹州市行政服务中心楼9楼）</w:t>
      </w:r>
      <w:r>
        <w:rPr>
          <w:rFonts w:hint="eastAsia" w:ascii="仿宋" w:hAnsi="仿宋" w:eastAsia="仿宋" w:cs="仿宋"/>
          <w:color w:val="000000"/>
          <w:kern w:val="0"/>
          <w:sz w:val="32"/>
          <w:szCs w:val="32"/>
        </w:rPr>
        <w:t xml:space="preserve"> </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六、本次招标公告同时在《中国政府采购网》、《河南省政府采购网》、《全国公共资源交易平台（河南省·许昌市）》发布等。</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七、代理机构及采购单位地址、联系人、联系电话</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widowControl/>
        <w:shd w:val="clear" w:color="auto" w:fill="FFFFFF"/>
        <w:spacing w:line="400" w:lineRule="exact"/>
        <w:ind w:firstLine="641"/>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val="en-US" w:eastAsia="zh-CN"/>
        </w:rPr>
        <w:t>李女士</w:t>
      </w:r>
      <w:r>
        <w:rPr>
          <w:rFonts w:hint="eastAsia" w:ascii="仿宋" w:hAnsi="仿宋" w:eastAsia="仿宋" w:cs="仿宋"/>
          <w:color w:val="000000"/>
          <w:kern w:val="0"/>
          <w:sz w:val="32"/>
          <w:szCs w:val="32"/>
        </w:rPr>
        <w:t xml:space="preserve">   联系电话：0374-2077111</w:t>
      </w:r>
    </w:p>
    <w:p>
      <w:pPr>
        <w:pStyle w:val="2"/>
      </w:pPr>
    </w:p>
    <w:p>
      <w:pPr>
        <w:widowControl/>
        <w:shd w:val="clear" w:color="auto" w:fill="FFFFFF"/>
        <w:spacing w:line="400" w:lineRule="exact"/>
        <w:ind w:left="481"/>
        <w:jc w:val="left"/>
        <w:rPr>
          <w:rFonts w:ascii="仿宋" w:hAnsi="仿宋" w:eastAsia="仿宋" w:cs="仿宋"/>
          <w:sz w:val="32"/>
          <w:szCs w:val="32"/>
        </w:rPr>
      </w:pPr>
      <w:r>
        <w:rPr>
          <w:rFonts w:hint="eastAsia" w:ascii="仿宋" w:hAnsi="仿宋" w:eastAsia="仿宋" w:cs="仿宋"/>
          <w:color w:val="000000"/>
          <w:kern w:val="0"/>
          <w:sz w:val="32"/>
          <w:szCs w:val="32"/>
        </w:rPr>
        <w:t>（二）采购单位：</w:t>
      </w:r>
      <w:r>
        <w:rPr>
          <w:rFonts w:hint="eastAsia" w:ascii="仿宋" w:hAnsi="仿宋" w:eastAsia="仿宋" w:cs="仿宋"/>
          <w:color w:val="000000"/>
          <w:kern w:val="0"/>
          <w:sz w:val="32"/>
          <w:szCs w:val="32"/>
          <w:lang w:val="en-US" w:eastAsia="zh-CN"/>
        </w:rPr>
        <w:t>禹州市农业农村局</w:t>
      </w:r>
      <w:r>
        <w:rPr>
          <w:rFonts w:ascii="仿宋" w:hAnsi="仿宋" w:eastAsia="仿宋" w:cs="仿宋"/>
          <w:sz w:val="32"/>
          <w:szCs w:val="32"/>
        </w:rPr>
        <w:t xml:space="preserve"> </w:t>
      </w:r>
    </w:p>
    <w:p>
      <w:pPr>
        <w:widowControl/>
        <w:shd w:val="clear" w:color="auto" w:fill="FFFFFF"/>
        <w:spacing w:line="400" w:lineRule="exact"/>
        <w:ind w:firstLine="960" w:firstLineChars="3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color w:val="000000"/>
          <w:kern w:val="0"/>
          <w:sz w:val="32"/>
          <w:szCs w:val="32"/>
          <w:lang w:val="en-US" w:eastAsia="zh-CN"/>
        </w:rPr>
        <w:t>禹州市画圣路</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val="en-US" w:eastAsia="zh-CN"/>
        </w:rPr>
        <w:t>师先生   联系电话：15136802375</w:t>
      </w:r>
    </w:p>
    <w:p>
      <w:pPr>
        <w:spacing w:line="400" w:lineRule="exact"/>
        <w:ind w:firstLine="5440" w:firstLineChars="1700"/>
        <w:rPr>
          <w:rFonts w:ascii="仿宋" w:hAnsi="仿宋" w:eastAsia="仿宋" w:cs="仿宋"/>
          <w:sz w:val="32"/>
          <w:szCs w:val="32"/>
        </w:rPr>
      </w:pPr>
      <w:r>
        <w:rPr>
          <w:rFonts w:hint="eastAsia" w:ascii="仿宋" w:hAnsi="仿宋" w:eastAsia="仿宋" w:cs="仿宋"/>
          <w:sz w:val="32"/>
          <w:szCs w:val="32"/>
        </w:rPr>
        <w:t xml:space="preserve">   </w:t>
      </w:r>
    </w:p>
    <w:p>
      <w:pPr>
        <w:spacing w:line="400" w:lineRule="exact"/>
        <w:ind w:firstLine="6080" w:firstLineChars="1900"/>
        <w:rPr>
          <w:rFonts w:ascii="仿宋" w:hAnsi="仿宋" w:eastAsia="仿宋" w:cs="仿宋"/>
          <w:sz w:val="32"/>
          <w:szCs w:val="32"/>
        </w:rPr>
      </w:pPr>
    </w:p>
    <w:p>
      <w:pPr>
        <w:spacing w:line="400" w:lineRule="exact"/>
        <w:ind w:firstLine="3520" w:firstLineChars="1100"/>
        <w:rPr>
          <w:rFonts w:ascii="新宋体" w:hAnsi="新宋体" w:eastAsia="新宋体" w:cs="新宋体"/>
          <w:b/>
          <w:sz w:val="24"/>
          <w:szCs w:val="24"/>
        </w:rPr>
      </w:pPr>
      <w:r>
        <w:rPr>
          <w:rFonts w:hint="eastAsia" w:ascii="仿宋" w:hAnsi="仿宋" w:eastAsia="仿宋" w:cs="仿宋"/>
          <w:sz w:val="32"/>
          <w:szCs w:val="32"/>
        </w:rPr>
        <w:t xml:space="preserve">         </w:t>
      </w:r>
    </w:p>
    <w:p>
      <w:pPr>
        <w:pStyle w:val="30"/>
        <w:ind w:firstLine="723"/>
        <w:rPr>
          <w:rFonts w:ascii="仿宋" w:hAnsi="仿宋" w:eastAsia="仿宋" w:cs="仿宋"/>
          <w:b/>
          <w:bCs/>
          <w:sz w:val="36"/>
          <w:szCs w:val="36"/>
        </w:rPr>
      </w:pPr>
    </w:p>
    <w:p>
      <w:pPr>
        <w:spacing w:line="360" w:lineRule="auto"/>
        <w:rPr>
          <w:rFonts w:hAnsi="宋体"/>
          <w:b/>
          <w:sz w:val="32"/>
          <w:szCs w:val="32"/>
        </w:rPr>
      </w:pPr>
    </w:p>
    <w:p>
      <w:pPr>
        <w:spacing w:line="360" w:lineRule="auto"/>
        <w:rPr>
          <w:rFonts w:hint="eastAsia" w:hAnsi="宋体"/>
          <w:b/>
          <w:sz w:val="28"/>
          <w:szCs w:val="28"/>
        </w:rPr>
      </w:pPr>
      <w:r>
        <w:rPr>
          <w:rFonts w:hint="eastAsia" w:hAnsi="宋体"/>
          <w:b/>
          <w:sz w:val="32"/>
          <w:szCs w:val="32"/>
        </w:rPr>
        <w:t>温馨提示</w:t>
      </w:r>
      <w:r>
        <w:rPr>
          <w:rFonts w:hint="eastAsia" w:hAnsi="宋体"/>
          <w:b/>
          <w:sz w:val="28"/>
          <w:szCs w:val="28"/>
        </w:rPr>
        <w:t>：</w:t>
      </w:r>
    </w:p>
    <w:p>
      <w:pPr>
        <w:pStyle w:val="2"/>
        <w:ind w:firstLine="640" w:firstLineChars="200"/>
      </w:pPr>
      <w:r>
        <w:rPr>
          <w:rFonts w:hint="eastAsia" w:ascii="仿宋" w:hAnsi="仿宋" w:eastAsia="仿宋" w:cs="仿宋_GB2312"/>
          <w:color w:val="FF0000"/>
          <w:sz w:val="32"/>
          <w:szCs w:val="32"/>
          <w:lang w:val="en-US" w:eastAsia="zh-CN"/>
        </w:rPr>
        <w:t>为认真贯彻落实国家和省市关于新型冠状病毒感染肺炎疫情防控重大部署，根据《豫疫情防指办（2020）41号》文件通知精神，除Ⅲ类县市区外，Ⅰ类、Ⅱ类县市区（包括省外）外地来禹投标企业须提供由本人居住地社区卫生服务中心开具的有效健康证明方可进入禹州市公共资源交易中心进行投标。</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2"/>
      </w:pPr>
    </w:p>
    <w:p>
      <w:pPr>
        <w:numPr>
          <w:ilvl w:val="0"/>
          <w:numId w:val="5"/>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31"/>
      </w:pP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（一）本项目需实现的功能或者目标</w:t>
      </w:r>
    </w:p>
    <w:p>
      <w:pPr>
        <w:tabs>
          <w:tab w:val="left" w:pos="7095"/>
        </w:tabs>
        <w:spacing w:line="360" w:lineRule="auto"/>
        <w:ind w:firstLine="480" w:firstLineChars="200"/>
        <w:contextualSpacing/>
        <w:rPr>
          <w:rFonts w:hint="eastAsia" w:hAnsi="宋体"/>
          <w:color w:val="000000"/>
          <w:sz w:val="24"/>
          <w:szCs w:val="24"/>
          <w:lang w:eastAsia="zh-CN"/>
        </w:rPr>
      </w:pPr>
      <w:r>
        <w:rPr>
          <w:rFonts w:hint="eastAsia" w:hAnsi="宋体"/>
          <w:color w:val="000000"/>
          <w:sz w:val="24"/>
          <w:szCs w:val="24"/>
          <w:lang w:val="en-US" w:eastAsia="zh-CN"/>
        </w:rPr>
        <w:t>完成2018年禹州市新型农业经营主体粮食生产装备水平提升项目，为种粮大户提供农作物病虫害防治、粮食烘干装备。</w:t>
      </w:r>
    </w:p>
    <w:p>
      <w:pPr>
        <w:tabs>
          <w:tab w:val="left" w:pos="7095"/>
        </w:tabs>
        <w:spacing w:line="360" w:lineRule="auto"/>
        <w:ind w:firstLine="480" w:firstLineChars="200"/>
        <w:contextualSpacing/>
        <w:rPr>
          <w:rFonts w:hint="eastAsia" w:hAnsi="宋体"/>
          <w:color w:val="000000"/>
          <w:sz w:val="24"/>
          <w:szCs w:val="24"/>
        </w:rPr>
      </w:pPr>
    </w:p>
    <w:p>
      <w:pPr>
        <w:tabs>
          <w:tab w:val="left" w:pos="7095"/>
        </w:tabs>
        <w:spacing w:line="360" w:lineRule="auto"/>
        <w:ind w:firstLine="480" w:firstLineChars="200"/>
        <w:contextualSpacing/>
        <w:rPr>
          <w:rFonts w:hint="eastAsia"/>
        </w:rPr>
      </w:pPr>
      <w:r>
        <w:rPr>
          <w:rFonts w:hint="eastAsia" w:hAnsi="宋体"/>
          <w:color w:val="000000"/>
          <w:sz w:val="24"/>
          <w:szCs w:val="24"/>
        </w:rPr>
        <w:t>（二）采购清单</w:t>
      </w:r>
    </w:p>
    <w:p>
      <w:pPr>
        <w:tabs>
          <w:tab w:val="left" w:pos="7095"/>
        </w:tabs>
        <w:spacing w:line="360" w:lineRule="auto"/>
        <w:ind w:firstLine="482" w:firstLineChars="200"/>
        <w:contextualSpacing/>
        <w:rPr>
          <w:rFonts w:hint="eastAsia" w:hAnsi="宋体"/>
          <w:b/>
          <w:bCs/>
          <w:color w:val="000000"/>
          <w:sz w:val="24"/>
          <w:szCs w:val="24"/>
          <w:lang w:val="en-US" w:eastAsia="zh-CN"/>
        </w:rPr>
      </w:pPr>
      <w:r>
        <w:rPr>
          <w:rFonts w:hint="eastAsia" w:hAnsi="宋体"/>
          <w:b/>
          <w:bCs/>
          <w:color w:val="000000"/>
          <w:sz w:val="24"/>
          <w:szCs w:val="24"/>
          <w:lang w:val="en-US" w:eastAsia="zh-CN"/>
        </w:rPr>
        <w:t>1、自走式水旱两用喷杆喷雾机5台</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1）过滤器≥3级</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2）配套泵形式：三缸柱塞泵</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3）驱动方式：四轮转向，四轮驱动,前后同轨</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4）配套动力：进口三缸四冲程水冷柴油发动机≥22马力</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5）配套泵工作压力2.5-4.0Mpa</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6）泵总效率≥70%</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7）喷幅:≥12米</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8）药箱容量≥500升</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9）喷杆形式：喷杆前置，自动延伸，自动升降,高度可自动调整幅度0.5-1.8米</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10）作业效率:≥80亩/小时</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11）整机重量:≤1300千克</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12）轮距:1.5米</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13）离合器：液压助力</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14) 地隙高度：≥110cm</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15)轮胎：柳叶形实心橡胶轮胎宽度≤10厘米</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16）驾驶棚：半封闭简易驾驶棚（钢化玻璃）</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要求：提供产品检验报告</w:t>
      </w:r>
    </w:p>
    <w:p>
      <w:pPr>
        <w:tabs>
          <w:tab w:val="left" w:pos="7095"/>
        </w:tabs>
        <w:spacing w:line="360" w:lineRule="auto"/>
        <w:ind w:firstLine="482" w:firstLineChars="200"/>
        <w:contextualSpacing/>
        <w:rPr>
          <w:rFonts w:hint="eastAsia" w:hAnsi="宋体"/>
          <w:b/>
          <w:bCs/>
          <w:color w:val="000000"/>
          <w:sz w:val="24"/>
          <w:szCs w:val="24"/>
          <w:lang w:val="en-US" w:eastAsia="zh-CN"/>
        </w:rPr>
      </w:pPr>
      <w:r>
        <w:rPr>
          <w:rFonts w:hint="eastAsia" w:hAnsi="宋体"/>
          <w:b/>
          <w:bCs/>
          <w:color w:val="000000"/>
          <w:sz w:val="24"/>
          <w:szCs w:val="24"/>
          <w:lang w:val="en-US" w:eastAsia="zh-CN"/>
        </w:rPr>
        <w:t>2、自走式水旱两用喷杆喷雾机（智能型）1台</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1）过滤器≥3级</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2）配套泵形式：三缸柱塞泵</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3）驱动方式：四轮转向，四轮驱动,前后同轨</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4）配套动力：进口三缸四冲程水冷柴油发动机≥22马力</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5）配套泵工作压力2.5-4Mpa</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6）泵总效率≥70%</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7）喷幅:≥12米</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8）药箱容量≥500升</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9）喷杆形式：喷杆前置，自动延伸，自动升降,高度可自动调整幅度 0.5-1.8米</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10）作业效率:≥80亩/小时</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11）整机重量:≤1300千克</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12）轮距:1.5米</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13）离合器：液压助力</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14）地隙高度：≥110cm</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15）轮胎：柳叶形实心橡胶轮胎宽度≤10厘米</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16）驾驶棚：半封闭简易驾驶棚（钢化玻璃）</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17）智能喷洒系统装置:</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fldChar w:fldCharType="begin"/>
      </w:r>
      <w:r>
        <w:rPr>
          <w:rFonts w:hint="eastAsia" w:hAnsi="宋体"/>
          <w:color w:val="000000"/>
          <w:sz w:val="24"/>
          <w:szCs w:val="24"/>
          <w:lang w:val="en-US" w:eastAsia="zh-CN"/>
        </w:rPr>
        <w:instrText xml:space="preserve"> = 1 \* GB3 \* MERGEFORMAT </w:instrText>
      </w:r>
      <w:r>
        <w:rPr>
          <w:rFonts w:hint="eastAsia" w:hAnsi="宋体"/>
          <w:color w:val="000000"/>
          <w:sz w:val="24"/>
          <w:szCs w:val="24"/>
          <w:lang w:val="en-US" w:eastAsia="zh-CN"/>
        </w:rPr>
        <w:fldChar w:fldCharType="separate"/>
      </w:r>
      <w:r>
        <w:rPr>
          <w:rFonts w:hint="eastAsia" w:hAnsi="宋体"/>
          <w:color w:val="000000"/>
          <w:sz w:val="24"/>
          <w:szCs w:val="24"/>
          <w:lang w:val="en-US" w:eastAsia="zh-CN"/>
        </w:rPr>
        <w:t>①</w:t>
      </w:r>
      <w:r>
        <w:rPr>
          <w:rFonts w:hint="eastAsia" w:hAnsi="宋体"/>
          <w:color w:val="000000"/>
          <w:sz w:val="24"/>
          <w:szCs w:val="24"/>
          <w:lang w:val="en-US" w:eastAsia="zh-CN"/>
        </w:rPr>
        <w:fldChar w:fldCharType="end"/>
      </w:r>
      <w:r>
        <w:rPr>
          <w:rFonts w:hint="eastAsia" w:hAnsi="宋体"/>
          <w:color w:val="000000"/>
          <w:sz w:val="24"/>
          <w:szCs w:val="24"/>
          <w:lang w:val="en-US" w:eastAsia="zh-CN"/>
        </w:rPr>
        <w:t xml:space="preserve"> 喷头变异系数≤6%L/min</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fldChar w:fldCharType="begin"/>
      </w:r>
      <w:r>
        <w:rPr>
          <w:rFonts w:hint="eastAsia" w:hAnsi="宋体"/>
          <w:color w:val="000000"/>
          <w:sz w:val="24"/>
          <w:szCs w:val="24"/>
          <w:lang w:val="en-US" w:eastAsia="zh-CN"/>
        </w:rPr>
        <w:instrText xml:space="preserve"> = 2 \* GB3 \* MERGEFORMAT </w:instrText>
      </w:r>
      <w:r>
        <w:rPr>
          <w:rFonts w:hint="eastAsia" w:hAnsi="宋体"/>
          <w:color w:val="000000"/>
          <w:sz w:val="24"/>
          <w:szCs w:val="24"/>
          <w:lang w:val="en-US" w:eastAsia="zh-CN"/>
        </w:rPr>
        <w:fldChar w:fldCharType="separate"/>
      </w:r>
      <w:r>
        <w:rPr>
          <w:rFonts w:hint="eastAsia" w:hAnsi="宋体"/>
          <w:color w:val="000000"/>
          <w:sz w:val="24"/>
          <w:szCs w:val="24"/>
          <w:lang w:val="en-US" w:eastAsia="zh-CN"/>
        </w:rPr>
        <w:t>②</w:t>
      </w:r>
      <w:r>
        <w:rPr>
          <w:rFonts w:hint="eastAsia" w:hAnsi="宋体"/>
          <w:color w:val="000000"/>
          <w:sz w:val="24"/>
          <w:szCs w:val="24"/>
          <w:lang w:val="en-US" w:eastAsia="zh-CN"/>
        </w:rPr>
        <w:fldChar w:fldCharType="end"/>
      </w:r>
      <w:r>
        <w:rPr>
          <w:rFonts w:hint="eastAsia" w:hAnsi="宋体"/>
          <w:color w:val="000000"/>
          <w:sz w:val="24"/>
          <w:szCs w:val="24"/>
          <w:lang w:val="en-US" w:eastAsia="zh-CN"/>
        </w:rPr>
        <w:t>施药量误差≤6%L/ha</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fldChar w:fldCharType="begin"/>
      </w:r>
      <w:r>
        <w:rPr>
          <w:rFonts w:hint="eastAsia" w:hAnsi="宋体"/>
          <w:color w:val="000000"/>
          <w:sz w:val="24"/>
          <w:szCs w:val="24"/>
          <w:lang w:val="en-US" w:eastAsia="zh-CN"/>
        </w:rPr>
        <w:instrText xml:space="preserve"> = 3 \* GB3 \* MERGEFORMAT </w:instrText>
      </w:r>
      <w:r>
        <w:rPr>
          <w:rFonts w:hint="eastAsia" w:hAnsi="宋体"/>
          <w:color w:val="000000"/>
          <w:sz w:val="24"/>
          <w:szCs w:val="24"/>
          <w:lang w:val="en-US" w:eastAsia="zh-CN"/>
        </w:rPr>
        <w:fldChar w:fldCharType="separate"/>
      </w:r>
      <w:r>
        <w:rPr>
          <w:rFonts w:hint="eastAsia" w:hAnsi="宋体"/>
          <w:color w:val="000000"/>
          <w:sz w:val="24"/>
          <w:szCs w:val="24"/>
          <w:lang w:val="en-US" w:eastAsia="zh-CN"/>
        </w:rPr>
        <w:t>③</w:t>
      </w:r>
      <w:r>
        <w:rPr>
          <w:rFonts w:hint="eastAsia" w:hAnsi="宋体"/>
          <w:color w:val="000000"/>
          <w:sz w:val="24"/>
          <w:szCs w:val="24"/>
          <w:lang w:val="en-US" w:eastAsia="zh-CN"/>
        </w:rPr>
        <w:fldChar w:fldCharType="end"/>
      </w:r>
      <w:r>
        <w:rPr>
          <w:rFonts w:hint="eastAsia" w:hAnsi="宋体"/>
          <w:color w:val="000000"/>
          <w:sz w:val="24"/>
          <w:szCs w:val="24"/>
          <w:lang w:val="en-US" w:eastAsia="zh-CN"/>
        </w:rPr>
        <w:t>最低工作压力≤0.01Mpa</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要求：提供产品检验报告；提供智能喷洒系统检验报告</w:t>
      </w:r>
    </w:p>
    <w:p>
      <w:pPr>
        <w:tabs>
          <w:tab w:val="left" w:pos="7095"/>
        </w:tabs>
        <w:spacing w:line="360" w:lineRule="auto"/>
        <w:ind w:firstLine="482" w:firstLineChars="200"/>
        <w:contextualSpacing/>
        <w:rPr>
          <w:rFonts w:hint="eastAsia" w:hAnsi="宋体"/>
          <w:b/>
          <w:bCs/>
          <w:color w:val="000000"/>
          <w:sz w:val="24"/>
          <w:szCs w:val="24"/>
          <w:lang w:val="en-US" w:eastAsia="zh-CN"/>
        </w:rPr>
      </w:pPr>
      <w:r>
        <w:rPr>
          <w:rFonts w:hint="eastAsia" w:hAnsi="宋体"/>
          <w:b/>
          <w:bCs/>
          <w:color w:val="000000"/>
          <w:sz w:val="24"/>
          <w:szCs w:val="24"/>
          <w:lang w:val="en-US" w:eastAsia="zh-CN"/>
        </w:rPr>
        <w:t>3、低温谷物干燥机1台</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1）结构形式：批式循环</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2）装载量：稻谷（kg）：2300-15000；小麦（kg）：2700-15000</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3）整机质量（kg）：≥3000</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4）离心风机：型号：4-72-6A；额定风量（m3/h）：6677-13353</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5）燃气燃烧炉：型号：CY5LRY-15B；发热量（出力）：10-20万大卡</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电机功率：0.25KW；电源:220V/50HZ</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控制方式:自动点火，双段火（分大火、小火），大火随设定温度自动起灭，小火一直燃烧</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6)电力：电压/频率：三相380V 单相220V/50Hz；电机总功率(kW):≥7.5</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7）性能：进料时间:稻谷(min)55～70，小麦(min)50～65；排料时间:稻谷(min)55～70，小麦(min)50～65；处理量 (kg/h)：≥800；干燥能力(kg.%/h)：≥7000；降水率（%/h）：0.5-1.2</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8）各项装置</w:t>
      </w:r>
      <w:r>
        <w:rPr>
          <w:rFonts w:hint="eastAsia" w:hAnsi="宋体"/>
          <w:color w:val="000000"/>
          <w:sz w:val="24"/>
          <w:szCs w:val="24"/>
          <w:lang w:val="en-US" w:eastAsia="zh-CN"/>
        </w:rPr>
        <w:tab/>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安全装置:满粮报警装置、热继电器、温度控制仪、热风温度传感器、过载保护装置、漏电保护装置等。</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标准装置:在线水分监测仪、输送系统、排粮系统、干燥系统、缓苏段、提升机、低噪音抽风机、自动控制系统。</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9）配套设备：传送装置，长度10m,带宽0.6m，聚酯人字纹输送胶带</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要求：提供产品检验报告</w:t>
      </w:r>
    </w:p>
    <w:p>
      <w:pPr>
        <w:tabs>
          <w:tab w:val="left" w:pos="7095"/>
        </w:tabs>
        <w:spacing w:line="360" w:lineRule="auto"/>
        <w:ind w:firstLine="482" w:firstLineChars="200"/>
        <w:contextualSpacing/>
        <w:rPr>
          <w:rFonts w:hint="eastAsia" w:hAnsi="宋体"/>
          <w:color w:val="000000"/>
          <w:sz w:val="24"/>
          <w:szCs w:val="24"/>
          <w:lang w:val="en-US" w:eastAsia="zh-CN"/>
        </w:rPr>
      </w:pPr>
      <w:r>
        <w:rPr>
          <w:rFonts w:hint="eastAsia" w:hAnsi="宋体"/>
          <w:b/>
          <w:bCs/>
          <w:color w:val="000000"/>
          <w:sz w:val="24"/>
          <w:szCs w:val="24"/>
          <w:lang w:val="en-US" w:eastAsia="zh-CN"/>
        </w:rPr>
        <w:t>4、植保无人机 1台</w:t>
      </w:r>
      <w:r>
        <w:rPr>
          <w:rFonts w:hint="eastAsia" w:hAnsi="宋体"/>
          <w:color w:val="000000"/>
          <w:sz w:val="24"/>
          <w:szCs w:val="24"/>
          <w:lang w:val="en-US" w:eastAsia="zh-CN"/>
        </w:rPr>
        <w:t xml:space="preserve">  </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1）四旋翼电动无人机；</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2）全自主飞行：地面站控制,预定航线自主飞行及原点降落；</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3）失控保护功能：无人机在导航通讯中断时，飞机能保持悬停，待通讯恢复后，可自动返回原点；</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4）液泵形式：蠕动泵；</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5）喷头型式：离心雾化喷头</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6）喷幅：3.0-5.0米（视作业高度而定）；</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7）药箱：滑轨式药箱，即插即用，容量：≥15升；</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8）作业效率：≥80亩/小时；</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9）黑匣子：远程控制，锁机功能，作业数据，后台实时同步；</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10）智能电池：滑轨式锂电池，即插即用,18000mAh,44.4v；</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11）手持式地面站：有语音播报飞机状态，支持不规则地块的快速测绘；</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12）GNSS RTK精准定位，厘米级误差，覆盖范围3千米，一站支持多机作业；</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13）具备远程监管系统通讯功能</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14）IP67级机身防水设计，植保作业后可直接水洗</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15）智能快速充电器；</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 xml:space="preserve">   要求：提供产品检验报告</w:t>
      </w:r>
    </w:p>
    <w:p>
      <w:pPr>
        <w:pStyle w:val="2"/>
        <w:rPr>
          <w:rFonts w:hint="eastAsia"/>
        </w:rPr>
      </w:pPr>
    </w:p>
    <w:p>
      <w:pPr>
        <w:pStyle w:val="2"/>
      </w:pPr>
    </w:p>
    <w:p>
      <w:pPr>
        <w:pStyle w:val="2"/>
        <w:rPr>
          <w:rFonts w:hint="eastAsia"/>
          <w:sz w:val="24"/>
          <w:szCs w:val="24"/>
          <w:lang w:eastAsia="zh-CN"/>
        </w:rPr>
      </w:pPr>
      <w:r>
        <w:rPr>
          <w:rFonts w:hint="eastAsia"/>
          <w:sz w:val="24"/>
          <w:szCs w:val="24"/>
          <w:lang w:eastAsia="zh-CN"/>
        </w:rPr>
        <w:t>（三）采购标的执行标准：</w:t>
      </w:r>
    </w:p>
    <w:p>
      <w:pPr>
        <w:pStyle w:val="2"/>
        <w:rPr>
          <w:rFonts w:hint="eastAsia"/>
          <w:sz w:val="24"/>
          <w:szCs w:val="24"/>
          <w:lang w:eastAsia="zh-CN"/>
        </w:rPr>
      </w:pPr>
      <w:r>
        <w:rPr>
          <w:rFonts w:hint="eastAsia"/>
          <w:sz w:val="24"/>
          <w:szCs w:val="24"/>
          <w:lang w:eastAsia="zh-CN"/>
        </w:rPr>
        <w:t>需执行的国家相关标准。</w:t>
      </w:r>
    </w:p>
    <w:p>
      <w:pPr>
        <w:pStyle w:val="2"/>
        <w:rPr>
          <w:rFonts w:hint="eastAsia"/>
          <w:sz w:val="24"/>
          <w:szCs w:val="24"/>
          <w:lang w:eastAsia="zh-CN"/>
        </w:rPr>
      </w:pPr>
      <w:r>
        <w:rPr>
          <w:rFonts w:hint="eastAsia"/>
          <w:sz w:val="24"/>
          <w:szCs w:val="24"/>
          <w:lang w:eastAsia="zh-CN"/>
        </w:rPr>
        <w:t>（四）服务标准、期限等要求：</w:t>
      </w:r>
    </w:p>
    <w:p>
      <w:pPr>
        <w:pStyle w:val="2"/>
        <w:rPr>
          <w:rFonts w:hint="eastAsia"/>
          <w:sz w:val="24"/>
          <w:szCs w:val="24"/>
          <w:lang w:val="en-US" w:eastAsia="zh-CN"/>
        </w:rPr>
      </w:pPr>
      <w:r>
        <w:rPr>
          <w:rFonts w:hint="eastAsia"/>
          <w:sz w:val="24"/>
          <w:szCs w:val="24"/>
          <w:lang w:val="en-US" w:eastAsia="zh-CN"/>
        </w:rPr>
        <w:t>达到采购方要求，按合同约定时期完成交货，售后有保证，24小时接听售后电话，48小时内上门服务，保质期限一年。</w:t>
      </w:r>
    </w:p>
    <w:p>
      <w:pPr>
        <w:pStyle w:val="2"/>
        <w:rPr>
          <w:rFonts w:hint="eastAsia"/>
          <w:sz w:val="24"/>
          <w:szCs w:val="24"/>
          <w:lang w:eastAsia="zh-CN"/>
        </w:rPr>
      </w:pPr>
      <w:r>
        <w:rPr>
          <w:rFonts w:hint="eastAsia"/>
          <w:sz w:val="24"/>
          <w:szCs w:val="24"/>
          <w:lang w:eastAsia="zh-CN"/>
        </w:rPr>
        <w:t>（五）验收标准:</w:t>
      </w:r>
    </w:p>
    <w:p>
      <w:pPr>
        <w:pStyle w:val="2"/>
        <w:rPr>
          <w:rFonts w:hint="eastAsia"/>
          <w:sz w:val="24"/>
          <w:szCs w:val="24"/>
          <w:lang w:eastAsia="zh-CN"/>
        </w:rPr>
      </w:pPr>
      <w:r>
        <w:rPr>
          <w:rFonts w:hint="eastAsia"/>
          <w:sz w:val="24"/>
          <w:szCs w:val="24"/>
          <w:lang w:eastAsia="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
        <w:rPr>
          <w:rFonts w:hint="eastAsia"/>
          <w:sz w:val="24"/>
          <w:szCs w:val="24"/>
          <w:lang w:eastAsia="zh-CN"/>
        </w:rPr>
      </w:pPr>
      <w:r>
        <w:rPr>
          <w:rFonts w:hint="eastAsia"/>
          <w:sz w:val="24"/>
          <w:szCs w:val="24"/>
          <w:lang w:eastAsia="zh-CN"/>
        </w:rPr>
        <w:t>1、按照国家相关标准、行业标准、地方标准；</w:t>
      </w:r>
    </w:p>
    <w:p>
      <w:pPr>
        <w:pStyle w:val="2"/>
        <w:rPr>
          <w:rFonts w:hint="eastAsia"/>
          <w:sz w:val="24"/>
          <w:szCs w:val="24"/>
          <w:lang w:eastAsia="zh-CN"/>
        </w:rPr>
      </w:pPr>
      <w:r>
        <w:rPr>
          <w:rFonts w:hint="eastAsia"/>
          <w:sz w:val="24"/>
          <w:szCs w:val="24"/>
          <w:lang w:eastAsia="zh-CN"/>
        </w:rPr>
        <w:t>2、按照招标文件要求、投标文件响应和承诺验收；</w:t>
      </w:r>
    </w:p>
    <w:p>
      <w:pPr>
        <w:pStyle w:val="2"/>
        <w:rPr>
          <w:rFonts w:hint="eastAsia"/>
          <w:sz w:val="24"/>
          <w:szCs w:val="24"/>
          <w:lang w:eastAsia="zh-CN"/>
        </w:rPr>
      </w:pPr>
      <w:r>
        <w:rPr>
          <w:rFonts w:hint="eastAsia"/>
          <w:sz w:val="24"/>
          <w:szCs w:val="24"/>
          <w:lang w:eastAsia="zh-CN"/>
        </w:rPr>
        <w:t>（六）采购标的的其他技术、服务等要求：</w:t>
      </w:r>
    </w:p>
    <w:p>
      <w:pPr>
        <w:pStyle w:val="2"/>
        <w:rPr>
          <w:rFonts w:hint="eastAsia"/>
          <w:sz w:val="24"/>
          <w:szCs w:val="24"/>
          <w:lang w:val="zh-CN" w:eastAsia="zh-CN"/>
        </w:rPr>
      </w:pPr>
      <w:r>
        <w:rPr>
          <w:rFonts w:hint="eastAsia"/>
          <w:sz w:val="24"/>
          <w:szCs w:val="24"/>
          <w:lang w:val="zh-CN" w:eastAsia="zh-CN"/>
        </w:rPr>
        <w:t>按照采购数量、型号等，进行安装、调试，并培训技术工人，搞好售后服务，费用由供货方支付。</w:t>
      </w:r>
    </w:p>
    <w:p>
      <w:pPr>
        <w:pStyle w:val="2"/>
        <w:rPr>
          <w:rFonts w:hint="eastAsia"/>
          <w:sz w:val="24"/>
          <w:szCs w:val="24"/>
          <w:lang w:val="zh-CN" w:eastAsia="zh-CN"/>
        </w:rPr>
      </w:pPr>
      <w:r>
        <w:rPr>
          <w:rFonts w:hint="eastAsia"/>
          <w:sz w:val="24"/>
          <w:szCs w:val="24"/>
          <w:lang w:val="zh-CN" w:eastAsia="zh-CN"/>
        </w:rPr>
        <w:t>（七）其他要求</w:t>
      </w:r>
    </w:p>
    <w:p>
      <w:pPr>
        <w:tabs>
          <w:tab w:val="left" w:pos="5963"/>
        </w:tabs>
        <w:spacing w:line="420" w:lineRule="exact"/>
        <w:ind w:firstLine="480" w:firstLineChars="200"/>
        <w:rPr>
          <w:lang w:val="zh-CN"/>
        </w:rPr>
      </w:pPr>
      <w:r>
        <w:rPr>
          <w:rFonts w:hint="eastAsia" w:ascii="宋体" w:hAnsi="宋体" w:eastAsia="宋体" w:cs="宋体"/>
          <w:kern w:val="0"/>
          <w:sz w:val="24"/>
          <w:szCs w:val="24"/>
        </w:rPr>
        <w:t>1、投标人须明确投标产品的品牌、型号、厂家及产地等详细参数，否则为无效投标。</w:t>
      </w:r>
    </w:p>
    <w:p>
      <w:pPr>
        <w:widowControl/>
        <w:shd w:val="clear" w:color="auto" w:fill="FFFFFF"/>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rPr>
        <w:t>2、</w:t>
      </w:r>
      <w:r>
        <w:rPr>
          <w:rFonts w:hint="eastAsia" w:ascii="宋体" w:hAnsi="宋体" w:cs="宋体"/>
          <w:kern w:val="0"/>
          <w:sz w:val="24"/>
          <w:szCs w:val="24"/>
          <w:lang w:val="zh-CN"/>
        </w:rPr>
        <w:t>投标人应就该项目完整投标（报价含安装，运输、培训、税费等综合费用），否则为无效投标。</w:t>
      </w:r>
    </w:p>
    <w:p>
      <w:pPr>
        <w:tabs>
          <w:tab w:val="left" w:pos="5963"/>
        </w:tabs>
        <w:spacing w:line="420" w:lineRule="exact"/>
        <w:ind w:firstLine="480" w:firstLineChars="200"/>
        <w:rPr>
          <w:rFonts w:ascii="宋体" w:hAnsi="宋体" w:cs="宋体"/>
          <w:sz w:val="24"/>
          <w:szCs w:val="24"/>
        </w:rPr>
      </w:pPr>
      <w:r>
        <w:rPr>
          <w:rFonts w:hint="eastAsia" w:ascii="宋体" w:hAnsi="宋体" w:cs="宋体"/>
          <w:sz w:val="24"/>
          <w:szCs w:val="24"/>
        </w:rPr>
        <w:t>3、投标人须对照节能产品政府采购清单，如果本次采购的产品属于强制采购范围的（国办发[2007]51号文），投标文件中须提供所投产品属于强制采购产品有效的证明材料且加盖投标单位公章，否则为无效投标。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宋体" w:hAnsi="宋体" w:cs="宋体"/>
          <w:sz w:val="24"/>
          <w:szCs w:val="24"/>
        </w:rPr>
      </w:pPr>
      <w:r>
        <w:rPr>
          <w:rFonts w:hint="eastAsia" w:ascii="宋体" w:hAnsi="宋体" w:cs="宋体"/>
          <w:sz w:val="24"/>
          <w:szCs w:val="24"/>
        </w:rPr>
        <w:t>4、所投产品已列入国家强制性产品认证的产品，投标文件中必须提供国家对实施强制性产品认证的有效证明材料且加盖投标人公章，否则为无效投标。（如3C等）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宋体" w:hAnsi="宋体" w:cs="宋体"/>
          <w:kern w:val="0"/>
          <w:sz w:val="24"/>
          <w:szCs w:val="24"/>
          <w:lang w:val="zh-CN"/>
        </w:rPr>
      </w:pPr>
      <w:r>
        <w:rPr>
          <w:rFonts w:hint="eastAsia" w:ascii="宋体" w:hAnsi="宋体" w:cs="宋体"/>
          <w:sz w:val="24"/>
          <w:szCs w:val="24"/>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widowControl/>
        <w:shd w:val="clear" w:color="auto" w:fill="FFFFFF"/>
        <w:spacing w:line="360" w:lineRule="auto"/>
        <w:ind w:firstLine="480" w:firstLineChars="200"/>
        <w:jc w:val="left"/>
        <w:rPr>
          <w:rFonts w:hint="eastAsia" w:ascii="新宋体" w:hAnsi="新宋体" w:eastAsia="新宋体" w:cs="新宋体"/>
          <w:kern w:val="0"/>
          <w:sz w:val="24"/>
          <w:szCs w:val="24"/>
          <w:lang w:val="en-US" w:eastAsia="zh-CN"/>
        </w:rPr>
      </w:pPr>
      <w:r>
        <w:rPr>
          <w:rFonts w:hint="eastAsia" w:ascii="新宋体" w:hAnsi="新宋体" w:eastAsia="新宋体" w:cs="新宋体"/>
          <w:kern w:val="0"/>
          <w:sz w:val="24"/>
          <w:szCs w:val="24"/>
          <w:lang w:val="en-US" w:eastAsia="zh-CN"/>
        </w:rPr>
        <w:t>6</w:t>
      </w:r>
      <w:r>
        <w:rPr>
          <w:rFonts w:hint="eastAsia" w:ascii="新宋体" w:hAnsi="新宋体" w:eastAsia="新宋体" w:cs="新宋体"/>
          <w:kern w:val="0"/>
          <w:sz w:val="24"/>
          <w:szCs w:val="24"/>
        </w:rPr>
        <w:t>、付款方式：</w:t>
      </w:r>
      <w:r>
        <w:rPr>
          <w:rFonts w:hint="eastAsia" w:ascii="新宋体" w:hAnsi="新宋体" w:eastAsia="新宋体" w:cs="新宋体"/>
          <w:kern w:val="0"/>
          <w:sz w:val="24"/>
          <w:szCs w:val="24"/>
          <w:lang w:val="en-US" w:eastAsia="zh-CN"/>
        </w:rPr>
        <w:t>项目验收合格后，由国库直接支付。</w:t>
      </w:r>
    </w:p>
    <w:p>
      <w:pPr>
        <w:widowControl/>
        <w:shd w:val="clear" w:color="auto" w:fill="FFFFFF"/>
        <w:spacing w:line="360" w:lineRule="auto"/>
        <w:ind w:firstLine="480" w:firstLineChars="200"/>
        <w:jc w:val="left"/>
        <w:rPr>
          <w:rFonts w:hint="eastAsia" w:ascii="新宋体" w:hAnsi="新宋体" w:eastAsia="新宋体" w:cs="新宋体"/>
          <w:kern w:val="0"/>
          <w:sz w:val="24"/>
          <w:szCs w:val="24"/>
          <w:lang w:val="en-US" w:eastAsia="zh-CN"/>
        </w:rPr>
      </w:pPr>
      <w:r>
        <w:rPr>
          <w:rFonts w:hint="eastAsia" w:ascii="新宋体" w:hAnsi="新宋体" w:eastAsia="新宋体" w:cs="新宋体"/>
          <w:kern w:val="0"/>
          <w:sz w:val="24"/>
          <w:szCs w:val="24"/>
          <w:lang w:val="en-US" w:eastAsia="zh-CN"/>
        </w:rPr>
        <w:t xml:space="preserve">   交付地点：禹州市古城镇小集村、禹州市范坡镇李庄村</w:t>
      </w:r>
    </w:p>
    <w:p>
      <w:pPr>
        <w:widowControl/>
        <w:shd w:val="clear" w:color="auto" w:fill="FFFFFF"/>
        <w:spacing w:line="360" w:lineRule="auto"/>
        <w:ind w:firstLine="480" w:firstLineChars="200"/>
        <w:jc w:val="left"/>
        <w:rPr>
          <w:rFonts w:hint="default" w:ascii="新宋体" w:hAnsi="新宋体" w:eastAsia="新宋体" w:cs="新宋体"/>
          <w:kern w:val="0"/>
          <w:sz w:val="24"/>
          <w:szCs w:val="24"/>
          <w:lang w:val="en-US" w:eastAsia="zh-CN"/>
        </w:rPr>
      </w:pPr>
    </w:p>
    <w:p>
      <w:pPr>
        <w:spacing w:line="500" w:lineRule="exact"/>
        <w:jc w:val="left"/>
        <w:rPr>
          <w:rFonts w:ascii="仿宋_GB2312" w:hAnsi="仿宋_GB2312" w:eastAsia="仿宋_GB2312" w:cs="仿宋_GB2312"/>
          <w:b/>
          <w:sz w:val="44"/>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szCs w:val="21"/>
                <w:lang w:val="en-US" w:eastAsia="zh-CN"/>
              </w:rPr>
              <w:t>2018年禹州市新型农业经营主体粮食生产装备水平提升项目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项目编号：YZCG-</w:t>
            </w:r>
            <w:r>
              <w:rPr>
                <w:rFonts w:hint="eastAsia" w:cs="仿宋_GB2312" w:asciiTheme="minorEastAsia" w:hAnsiTheme="minorEastAsia"/>
                <w:szCs w:val="21"/>
                <w:lang w:val="en-US" w:eastAsia="zh-CN"/>
              </w:rPr>
              <w:t>G2020037</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工期：以签订合同为准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w:t>
            </w:r>
            <w:r>
              <w:rPr>
                <w:rFonts w:hint="eastAsia" w:cs="仿宋_GB2312" w:asciiTheme="minorEastAsia" w:hAnsiTheme="minorEastAsia"/>
                <w:sz w:val="24"/>
                <w:szCs w:val="24"/>
                <w:lang w:val="en-US" w:eastAsia="zh-CN"/>
              </w:rPr>
              <w:t>禹州市农业农村局</w:t>
            </w:r>
            <w:r>
              <w:rPr>
                <w:rFonts w:cs="仿宋_GB2312" w:asciiTheme="minorEastAsia" w:hAnsiTheme="minorEastAsia"/>
                <w:sz w:val="24"/>
                <w:szCs w:val="24"/>
              </w:rPr>
              <w:t xml:space="preserve"> </w:t>
            </w:r>
          </w:p>
          <w:p>
            <w:pPr>
              <w:widowControl/>
              <w:shd w:val="clear" w:color="auto" w:fill="FFFFFF"/>
              <w:spacing w:line="400" w:lineRule="exact"/>
              <w:jc w:val="left"/>
              <w:rPr>
                <w:rFonts w:cs="仿宋_GB2312" w:asciiTheme="minorEastAsia" w:hAnsiTheme="minorEastAsia"/>
                <w:szCs w:val="21"/>
              </w:rPr>
            </w:pPr>
            <w:r>
              <w:rPr>
                <w:rFonts w:hint="eastAsia" w:cs="仿宋_GB2312" w:asciiTheme="minorEastAsia" w:hAnsiTheme="minorEastAsia"/>
                <w:sz w:val="24"/>
                <w:szCs w:val="24"/>
              </w:rPr>
              <w:t>地址：</w:t>
            </w:r>
            <w:r>
              <w:rPr>
                <w:rFonts w:hint="eastAsia" w:cs="仿宋_GB2312" w:asciiTheme="minorEastAsia" w:hAnsiTheme="minorEastAsia"/>
                <w:sz w:val="24"/>
                <w:szCs w:val="24"/>
                <w:lang w:val="en-US" w:eastAsia="zh-CN"/>
              </w:rPr>
              <w:t>禹州市画圣路</w:t>
            </w:r>
          </w:p>
          <w:p>
            <w:pPr>
              <w:widowControl/>
              <w:shd w:val="clear" w:color="auto" w:fill="FFFFFF"/>
              <w:spacing w:line="400" w:lineRule="exact"/>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val="en-US" w:eastAsia="zh-CN"/>
              </w:rPr>
              <w:t>师先生   联系电话：15136</w:t>
            </w:r>
            <w:bookmarkStart w:id="11" w:name="_GoBack"/>
            <w:bookmarkEnd w:id="11"/>
            <w:r>
              <w:rPr>
                <w:rFonts w:hint="eastAsia" w:cs="仿宋_GB2312" w:asciiTheme="minorEastAsia" w:hAnsiTheme="minorEastAsia"/>
                <w:sz w:val="24"/>
                <w:szCs w:val="24"/>
                <w:lang w:val="en-US" w:eastAsia="zh-CN"/>
              </w:rPr>
              <w:t>802375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val="en-US" w:eastAsia="zh-CN"/>
              </w:rPr>
              <w:t>李</w:t>
            </w:r>
            <w:r>
              <w:rPr>
                <w:rFonts w:hint="eastAsia" w:cs="仿宋_GB2312" w:asciiTheme="minorEastAsia" w:hAnsiTheme="minorEastAsia"/>
                <w:sz w:val="24"/>
                <w:szCs w:val="24"/>
              </w:rPr>
              <w:t>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pPr>
            <w:r>
              <w:rPr>
                <w:rFonts w:hint="eastAsia"/>
                <w:lang w:val="zh-CN"/>
              </w:rPr>
              <w:t>七、</w:t>
            </w:r>
            <w:r>
              <w:t>未被列入“信用中国”网站(www.creditchina.gov.cn)失信被执行人、重大税收违法案件当事人名单、</w:t>
            </w:r>
            <w:r>
              <w:rPr>
                <w:rFonts w:hint="eastAsia"/>
              </w:rPr>
              <w:t xml:space="preserve"> “</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 xml:space="preserve"> “中国社会组织公共服务平台”网站（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autoSpaceDE w:val="0"/>
              <w:autoSpaceDN w:val="0"/>
              <w:spacing w:line="360" w:lineRule="auto"/>
              <w:contextualSpacing/>
            </w:pPr>
            <w:r>
              <w:rPr>
                <w:rFonts w:hint="eastAsia"/>
              </w:rPr>
              <w:t>1、查询渠道：</w:t>
            </w:r>
          </w:p>
          <w:p>
            <w:pPr>
              <w:autoSpaceDE w:val="0"/>
              <w:autoSpaceDN w:val="0"/>
              <w:spacing w:line="360" w:lineRule="auto"/>
              <w:contextualSpacing/>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autoSpaceDE w:val="0"/>
              <w:autoSpaceDN w:val="0"/>
              <w:spacing w:line="360" w:lineRule="auto"/>
              <w:contextualSpacing/>
            </w:pPr>
            <w:r>
              <w:rPr>
                <w:rFonts w:hint="eastAsia"/>
              </w:rPr>
              <w:t>②“中国政府采购网”（www.ccgp.gov.cn）</w:t>
            </w:r>
          </w:p>
          <w:p>
            <w:pPr>
              <w:autoSpaceDE w:val="0"/>
              <w:autoSpaceDN w:val="0"/>
              <w:spacing w:line="360" w:lineRule="auto"/>
              <w:contextualSpacing/>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2、截止时间：同谈判响应截止时间；</w:t>
            </w:r>
          </w:p>
          <w:p>
            <w:pPr>
              <w:autoSpaceDE w:val="0"/>
              <w:autoSpaceDN w:val="0"/>
              <w:spacing w:line="360" w:lineRule="auto"/>
              <w:contextualSpacing/>
            </w:pPr>
            <w:r>
              <w:rPr>
                <w:rFonts w:hint="eastAsia"/>
              </w:rPr>
              <w:t>3、信用信息查询记录和证据留存具体方式：经谈判小组确认的查询结果网页截图作为查询记录和证据，与其他采购文件一并保存；</w:t>
            </w:r>
          </w:p>
          <w:p>
            <w:pPr>
              <w:autoSpaceDE w:val="0"/>
              <w:autoSpaceDN w:val="0"/>
              <w:spacing w:line="360" w:lineRule="auto"/>
              <w:contextualSpacing/>
            </w:pPr>
            <w:r>
              <w:rPr>
                <w:rFonts w:hint="eastAsia"/>
              </w:rPr>
              <w:t>4、信用信息的使用原则：经谈判小组认定的被列入失信被执行人、重大税收违法案件当事人名单、政府采购严重违法失信行为记录名单的供应商、严重违法失信社会组织名单的供应商，将拒绝其参与本次政府采购活动。</w:t>
            </w:r>
          </w:p>
          <w:p>
            <w:pPr>
              <w:autoSpaceDE w:val="0"/>
              <w:autoSpaceDN w:val="0"/>
              <w:spacing w:line="360" w:lineRule="auto"/>
              <w:contextualSpacing/>
            </w:pPr>
            <w:r>
              <w:rPr>
                <w:rFonts w:hint="eastAsia"/>
              </w:rPr>
              <w:t>5、供应商不良信用记录以谈判小组查询结果为准，谈判小组查询之后，网站信息发生的任何变更不再作为评审依据，供应商自行提供的与网站信息不一致的其他证明材料亦不作为评审依据。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contextualSpacing/>
            </w:pPr>
            <w:r>
              <w:rPr>
                <w:rFonts w:hint="eastAsia"/>
              </w:rPr>
              <w:t>八、被委托人须是本单位职工，须提供公司为本人缴纳社会保险证明；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lang w:val="en-US" w:eastAsia="zh-CN"/>
              </w:rPr>
              <w:t>100</w:t>
            </w:r>
            <w:r>
              <w:rPr>
                <w:rFonts w:hint="eastAsia" w:cs="宋体" w:asciiTheme="minorEastAsia" w:hAnsiTheme="minorEastAsia"/>
                <w:bCs/>
                <w:color w:val="FF0000"/>
                <w:sz w:val="24"/>
                <w:szCs w:val="24"/>
                <w:lang w:val="zh-CN" w:eastAsia="zh-CN"/>
              </w:rPr>
              <w:t>万元</w:t>
            </w: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w:t>
            </w:r>
            <w:r>
              <w:rPr>
                <w:rFonts w:hint="eastAsia" w:cs="宋体" w:asciiTheme="minorEastAsia" w:hAnsiTheme="minorEastAsia"/>
                <w:bCs/>
                <w:color w:val="FF0000"/>
                <w:sz w:val="24"/>
                <w:szCs w:val="24"/>
                <w:lang w:val="en-US" w:eastAsia="zh-CN"/>
              </w:rPr>
              <w:t>20</w:t>
            </w:r>
            <w:r>
              <w:rPr>
                <w:rFonts w:hint="eastAsia" w:cs="宋体" w:asciiTheme="minorEastAsia" w:hAnsiTheme="minorEastAsia"/>
                <w:bCs/>
                <w:color w:val="FF0000"/>
                <w:sz w:val="24"/>
                <w:szCs w:val="24"/>
                <w:lang w:val="zh-CN"/>
              </w:rPr>
              <w:t>年</w:t>
            </w:r>
            <w:r>
              <w:rPr>
                <w:rFonts w:hint="eastAsia" w:cs="宋体" w:asciiTheme="minorEastAsia" w:hAnsiTheme="minorEastAsia"/>
                <w:bCs/>
                <w:color w:val="FF0000"/>
                <w:sz w:val="24"/>
                <w:szCs w:val="24"/>
                <w:lang w:val="en-US" w:eastAsia="zh-CN"/>
              </w:rPr>
              <w:t>4</w:t>
            </w:r>
            <w:r>
              <w:rPr>
                <w:rFonts w:hint="eastAsia" w:cs="宋体" w:asciiTheme="minorEastAsia" w:hAnsiTheme="minorEastAsia"/>
                <w:bCs/>
                <w:color w:val="FF0000"/>
                <w:sz w:val="24"/>
                <w:szCs w:val="24"/>
                <w:lang w:val="zh-CN"/>
              </w:rPr>
              <w:t xml:space="preserve"> 月</w:t>
            </w:r>
            <w:r>
              <w:rPr>
                <w:rFonts w:hint="eastAsia" w:cs="宋体" w:asciiTheme="minorEastAsia" w:hAnsiTheme="minorEastAsia"/>
                <w:bCs/>
                <w:color w:val="FF0000"/>
                <w:sz w:val="24"/>
                <w:szCs w:val="24"/>
              </w:rPr>
              <w:t xml:space="preserve"> </w:t>
            </w:r>
            <w:r>
              <w:rPr>
                <w:rFonts w:hint="eastAsia" w:cs="宋体" w:asciiTheme="minorEastAsia" w:hAnsiTheme="minorEastAsia"/>
                <w:bCs/>
                <w:color w:val="FF0000"/>
                <w:sz w:val="24"/>
                <w:szCs w:val="24"/>
                <w:lang w:val="en-US" w:eastAsia="zh-CN"/>
              </w:rPr>
              <w:t>2</w:t>
            </w:r>
            <w:r>
              <w:rPr>
                <w:rFonts w:hint="eastAsia" w:cs="宋体" w:asciiTheme="minorEastAsia" w:hAnsiTheme="minorEastAsia"/>
                <w:bCs/>
                <w:color w:val="FF0000"/>
                <w:sz w:val="24"/>
                <w:szCs w:val="24"/>
              </w:rPr>
              <w:t xml:space="preserve"> </w:t>
            </w:r>
            <w:r>
              <w:rPr>
                <w:rFonts w:hint="eastAsia" w:cs="宋体" w:asciiTheme="minorEastAsia" w:hAnsiTheme="minorEastAsia"/>
                <w:bCs/>
                <w:color w:val="FF0000"/>
                <w:sz w:val="24"/>
                <w:szCs w:val="24"/>
                <w:lang w:val="zh-CN"/>
              </w:rPr>
              <w:t>号</w:t>
            </w:r>
            <w:r>
              <w:rPr>
                <w:rFonts w:hint="eastAsia" w:cs="宋体" w:asciiTheme="minorEastAsia" w:hAnsiTheme="minorEastAsia"/>
                <w:bCs/>
                <w:color w:val="FF0000"/>
                <w:sz w:val="24"/>
                <w:szCs w:val="24"/>
                <w:lang w:val="en-US" w:eastAsia="zh-CN"/>
              </w:rPr>
              <w:t xml:space="preserve">  9</w:t>
            </w:r>
            <w:r>
              <w:rPr>
                <w:rFonts w:hint="eastAsia" w:cs="宋体" w:asciiTheme="minorEastAsia" w:hAnsiTheme="minorEastAsia"/>
                <w:bCs/>
                <w:color w:val="FF0000"/>
                <w:sz w:val="24"/>
                <w:szCs w:val="24"/>
              </w:rPr>
              <w:t xml:space="preserve"> </w:t>
            </w:r>
            <w:r>
              <w:rPr>
                <w:rFonts w:hint="eastAsia" w:cs="宋体" w:asciiTheme="minorEastAsia" w:hAnsiTheme="minorEastAsia"/>
                <w:bCs/>
                <w:color w:val="FF0000"/>
                <w:sz w:val="24"/>
                <w:szCs w:val="24"/>
                <w:lang w:val="zh-CN"/>
              </w:rPr>
              <w:t>：00</w:t>
            </w:r>
            <w:r>
              <w:rPr>
                <w:rFonts w:hint="eastAsia" w:cs="宋体" w:asciiTheme="minorEastAsia" w:hAnsiTheme="minorEastAsia"/>
                <w:bCs/>
                <w:color w:val="FF0000"/>
                <w:sz w:val="24"/>
                <w:szCs w:val="24"/>
              </w:rPr>
              <w:t xml:space="preserve">  </w:t>
            </w:r>
            <w:r>
              <w:rPr>
                <w:rFonts w:hint="eastAsia" w:cs="宋体" w:asciiTheme="minorEastAsia" w:hAnsiTheme="minorEastAsia"/>
                <w:bCs/>
                <w:color w:val="FF000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pPr>
            <w:r>
              <w:rPr>
                <w:rFonts w:hint="eastAsia"/>
                <w:lang w:val="zh-CN"/>
              </w:rPr>
              <w:t>按照河南省《关于优化政府采购营商环境有关问题的通知》（豫财购（</w:t>
            </w:r>
            <w:r>
              <w:rPr>
                <w:rFonts w:hint="eastAsia"/>
              </w:rPr>
              <w:t>2019</w:t>
            </w:r>
            <w:r>
              <w:rPr>
                <w:rFonts w:hint="eastAsia"/>
                <w:lang w:val="zh-CN"/>
              </w:rPr>
              <w:t>）</w:t>
            </w:r>
            <w:r>
              <w:rPr>
                <w:rFonts w:hint="eastAsia"/>
              </w:rPr>
              <w:t>4号文</w:t>
            </w:r>
            <w:r>
              <w:rPr>
                <w:rFonts w:hint="eastAsia"/>
                <w:lang w:val="zh-CN"/>
              </w:rPr>
              <w:t>）的要求，自己</w:t>
            </w:r>
            <w:r>
              <w:rPr>
                <w:rFonts w:hint="eastAsia"/>
              </w:rPr>
              <w:t>2019年8月1日起，在全省政府采购和服务招投标活动中，</w:t>
            </w:r>
            <w:r>
              <w:rPr>
                <w:rFonts w:hint="eastAsia"/>
                <w:color w:val="FF0000"/>
              </w:rPr>
              <w:t>不再向供应商收取投标保证金</w:t>
            </w:r>
            <w:r>
              <w:rPr>
                <w:rFonts w:hint="eastAsia"/>
              </w:rPr>
              <w:t>。非招标采购方式采购货物、工程和服务的，也不再向供应商收取投标保证金。</w:t>
            </w:r>
          </w:p>
          <w:p>
            <w:pPr>
              <w:tabs>
                <w:tab w:val="left" w:pos="1260"/>
              </w:tabs>
              <w:autoSpaceDE w:val="0"/>
              <w:autoSpaceDN w:val="0"/>
              <w:spacing w:line="360" w:lineRule="auto"/>
              <w:contextualSpacing/>
              <w:rPr>
                <w:color w:val="FF0000"/>
              </w:rPr>
            </w:pPr>
            <w:r>
              <w:rPr>
                <w:rFonts w:hint="eastAsia"/>
                <w:color w:val="FF0000"/>
              </w:rPr>
              <w:t>投标商应按照招标文件要求，在投标文件中提供投标承诺函，明确所应当承担的责任和义务，并严格按照法律法规和招标文件履约，服从政府采购监管管理部门的监督管理。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hint="eastAsia" w:cs="宋体" w:asciiTheme="minorEastAsia" w:hAnsiTheme="minorEastAsia"/>
                <w:b/>
                <w:bCs/>
                <w:color w:val="FF0000"/>
                <w:sz w:val="24"/>
                <w:szCs w:val="24"/>
                <w:lang w:val="zh-CN"/>
              </w:rPr>
              <w:t>□</w:t>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lang w:val="zh-CN"/>
              </w:rPr>
              <w:t xml:space="preserve"> </w:t>
            </w: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color w:val="333333"/>
                <w:sz w:val="24"/>
                <w:szCs w:val="24"/>
              </w:rPr>
              <w:t>要求提交。履约保证金的数额为合同金额的5%。中标人以支票、汇票、本票或者金融机构、担保机构出具的保函等非现金形式向采购人提交。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numPr>
          <w:ilvl w:val="0"/>
          <w:numId w:val="5"/>
        </w:numPr>
        <w:jc w:val="center"/>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投标人须知</w:t>
      </w:r>
    </w:p>
    <w:p>
      <w:pPr>
        <w:pStyle w:val="2"/>
        <w:jc w:val="center"/>
      </w:pPr>
    </w:p>
    <w:p>
      <w:pPr>
        <w:numPr>
          <w:ilvl w:val="0"/>
          <w:numId w:val="6"/>
        </w:num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60"/>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60"/>
        <w:numPr>
          <w:ilvl w:val="0"/>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60"/>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60"/>
        <w:autoSpaceDE w:val="0"/>
        <w:autoSpaceDN w:val="0"/>
        <w:spacing w:line="360" w:lineRule="auto"/>
        <w:ind w:left="780" w:firstLine="0" w:firstLineChars="0"/>
        <w:contextualSpacing/>
        <w:rPr>
          <w:rFonts w:cs="宋体" w:asciiTheme="minorEastAsia" w:hAnsiTheme="minorEastAsia"/>
          <w:kern w:val="0"/>
          <w:sz w:val="24"/>
          <w:szCs w:val="24"/>
        </w:rPr>
      </w:pPr>
    </w:p>
    <w:p>
      <w:pPr>
        <w:pStyle w:val="60"/>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60"/>
        <w:numPr>
          <w:ilvl w:val="0"/>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60"/>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60"/>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60"/>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60"/>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60"/>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60"/>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left="840" w:leftChars="400"/>
        <w:contextualSpacing/>
        <w:rPr>
          <w:rFonts w:cs="宋体" w:asciiTheme="minorEastAsia" w:hAnsiTheme="minorEastAsia"/>
          <w:kern w:val="0"/>
          <w:sz w:val="24"/>
          <w:szCs w:val="24"/>
        </w:rPr>
      </w:pPr>
      <w:r>
        <w:rPr>
          <w:rFonts w:hint="eastAsia" w:cs="宋体" w:asciiTheme="minorEastAsia" w:hAnsiTheme="minorEastAsia"/>
          <w:kern w:val="0"/>
          <w:sz w:val="24"/>
          <w:szCs w:val="24"/>
        </w:rPr>
        <w:t>2.7.1  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 w:val="24"/>
          <w:szCs w:val="24"/>
        </w:rPr>
      </w:pPr>
      <w:r>
        <w:rPr>
          <w:rFonts w:hint="eastAsia" w:cs="宋体" w:asciiTheme="minorEastAsia" w:hAnsiTheme="minorEastAsia"/>
          <w:kern w:val="0"/>
          <w:sz w:val="24"/>
          <w:szCs w:val="24"/>
        </w:rPr>
        <w:t>2.7.2  如招标文件中已说明，经财政部门审核同意，允许部分或全部产品采购进口产品，投标人既可提供本国产品，也可以提供进口产品。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8"/>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ind w:firstLine="120" w:firstLineChars="5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3.3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pPr>
        <w:autoSpaceDE w:val="0"/>
        <w:autoSpaceDN w:val="0"/>
        <w:spacing w:line="360" w:lineRule="auto"/>
        <w:ind w:firstLine="120" w:firstLineChars="5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（1）查询渠道：“信用中国”网站（www.creditchina.gov.cn）、“中国政府采购网”（www.ccgp.gov.cn）、“中国社会组织公共服务平台”网站（www.chinanpo.gov.cn）。</w:t>
      </w:r>
    </w:p>
    <w:p>
      <w:pPr>
        <w:autoSpaceDE w:val="0"/>
        <w:autoSpaceDN w:val="0"/>
        <w:spacing w:line="360" w:lineRule="auto"/>
        <w:ind w:firstLine="120" w:firstLineChars="5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（2）截止时间：同响应截止时间。</w:t>
      </w:r>
    </w:p>
    <w:p>
      <w:pPr>
        <w:autoSpaceDE w:val="0"/>
        <w:autoSpaceDN w:val="0"/>
        <w:spacing w:line="360" w:lineRule="auto"/>
        <w:ind w:firstLine="120" w:firstLineChars="5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（3）信用信息查询记录和证据留存具体方式：经谈判小组确认的查询结果网页截图作为查询记录和证据，与其他采购文件一并保存。</w:t>
      </w:r>
    </w:p>
    <w:p>
      <w:pPr>
        <w:autoSpaceDE w:val="0"/>
        <w:autoSpaceDN w:val="0"/>
        <w:spacing w:line="360" w:lineRule="auto"/>
        <w:ind w:firstLine="120" w:firstLineChars="5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4）信用信息的使用原则：经谈判小组认定的被列入失信被执行人、重大税收违法案件当事人名单、政府采购严重违法失信行为记录名单、严重违法失信社会组织名单的响应人，将拒绝其参与本次政府采购活动。</w:t>
      </w:r>
    </w:p>
    <w:p>
      <w:pPr>
        <w:autoSpaceDE w:val="0"/>
        <w:autoSpaceDN w:val="0"/>
        <w:spacing w:line="360" w:lineRule="auto"/>
        <w:ind w:firstLine="120" w:firstLineChars="5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60"/>
        <w:autoSpaceDE w:val="0"/>
        <w:autoSpaceDN w:val="0"/>
        <w:spacing w:line="360" w:lineRule="auto"/>
        <w:ind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rPr>
        <w:t>4.合格的货物和服务</w:t>
      </w:r>
    </w:p>
    <w:p>
      <w:pPr>
        <w:pStyle w:val="6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pStyle w:val="6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如投标人所投产品被列入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6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4.4投标人所投产品如被列入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numPr>
          <w:ilvl w:val="0"/>
          <w:numId w:val="6"/>
        </w:num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0"/>
        <w:ind w:firstLine="0" w:firstLine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1"/>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3</w:t>
      </w:r>
      <w:r>
        <w:rPr>
          <w:rFonts w:hint="eastAsia" w:cs="仿宋_GB2312" w:asciiTheme="minorEastAsia" w:hAnsiTheme="minorEastAsia"/>
          <w:color w:val="FF0000"/>
          <w:sz w:val="24"/>
          <w:szCs w:val="24"/>
        </w:rPr>
        <w:t>4</w:t>
      </w:r>
      <w:r>
        <w:rPr>
          <w:rFonts w:hint="eastAsia" w:cs="仿宋_GB2312" w:asciiTheme="minorEastAsia" w:hAnsiTheme="minorEastAsia"/>
          <w:color w:val="FF0000"/>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ind w:firstLine="2168" w:firstLineChars="600"/>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jc w:val="left"/>
              <w:rPr>
                <w:rFonts w:hint="eastAsia"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信用中国”网站失信被执行人、重大税收违法案件当事人名单、“中国政府采购网”政府采购严重违法失信行为记录名单、“中国社会组织公共服务平台”网站（www.chinanpo.gov.cn）严重违法失信社会组织名单的供应商；（联合体形式投标的，联合体成员存在不良信用记录，视同联合体存在不良信用记录）。</w:t>
            </w:r>
          </w:p>
          <w:p>
            <w:pPr>
              <w:spacing w:line="360" w:lineRule="auto"/>
              <w:jc w:val="left"/>
              <w:rPr>
                <w:rFonts w:hint="eastAsia" w:asciiTheme="minorEastAsia" w:hAnsiTheme="minorEastAsia"/>
                <w:bCs/>
                <w:szCs w:val="21"/>
              </w:rPr>
            </w:pPr>
            <w:r>
              <w:rPr>
                <w:rFonts w:hint="eastAsia" w:asciiTheme="minorEastAsia" w:hAnsiTheme="minorEastAsia"/>
                <w:bCs/>
                <w:szCs w:val="21"/>
              </w:rPr>
              <w:t>（1）查询渠道：</w:t>
            </w:r>
          </w:p>
          <w:p>
            <w:pPr>
              <w:spacing w:line="360" w:lineRule="auto"/>
              <w:jc w:val="left"/>
              <w:rPr>
                <w:rFonts w:hint="eastAsia" w:asciiTheme="minorEastAsia" w:hAnsiTheme="minorEastAsia"/>
                <w:bCs/>
                <w:szCs w:val="21"/>
              </w:rPr>
            </w:pPr>
            <w:r>
              <w:rPr>
                <w:rFonts w:hint="eastAsia" w:asciiTheme="minorEastAsia" w:hAnsiTheme="minorEastAsia"/>
                <w:bCs/>
                <w:szCs w:val="21"/>
              </w:rPr>
              <w:t>①“信用中国”网站（</w:t>
            </w:r>
            <w:r>
              <w:rPr>
                <w:rFonts w:hint="eastAsia" w:asciiTheme="minorEastAsia" w:hAnsiTheme="minorEastAsia"/>
                <w:bCs/>
                <w:szCs w:val="21"/>
              </w:rPr>
              <w:fldChar w:fldCharType="begin"/>
            </w:r>
            <w:r>
              <w:rPr>
                <w:rFonts w:hint="eastAsia" w:asciiTheme="minorEastAsia" w:hAnsiTheme="minorEastAsia"/>
                <w:bCs/>
                <w:szCs w:val="21"/>
              </w:rPr>
              <w:instrText xml:space="preserve"> HYPERLINK "http://www.creditchina.gov.cn" </w:instrText>
            </w:r>
            <w:r>
              <w:rPr>
                <w:rFonts w:hint="eastAsia" w:asciiTheme="minorEastAsia" w:hAnsiTheme="minorEastAsia"/>
                <w:bCs/>
                <w:szCs w:val="21"/>
              </w:rPr>
              <w:fldChar w:fldCharType="separate"/>
            </w:r>
            <w:r>
              <w:rPr>
                <w:rFonts w:hint="eastAsia" w:asciiTheme="minorEastAsia" w:hAnsiTheme="minorEastAsia"/>
                <w:bCs/>
                <w:szCs w:val="21"/>
              </w:rPr>
              <w:t>www.creditchina.gov.cn</w:t>
            </w:r>
            <w:r>
              <w:rPr>
                <w:rFonts w:hint="eastAsia" w:asciiTheme="minorEastAsia" w:hAnsiTheme="minorEastAsia"/>
                <w:bCs/>
                <w:szCs w:val="21"/>
              </w:rPr>
              <w:fldChar w:fldCharType="end"/>
            </w:r>
            <w:r>
              <w:rPr>
                <w:rFonts w:hint="eastAsia" w:asciiTheme="minorEastAsia" w:hAnsiTheme="minorEastAsia"/>
                <w:bCs/>
                <w:szCs w:val="21"/>
              </w:rPr>
              <w:t>）</w:t>
            </w:r>
          </w:p>
          <w:p>
            <w:pPr>
              <w:spacing w:line="360" w:lineRule="auto"/>
              <w:jc w:val="left"/>
              <w:rPr>
                <w:rFonts w:hint="eastAsia" w:asciiTheme="minorEastAsia" w:hAnsiTheme="minorEastAsia"/>
                <w:bCs/>
                <w:szCs w:val="21"/>
              </w:rPr>
            </w:pPr>
            <w:r>
              <w:rPr>
                <w:rFonts w:hint="eastAsia" w:asciiTheme="minorEastAsia" w:hAnsiTheme="minorEastAsia"/>
                <w:bCs/>
                <w:szCs w:val="21"/>
              </w:rPr>
              <w:t>②“中国政府采购网”（www.ccgp.gov.cn）</w:t>
            </w:r>
          </w:p>
          <w:p>
            <w:pPr>
              <w:spacing w:line="360" w:lineRule="auto"/>
              <w:jc w:val="left"/>
              <w:rPr>
                <w:rFonts w:hint="eastAsia" w:asciiTheme="minorEastAsia" w:hAnsiTheme="minorEastAsia"/>
                <w:bCs/>
                <w:szCs w:val="21"/>
              </w:rPr>
            </w:pPr>
            <w:r>
              <w:rPr>
                <w:rFonts w:hint="eastAsia" w:asciiTheme="minorEastAsia" w:hAnsiTheme="minorEastAsia"/>
                <w:bCs/>
                <w:szCs w:val="21"/>
              </w:rPr>
              <w:t>③“中国社会组织公共服务平台”网站（www.chinanpo.gov.cn）（仅查询社会组织）；</w:t>
            </w:r>
          </w:p>
          <w:p>
            <w:pPr>
              <w:spacing w:line="360" w:lineRule="auto"/>
              <w:jc w:val="left"/>
              <w:rPr>
                <w:rFonts w:hint="eastAsia" w:asciiTheme="minorEastAsia" w:hAnsiTheme="minorEastAsia"/>
                <w:bCs/>
                <w:szCs w:val="21"/>
              </w:rPr>
            </w:pPr>
            <w:r>
              <w:rPr>
                <w:rFonts w:hint="eastAsia" w:asciiTheme="minorEastAsia" w:hAnsiTheme="minorEastAsia"/>
                <w:bCs/>
                <w:szCs w:val="21"/>
              </w:rPr>
              <w:t>（2）截止时间：同投标截止时间；</w:t>
            </w:r>
          </w:p>
          <w:p>
            <w:pPr>
              <w:spacing w:line="360" w:lineRule="auto"/>
              <w:jc w:val="left"/>
              <w:rPr>
                <w:rFonts w:hint="eastAsia" w:asciiTheme="minorEastAsia" w:hAnsiTheme="minorEastAsia"/>
                <w:bCs/>
                <w:szCs w:val="21"/>
              </w:rPr>
            </w:pPr>
            <w:r>
              <w:rPr>
                <w:rFonts w:hint="eastAsia" w:asciiTheme="minorEastAsia" w:hAnsiTheme="minorEastAsia"/>
                <w:bCs/>
                <w:szCs w:val="21"/>
              </w:rPr>
              <w:t>（3）信用信息查询记录和证据留存具体方式：经谈判小组确认确认的查询结果网页截图作为查询记录和证据，与其他采购文件一并保存；</w:t>
            </w:r>
          </w:p>
          <w:p>
            <w:pPr>
              <w:spacing w:line="360" w:lineRule="auto"/>
              <w:jc w:val="left"/>
              <w:rPr>
                <w:rFonts w:asciiTheme="minorEastAsia" w:hAnsiTheme="minorEastAsia"/>
                <w:b/>
                <w:bCs/>
                <w:szCs w:val="21"/>
              </w:rPr>
            </w:pPr>
            <w:r>
              <w:rPr>
                <w:rFonts w:hint="eastAsia" w:asciiTheme="minorEastAsia" w:hAnsiTheme="minorEastAsia"/>
                <w:bCs/>
                <w:szCs w:val="21"/>
              </w:rPr>
              <w:t>（4）信用信息的使用原则：经谈判小组确认认定的被列入失信被执行人、重大税收违法案件当事人名单、政府采购严重违法失信行为记录名单的供应商，严重违法失信企业名单（黑名单）、严重违法失信社会组织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b/>
                <w:color w:val="FF0000"/>
                <w:szCs w:val="21"/>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1" w:name="baidusnap2"/>
            <w:bookmarkEnd w:id="1"/>
            <w:r>
              <w:rPr>
                <w:rFonts w:hint="eastAsia" w:cs="仿宋_GB2312" w:asciiTheme="minorEastAsia" w:hAnsiTheme="minorEastAsia"/>
                <w:szCs w:val="21"/>
                <w:lang w:val="zh-CN"/>
              </w:rPr>
              <w:t>提供未为本项目提供整体设计、</w:t>
            </w:r>
            <w:bookmarkStart w:id="2" w:name="baidusnap9"/>
            <w:bookmarkEnd w:id="2"/>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contextualSpacing/>
        <w:rPr>
          <w:rFonts w:cs="仿宋_GB2312" w:asciiTheme="minorEastAsia" w:hAnsiTheme="minorEastAsia" w:eastAsiaTheme="minorEastAsia"/>
          <w:b/>
          <w:sz w:val="32"/>
          <w:szCs w:val="32"/>
          <w:lang w:val="zh-CN"/>
        </w:rPr>
      </w:pPr>
    </w:p>
    <w:p>
      <w:pPr>
        <w:pStyle w:val="13"/>
        <w:spacing w:line="360" w:lineRule="auto"/>
        <w:contextualSpacing/>
        <w:jc w:val="center"/>
        <w:rPr>
          <w:rFonts w:cs="仿宋_GB2312" w:asciiTheme="minorEastAsia" w:hAnsiTheme="minorEastAsia" w:eastAsiaTheme="minorEastAsia"/>
          <w:b/>
          <w:sz w:val="32"/>
          <w:szCs w:val="32"/>
          <w:lang w:val="zh-CN"/>
        </w:rPr>
      </w:pPr>
    </w:p>
    <w:p>
      <w:pPr>
        <w:pStyle w:val="13"/>
        <w:spacing w:line="360" w:lineRule="auto"/>
        <w:contextualSpacing/>
        <w:jc w:val="center"/>
        <w:rPr>
          <w:rFonts w:cs="仿宋_GB2312" w:asciiTheme="minorEastAsia" w:hAnsiTheme="minorEastAsia" w:eastAsiaTheme="minorEastAsia"/>
          <w:b/>
          <w:sz w:val="32"/>
          <w:szCs w:val="32"/>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本项目采用最低价评标办法。</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spacing w:line="360" w:lineRule="auto"/>
        <w:rPr>
          <w:rFonts w:cs="仿宋_GB2312" w:asciiTheme="minorEastAsia" w:hAnsiTheme="minorEastAsia"/>
          <w:b/>
          <w:sz w:val="24"/>
          <w:szCs w:val="24"/>
          <w:lang w:val="zh-CN"/>
        </w:rPr>
      </w:pPr>
    </w:p>
    <w:p>
      <w:pPr>
        <w:spacing w:line="360" w:lineRule="auto"/>
        <w:rPr>
          <w:rFonts w:hint="eastAsia" w:cs="仿宋_GB2312" w:asciiTheme="minorEastAsia" w:hAnsiTheme="minorEastAsia"/>
          <w:b/>
          <w:sz w:val="24"/>
          <w:szCs w:val="24"/>
          <w:lang w:val="zh-CN"/>
        </w:rPr>
      </w:pPr>
    </w:p>
    <w:p>
      <w:pPr>
        <w:pStyle w:val="2"/>
        <w:rPr>
          <w:rFonts w:hint="eastAsia"/>
          <w:lang w:val="zh-CN"/>
        </w:rPr>
      </w:pPr>
    </w:p>
    <w:p>
      <w:pPr>
        <w:pStyle w:val="2"/>
        <w:rPr>
          <w:rFonts w:hint="eastAsia"/>
          <w:lang w:val="zh-CN"/>
        </w:rPr>
      </w:pPr>
    </w:p>
    <w:p>
      <w:pPr>
        <w:pStyle w:val="2"/>
        <w:rPr>
          <w:lang w:val="zh-CN"/>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6</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eastAsiaTheme="majorEastAsia"/>
          <w:b/>
          <w:bCs/>
          <w:sz w:val="44"/>
          <w:szCs w:val="44"/>
        </w:rPr>
      </w:pPr>
      <w:r>
        <w:rPr>
          <w:rFonts w:hint="eastAsia" w:cs="宋体" w:asciiTheme="majorEastAsia" w:hAnsiTheme="majorEastAsia" w:eastAsiaTheme="majorEastAsia"/>
          <w:b/>
          <w:kern w:val="0"/>
          <w:sz w:val="36"/>
          <w:szCs w:val="36"/>
        </w:rPr>
        <w:t>（如涉及本项目的提供)</w:t>
      </w:r>
    </w:p>
    <w:p>
      <w:pPr>
        <w:pStyle w:val="30"/>
        <w:ind w:firstLine="0" w:firstLineChars="0"/>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3" w:name="_Toc184023138"/>
      <w:bookmarkStart w:id="4" w:name="_Toc186274126"/>
      <w:bookmarkStart w:id="5" w:name="_Toc174185203"/>
      <w:r>
        <w:rPr>
          <w:rFonts w:hint="eastAsia" w:cs="黑体" w:asciiTheme="minorEastAsia" w:hAnsiTheme="minorEastAsia" w:eastAsiaTheme="minorEastAsia"/>
          <w:color w:val="auto"/>
          <w:kern w:val="2"/>
          <w:sz w:val="28"/>
          <w:szCs w:val="28"/>
          <w:lang w:val="zh-CN"/>
        </w:rPr>
        <w:t>一、投标人应答索引表</w:t>
      </w:r>
      <w:bookmarkEnd w:id="3"/>
      <w:bookmarkEnd w:id="4"/>
      <w:bookmarkEnd w:id="5"/>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pStyle w:val="2"/>
        <w:rPr>
          <w:rFonts w:hint="eastAsia"/>
          <w:lang w:val="zh-CN"/>
        </w:rPr>
      </w:pPr>
    </w:p>
    <w:p>
      <w:pPr>
        <w:pStyle w:val="2"/>
        <w:rPr>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4"/>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4"/>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7"/>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6"/>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6" w:name="_资格证明文件"/>
            <w:bookmarkEnd w:id="6"/>
            <w:bookmarkStart w:id="7"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7"/>
          </w:p>
        </w:tc>
        <w:tc>
          <w:tcPr>
            <w:tcW w:w="4492" w:type="dxa"/>
            <w:gridSpan w:val="2"/>
            <w:vAlign w:val="center"/>
          </w:tcPr>
          <w:p>
            <w:pPr>
              <w:jc w:val="center"/>
              <w:rPr>
                <w:rFonts w:asciiTheme="minorEastAsia" w:hAnsiTheme="minorEastAsia"/>
                <w:szCs w:val="21"/>
              </w:rPr>
            </w:pPr>
            <w:bookmarkStart w:id="8"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8"/>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36"/>
          <w:szCs w:val="36"/>
          <w:lang w:val="zh-CN"/>
        </w:rPr>
      </w:pPr>
      <w:r>
        <w:rPr>
          <w:rFonts w:hint="eastAsia" w:ascii="宋体" w:hAnsi="宋体"/>
          <w:b/>
          <w:bCs/>
          <w:color w:val="000000"/>
          <w:sz w:val="36"/>
          <w:szCs w:val="36"/>
          <w:lang w:val="zh-CN"/>
        </w:rPr>
        <w:t>投标承诺函</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法定代表人或者被委托人（签字盖章)：</w:t>
      </w: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hAnsi="宋体" w:eastAsia="宋体"/>
          <w:b/>
          <w:snapToGrid w:val="0"/>
          <w:kern w:val="0"/>
          <w:sz w:val="36"/>
          <w:szCs w:val="36"/>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ind w:firstLine="3614" w:firstLineChars="1500"/>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9" w:name="OLE_LINK13"/>
      <w:bookmarkStart w:id="10" w:name="OLE_LINK14"/>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bookmarkEnd w:id="9"/>
    <w:bookmarkEnd w:id="10"/>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pStyle w:val="2"/>
      </w:pPr>
    </w:p>
    <w:p>
      <w:pPr>
        <w:pStyle w:val="2"/>
      </w:pPr>
    </w:p>
    <w:p>
      <w:pPr>
        <w:pStyle w:val="2"/>
      </w:pPr>
    </w:p>
    <w:p>
      <w:pPr>
        <w:pStyle w:val="2"/>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autoSpaceDE w:val="0"/>
        <w:autoSpaceDN w:val="0"/>
        <w:adjustRightInd w:val="0"/>
        <w:spacing w:line="360" w:lineRule="auto"/>
        <w:rPr>
          <w:rFonts w:cs="黑体" w:asciiTheme="minorEastAsia" w:hAnsiTheme="minorEastAsia"/>
          <w:b/>
          <w:bCs/>
          <w:sz w:val="28"/>
          <w:szCs w:val="28"/>
          <w:lang w:val="zh-CN"/>
        </w:rPr>
      </w:pPr>
    </w:p>
    <w:p>
      <w:pPr>
        <w:pStyle w:val="2"/>
        <w:rPr>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Pr>
        <w:pStyle w:val="30"/>
        <w:ind w:firstLine="0" w:firstLineChars="0"/>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简隶书">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68</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B403A2"/>
    <w:multiLevelType w:val="singleLevel"/>
    <w:tmpl w:val="E7B403A2"/>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31D40CE9"/>
    <w:multiLevelType w:val="singleLevel"/>
    <w:tmpl w:val="31D40CE9"/>
    <w:lvl w:ilvl="0" w:tentative="0">
      <w:start w:val="1"/>
      <w:numFmt w:val="chineseCounting"/>
      <w:suff w:val="space"/>
      <w:lvlText w:val="第%1章"/>
      <w:lvlJc w:val="left"/>
      <w:rPr>
        <w:rFonts w:hint="eastAsia"/>
      </w:rPr>
    </w:lvl>
  </w:abstractNum>
  <w:abstractNum w:abstractNumId="6">
    <w:nsid w:val="59F817C2"/>
    <w:multiLevelType w:val="singleLevel"/>
    <w:tmpl w:val="59F817C2"/>
    <w:lvl w:ilvl="0" w:tentative="0">
      <w:start w:val="2"/>
      <w:numFmt w:val="chineseCounting"/>
      <w:suff w:val="space"/>
      <w:lvlText w:val="第%1章"/>
      <w:lvlJc w:val="left"/>
    </w:lvl>
  </w:abstractNum>
  <w:abstractNum w:abstractNumId="7">
    <w:nsid w:val="59F817E8"/>
    <w:multiLevelType w:val="singleLevel"/>
    <w:tmpl w:val="59F817E8"/>
    <w:lvl w:ilvl="0" w:tentative="0">
      <w:start w:val="1"/>
      <w:numFmt w:val="chineseCounting"/>
      <w:pStyle w:val="53"/>
      <w:suff w:val="nothing"/>
      <w:lvlText w:val="%1、"/>
      <w:lvlJc w:val="left"/>
    </w:lvl>
  </w:abstractNum>
  <w:abstractNum w:abstractNumId="8">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7"/>
  </w:num>
  <w:num w:numId="4">
    <w:abstractNumId w:val="5"/>
  </w:num>
  <w:num w:numId="5">
    <w:abstractNumId w:val="6"/>
  </w:num>
  <w:num w:numId="6">
    <w:abstractNumId w:val="0"/>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996"/>
    <w:rsid w:val="00110C26"/>
    <w:rsid w:val="0011232C"/>
    <w:rsid w:val="001123F2"/>
    <w:rsid w:val="0011325E"/>
    <w:rsid w:val="00122A56"/>
    <w:rsid w:val="001262C8"/>
    <w:rsid w:val="001276EF"/>
    <w:rsid w:val="00140426"/>
    <w:rsid w:val="00141B3F"/>
    <w:rsid w:val="00142385"/>
    <w:rsid w:val="00144AC2"/>
    <w:rsid w:val="00144F59"/>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A58"/>
    <w:rsid w:val="00266F38"/>
    <w:rsid w:val="002704F0"/>
    <w:rsid w:val="00275E54"/>
    <w:rsid w:val="00277073"/>
    <w:rsid w:val="0027728C"/>
    <w:rsid w:val="00281155"/>
    <w:rsid w:val="002953C3"/>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5077"/>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09D8"/>
    <w:rsid w:val="003F5C12"/>
    <w:rsid w:val="003F635C"/>
    <w:rsid w:val="00400336"/>
    <w:rsid w:val="004040EC"/>
    <w:rsid w:val="00413F32"/>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CF3"/>
    <w:rsid w:val="00530FA8"/>
    <w:rsid w:val="005314A3"/>
    <w:rsid w:val="00533450"/>
    <w:rsid w:val="00533BD9"/>
    <w:rsid w:val="005366B4"/>
    <w:rsid w:val="00536D8B"/>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4A18"/>
    <w:rsid w:val="00587160"/>
    <w:rsid w:val="00587EEA"/>
    <w:rsid w:val="005939AD"/>
    <w:rsid w:val="00594467"/>
    <w:rsid w:val="0059516F"/>
    <w:rsid w:val="005A1288"/>
    <w:rsid w:val="005A1C0C"/>
    <w:rsid w:val="005A3462"/>
    <w:rsid w:val="005B04BA"/>
    <w:rsid w:val="005B439F"/>
    <w:rsid w:val="005B566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4CA1"/>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066"/>
    <w:rsid w:val="006C575E"/>
    <w:rsid w:val="006D24FE"/>
    <w:rsid w:val="006D7995"/>
    <w:rsid w:val="006E09B9"/>
    <w:rsid w:val="006E1073"/>
    <w:rsid w:val="006E2C2C"/>
    <w:rsid w:val="006E5294"/>
    <w:rsid w:val="006E69A9"/>
    <w:rsid w:val="006E7D75"/>
    <w:rsid w:val="006F42BD"/>
    <w:rsid w:val="006F4C1F"/>
    <w:rsid w:val="006F58AA"/>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5A9B"/>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35C3"/>
    <w:rsid w:val="00875099"/>
    <w:rsid w:val="008824BB"/>
    <w:rsid w:val="008868B3"/>
    <w:rsid w:val="00893816"/>
    <w:rsid w:val="00894121"/>
    <w:rsid w:val="00896627"/>
    <w:rsid w:val="00896FFD"/>
    <w:rsid w:val="008A532F"/>
    <w:rsid w:val="008A735D"/>
    <w:rsid w:val="008B1EBC"/>
    <w:rsid w:val="008B3760"/>
    <w:rsid w:val="008B4CCA"/>
    <w:rsid w:val="008B62B1"/>
    <w:rsid w:val="008B6376"/>
    <w:rsid w:val="008C0905"/>
    <w:rsid w:val="008C380D"/>
    <w:rsid w:val="008E0022"/>
    <w:rsid w:val="008E36C2"/>
    <w:rsid w:val="008E7034"/>
    <w:rsid w:val="00903C60"/>
    <w:rsid w:val="00907E7E"/>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B0AD2"/>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40FF"/>
    <w:rsid w:val="00B17370"/>
    <w:rsid w:val="00B2055A"/>
    <w:rsid w:val="00B2067D"/>
    <w:rsid w:val="00B24B86"/>
    <w:rsid w:val="00B30A6C"/>
    <w:rsid w:val="00B40771"/>
    <w:rsid w:val="00B40C7E"/>
    <w:rsid w:val="00B4170E"/>
    <w:rsid w:val="00B544A8"/>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C1288"/>
    <w:rsid w:val="00BD0FE7"/>
    <w:rsid w:val="00BD3AFF"/>
    <w:rsid w:val="00BE3AFA"/>
    <w:rsid w:val="00BF1DA5"/>
    <w:rsid w:val="00BF21E1"/>
    <w:rsid w:val="00BF6220"/>
    <w:rsid w:val="00C00538"/>
    <w:rsid w:val="00C04A55"/>
    <w:rsid w:val="00C06F9E"/>
    <w:rsid w:val="00C07E4A"/>
    <w:rsid w:val="00C1514A"/>
    <w:rsid w:val="00C23622"/>
    <w:rsid w:val="00C36189"/>
    <w:rsid w:val="00C414AD"/>
    <w:rsid w:val="00C430C9"/>
    <w:rsid w:val="00C45EEC"/>
    <w:rsid w:val="00C51319"/>
    <w:rsid w:val="00C5505C"/>
    <w:rsid w:val="00C61D92"/>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59E7"/>
    <w:rsid w:val="00E3786D"/>
    <w:rsid w:val="00E403D1"/>
    <w:rsid w:val="00E43378"/>
    <w:rsid w:val="00E52216"/>
    <w:rsid w:val="00E52D68"/>
    <w:rsid w:val="00E6072E"/>
    <w:rsid w:val="00E63001"/>
    <w:rsid w:val="00E65A25"/>
    <w:rsid w:val="00E670F2"/>
    <w:rsid w:val="00E71FE4"/>
    <w:rsid w:val="00E72B34"/>
    <w:rsid w:val="00E85524"/>
    <w:rsid w:val="00E86419"/>
    <w:rsid w:val="00E86D2C"/>
    <w:rsid w:val="00E8799C"/>
    <w:rsid w:val="00E87E2A"/>
    <w:rsid w:val="00E906B8"/>
    <w:rsid w:val="00E93C21"/>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2A46"/>
    <w:rsid w:val="00F75216"/>
    <w:rsid w:val="00F76EDF"/>
    <w:rsid w:val="00F813A9"/>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90070A"/>
    <w:rsid w:val="027C7D92"/>
    <w:rsid w:val="032449BC"/>
    <w:rsid w:val="037217D3"/>
    <w:rsid w:val="03A87C38"/>
    <w:rsid w:val="03C54AE6"/>
    <w:rsid w:val="04684903"/>
    <w:rsid w:val="05B7732D"/>
    <w:rsid w:val="07915898"/>
    <w:rsid w:val="080C2BBA"/>
    <w:rsid w:val="08FD5745"/>
    <w:rsid w:val="0A5E16AE"/>
    <w:rsid w:val="0A7C3AAF"/>
    <w:rsid w:val="0A7F2B85"/>
    <w:rsid w:val="0A921673"/>
    <w:rsid w:val="0AB50907"/>
    <w:rsid w:val="0B01317F"/>
    <w:rsid w:val="0B021C08"/>
    <w:rsid w:val="0B0A7A28"/>
    <w:rsid w:val="0BBD5765"/>
    <w:rsid w:val="0C0A40B9"/>
    <w:rsid w:val="0C1D2223"/>
    <w:rsid w:val="0C3D4298"/>
    <w:rsid w:val="0C494D7F"/>
    <w:rsid w:val="0C9523A6"/>
    <w:rsid w:val="0CA67F00"/>
    <w:rsid w:val="0F097319"/>
    <w:rsid w:val="0F485C64"/>
    <w:rsid w:val="0F594FCA"/>
    <w:rsid w:val="0FD30C14"/>
    <w:rsid w:val="101B403B"/>
    <w:rsid w:val="10311832"/>
    <w:rsid w:val="116D26CD"/>
    <w:rsid w:val="11B45F4A"/>
    <w:rsid w:val="11C23651"/>
    <w:rsid w:val="11E13F76"/>
    <w:rsid w:val="12012A5D"/>
    <w:rsid w:val="129267D1"/>
    <w:rsid w:val="12C422CE"/>
    <w:rsid w:val="13EB69AF"/>
    <w:rsid w:val="13EF2ABA"/>
    <w:rsid w:val="13EF7D11"/>
    <w:rsid w:val="140778EB"/>
    <w:rsid w:val="158908A7"/>
    <w:rsid w:val="160E3E81"/>
    <w:rsid w:val="16893C37"/>
    <w:rsid w:val="16EE4E99"/>
    <w:rsid w:val="171E620C"/>
    <w:rsid w:val="175A361E"/>
    <w:rsid w:val="17A87F25"/>
    <w:rsid w:val="17F27C17"/>
    <w:rsid w:val="17FF4B72"/>
    <w:rsid w:val="183965F3"/>
    <w:rsid w:val="189035FD"/>
    <w:rsid w:val="18A32C99"/>
    <w:rsid w:val="18C769E5"/>
    <w:rsid w:val="18D55096"/>
    <w:rsid w:val="198348D6"/>
    <w:rsid w:val="19C143D6"/>
    <w:rsid w:val="1A08396D"/>
    <w:rsid w:val="1A2058F2"/>
    <w:rsid w:val="1AFBFFDD"/>
    <w:rsid w:val="1B1653FD"/>
    <w:rsid w:val="1BC2665F"/>
    <w:rsid w:val="1C2D1536"/>
    <w:rsid w:val="1C901948"/>
    <w:rsid w:val="1CB002B1"/>
    <w:rsid w:val="1CCF2F1D"/>
    <w:rsid w:val="1CFB73D3"/>
    <w:rsid w:val="1E884E0E"/>
    <w:rsid w:val="1E8E722F"/>
    <w:rsid w:val="1EE2460E"/>
    <w:rsid w:val="1F8E45BB"/>
    <w:rsid w:val="1FCA4D80"/>
    <w:rsid w:val="1FE15514"/>
    <w:rsid w:val="203A05C1"/>
    <w:rsid w:val="208614E5"/>
    <w:rsid w:val="20E47EF3"/>
    <w:rsid w:val="2157706F"/>
    <w:rsid w:val="219D6B91"/>
    <w:rsid w:val="21DD4A96"/>
    <w:rsid w:val="21E7520D"/>
    <w:rsid w:val="22A72D82"/>
    <w:rsid w:val="24D35795"/>
    <w:rsid w:val="256869CB"/>
    <w:rsid w:val="25A60734"/>
    <w:rsid w:val="26EC1901"/>
    <w:rsid w:val="271F4B16"/>
    <w:rsid w:val="275038F3"/>
    <w:rsid w:val="27CD14F5"/>
    <w:rsid w:val="27DC4DAB"/>
    <w:rsid w:val="28315218"/>
    <w:rsid w:val="28661656"/>
    <w:rsid w:val="293C5FB1"/>
    <w:rsid w:val="294079C5"/>
    <w:rsid w:val="294C6543"/>
    <w:rsid w:val="2984741E"/>
    <w:rsid w:val="29953B32"/>
    <w:rsid w:val="299C61E1"/>
    <w:rsid w:val="29A55E19"/>
    <w:rsid w:val="29A61116"/>
    <w:rsid w:val="29F94CB1"/>
    <w:rsid w:val="2A31510A"/>
    <w:rsid w:val="2A505213"/>
    <w:rsid w:val="2A553543"/>
    <w:rsid w:val="2A745111"/>
    <w:rsid w:val="2AF87034"/>
    <w:rsid w:val="2B022C78"/>
    <w:rsid w:val="2B275019"/>
    <w:rsid w:val="2B792340"/>
    <w:rsid w:val="2C014C3B"/>
    <w:rsid w:val="2C300192"/>
    <w:rsid w:val="2D4A693F"/>
    <w:rsid w:val="2E161DEA"/>
    <w:rsid w:val="2E252DC4"/>
    <w:rsid w:val="2EDA678A"/>
    <w:rsid w:val="2F112255"/>
    <w:rsid w:val="2F3C01DA"/>
    <w:rsid w:val="2F650AED"/>
    <w:rsid w:val="2F9F716A"/>
    <w:rsid w:val="2FAF5CEB"/>
    <w:rsid w:val="2FDA76A1"/>
    <w:rsid w:val="2FFD3F6B"/>
    <w:rsid w:val="30EA79C7"/>
    <w:rsid w:val="30FD56B7"/>
    <w:rsid w:val="314C2EA6"/>
    <w:rsid w:val="329E1B24"/>
    <w:rsid w:val="32BF12F4"/>
    <w:rsid w:val="32C030F1"/>
    <w:rsid w:val="33563CED"/>
    <w:rsid w:val="338A4286"/>
    <w:rsid w:val="33AF0E3F"/>
    <w:rsid w:val="34442254"/>
    <w:rsid w:val="347F0816"/>
    <w:rsid w:val="34B644B7"/>
    <w:rsid w:val="34DA5260"/>
    <w:rsid w:val="36002E45"/>
    <w:rsid w:val="36046124"/>
    <w:rsid w:val="36B46A4A"/>
    <w:rsid w:val="36E65B38"/>
    <w:rsid w:val="375656B9"/>
    <w:rsid w:val="37627558"/>
    <w:rsid w:val="37B91083"/>
    <w:rsid w:val="39F004E9"/>
    <w:rsid w:val="39FD28B4"/>
    <w:rsid w:val="3A502854"/>
    <w:rsid w:val="3A666EED"/>
    <w:rsid w:val="3AC47AB6"/>
    <w:rsid w:val="3ADD0A2E"/>
    <w:rsid w:val="3B4C7808"/>
    <w:rsid w:val="3B7A3E82"/>
    <w:rsid w:val="3B8D0CE8"/>
    <w:rsid w:val="3BA71EF1"/>
    <w:rsid w:val="3BD31557"/>
    <w:rsid w:val="3C082985"/>
    <w:rsid w:val="3C0E3E00"/>
    <w:rsid w:val="3C1651F0"/>
    <w:rsid w:val="3C4F3B9D"/>
    <w:rsid w:val="3C877EC2"/>
    <w:rsid w:val="3CBF1608"/>
    <w:rsid w:val="3CC749D9"/>
    <w:rsid w:val="3CFB31CE"/>
    <w:rsid w:val="3D422938"/>
    <w:rsid w:val="3DCA2531"/>
    <w:rsid w:val="3E1B5116"/>
    <w:rsid w:val="3E3A26DB"/>
    <w:rsid w:val="3EAD162F"/>
    <w:rsid w:val="3EEB4587"/>
    <w:rsid w:val="3F263B0E"/>
    <w:rsid w:val="3FC87272"/>
    <w:rsid w:val="402E2BCD"/>
    <w:rsid w:val="40E47539"/>
    <w:rsid w:val="414D7438"/>
    <w:rsid w:val="41A16B13"/>
    <w:rsid w:val="41EF3AE9"/>
    <w:rsid w:val="423A7A11"/>
    <w:rsid w:val="428968C5"/>
    <w:rsid w:val="430D37F8"/>
    <w:rsid w:val="43420F67"/>
    <w:rsid w:val="43794304"/>
    <w:rsid w:val="43915150"/>
    <w:rsid w:val="43AF27C5"/>
    <w:rsid w:val="443E3AC2"/>
    <w:rsid w:val="444772BC"/>
    <w:rsid w:val="444D773E"/>
    <w:rsid w:val="44972791"/>
    <w:rsid w:val="44E67192"/>
    <w:rsid w:val="458D2A4C"/>
    <w:rsid w:val="459D509E"/>
    <w:rsid w:val="45A926DC"/>
    <w:rsid w:val="45AD6C8F"/>
    <w:rsid w:val="45FC4042"/>
    <w:rsid w:val="46F12E4D"/>
    <w:rsid w:val="473A4964"/>
    <w:rsid w:val="477C4489"/>
    <w:rsid w:val="477E79DB"/>
    <w:rsid w:val="479C2E5F"/>
    <w:rsid w:val="48BB1E61"/>
    <w:rsid w:val="48E44347"/>
    <w:rsid w:val="4A710769"/>
    <w:rsid w:val="4AB4093D"/>
    <w:rsid w:val="4AE22F4C"/>
    <w:rsid w:val="4B536EA5"/>
    <w:rsid w:val="4CA91082"/>
    <w:rsid w:val="4CE37C81"/>
    <w:rsid w:val="4D673E15"/>
    <w:rsid w:val="4DA54B71"/>
    <w:rsid w:val="4DEB7CB4"/>
    <w:rsid w:val="4E8F0D2C"/>
    <w:rsid w:val="4EAC3EF4"/>
    <w:rsid w:val="4EAC4ADD"/>
    <w:rsid w:val="4EB72836"/>
    <w:rsid w:val="4ED23FD5"/>
    <w:rsid w:val="4EE945C2"/>
    <w:rsid w:val="4EFB1FC3"/>
    <w:rsid w:val="4F3C1178"/>
    <w:rsid w:val="4F661CEB"/>
    <w:rsid w:val="4FEB5C49"/>
    <w:rsid w:val="50065C10"/>
    <w:rsid w:val="514F0F53"/>
    <w:rsid w:val="52180C96"/>
    <w:rsid w:val="527B1821"/>
    <w:rsid w:val="5310611D"/>
    <w:rsid w:val="53276344"/>
    <w:rsid w:val="53293BFC"/>
    <w:rsid w:val="533D55CA"/>
    <w:rsid w:val="535D3032"/>
    <w:rsid w:val="53AE0A58"/>
    <w:rsid w:val="53C97953"/>
    <w:rsid w:val="53F5577A"/>
    <w:rsid w:val="5553408A"/>
    <w:rsid w:val="557D10C0"/>
    <w:rsid w:val="5590515E"/>
    <w:rsid w:val="562D2F69"/>
    <w:rsid w:val="5703196B"/>
    <w:rsid w:val="57140DA8"/>
    <w:rsid w:val="574A43AC"/>
    <w:rsid w:val="58077CBD"/>
    <w:rsid w:val="5812110B"/>
    <w:rsid w:val="582E1358"/>
    <w:rsid w:val="58A17745"/>
    <w:rsid w:val="58FD658D"/>
    <w:rsid w:val="59442449"/>
    <w:rsid w:val="59A66C16"/>
    <w:rsid w:val="59FC62A5"/>
    <w:rsid w:val="5A1C1017"/>
    <w:rsid w:val="5A29765C"/>
    <w:rsid w:val="5B0C6CA4"/>
    <w:rsid w:val="5BF236CF"/>
    <w:rsid w:val="5C7C747C"/>
    <w:rsid w:val="5C986CD2"/>
    <w:rsid w:val="5CD864A5"/>
    <w:rsid w:val="5CFD3C28"/>
    <w:rsid w:val="5D5B577D"/>
    <w:rsid w:val="5D6C6EF4"/>
    <w:rsid w:val="5E2C7B65"/>
    <w:rsid w:val="5E7449C7"/>
    <w:rsid w:val="5EB8046C"/>
    <w:rsid w:val="5EC23D91"/>
    <w:rsid w:val="5EEA6FD8"/>
    <w:rsid w:val="5EF27118"/>
    <w:rsid w:val="5F91300B"/>
    <w:rsid w:val="5FBC5F82"/>
    <w:rsid w:val="5FBD74DE"/>
    <w:rsid w:val="601812B8"/>
    <w:rsid w:val="60BD0412"/>
    <w:rsid w:val="61160D33"/>
    <w:rsid w:val="616C5D6E"/>
    <w:rsid w:val="61775FA5"/>
    <w:rsid w:val="618F7F07"/>
    <w:rsid w:val="619B680C"/>
    <w:rsid w:val="62134625"/>
    <w:rsid w:val="62955EAF"/>
    <w:rsid w:val="62E53998"/>
    <w:rsid w:val="62FE4D16"/>
    <w:rsid w:val="637E24C5"/>
    <w:rsid w:val="63982BE7"/>
    <w:rsid w:val="63BC73C0"/>
    <w:rsid w:val="648D2FFF"/>
    <w:rsid w:val="656839C3"/>
    <w:rsid w:val="65725730"/>
    <w:rsid w:val="65B92974"/>
    <w:rsid w:val="65C80747"/>
    <w:rsid w:val="662C2796"/>
    <w:rsid w:val="666309EF"/>
    <w:rsid w:val="66B44B11"/>
    <w:rsid w:val="672B7704"/>
    <w:rsid w:val="6753455D"/>
    <w:rsid w:val="67772858"/>
    <w:rsid w:val="67C81F6D"/>
    <w:rsid w:val="68594ADA"/>
    <w:rsid w:val="68741D48"/>
    <w:rsid w:val="696F6DFA"/>
    <w:rsid w:val="6A4B6AF1"/>
    <w:rsid w:val="6A97317A"/>
    <w:rsid w:val="6AB31C19"/>
    <w:rsid w:val="6B357A50"/>
    <w:rsid w:val="6B5B7DCB"/>
    <w:rsid w:val="6BB95672"/>
    <w:rsid w:val="6C1E4AF0"/>
    <w:rsid w:val="6C4712E8"/>
    <w:rsid w:val="6C9C46AE"/>
    <w:rsid w:val="6CE55F45"/>
    <w:rsid w:val="6CF84FFD"/>
    <w:rsid w:val="6D8D5D8A"/>
    <w:rsid w:val="6DE87E82"/>
    <w:rsid w:val="6DFC3DF2"/>
    <w:rsid w:val="6E30153C"/>
    <w:rsid w:val="6E673C05"/>
    <w:rsid w:val="6E6F4DC3"/>
    <w:rsid w:val="6E7511ED"/>
    <w:rsid w:val="6E76180E"/>
    <w:rsid w:val="6ECA0111"/>
    <w:rsid w:val="6ED546F7"/>
    <w:rsid w:val="6F272507"/>
    <w:rsid w:val="6FF11A89"/>
    <w:rsid w:val="70117814"/>
    <w:rsid w:val="70602224"/>
    <w:rsid w:val="70C1699F"/>
    <w:rsid w:val="71483B01"/>
    <w:rsid w:val="714C7118"/>
    <w:rsid w:val="71617265"/>
    <w:rsid w:val="71C32A07"/>
    <w:rsid w:val="71E53350"/>
    <w:rsid w:val="720E5D3A"/>
    <w:rsid w:val="72254E2A"/>
    <w:rsid w:val="72716A1C"/>
    <w:rsid w:val="728703FC"/>
    <w:rsid w:val="72ED3426"/>
    <w:rsid w:val="73184127"/>
    <w:rsid w:val="73685760"/>
    <w:rsid w:val="73733509"/>
    <w:rsid w:val="73D40348"/>
    <w:rsid w:val="749A60B2"/>
    <w:rsid w:val="74AB41BE"/>
    <w:rsid w:val="75CD58E4"/>
    <w:rsid w:val="75EA3934"/>
    <w:rsid w:val="77207292"/>
    <w:rsid w:val="774700AD"/>
    <w:rsid w:val="777E0158"/>
    <w:rsid w:val="78864501"/>
    <w:rsid w:val="788A0F31"/>
    <w:rsid w:val="78B764F5"/>
    <w:rsid w:val="78F56DD8"/>
    <w:rsid w:val="7910681F"/>
    <w:rsid w:val="7A2254D1"/>
    <w:rsid w:val="7A77760E"/>
    <w:rsid w:val="7A8216E5"/>
    <w:rsid w:val="7AC70899"/>
    <w:rsid w:val="7B3F7553"/>
    <w:rsid w:val="7B6F4321"/>
    <w:rsid w:val="7B7986D1"/>
    <w:rsid w:val="7B877587"/>
    <w:rsid w:val="7BA53EA9"/>
    <w:rsid w:val="7C78474C"/>
    <w:rsid w:val="7C8B18BC"/>
    <w:rsid w:val="7E3057F6"/>
    <w:rsid w:val="7EE52F06"/>
    <w:rsid w:val="7F7C60D3"/>
    <w:rsid w:val="7FAB31F4"/>
    <w:rsid w:val="7FF4400A"/>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99"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2"/>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4"/>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5"/>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4"/>
    <w:unhideWhenUsed/>
    <w:qFormat/>
    <w:uiPriority w:val="99"/>
    <w:pPr>
      <w:spacing w:after="12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50"/>
    <w:qFormat/>
    <w:uiPriority w:val="0"/>
    <w:rPr>
      <w:rFonts w:ascii="Times New Roman" w:hAnsi="Times New Roman" w:eastAsia="宋体" w:cs="Times New Roman"/>
      <w:color w:val="FF0000"/>
      <w:sz w:val="24"/>
      <w:szCs w:val="24"/>
    </w:rPr>
  </w:style>
  <w:style w:type="paragraph" w:styleId="10">
    <w:name w:val="Body Text Indent"/>
    <w:basedOn w:val="1"/>
    <w:qFormat/>
    <w:uiPriority w:val="0"/>
    <w:pPr>
      <w:spacing w:line="400" w:lineRule="exact"/>
      <w:ind w:left="630"/>
    </w:pPr>
    <w:rPr>
      <w:rFonts w:ascii="楷体_GB2312" w:eastAsia="宋体"/>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6"/>
    <w:qFormat/>
    <w:uiPriority w:val="0"/>
    <w:rPr>
      <w:rFonts w:eastAsia="宋体"/>
      <w:sz w:val="24"/>
    </w:rPr>
  </w:style>
  <w:style w:type="paragraph" w:styleId="14">
    <w:name w:val="Date"/>
    <w:basedOn w:val="1"/>
    <w:next w:val="1"/>
    <w:link w:val="37"/>
    <w:unhideWhenUsed/>
    <w:qFormat/>
    <w:uiPriority w:val="99"/>
    <w:pPr>
      <w:ind w:left="100" w:leftChars="2500"/>
    </w:pPr>
  </w:style>
  <w:style w:type="paragraph" w:styleId="15">
    <w:name w:val="Balloon Text"/>
    <w:basedOn w:val="1"/>
    <w:link w:val="62"/>
    <w:semiHidden/>
    <w:unhideWhenUsed/>
    <w:qFormat/>
    <w:uiPriority w:val="99"/>
    <w:rPr>
      <w:sz w:val="18"/>
      <w:szCs w:val="18"/>
    </w:rPr>
  </w:style>
  <w:style w:type="paragraph" w:styleId="16">
    <w:name w:val="footer"/>
    <w:basedOn w:val="1"/>
    <w:link w:val="38"/>
    <w:unhideWhenUsed/>
    <w:qFormat/>
    <w:uiPriority w:val="99"/>
    <w:pPr>
      <w:tabs>
        <w:tab w:val="center" w:pos="4153"/>
        <w:tab w:val="right" w:pos="8306"/>
      </w:tabs>
      <w:snapToGrid w:val="0"/>
      <w:jc w:val="left"/>
    </w:pPr>
    <w:rPr>
      <w:sz w:val="18"/>
      <w:szCs w:val="18"/>
    </w:rPr>
  </w:style>
  <w:style w:type="paragraph" w:styleId="17">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2"/>
    <w:link w:val="55"/>
    <w:qFormat/>
    <w:uiPriority w:val="99"/>
    <w:pPr>
      <w:ind w:firstLine="420" w:firstLineChars="100"/>
    </w:pPr>
    <w:rPr>
      <w:rFonts w:ascii="宋体" w:hAnsi="Times New Roman" w:eastAsia="宋体" w:cs="Times New Roman"/>
      <w:kern w:val="0"/>
      <w:sz w:val="34"/>
      <w:szCs w:val="20"/>
    </w:rPr>
  </w:style>
  <w:style w:type="paragraph" w:styleId="22">
    <w:name w:val="Body Text First Indent 2"/>
    <w:basedOn w:val="10"/>
    <w:semiHidden/>
    <w:qFormat/>
    <w:uiPriority w:val="99"/>
    <w:pPr>
      <w:spacing w:after="120" w:line="240" w:lineRule="auto"/>
      <w:ind w:left="420" w:leftChars="200" w:firstLine="420" w:firstLineChars="200"/>
    </w:pPr>
    <w:rPr>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FollowedHyperlink"/>
    <w:basedOn w:val="25"/>
    <w:unhideWhenUsed/>
    <w:qFormat/>
    <w:uiPriority w:val="99"/>
    <w:rPr>
      <w:color w:val="800080" w:themeColor="followedHyperlink"/>
      <w:u w:val="single"/>
    </w:rPr>
  </w:style>
  <w:style w:type="character" w:styleId="28">
    <w:name w:val="Emphasis"/>
    <w:basedOn w:val="25"/>
    <w:qFormat/>
    <w:uiPriority w:val="20"/>
    <w:rPr>
      <w:i/>
      <w:iCs/>
    </w:rPr>
  </w:style>
  <w:style w:type="character" w:styleId="29">
    <w:name w:val="Hyperlink"/>
    <w:basedOn w:val="25"/>
    <w:unhideWhenUsed/>
    <w:qFormat/>
    <w:uiPriority w:val="99"/>
    <w:rPr>
      <w:color w:val="0000FF"/>
      <w:u w:val="single"/>
    </w:rPr>
  </w:style>
  <w:style w:type="paragraph" w:customStyle="1" w:styleId="30">
    <w:name w:val="*正文"/>
    <w:basedOn w:val="1"/>
    <w:qFormat/>
    <w:uiPriority w:val="0"/>
    <w:pPr>
      <w:keepNext/>
      <w:keepLines/>
      <w:spacing w:line="360" w:lineRule="auto"/>
      <w:ind w:firstLine="200" w:firstLineChars="200"/>
    </w:pPr>
    <w:rPr>
      <w:rFonts w:ascii="宋体" w:hAnsi="宋体"/>
    </w:rPr>
  </w:style>
  <w:style w:type="paragraph" w:customStyle="1" w:styleId="31">
    <w:name w:val="列出段落1"/>
    <w:basedOn w:val="1"/>
    <w:unhideWhenUsed/>
    <w:qFormat/>
    <w:uiPriority w:val="34"/>
    <w:pPr>
      <w:ind w:firstLine="420" w:firstLineChars="200"/>
    </w:pPr>
  </w:style>
  <w:style w:type="character" w:customStyle="1" w:styleId="32">
    <w:name w:val="标题 1 Char"/>
    <w:basedOn w:val="25"/>
    <w:link w:val="3"/>
    <w:qFormat/>
    <w:uiPriority w:val="0"/>
    <w:rPr>
      <w:rFonts w:ascii="Calibri" w:hAnsi="Calibri" w:eastAsia="宋体" w:cs="Times New Roman"/>
      <w:b/>
      <w:bCs/>
      <w:kern w:val="44"/>
      <w:sz w:val="44"/>
      <w:szCs w:val="44"/>
    </w:rPr>
  </w:style>
  <w:style w:type="character" w:customStyle="1" w:styleId="33">
    <w:name w:val="标题 2 Char"/>
    <w:basedOn w:val="25"/>
    <w:link w:val="4"/>
    <w:qFormat/>
    <w:uiPriority w:val="0"/>
    <w:rPr>
      <w:rFonts w:ascii="Arial" w:hAnsi="Arial" w:eastAsia="黑体" w:cs="Times New Roman"/>
      <w:b/>
      <w:bCs/>
      <w:kern w:val="0"/>
      <w:sz w:val="32"/>
      <w:szCs w:val="32"/>
    </w:rPr>
  </w:style>
  <w:style w:type="character" w:customStyle="1" w:styleId="34">
    <w:name w:val="标题 3 Char"/>
    <w:basedOn w:val="25"/>
    <w:link w:val="5"/>
    <w:qFormat/>
    <w:uiPriority w:val="0"/>
    <w:rPr>
      <w:rFonts w:ascii="宋体" w:hAnsi="宋体" w:eastAsia="宋体" w:cs="Times New Roman"/>
      <w:b/>
      <w:color w:val="000000"/>
      <w:kern w:val="0"/>
      <w:sz w:val="24"/>
      <w:szCs w:val="20"/>
      <w:lang w:val="en-GB"/>
    </w:rPr>
  </w:style>
  <w:style w:type="character" w:customStyle="1" w:styleId="35">
    <w:name w:val="标题 4 Char"/>
    <w:basedOn w:val="25"/>
    <w:link w:val="6"/>
    <w:qFormat/>
    <w:uiPriority w:val="0"/>
    <w:rPr>
      <w:rFonts w:ascii="Arial" w:hAnsi="Arial" w:eastAsia="黑体" w:cs="Times New Roman"/>
      <w:b/>
      <w:bCs/>
      <w:kern w:val="0"/>
      <w:sz w:val="28"/>
      <w:szCs w:val="28"/>
    </w:rPr>
  </w:style>
  <w:style w:type="character" w:customStyle="1" w:styleId="36">
    <w:name w:val="纯文本 Char"/>
    <w:basedOn w:val="25"/>
    <w:link w:val="13"/>
    <w:qFormat/>
    <w:uiPriority w:val="0"/>
    <w:rPr>
      <w:rFonts w:eastAsia="宋体"/>
      <w:sz w:val="24"/>
    </w:rPr>
  </w:style>
  <w:style w:type="character" w:customStyle="1" w:styleId="37">
    <w:name w:val="日期 Char"/>
    <w:basedOn w:val="25"/>
    <w:link w:val="14"/>
    <w:qFormat/>
    <w:uiPriority w:val="99"/>
  </w:style>
  <w:style w:type="character" w:customStyle="1" w:styleId="38">
    <w:name w:val="页脚 Char"/>
    <w:basedOn w:val="25"/>
    <w:link w:val="16"/>
    <w:qFormat/>
    <w:uiPriority w:val="99"/>
    <w:rPr>
      <w:sz w:val="18"/>
      <w:szCs w:val="18"/>
    </w:rPr>
  </w:style>
  <w:style w:type="character" w:customStyle="1" w:styleId="39">
    <w:name w:val="页眉 Char"/>
    <w:basedOn w:val="25"/>
    <w:link w:val="17"/>
    <w:qFormat/>
    <w:uiPriority w:val="99"/>
    <w:rPr>
      <w:sz w:val="18"/>
      <w:szCs w:val="18"/>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1"/>
    <w:basedOn w:val="1"/>
    <w:qFormat/>
    <w:uiPriority w:val="34"/>
    <w:pPr>
      <w:ind w:firstLine="420" w:firstLineChars="200"/>
    </w:pPr>
  </w:style>
  <w:style w:type="character" w:customStyle="1" w:styleId="43">
    <w:name w:val="正文文本缩进 Char Char"/>
    <w:link w:val="44"/>
    <w:qFormat/>
    <w:uiPriority w:val="0"/>
    <w:rPr>
      <w:rFonts w:ascii="宋体"/>
      <w:sz w:val="24"/>
    </w:rPr>
  </w:style>
  <w:style w:type="paragraph" w:customStyle="1" w:styleId="44">
    <w:name w:val="正文文本缩进1"/>
    <w:basedOn w:val="1"/>
    <w:link w:val="43"/>
    <w:qFormat/>
    <w:uiPriority w:val="0"/>
    <w:pPr>
      <w:spacing w:line="360" w:lineRule="auto"/>
      <w:ind w:firstLine="480" w:firstLineChars="200"/>
    </w:pPr>
    <w:rPr>
      <w:rFonts w:ascii="宋体"/>
      <w:sz w:val="24"/>
    </w:rPr>
  </w:style>
  <w:style w:type="character" w:customStyle="1" w:styleId="45">
    <w:name w:val="日期 Char Char"/>
    <w:link w:val="46"/>
    <w:qFormat/>
    <w:uiPriority w:val="0"/>
    <w:rPr>
      <w:sz w:val="24"/>
    </w:rPr>
  </w:style>
  <w:style w:type="paragraph" w:customStyle="1" w:styleId="46">
    <w:name w:val="日期1"/>
    <w:basedOn w:val="1"/>
    <w:next w:val="1"/>
    <w:link w:val="45"/>
    <w:qFormat/>
    <w:uiPriority w:val="0"/>
    <w:rPr>
      <w:sz w:val="24"/>
    </w:rPr>
  </w:style>
  <w:style w:type="paragraph" w:customStyle="1" w:styleId="4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0">
    <w:name w:val="正文文本 3 Char"/>
    <w:basedOn w:val="25"/>
    <w:link w:val="9"/>
    <w:qFormat/>
    <w:uiPriority w:val="0"/>
    <w:rPr>
      <w:rFonts w:ascii="Times New Roman" w:hAnsi="Times New Roman" w:eastAsia="宋体" w:cs="Times New Roman"/>
      <w:color w:val="FF0000"/>
      <w:sz w:val="24"/>
      <w:szCs w:val="24"/>
    </w:rPr>
  </w:style>
  <w:style w:type="character" w:customStyle="1" w:styleId="51">
    <w:name w:val="edittexttarea"/>
    <w:basedOn w:val="25"/>
    <w:qFormat/>
    <w:uiPriority w:val="0"/>
  </w:style>
  <w:style w:type="paragraph" w:customStyle="1" w:styleId="52">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 Char"/>
    <w:basedOn w:val="25"/>
    <w:link w:val="2"/>
    <w:semiHidden/>
    <w:qFormat/>
    <w:uiPriority w:val="99"/>
  </w:style>
  <w:style w:type="character" w:customStyle="1" w:styleId="55">
    <w:name w:val="正文首行缩进 Char"/>
    <w:basedOn w:val="54"/>
    <w:link w:val="21"/>
    <w:qFormat/>
    <w:uiPriority w:val="0"/>
    <w:rPr>
      <w:rFonts w:ascii="宋体" w:hAnsi="Times New Roman" w:eastAsia="宋体" w:cs="Times New Roman"/>
      <w:kern w:val="0"/>
      <w:sz w:val="34"/>
      <w:szCs w:val="20"/>
    </w:rPr>
  </w:style>
  <w:style w:type="character" w:customStyle="1" w:styleId="56">
    <w:name w:val="HTML 预设格式 Char"/>
    <w:basedOn w:val="25"/>
    <w:link w:val="19"/>
    <w:semiHidden/>
    <w:qFormat/>
    <w:uiPriority w:val="99"/>
    <w:rPr>
      <w:rFonts w:ascii="宋体" w:hAnsi="宋体" w:eastAsia="宋体" w:cs="宋体"/>
      <w:kern w:val="0"/>
      <w:sz w:val="24"/>
      <w:szCs w:val="24"/>
    </w:rPr>
  </w:style>
  <w:style w:type="paragraph" w:customStyle="1" w:styleId="57">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9">
    <w:name w:val="List Paragraph1"/>
    <w:basedOn w:val="1"/>
    <w:qFormat/>
    <w:uiPriority w:val="99"/>
    <w:pPr>
      <w:ind w:firstLine="420" w:firstLineChars="200"/>
    </w:pPr>
    <w:rPr>
      <w:rFonts w:ascii="Times New Roman" w:hAnsi="Times New Roman" w:eastAsia="宋体" w:cs="Times New Roman"/>
      <w:szCs w:val="24"/>
    </w:rPr>
  </w:style>
  <w:style w:type="paragraph" w:styleId="60">
    <w:name w:val="List Paragraph"/>
    <w:basedOn w:val="1"/>
    <w:unhideWhenUsed/>
    <w:qFormat/>
    <w:uiPriority w:val="99"/>
    <w:pPr>
      <w:ind w:firstLine="420" w:firstLineChars="200"/>
    </w:pPr>
  </w:style>
  <w:style w:type="character" w:customStyle="1" w:styleId="61">
    <w:name w:val="font01"/>
    <w:basedOn w:val="25"/>
    <w:qFormat/>
    <w:uiPriority w:val="0"/>
    <w:rPr>
      <w:rFonts w:hint="eastAsia" w:ascii="宋体" w:hAnsi="宋体" w:eastAsia="宋体" w:cs="宋体"/>
      <w:color w:val="000000"/>
      <w:sz w:val="22"/>
      <w:szCs w:val="22"/>
      <w:u w:val="none"/>
    </w:rPr>
  </w:style>
  <w:style w:type="character" w:customStyle="1" w:styleId="62">
    <w:name w:val="批注框文本 Char"/>
    <w:basedOn w:val="25"/>
    <w:link w:val="15"/>
    <w:semiHidden/>
    <w:qFormat/>
    <w:uiPriority w:val="99"/>
    <w:rPr>
      <w:rFonts w:asciiTheme="minorHAnsi" w:hAnsiTheme="minorHAnsi" w:eastAsiaTheme="minorEastAsia" w:cstheme="minorBidi"/>
      <w:kern w:val="2"/>
      <w:sz w:val="18"/>
      <w:szCs w:val="18"/>
    </w:rPr>
  </w:style>
  <w:style w:type="paragraph" w:customStyle="1" w:styleId="63">
    <w:name w:val="No Spacing"/>
    <w:basedOn w:val="1"/>
    <w:qFormat/>
    <w:uiPriority w:val="1"/>
    <w:pPr>
      <w:spacing w:after="0" w:line="400" w:lineRule="exact"/>
    </w:pPr>
    <w:rPr>
      <w:rFonts w:eastAsia="宋体"/>
      <w:sz w:val="24"/>
    </w:rPr>
  </w:style>
  <w:style w:type="paragraph" w:customStyle="1" w:styleId="64">
    <w:name w:val="无间隔1"/>
    <w:basedOn w:val="1"/>
    <w:qFormat/>
    <w:uiPriority w:val="0"/>
    <w:pPr>
      <w:spacing w:line="400" w:lineRule="exact"/>
    </w:pPr>
    <w:rPr>
      <w:sz w:val="24"/>
    </w:rPr>
  </w:style>
  <w:style w:type="paragraph" w:customStyle="1" w:styleId="65">
    <w:name w:val="Plain Text"/>
    <w:basedOn w:val="1"/>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68</Pages>
  <Words>5505</Words>
  <Characters>31384</Characters>
  <Lines>261</Lines>
  <Paragraphs>73</Paragraphs>
  <TotalTime>5</TotalTime>
  <ScaleCrop>false</ScaleCrop>
  <LinksUpToDate>false</LinksUpToDate>
  <CharactersWithSpaces>36816</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禹州市公共资源交易中心:艾明辉</cp:lastModifiedBy>
  <cp:lastPrinted>2018-08-01T18:20:00Z</cp:lastPrinted>
  <dcterms:modified xsi:type="dcterms:W3CDTF">2020-03-12T07:55:36Z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