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center"/>
        <w:rPr>
          <w:rFonts w:hint="eastAsia" w:ascii="黑体" w:hAnsi="黑体" w:eastAsia="黑体" w:cs="黑体"/>
          <w:b w:val="0"/>
          <w:bCs w:val="0"/>
          <w:sz w:val="44"/>
          <w:szCs w:val="44"/>
        </w:rPr>
      </w:pPr>
    </w:p>
    <w:p>
      <w:pPr>
        <w:ind w:firstLine="442" w:firstLineChars="100"/>
        <w:rPr>
          <w:rFonts w:hint="eastAsia" w:ascii="黑体" w:hAnsi="黑体" w:eastAsia="黑体" w:cs="黑体"/>
          <w:b/>
          <w:bCs/>
          <w:sz w:val="48"/>
          <w:szCs w:val="48"/>
        </w:rPr>
      </w:pPr>
      <w:r>
        <w:rPr>
          <w:rFonts w:hint="eastAsia" w:ascii="黑体" w:hAnsi="黑体" w:eastAsia="黑体" w:cs="黑体"/>
          <w:b/>
          <w:bCs/>
          <w:sz w:val="44"/>
          <w:szCs w:val="44"/>
        </w:rPr>
        <w:t>禹州市</w:t>
      </w:r>
      <w:r>
        <w:rPr>
          <w:rFonts w:hint="eastAsia" w:ascii="黑体" w:hAnsi="黑体" w:eastAsia="黑体" w:cs="黑体"/>
          <w:b/>
          <w:bCs/>
          <w:sz w:val="44"/>
          <w:szCs w:val="44"/>
          <w:lang w:val="en-US" w:eastAsia="zh-CN"/>
        </w:rPr>
        <w:t>教育体育局窗帘采购项目</w:t>
      </w:r>
      <w:r>
        <w:rPr>
          <w:rFonts w:hint="eastAsia" w:ascii="黑体" w:hAnsi="黑体" w:eastAsia="黑体" w:cs="黑体"/>
          <w:b/>
          <w:bCs/>
          <w:sz w:val="44"/>
          <w:szCs w:val="44"/>
          <w:lang w:eastAsia="zh-CN"/>
        </w:rPr>
        <w:t>采购项目</w:t>
      </w:r>
    </w:p>
    <w:p>
      <w:pPr>
        <w:ind w:firstLine="2409" w:firstLineChars="500"/>
        <w:rPr>
          <w:rFonts w:hint="eastAsia" w:ascii="黑体" w:hAnsi="黑体" w:eastAsia="黑体" w:cs="黑体"/>
          <w:b/>
          <w:bCs/>
          <w:sz w:val="48"/>
          <w:szCs w:val="48"/>
        </w:rPr>
      </w:pPr>
    </w:p>
    <w:p>
      <w:pPr>
        <w:ind w:firstLine="2409" w:firstLineChars="500"/>
        <w:rPr>
          <w:rFonts w:hint="eastAsia" w:ascii="黑体" w:hAnsi="黑体" w:eastAsia="黑体" w:cs="黑体"/>
          <w:b/>
          <w:bCs/>
          <w:sz w:val="48"/>
          <w:szCs w:val="48"/>
        </w:rPr>
      </w:pPr>
    </w:p>
    <w:p>
      <w:pPr>
        <w:ind w:firstLine="2409" w:firstLineChars="500"/>
        <w:rPr>
          <w:rFonts w:ascii="黑体" w:hAnsi="黑体" w:eastAsia="黑体" w:cs="黑体"/>
          <w:b/>
          <w:bCs/>
          <w:sz w:val="48"/>
          <w:szCs w:val="48"/>
        </w:rPr>
      </w:pPr>
      <w:r>
        <w:rPr>
          <w:rFonts w:hint="eastAsia" w:ascii="黑体" w:hAnsi="黑体" w:eastAsia="黑体" w:cs="黑体"/>
          <w:b/>
          <w:bCs/>
          <w:sz w:val="48"/>
          <w:szCs w:val="48"/>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w:t>
      </w:r>
      <w:r>
        <w:rPr>
          <w:rFonts w:hint="eastAsia" w:asciiTheme="majorEastAsia" w:hAnsiTheme="majorEastAsia" w:eastAsiaTheme="majorEastAsia" w:cstheme="majorEastAsia"/>
          <w:sz w:val="36"/>
          <w:szCs w:val="36"/>
          <w:lang w:val="en-US" w:eastAsia="zh-CN"/>
        </w:rPr>
        <w:t>20032</w:t>
      </w:r>
    </w:p>
    <w:p>
      <w:pPr>
        <w:ind w:firstLine="1080" w:firstLineChars="300"/>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rPr>
        <w:t>采购单位：</w:t>
      </w:r>
      <w:r>
        <w:rPr>
          <w:rFonts w:hint="eastAsia" w:asciiTheme="majorEastAsia" w:hAnsiTheme="majorEastAsia" w:eastAsiaTheme="majorEastAsia" w:cstheme="majorEastAsia"/>
          <w:sz w:val="36"/>
          <w:szCs w:val="36"/>
          <w:lang w:eastAsia="zh-CN"/>
        </w:rPr>
        <w:t>禹州市教育体育局</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三</w:t>
      </w:r>
      <w:r>
        <w:rPr>
          <w:rFonts w:hint="eastAsia" w:asciiTheme="majorEastAsia" w:hAnsiTheme="majorEastAsia" w:eastAsiaTheme="majorEastAsia" w:cstheme="majorEastAsia"/>
          <w:b/>
          <w:bCs/>
          <w:sz w:val="36"/>
          <w:szCs w:val="36"/>
        </w:rPr>
        <w:t>月</w:t>
      </w:r>
    </w:p>
    <w:p>
      <w:pPr>
        <w:pStyle w:val="2"/>
        <w:ind w:firstLine="340"/>
      </w:pPr>
    </w:p>
    <w:p>
      <w:pPr>
        <w:pStyle w:val="2"/>
        <w:ind w:firstLine="340"/>
      </w:pPr>
    </w:p>
    <w:p>
      <w:pPr>
        <w:pStyle w:val="2"/>
        <w:ind w:left="0" w:leftChars="0" w:firstLine="0" w:firstLineChars="0"/>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2"/>
        <w:rPr>
          <w:rFonts w:hint="eastAsia" w:asciiTheme="majorEastAsia" w:hAnsiTheme="majorEastAsia" w:eastAsiaTheme="majorEastAsia" w:cstheme="majorEastAsia"/>
          <w:b/>
          <w:kern w:val="0"/>
          <w:sz w:val="32"/>
          <w:szCs w:val="32"/>
        </w:rPr>
      </w:pPr>
    </w:p>
    <w:p>
      <w:pPr>
        <w:pStyle w:val="2"/>
        <w:rPr>
          <w:rFonts w:hint="eastAsia" w:asciiTheme="majorEastAsia" w:hAnsiTheme="majorEastAsia" w:eastAsiaTheme="majorEastAsia" w:cstheme="majorEastAsia"/>
          <w:b/>
          <w:kern w:val="0"/>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32"/>
          <w:szCs w:val="32"/>
          <w:lang w:val="en-US" w:eastAsia="zh-CN"/>
        </w:rPr>
      </w:pPr>
      <w:r>
        <w:rPr>
          <w:rFonts w:hint="eastAsia"/>
          <w:b/>
          <w:bCs/>
          <w:sz w:val="32"/>
          <w:szCs w:val="32"/>
        </w:rPr>
        <w:t>禹州市</w:t>
      </w:r>
      <w:r>
        <w:rPr>
          <w:rFonts w:hint="eastAsia"/>
          <w:b/>
          <w:bCs/>
          <w:sz w:val="32"/>
          <w:szCs w:val="32"/>
          <w:lang w:val="en-US" w:eastAsia="zh-CN"/>
        </w:rPr>
        <w:t>教育体育局窗帘采购项目</w:t>
      </w:r>
    </w:p>
    <w:p>
      <w:pPr>
        <w:spacing w:line="600" w:lineRule="exact"/>
        <w:jc w:val="center"/>
        <w:rPr>
          <w:rFonts w:hint="eastAsia" w:eastAsiaTheme="minorEastAsia"/>
          <w:b/>
          <w:bCs/>
          <w:sz w:val="32"/>
          <w:szCs w:val="32"/>
          <w:lang w:val="en-US" w:eastAsia="zh-CN"/>
        </w:rPr>
      </w:pPr>
      <w:r>
        <w:rPr>
          <w:rFonts w:hint="eastAsia"/>
          <w:b/>
          <w:bCs/>
          <w:sz w:val="32"/>
          <w:szCs w:val="32"/>
        </w:rPr>
        <w:t>谈判</w:t>
      </w:r>
      <w:r>
        <w:rPr>
          <w:rFonts w:hint="eastAsia"/>
          <w:b/>
          <w:bCs/>
          <w:sz w:val="32"/>
          <w:szCs w:val="32"/>
          <w:lang w:eastAsia="zh-CN"/>
        </w:rPr>
        <w:t>邀请函</w:t>
      </w:r>
    </w:p>
    <w:p>
      <w:pPr>
        <w:spacing w:line="600" w:lineRule="exact"/>
        <w:jc w:val="center"/>
        <w:rPr>
          <w:b/>
          <w:bCs/>
          <w:sz w:val="44"/>
          <w:szCs w:val="4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val="en-US" w:eastAsia="zh-CN"/>
        </w:rPr>
        <w:t>禹州市教育体育局</w:t>
      </w:r>
      <w:r>
        <w:rPr>
          <w:rFonts w:hint="eastAsia" w:ascii="新宋体" w:hAnsi="新宋体" w:eastAsia="新宋体" w:cs="新宋体"/>
          <w:sz w:val="24"/>
          <w:szCs w:val="24"/>
        </w:rPr>
        <w:t>的委托，就“</w:t>
      </w:r>
      <w:r>
        <w:rPr>
          <w:rFonts w:hint="eastAsia" w:ascii="新宋体" w:hAnsi="新宋体" w:eastAsia="新宋体" w:cs="新宋体"/>
          <w:sz w:val="24"/>
          <w:szCs w:val="24"/>
          <w:lang w:val="en-US" w:eastAsia="zh-CN"/>
        </w:rPr>
        <w:t>禹州市教育体育局窗帘采购项目</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w:t>
      </w:r>
      <w:r>
        <w:rPr>
          <w:rFonts w:hint="eastAsia" w:ascii="新宋体" w:hAnsi="新宋体" w:eastAsia="新宋体" w:cs="新宋体"/>
          <w:sz w:val="24"/>
          <w:szCs w:val="24"/>
          <w:lang w:val="en-US" w:eastAsia="zh-CN"/>
        </w:rPr>
        <w:t>禹州市教育体育局</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w:t>
      </w:r>
      <w:r>
        <w:rPr>
          <w:rFonts w:hint="eastAsia" w:ascii="新宋体" w:hAnsi="新宋体" w:eastAsia="新宋体" w:cs="新宋体"/>
          <w:sz w:val="24"/>
          <w:szCs w:val="24"/>
          <w:lang w:val="en-US" w:eastAsia="zh-CN"/>
        </w:rPr>
        <w:t>禹州市教育体育局窗帘采购项目</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20032</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val="en-US" w:eastAsia="zh-CN"/>
        </w:rPr>
        <w:t>窗帘一批</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，具有独立法人资格且具有相应的经营范围（以营业执照为准）；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10 ：00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付女士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（二）采购单位：禹州市</w:t>
      </w:r>
      <w:r>
        <w:rPr>
          <w:rFonts w:hint="eastAsia" w:ascii="新宋体" w:hAnsi="新宋体" w:eastAsia="新宋体" w:cs="新宋体"/>
          <w:sz w:val="24"/>
          <w:szCs w:val="24"/>
          <w:lang w:val="en-US" w:eastAsia="zh-CN"/>
        </w:rPr>
        <w:t>教育体育局</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地址：禹州市</w:t>
      </w:r>
      <w:r>
        <w:rPr>
          <w:rFonts w:hint="eastAsia" w:ascii="新宋体" w:hAnsi="新宋体" w:eastAsia="新宋体" w:cs="新宋体"/>
          <w:sz w:val="24"/>
          <w:szCs w:val="24"/>
          <w:lang w:val="en-US" w:eastAsia="zh-CN"/>
        </w:rPr>
        <w:t>禹王大道东段111号</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代先生</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0374-8880023</w:t>
      </w:r>
    </w:p>
    <w:p>
      <w:pPr>
        <w:keepNext w:val="0"/>
        <w:keepLines w:val="0"/>
        <w:pageBreakBefore w:val="0"/>
        <w:kinsoku/>
        <w:overflowPunct/>
        <w:bidi w:val="0"/>
        <w:spacing w:line="44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440" w:lineRule="exact"/>
        <w:ind w:firstLine="6080" w:firstLineChars="1900"/>
        <w:textAlignment w:val="auto"/>
        <w:rPr>
          <w:rFonts w:ascii="仿宋" w:hAnsi="仿宋" w:eastAsia="仿宋" w:cs="仿宋"/>
          <w:sz w:val="32"/>
          <w:szCs w:val="32"/>
        </w:rPr>
      </w:pPr>
    </w:p>
    <w:p>
      <w:pPr>
        <w:widowControl/>
        <w:shd w:val="clear" w:color="auto" w:fill="FFFFFF"/>
        <w:spacing w:line="440" w:lineRule="exact"/>
        <w:jc w:val="left"/>
        <w:rPr>
          <w:rFonts w:hint="eastAsia" w:ascii="新宋体" w:hAnsi="新宋体" w:eastAsia="新宋体" w:cs="新宋体"/>
          <w:color w:val="000000"/>
          <w:kern w:val="0"/>
          <w:sz w:val="24"/>
          <w:szCs w:val="24"/>
        </w:rPr>
      </w:pPr>
      <w:r>
        <w:rPr>
          <w:rFonts w:hint="eastAsia" w:ascii="仿宋" w:hAnsi="仿宋" w:eastAsia="仿宋" w:cs="仿宋"/>
          <w:sz w:val="32"/>
          <w:szCs w:val="32"/>
        </w:rPr>
        <w:t xml:space="preserve">      </w:t>
      </w:r>
    </w:p>
    <w:p>
      <w:pPr>
        <w:spacing w:line="600" w:lineRule="exact"/>
        <w:rPr>
          <w:b/>
          <w:bCs/>
          <w:sz w:val="24"/>
          <w:szCs w:val="24"/>
        </w:rPr>
      </w:pPr>
    </w:p>
    <w:p>
      <w:pPr>
        <w:spacing w:line="360" w:lineRule="auto"/>
        <w:rPr>
          <w:rFonts w:hint="eastAsia" w:hAnsi="宋体"/>
          <w:b/>
          <w:sz w:val="28"/>
          <w:szCs w:val="28"/>
        </w:rPr>
      </w:pPr>
      <w:r>
        <w:rPr>
          <w:rFonts w:hint="eastAsia" w:hAnsi="宋体"/>
          <w:b/>
          <w:sz w:val="28"/>
          <w:szCs w:val="28"/>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hint="eastAsia" w:ascii="仿宋" w:hAnsi="仿宋" w:eastAsia="仿宋" w:cs="仿宋_GB2312"/>
          <w:color w:val="FF0000"/>
          <w:sz w:val="32"/>
          <w:szCs w:val="32"/>
          <w:lang w:val="en-US" w:eastAsia="zh-CN"/>
        </w:rPr>
      </w:pPr>
      <w:r>
        <w:rPr>
          <w:rFonts w:hint="eastAsia" w:ascii="仿宋" w:hAnsi="仿宋" w:eastAsia="仿宋" w:cs="仿宋_GB2312"/>
          <w:color w:val="FF0000"/>
          <w:sz w:val="32"/>
          <w:szCs w:val="32"/>
          <w:lang w:val="en-US" w:eastAsia="zh-CN"/>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pStyle w:val="2"/>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firstLine="0" w:firstLineChars="0"/>
      </w:pPr>
    </w:p>
    <w:p>
      <w:pPr>
        <w:pStyle w:val="2"/>
        <w:ind w:firstLine="0" w:firstLineChars="0"/>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0"/>
        </w:numPr>
        <w:spacing w:line="520" w:lineRule="exact"/>
        <w:ind w:firstLine="723" w:firstLineChars="300"/>
        <w:rPr>
          <w:rFonts w:hint="eastAsia"/>
          <w:lang w:eastAsia="zh-CN"/>
        </w:rPr>
      </w:pPr>
      <w:r>
        <w:rPr>
          <w:rFonts w:hint="eastAsia" w:ascii="新宋体" w:hAnsi="新宋体" w:eastAsia="新宋体" w:cs="新宋体"/>
          <w:b/>
          <w:sz w:val="24"/>
          <w:szCs w:val="24"/>
          <w:lang w:eastAsia="zh-CN"/>
        </w:rPr>
        <w:t>一、</w:t>
      </w:r>
      <w:r>
        <w:rPr>
          <w:rFonts w:hint="eastAsia" w:ascii="新宋体" w:hAnsi="新宋体" w:eastAsia="新宋体" w:cs="新宋体"/>
          <w:b/>
          <w:bCs/>
          <w:sz w:val="24"/>
          <w:szCs w:val="24"/>
        </w:rPr>
        <w:t>本项目需实现的功能或者目标</w:t>
      </w:r>
      <w:r>
        <w:rPr>
          <w:rFonts w:hint="eastAsia" w:ascii="新宋体" w:hAnsi="新宋体" w:eastAsia="新宋体" w:cs="新宋体"/>
          <w:sz w:val="24"/>
          <w:szCs w:val="24"/>
          <w:lang w:eastAsia="zh-CN"/>
        </w:rPr>
        <w:t>：</w:t>
      </w:r>
    </w:p>
    <w:p>
      <w:pPr>
        <w:widowControl/>
        <w:numPr>
          <w:ilvl w:val="0"/>
          <w:numId w:val="0"/>
        </w:numPr>
        <w:shd w:val="clear" w:color="auto" w:fill="FFFFFF"/>
        <w:spacing w:line="540" w:lineRule="exact"/>
        <w:ind w:firstLine="480" w:firstLineChars="200"/>
        <w:jc w:val="left"/>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满足第三实验学校师生对窗帘的使用要求以及国家相关安全、环保、质量等要求。</w:t>
      </w:r>
    </w:p>
    <w:p>
      <w:pPr>
        <w:pStyle w:val="62"/>
        <w:autoSpaceDN w:val="0"/>
        <w:snapToGrid w:val="0"/>
        <w:spacing w:line="360" w:lineRule="auto"/>
        <w:textAlignment w:val="baseline"/>
        <w:rPr>
          <w:rFonts w:hint="default" w:ascii="新宋体" w:hAnsi="新宋体" w:eastAsia="新宋体" w:cs="新宋体"/>
          <w:b/>
          <w:bCs/>
          <w:color w:val="0000FF"/>
          <w:sz w:val="24"/>
          <w:szCs w:val="24"/>
          <w:lang w:val="en-US" w:eastAsia="zh-CN"/>
        </w:rPr>
      </w:pPr>
      <w:r>
        <w:rPr>
          <w:rFonts w:hint="eastAsia" w:ascii="新宋体" w:hAnsi="新宋体" w:eastAsia="新宋体" w:cs="新宋体"/>
          <w:b/>
          <w:bCs/>
          <w:color w:val="0000FF"/>
          <w:sz w:val="24"/>
          <w:szCs w:val="24"/>
          <w:lang w:val="en-US" w:eastAsia="zh-CN"/>
        </w:rPr>
        <w:t xml:space="preserve">   </w:t>
      </w:r>
      <w:r>
        <w:rPr>
          <w:rFonts w:hint="eastAsia" w:ascii="新宋体" w:hAnsi="新宋体" w:eastAsia="新宋体" w:cs="新宋体"/>
          <w:b/>
          <w:bCs/>
          <w:color w:val="000000" w:themeColor="text1"/>
          <w:sz w:val="24"/>
          <w:szCs w:val="24"/>
          <w:lang w:val="en-US" w:eastAsia="zh-CN"/>
        </w:rPr>
        <w:t xml:space="preserve">  二、采购清单：</w:t>
      </w:r>
    </w:p>
    <w:tbl>
      <w:tblPr>
        <w:tblStyle w:val="22"/>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1281"/>
        <w:gridCol w:w="761"/>
        <w:gridCol w:w="727"/>
        <w:gridCol w:w="5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2" w:hRule="atLeast"/>
          <w:jc w:val="center"/>
        </w:trPr>
        <w:tc>
          <w:tcPr>
            <w:tcW w:w="9242" w:type="dxa"/>
            <w:gridSpan w:val="5"/>
            <w:noWrap/>
            <w:tcMar>
              <w:top w:w="15" w:type="dxa"/>
              <w:left w:w="15" w:type="dxa"/>
              <w:right w:w="15" w:type="dxa"/>
            </w:tcMar>
            <w:vAlign w:val="center"/>
          </w:tcPr>
          <w:p>
            <w:pPr>
              <w:pStyle w:val="62"/>
              <w:numPr>
                <w:ilvl w:val="0"/>
                <w:numId w:val="0"/>
              </w:numPr>
              <w:autoSpaceDN w:val="0"/>
              <w:snapToGrid w:val="0"/>
              <w:spacing w:line="360" w:lineRule="auto"/>
              <w:ind w:firstLine="3360" w:firstLineChars="14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窗帘配置参数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816" w:type="dxa"/>
            <w:noWrap/>
            <w:tcMar>
              <w:top w:w="15" w:type="dxa"/>
              <w:left w:w="15"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项目</w:t>
            </w:r>
          </w:p>
        </w:tc>
        <w:tc>
          <w:tcPr>
            <w:tcW w:w="1281" w:type="dxa"/>
            <w:noWrap/>
            <w:tcMar>
              <w:top w:w="15" w:type="dxa"/>
              <w:left w:w="15"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尺寸（米）</w:t>
            </w:r>
          </w:p>
        </w:tc>
        <w:tc>
          <w:tcPr>
            <w:tcW w:w="761" w:type="dxa"/>
            <w:noWrap/>
            <w:tcMar>
              <w:top w:w="15" w:type="dxa"/>
              <w:left w:w="15"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数量</w:t>
            </w:r>
          </w:p>
        </w:tc>
        <w:tc>
          <w:tcPr>
            <w:tcW w:w="727" w:type="dxa"/>
            <w:noWrap/>
            <w:tcMar>
              <w:top w:w="15" w:type="dxa"/>
              <w:left w:w="15"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单位</w:t>
            </w:r>
          </w:p>
        </w:tc>
        <w:tc>
          <w:tcPr>
            <w:tcW w:w="5657" w:type="dxa"/>
            <w:noWrap/>
            <w:tcMar>
              <w:top w:w="15" w:type="dxa"/>
              <w:left w:w="15" w:type="dxa"/>
              <w:right w:w="15" w:type="dxa"/>
            </w:tcMar>
            <w:vAlign w:val="center"/>
          </w:tcPr>
          <w:p>
            <w:pPr>
              <w:pStyle w:val="62"/>
              <w:numPr>
                <w:ilvl w:val="0"/>
                <w:numId w:val="0"/>
              </w:numPr>
              <w:autoSpaceDN w:val="0"/>
              <w:snapToGrid w:val="0"/>
              <w:spacing w:line="360" w:lineRule="auto"/>
              <w:ind w:firstLine="2160" w:firstLineChars="9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816" w:type="dxa"/>
            <w:vMerge w:val="restart"/>
            <w:noWrap/>
            <w:tcMar>
              <w:top w:w="15" w:type="dxa"/>
              <w:left w:w="15"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一号楼</w:t>
            </w:r>
          </w:p>
        </w:tc>
        <w:tc>
          <w:tcPr>
            <w:tcW w:w="1281"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2*2.8</w:t>
            </w:r>
          </w:p>
        </w:tc>
        <w:tc>
          <w:tcPr>
            <w:tcW w:w="761" w:type="dxa"/>
            <w:noWrap/>
            <w:tcMar>
              <w:top w:w="15" w:type="dxa"/>
              <w:left w:w="15" w:type="dxa"/>
              <w:right w:w="15" w:type="dxa"/>
            </w:tcMar>
            <w:vAlign w:val="center"/>
          </w:tcPr>
          <w:p>
            <w:pPr>
              <w:pStyle w:val="62"/>
              <w:numPr>
                <w:ilvl w:val="0"/>
                <w:numId w:val="0"/>
              </w:numPr>
              <w:autoSpaceDN w:val="0"/>
              <w:snapToGrid w:val="0"/>
              <w:spacing w:line="360" w:lineRule="auto"/>
              <w:ind w:firstLine="240" w:firstLineChars="100"/>
              <w:textAlignment w:val="baseline"/>
              <w:rPr>
                <w:rFonts w:hint="eastAsia"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130</w:t>
            </w:r>
          </w:p>
        </w:tc>
        <w:tc>
          <w:tcPr>
            <w:tcW w:w="727"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5657" w:type="dxa"/>
            <w:vMerge w:val="restart"/>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窗帘规格</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成份：全遮光高精密面料、100%聚酯纤维，遮光率需达到90%。</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技术要求：</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窗帘具有防尘防污、遮光，隔热，透气，透光，美观，易清洁等特点。</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1.氧指数≥32；</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2.损毁长度≤150mm；</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3.续燃时间≤5s；</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4.阴燃时间≤5s；</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5.燃烧滴落物为引起脱脂棉燃烧或阴燃；</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6.烟密度等级（SDR）≤15；</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7.产烟毒性等级不低于 ZA2；</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8.阻燃等级：GB20286-2006 阻燃一级（织物耐水洗50次）；</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以上按GB20286-2006《公共场所阻燃制品及组件燃烧性能要求和标识》检测，燃烧性能达到阻燃1级（织物耐水洗50次）报告原件作为评审佐证；</w:t>
            </w:r>
          </w:p>
          <w:p>
            <w:pPr>
              <w:pStyle w:val="62"/>
              <w:numPr>
                <w:ilvl w:val="0"/>
                <w:numId w:val="0"/>
              </w:numPr>
              <w:autoSpaceDN w:val="0"/>
              <w:snapToGrid w:val="0"/>
              <w:spacing w:line="360" w:lineRule="auto"/>
              <w:ind w:firstLine="480" w:firstLineChars="200"/>
              <w:textAlignment w:val="baseline"/>
              <w:rPr>
                <w:rFonts w:hint="default"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9.织物线密度（米白色）经向（tex）20±2；黑色纱线密度（tex）40±2；织物线密度（tex）40±2；</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10、甲醛含量（mg/kg）≤20；</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11、耐酸、碱汗渍色牢度（级）：变色 ≥4 级，沾色 ≥4级；</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12、耐皂洗色牢度（级）：变色≥4级，沾色（涤纶）≥4 级，沾色（棉）≥4级</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13.耐水色牢度（级）：变色≥4级，沾色≥4级</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14.耐光色牢度：4 级</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15.可分解致癌芳香胺染料（mg/kg）禁用（≤20mg/kg）</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16.异味：无异味；</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17.可萃取重金属含量：汞≤0.02；铅≤1.0；镉≤0.1；铬≤2.0</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18.水洗尺寸变化率：经向-0.3%；纬向-0.2%</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19.耐热压色牢度：变色≥4级，沾色≥4级（潮压 150℃）</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20.断裂强力：经向 ＞1600， 纬向＞1800</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21.撕破强力：经向60±5；纬向60±5</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22.悬垂性：＞75%；起球≤4级</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23.透光性：≤1%</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24.制作比例：1:2 倍饱和度。</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二、配件规格</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1.窗帘根据房间情况选用罗马杆或滑道，罗马杆采用直径φ28 优质铝合金材质，壁厚1.2mm，两头加装配套堵头。滑道选用优质铝合金材料，厚度1.2mm,罗马杆和滑道长度尺寸为实际踏勘宽度尺寸，用φ8塑料胀管固定(每付用长 60mm,φ8塑料胀管，每付不少于4套胀管)。</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2.罗马杆采用罗马圈联接，滑道采用S不锈钢挂钩连接，经久耐用，拆洗方便。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816" w:type="dxa"/>
            <w:vMerge w:val="continue"/>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c>
          <w:tcPr>
            <w:tcW w:w="1281" w:type="dxa"/>
            <w:noWrap/>
            <w:tcMar>
              <w:top w:w="15" w:type="dxa"/>
              <w:left w:w="15" w:type="dxa"/>
              <w:right w:w="15" w:type="dxa"/>
            </w:tcMar>
            <w:vAlign w:val="center"/>
          </w:tcPr>
          <w:p>
            <w:pPr>
              <w:pStyle w:val="62"/>
              <w:numPr>
                <w:ilvl w:val="0"/>
                <w:numId w:val="0"/>
              </w:numPr>
              <w:autoSpaceDN w:val="0"/>
              <w:snapToGrid w:val="0"/>
              <w:spacing w:line="360" w:lineRule="auto"/>
              <w:ind w:firstLine="240" w:firstLineChars="1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2.3*2.8</w:t>
            </w:r>
          </w:p>
        </w:tc>
        <w:tc>
          <w:tcPr>
            <w:tcW w:w="761"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59</w:t>
            </w:r>
          </w:p>
        </w:tc>
        <w:tc>
          <w:tcPr>
            <w:tcW w:w="727"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5657" w:type="dxa"/>
            <w:vMerge w:val="continue"/>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816" w:type="dxa"/>
            <w:vMerge w:val="continue"/>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c>
          <w:tcPr>
            <w:tcW w:w="1281" w:type="dxa"/>
            <w:noWrap/>
            <w:tcMar>
              <w:top w:w="15" w:type="dxa"/>
              <w:left w:w="15" w:type="dxa"/>
              <w:right w:w="15" w:type="dxa"/>
            </w:tcMar>
            <w:vAlign w:val="center"/>
          </w:tcPr>
          <w:p>
            <w:pPr>
              <w:pStyle w:val="62"/>
              <w:numPr>
                <w:ilvl w:val="0"/>
                <w:numId w:val="0"/>
              </w:numPr>
              <w:autoSpaceDN w:val="0"/>
              <w:snapToGrid w:val="0"/>
              <w:spacing w:line="360" w:lineRule="auto"/>
              <w:ind w:firstLine="240" w:firstLineChars="1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2.5*2.8</w:t>
            </w:r>
          </w:p>
        </w:tc>
        <w:tc>
          <w:tcPr>
            <w:tcW w:w="761"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4</w:t>
            </w:r>
          </w:p>
        </w:tc>
        <w:tc>
          <w:tcPr>
            <w:tcW w:w="727"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5657" w:type="dxa"/>
            <w:vMerge w:val="continue"/>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816" w:type="dxa"/>
            <w:vMerge w:val="continue"/>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c>
          <w:tcPr>
            <w:tcW w:w="1281"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4*2.8</w:t>
            </w:r>
          </w:p>
        </w:tc>
        <w:tc>
          <w:tcPr>
            <w:tcW w:w="761"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8</w:t>
            </w:r>
          </w:p>
        </w:tc>
        <w:tc>
          <w:tcPr>
            <w:tcW w:w="727"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5657" w:type="dxa"/>
            <w:vMerge w:val="continue"/>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816" w:type="dxa"/>
            <w:vMerge w:val="restart"/>
            <w:noWrap/>
            <w:tcMar>
              <w:top w:w="15" w:type="dxa"/>
              <w:left w:w="15"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二号楼</w:t>
            </w:r>
          </w:p>
        </w:tc>
        <w:tc>
          <w:tcPr>
            <w:tcW w:w="1281"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4*2.8</w:t>
            </w:r>
          </w:p>
        </w:tc>
        <w:tc>
          <w:tcPr>
            <w:tcW w:w="761"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25</w:t>
            </w:r>
          </w:p>
        </w:tc>
        <w:tc>
          <w:tcPr>
            <w:tcW w:w="727"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5657" w:type="dxa"/>
            <w:vMerge w:val="continue"/>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816" w:type="dxa"/>
            <w:vMerge w:val="continue"/>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c>
          <w:tcPr>
            <w:tcW w:w="1281"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5*2.8</w:t>
            </w:r>
          </w:p>
        </w:tc>
        <w:tc>
          <w:tcPr>
            <w:tcW w:w="761"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9</w:t>
            </w:r>
          </w:p>
        </w:tc>
        <w:tc>
          <w:tcPr>
            <w:tcW w:w="727"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5657" w:type="dxa"/>
            <w:vMerge w:val="continue"/>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816" w:type="dxa"/>
            <w:vMerge w:val="continue"/>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c>
          <w:tcPr>
            <w:tcW w:w="1281"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3*2.8</w:t>
            </w:r>
          </w:p>
        </w:tc>
        <w:tc>
          <w:tcPr>
            <w:tcW w:w="761"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14</w:t>
            </w:r>
          </w:p>
        </w:tc>
        <w:tc>
          <w:tcPr>
            <w:tcW w:w="727"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5657" w:type="dxa"/>
            <w:vMerge w:val="continue"/>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816" w:type="dxa"/>
            <w:vMerge w:val="continue"/>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c>
          <w:tcPr>
            <w:tcW w:w="1281"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2*2.8</w:t>
            </w:r>
          </w:p>
        </w:tc>
        <w:tc>
          <w:tcPr>
            <w:tcW w:w="761" w:type="dxa"/>
            <w:noWrap/>
            <w:tcMar>
              <w:top w:w="15" w:type="dxa"/>
              <w:left w:w="15"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428</w:t>
            </w:r>
          </w:p>
        </w:tc>
        <w:tc>
          <w:tcPr>
            <w:tcW w:w="727"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5657" w:type="dxa"/>
            <w:vMerge w:val="continue"/>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816" w:type="dxa"/>
            <w:vMerge w:val="restart"/>
            <w:noWrap/>
            <w:tcMar>
              <w:top w:w="15" w:type="dxa"/>
              <w:left w:w="15"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五号楼</w:t>
            </w:r>
          </w:p>
        </w:tc>
        <w:tc>
          <w:tcPr>
            <w:tcW w:w="1281"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4*2.8</w:t>
            </w:r>
          </w:p>
        </w:tc>
        <w:tc>
          <w:tcPr>
            <w:tcW w:w="761" w:type="dxa"/>
            <w:noWrap/>
            <w:tcMar>
              <w:top w:w="15" w:type="dxa"/>
              <w:left w:w="15" w:type="dxa"/>
              <w:right w:w="15" w:type="dxa"/>
            </w:tcMar>
            <w:vAlign w:val="center"/>
          </w:tcPr>
          <w:p>
            <w:pPr>
              <w:pStyle w:val="62"/>
              <w:numPr>
                <w:ilvl w:val="0"/>
                <w:numId w:val="0"/>
              </w:numPr>
              <w:autoSpaceDN w:val="0"/>
              <w:snapToGrid w:val="0"/>
              <w:spacing w:line="360" w:lineRule="auto"/>
              <w:ind w:firstLine="240" w:firstLineChars="100"/>
              <w:textAlignment w:val="baseline"/>
              <w:rPr>
                <w:rFonts w:hint="eastAsia"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23</w:t>
            </w:r>
          </w:p>
        </w:tc>
        <w:tc>
          <w:tcPr>
            <w:tcW w:w="727" w:type="dxa"/>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5657" w:type="dxa"/>
            <w:vMerge w:val="continue"/>
            <w:noWrap/>
            <w:tcMar>
              <w:top w:w="15" w:type="dxa"/>
              <w:left w:w="15"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816" w:type="dxa"/>
            <w:vMerge w:val="continue"/>
            <w:noWrap w:val="0"/>
            <w:vAlign w:val="top"/>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c>
          <w:tcPr>
            <w:tcW w:w="1281"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2*2.8</w:t>
            </w:r>
          </w:p>
        </w:tc>
        <w:tc>
          <w:tcPr>
            <w:tcW w:w="761" w:type="dxa"/>
            <w:noWrap w:val="0"/>
            <w:vAlign w:val="center"/>
          </w:tcPr>
          <w:p>
            <w:pPr>
              <w:pStyle w:val="62"/>
              <w:numPr>
                <w:ilvl w:val="0"/>
                <w:numId w:val="0"/>
              </w:numPr>
              <w:autoSpaceDN w:val="0"/>
              <w:snapToGrid w:val="0"/>
              <w:spacing w:line="360" w:lineRule="auto"/>
              <w:ind w:firstLine="240" w:firstLineChars="100"/>
              <w:textAlignment w:val="baseline"/>
              <w:rPr>
                <w:rFonts w:hint="eastAsia"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523</w:t>
            </w:r>
          </w:p>
        </w:tc>
        <w:tc>
          <w:tcPr>
            <w:tcW w:w="727" w:type="dxa"/>
            <w:noWrap w:val="0"/>
            <w:vAlign w:val="top"/>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5657" w:type="dxa"/>
            <w:vMerge w:val="continue"/>
            <w:noWrap w:val="0"/>
            <w:vAlign w:val="top"/>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816"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一号楼办公室、阶梯教室</w:t>
            </w:r>
          </w:p>
        </w:tc>
        <w:tc>
          <w:tcPr>
            <w:tcW w:w="1281"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3*2.8</w:t>
            </w:r>
          </w:p>
        </w:tc>
        <w:tc>
          <w:tcPr>
            <w:tcW w:w="761"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default" w:ascii="新宋体" w:hAnsi="新宋体" w:eastAsia="新宋体" w:cs="新宋体"/>
                <w:kern w:val="2"/>
                <w:sz w:val="24"/>
                <w:szCs w:val="24"/>
                <w:lang w:val="en-US" w:eastAsia="zh-CN" w:bidi="ar-SA"/>
              </w:rPr>
              <w:t>3</w:t>
            </w:r>
          </w:p>
        </w:tc>
        <w:tc>
          <w:tcPr>
            <w:tcW w:w="727"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5657" w:type="dxa"/>
            <w:vMerge w:val="continue"/>
            <w:noWrap w:val="0"/>
            <w:vAlign w:val="top"/>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tc>
      </w:tr>
    </w:tbl>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注：以上参数为参考，投标供应商所报产品应等于或优于以上参数，不得低于此参数，否则为无效投标。</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2" w:firstLineChars="200"/>
        <w:jc w:val="left"/>
        <w:textAlignment w:val="auto"/>
        <w:outlineLvl w:val="9"/>
        <w:rPr>
          <w:rFonts w:hint="default" w:ascii="新宋体" w:hAnsi="新宋体" w:eastAsia="新宋体" w:cs="新宋体"/>
          <w:kern w:val="2"/>
          <w:sz w:val="24"/>
          <w:szCs w:val="24"/>
          <w:lang w:val="en-US" w:eastAsia="zh-CN" w:bidi="ar-SA"/>
        </w:rPr>
      </w:pPr>
      <w:r>
        <w:rPr>
          <w:rFonts w:hint="eastAsia" w:ascii="新宋体" w:hAnsi="新宋体" w:eastAsia="新宋体" w:cs="新宋体"/>
          <w:b/>
          <w:bCs/>
          <w:sz w:val="24"/>
          <w:szCs w:val="24"/>
          <w:lang w:val="en-US" w:eastAsia="zh-CN"/>
        </w:rPr>
        <w:t>三、</w:t>
      </w:r>
      <w:r>
        <w:rPr>
          <w:rFonts w:hint="eastAsia" w:ascii="新宋体" w:hAnsi="新宋体" w:eastAsia="新宋体" w:cs="新宋体"/>
          <w:b/>
          <w:bCs/>
          <w:sz w:val="24"/>
          <w:szCs w:val="24"/>
        </w:rPr>
        <w:t>采购标的执行标准：</w:t>
      </w:r>
      <w:r>
        <w:rPr>
          <w:rFonts w:hint="eastAsia" w:ascii="新宋体" w:hAnsi="新宋体" w:eastAsia="新宋体" w:cs="新宋体"/>
          <w:kern w:val="2"/>
          <w:sz w:val="24"/>
          <w:szCs w:val="24"/>
          <w:lang w:val="en-US" w:eastAsia="zh-CN" w:bidi="ar-SA"/>
        </w:rPr>
        <w:t>需执行的国家相关标准、行业标准、地方标准或者其他标准、规范.</w:t>
      </w:r>
    </w:p>
    <w:p>
      <w:pPr>
        <w:pStyle w:val="62"/>
        <w:autoSpaceDN w:val="0"/>
        <w:snapToGrid w:val="0"/>
        <w:spacing w:line="360" w:lineRule="auto"/>
        <w:ind w:firstLine="482" w:firstLineChars="200"/>
        <w:textAlignment w:val="baseline"/>
        <w:rPr>
          <w:rFonts w:hint="eastAsia" w:ascii="新宋体" w:hAnsi="新宋体" w:eastAsia="新宋体" w:cs="新宋体"/>
          <w:sz w:val="24"/>
          <w:szCs w:val="24"/>
        </w:rPr>
      </w:pPr>
      <w:r>
        <w:rPr>
          <w:rFonts w:hint="eastAsia" w:ascii="新宋体" w:hAnsi="新宋体" w:eastAsia="新宋体" w:cs="新宋体"/>
          <w:b/>
          <w:bCs/>
          <w:sz w:val="24"/>
          <w:szCs w:val="24"/>
          <w:lang w:eastAsia="zh-CN"/>
        </w:rPr>
        <w:t>四、</w:t>
      </w:r>
      <w:r>
        <w:rPr>
          <w:rFonts w:hint="eastAsia" w:ascii="新宋体" w:hAnsi="新宋体" w:eastAsia="新宋体" w:cs="新宋体"/>
          <w:b/>
          <w:bCs/>
          <w:sz w:val="24"/>
          <w:szCs w:val="24"/>
        </w:rPr>
        <w:t>服务标准、期限、效率等要求</w:t>
      </w:r>
      <w:r>
        <w:rPr>
          <w:rFonts w:hint="eastAsia" w:ascii="新宋体" w:hAnsi="新宋体" w:eastAsia="新宋体" w:cs="新宋体"/>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1、交货期限：按照合同所签供货日期，供货、安装、调试完毕</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2、提供7*24小时电话在线服务，应做到15分钟内响应，30分钟内解决问题（电话解决不了的疑难杂症需现场解决的24小时内到达现场，36小时内解决完毕）</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3、提供3年免费质保服务。</w:t>
      </w:r>
    </w:p>
    <w:p>
      <w:pPr>
        <w:pStyle w:val="62"/>
        <w:autoSpaceDN w:val="0"/>
        <w:snapToGrid w:val="0"/>
        <w:spacing w:line="360" w:lineRule="auto"/>
        <w:ind w:firstLine="480" w:firstLineChars="200"/>
        <w:textAlignment w:val="baseline"/>
        <w:rPr>
          <w:rFonts w:hint="eastAsia" w:ascii="新宋体" w:hAnsi="新宋体" w:eastAsia="新宋体" w:cs="新宋体"/>
          <w:sz w:val="24"/>
          <w:szCs w:val="24"/>
          <w:lang w:eastAsia="zh-CN"/>
        </w:rPr>
      </w:pPr>
    </w:p>
    <w:p>
      <w:pPr>
        <w:spacing w:line="52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五、</w:t>
      </w:r>
      <w:r>
        <w:rPr>
          <w:rFonts w:hint="eastAsia" w:ascii="新宋体" w:hAnsi="新宋体" w:eastAsia="新宋体" w:cs="新宋体"/>
          <w:b/>
          <w:bCs/>
          <w:sz w:val="24"/>
          <w:szCs w:val="24"/>
        </w:rPr>
        <w:t>验收标准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1、按照国家相关标准规范验收。</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2、按照招标文件要求、投标文件响应和合同承诺验收。</w:t>
      </w:r>
    </w:p>
    <w:p>
      <w:pPr>
        <w:spacing w:line="52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lang w:eastAsia="zh-CN"/>
        </w:rPr>
        <w:t>六、</w:t>
      </w:r>
      <w:r>
        <w:rPr>
          <w:rFonts w:hint="eastAsia" w:ascii="新宋体" w:hAnsi="新宋体" w:eastAsia="新宋体" w:cs="新宋体"/>
          <w:b/>
          <w:sz w:val="24"/>
          <w:szCs w:val="24"/>
        </w:rPr>
        <w:t>特别提示：</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、本招标文件所列需求为最低要求，投标产品不得低于最低要求，否则为无效投标。</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、投标人应就该项目完整投标，否则为无效投标。</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、产品必须符合国家质量检测标准和本招标文件规定标准的全新正品现货，供货时须提供随货物《产品合格证》</w:t>
      </w:r>
      <w:r>
        <w:rPr>
          <w:rFonts w:hint="eastAsia" w:ascii="新宋体" w:hAnsi="新宋体" w:eastAsia="新宋体" w:cs="新宋体"/>
          <w:sz w:val="24"/>
          <w:szCs w:val="24"/>
          <w:lang w:eastAsia="zh-CN"/>
        </w:rPr>
        <w:t>。</w:t>
      </w:r>
    </w:p>
    <w:p>
      <w:pPr>
        <w:spacing w:line="420" w:lineRule="exact"/>
        <w:rPr>
          <w:rFonts w:hint="eastAsia" w:ascii="新宋体" w:hAnsi="新宋体" w:eastAsia="新宋体" w:cs="新宋体"/>
          <w:sz w:val="24"/>
          <w:szCs w:val="24"/>
        </w:rPr>
      </w:pPr>
      <w:r>
        <w:rPr>
          <w:rFonts w:hint="eastAsia" w:ascii="新宋体" w:hAnsi="新宋体" w:eastAsia="新宋体" w:cs="新宋体"/>
          <w:sz w:val="24"/>
          <w:szCs w:val="24"/>
        </w:rPr>
        <w:t>　　</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、投标商必须由法定代表人或其授权代表参加开标会议，随时接受谈判小组询问，并予作出书面解答。</w:t>
      </w:r>
    </w:p>
    <w:p>
      <w:pPr>
        <w:wordWrap w:val="0"/>
        <w:topLinePunct/>
        <w:autoSpaceDE w:val="0"/>
        <w:autoSpaceDN w:val="0"/>
        <w:adjustRightInd w:val="0"/>
        <w:snapToGrid w:val="0"/>
        <w:spacing w:line="360" w:lineRule="auto"/>
        <w:ind w:firstLine="482"/>
        <w:rPr>
          <w:rFonts w:hint="eastAsia" w:ascii="新宋体" w:hAnsi="新宋体" w:eastAsia="新宋体" w:cs="新宋体"/>
          <w:bCs/>
          <w:color w:val="FF0000"/>
          <w:sz w:val="24"/>
          <w:szCs w:val="24"/>
          <w:lang w:val="zh-CN"/>
        </w:rPr>
      </w:pPr>
      <w:r>
        <w:rPr>
          <w:rFonts w:hint="eastAsia" w:ascii="新宋体" w:hAnsi="新宋体" w:eastAsia="新宋体" w:cs="新宋体"/>
          <w:bCs/>
          <w:color w:val="FF0000"/>
          <w:sz w:val="24"/>
          <w:szCs w:val="24"/>
          <w:lang w:val="en-US" w:eastAsia="zh-CN"/>
        </w:rPr>
        <w:t>5</w:t>
      </w:r>
      <w:r>
        <w:rPr>
          <w:rFonts w:hint="eastAsia" w:ascii="新宋体" w:hAnsi="新宋体" w:eastAsia="新宋体" w:cs="新宋体"/>
          <w:bCs/>
          <w:color w:val="FF0000"/>
          <w:sz w:val="24"/>
          <w:szCs w:val="24"/>
          <w:lang w:val="zh-CN"/>
        </w:rPr>
        <w:t>、采购人确定中标人后，中标人须向禹州市政府采购中心发送投标报价及分项报价（如果货物需求中有分项的话）一览表电子档，并同时通知采购中心。邮箱：</w:t>
      </w:r>
      <w:r>
        <w:rPr>
          <w:rFonts w:hint="eastAsia" w:ascii="新宋体" w:hAnsi="新宋体" w:eastAsia="新宋体" w:cs="新宋体"/>
          <w:color w:val="FF0000"/>
          <w:sz w:val="24"/>
          <w:szCs w:val="24"/>
        </w:rPr>
        <w:t>yzggzy2076770@163.com</w:t>
      </w:r>
    </w:p>
    <w:p>
      <w:pPr>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、付款方式：</w:t>
      </w:r>
    </w:p>
    <w:p>
      <w:pPr>
        <w:tabs>
          <w:tab w:val="left" w:pos="5963"/>
        </w:tabs>
        <w:spacing w:line="420" w:lineRule="exact"/>
        <w:ind w:firstLine="560" w:firstLineChars="200"/>
        <w:rPr>
          <w:rFonts w:hint="eastAsia" w:ascii="新宋体" w:hAnsi="新宋体" w:eastAsia="新宋体" w:cs="新宋体"/>
          <w:sz w:val="24"/>
          <w:szCs w:val="24"/>
          <w:lang w:val="en-US" w:eastAsia="zh-CN"/>
        </w:rPr>
      </w:pPr>
      <w:r>
        <w:rPr>
          <w:rFonts w:hint="eastAsia" w:ascii="仿宋" w:hAnsi="仿宋" w:eastAsia="仿宋" w:cs="宋体"/>
          <w:color w:val="000000"/>
          <w:kern w:val="0"/>
          <w:sz w:val="28"/>
          <w:szCs w:val="28"/>
        </w:rPr>
        <w:t>（</w:t>
      </w:r>
      <w:r>
        <w:rPr>
          <w:rFonts w:hint="eastAsia" w:ascii="新宋体" w:hAnsi="新宋体" w:eastAsia="新宋体" w:cs="新宋体"/>
          <w:sz w:val="24"/>
          <w:szCs w:val="24"/>
        </w:rPr>
        <w:t>一）支付方式：</w:t>
      </w:r>
      <w:r>
        <w:rPr>
          <w:rFonts w:hint="eastAsia" w:ascii="新宋体" w:hAnsi="新宋体" w:eastAsia="新宋体" w:cs="新宋体"/>
          <w:sz w:val="24"/>
          <w:szCs w:val="24"/>
          <w:lang w:eastAsia="zh-CN"/>
        </w:rPr>
        <w:t>按照合同约定，经验收合格后申请支付。</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rPr>
        <w:t>（二）支付时间及条件：</w:t>
      </w:r>
      <w:r>
        <w:rPr>
          <w:rFonts w:hint="eastAsia" w:ascii="新宋体" w:hAnsi="新宋体" w:eastAsia="新宋体" w:cs="新宋体"/>
          <w:sz w:val="24"/>
          <w:szCs w:val="24"/>
          <w:lang w:eastAsia="zh-CN"/>
        </w:rPr>
        <w:t>以合同为准。</w:t>
      </w:r>
    </w:p>
    <w:p>
      <w:pPr>
        <w:tabs>
          <w:tab w:val="left" w:pos="5963"/>
        </w:tabs>
        <w:spacing w:line="420" w:lineRule="exact"/>
        <w:ind w:firstLine="480" w:firstLineChars="200"/>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ind w:firstLine="340"/>
        <w:rPr>
          <w:rFonts w:hint="eastAsia" w:ascii="新宋体" w:hAnsi="新宋体" w:eastAsia="新宋体" w:cs="新宋体"/>
          <w:sz w:val="24"/>
          <w:szCs w:val="24"/>
        </w:rPr>
      </w:pPr>
    </w:p>
    <w:p>
      <w:pPr>
        <w:pStyle w:val="2"/>
        <w:ind w:firstLine="340"/>
        <w:rPr>
          <w:rFonts w:hint="eastAsia" w:ascii="新宋体" w:hAnsi="新宋体" w:eastAsia="新宋体" w:cs="新宋体"/>
          <w:sz w:val="24"/>
          <w:szCs w:val="24"/>
        </w:rPr>
      </w:pPr>
    </w:p>
    <w:p>
      <w:pPr>
        <w:pStyle w:val="2"/>
        <w:ind w:left="0" w:leftChars="0" w:firstLine="0" w:firstLineChars="0"/>
      </w:pPr>
    </w:p>
    <w:p>
      <w:pPr>
        <w:pStyle w:val="2"/>
        <w:ind w:left="0" w:leftChars="0" w:firstLine="0" w:firstLineChars="0"/>
      </w:pPr>
    </w:p>
    <w:p>
      <w:pPr>
        <w:pStyle w:val="2"/>
        <w:ind w:left="0" w:leftChars="0" w:firstLine="0" w:firstLineChars="0"/>
      </w:pPr>
    </w:p>
    <w:p>
      <w:pPr>
        <w:numPr>
          <w:ilvl w:val="0"/>
          <w:numId w:val="0"/>
        </w:numPr>
        <w:autoSpaceDE w:val="0"/>
        <w:autoSpaceDN w:val="0"/>
        <w:adjustRightInd w:val="0"/>
        <w:ind w:firstLine="1928" w:firstLineChars="6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第三章     </w:t>
      </w:r>
      <w:r>
        <w:rPr>
          <w:rFonts w:hint="eastAsia" w:cs="宋体" w:asciiTheme="majorEastAsia" w:hAnsiTheme="majorEastAsia" w:eastAsiaTheme="majorEastAsia"/>
          <w:b/>
          <w:kern w:val="0"/>
          <w:sz w:val="32"/>
          <w:szCs w:val="32"/>
        </w:rPr>
        <w:t>供应商须知前附表</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lang w:eastAsia="zh-CN"/>
              </w:rPr>
            </w:pPr>
            <w:r>
              <w:rPr>
                <w:rFonts w:hint="eastAsia"/>
              </w:rPr>
              <w:t>项目名称：禹州市教育体育局窗帘采购项目</w:t>
            </w:r>
          </w:p>
          <w:p>
            <w:pPr>
              <w:autoSpaceDE w:val="0"/>
              <w:autoSpaceDN w:val="0"/>
              <w:adjustRightInd w:val="0"/>
              <w:spacing w:line="360" w:lineRule="auto"/>
              <w:jc w:val="left"/>
              <w:rPr>
                <w:rFonts w:hint="default" w:eastAsiaTheme="minorEastAsia"/>
                <w:lang w:val="en-US" w:eastAsia="zh-CN"/>
              </w:rPr>
            </w:pPr>
            <w:r>
              <w:rPr>
                <w:rFonts w:hint="eastAsia"/>
              </w:rPr>
              <w:t>项目编号：YZCG-T20</w:t>
            </w:r>
            <w:r>
              <w:rPr>
                <w:rFonts w:hint="eastAsia"/>
                <w:lang w:val="en-US" w:eastAsia="zh-CN"/>
              </w:rPr>
              <w:t>20032</w:t>
            </w:r>
          </w:p>
          <w:p>
            <w:pPr>
              <w:autoSpaceDE w:val="0"/>
              <w:autoSpaceDN w:val="0"/>
              <w:adjustRightInd w:val="0"/>
              <w:spacing w:line="360" w:lineRule="auto"/>
              <w:jc w:val="left"/>
              <w:rPr>
                <w:rFonts w:hint="eastAsia" w:eastAsiaTheme="minorEastAsia"/>
                <w:lang w:val="en-US" w:eastAsia="zh-CN"/>
              </w:rPr>
            </w:pPr>
            <w:r>
              <w:rPr>
                <w:rFonts w:hint="eastAsia"/>
                <w:lang w:eastAsia="zh-CN"/>
              </w:rPr>
              <w:t>工期：以合同为准</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lang w:eastAsia="zh-CN"/>
              </w:rPr>
              <w:t>项目地址：以合同为准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名称：</w:t>
            </w:r>
            <w:r>
              <w:rPr>
                <w:rFonts w:hint="eastAsia"/>
              </w:rPr>
              <w:t>禹州市教育体育</w:t>
            </w:r>
            <w:r>
              <w:rPr>
                <w:rFonts w:hint="eastAsia"/>
                <w:lang w:eastAsia="zh-CN"/>
              </w:rPr>
              <w:t>局</w:t>
            </w:r>
            <w:bookmarkStart w:id="81" w:name="_GoBack"/>
            <w:bookmarkEnd w:id="81"/>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代先生</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联系电话：0374-888</w:t>
            </w:r>
            <w:r>
              <w:rPr>
                <w:rFonts w:hint="eastAsia" w:cs="仿宋_GB2312" w:asciiTheme="minorEastAsia" w:hAnsiTheme="minorEastAsia"/>
                <w:szCs w:val="21"/>
                <w:lang w:val="en-US" w:eastAsia="zh-CN"/>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付</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20</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rPr>
            </w:pPr>
            <w:r>
              <w:rPr>
                <w:rFonts w:hint="eastAsia" w:cs="宋体" w:asciiTheme="minorEastAsia" w:hAnsiTheme="minorEastAsia"/>
                <w:bCs/>
                <w:szCs w:val="21"/>
                <w:lang w:val="zh-CN"/>
              </w:rPr>
              <w:t>2020年</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23</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eastAsia="zh-CN"/>
              </w:rPr>
              <w:t>不缴纳。</w:t>
            </w:r>
          </w:p>
          <w:p>
            <w:pPr>
              <w:autoSpaceDE w:val="0"/>
              <w:autoSpaceDN w:val="0"/>
              <w:adjustRightInd w:val="0"/>
              <w:spacing w:line="276" w:lineRule="auto"/>
              <w:rPr>
                <w:rFonts w:cs="仿宋_GB2312" w:asciiTheme="minorEastAsia" w:hAnsiTheme="minorEastAsia"/>
                <w:szCs w:val="21"/>
                <w:lang w:val="zh-CN"/>
              </w:rPr>
            </w:pPr>
            <w:r>
              <w:rPr>
                <w:rFonts w:hint="eastAsia" w:cs="宋体" w:asciiTheme="minorEastAsia" w:hAnsiTheme="minorEastAsia"/>
                <w:bCs/>
                <w:szCs w:val="21"/>
                <w:lang w:val="en-US" w:eastAsia="zh-CN"/>
              </w:rPr>
              <w:t>2、</w:t>
            </w:r>
            <w:r>
              <w:rPr>
                <w:rFonts w:hint="eastAsia" w:cs="宋体" w:asciiTheme="minorEastAsia" w:hAnsiTheme="minorEastAsia"/>
                <w:bCs/>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仿宋_GB2312" w:asciiTheme="minorEastAsia" w:hAnsiTheme="minorEastAsia"/>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的3%</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ascii="新宋体" w:hAnsi="新宋体" w:eastAsia="新宋体" w:cs="新宋体"/>
                <w:color w:val="FF0000"/>
                <w:sz w:val="24"/>
                <w:szCs w:val="24"/>
              </w:rPr>
              <w:t>yzggzy</w:t>
            </w:r>
            <w:r>
              <w:rPr>
                <w:rFonts w:hint="eastAsia" w:cs="宋体" w:asciiTheme="minorEastAsia" w:hAnsiTheme="minorEastAsia"/>
                <w:bCs/>
                <w:color w:val="FF0000"/>
                <w:sz w:val="24"/>
                <w:szCs w:val="24"/>
              </w:rPr>
              <w:t>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谈判保证金  </w:t>
      </w:r>
    </w:p>
    <w:p>
      <w:pPr>
        <w:pStyle w:val="44"/>
        <w:numPr>
          <w:ilvl w:val="0"/>
          <w:numId w:val="0"/>
        </w:numPr>
        <w:autoSpaceDE w:val="0"/>
        <w:autoSpaceDN w:val="0"/>
        <w:spacing w:line="360" w:lineRule="auto"/>
        <w:ind w:leftChars="0"/>
        <w:contextualSpacing/>
        <w:rPr>
          <w:rFonts w:hint="eastAsia" w:cs="宋体" w:asciiTheme="minorEastAsia" w:hAnsiTheme="minorEastAsia"/>
          <w:b/>
          <w:kern w:val="0"/>
          <w:szCs w:val="21"/>
        </w:rPr>
      </w:pPr>
      <w:r>
        <w:rPr>
          <w:rFonts w:hint="eastAsia" w:cs="宋体" w:asciiTheme="minorEastAsia" w:hAnsiTheme="minorEastAsia"/>
          <w:b/>
          <w:kern w:val="0"/>
          <w:szCs w:val="21"/>
          <w:lang w:val="en-US" w:eastAsia="zh-CN"/>
        </w:rPr>
        <w:t xml:space="preserve">16.1  </w:t>
      </w:r>
      <w:r>
        <w:rPr>
          <w:rFonts w:hint="eastAsia" w:cs="宋体" w:asciiTheme="minorEastAsia" w:hAnsiTheme="minorEastAsia"/>
          <w:b/>
          <w:kern w:val="0"/>
          <w:szCs w:val="21"/>
        </w:rPr>
        <w:t>不缴纳</w:t>
      </w:r>
    </w:p>
    <w:p>
      <w:pPr>
        <w:pStyle w:val="44"/>
        <w:numPr>
          <w:ilvl w:val="0"/>
          <w:numId w:val="0"/>
        </w:numPr>
        <w:autoSpaceDE w:val="0"/>
        <w:autoSpaceDN w:val="0"/>
        <w:spacing w:line="360" w:lineRule="auto"/>
        <w:ind w:leftChars="0"/>
        <w:contextualSpacing/>
        <w:rPr>
          <w:rFonts w:hint="default" w:cs="宋体" w:asciiTheme="minorEastAsia" w:hAnsiTheme="minorEastAsia" w:eastAsiaTheme="minorEastAsia"/>
          <w:b/>
          <w:kern w:val="0"/>
          <w:szCs w:val="21"/>
          <w:lang w:val="en-US" w:eastAsia="zh-CN"/>
        </w:rPr>
      </w:pPr>
      <w:r>
        <w:rPr>
          <w:rFonts w:hint="eastAsia" w:cs="宋体" w:asciiTheme="minorEastAsia" w:hAnsiTheme="minorEastAsia"/>
          <w:b/>
          <w:kern w:val="0"/>
          <w:szCs w:val="21"/>
          <w:lang w:val="en-US" w:eastAsia="zh-CN"/>
        </w:rPr>
        <w:t>16.2  投标人须提供投标承诺函</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供应商应提交响应文件份数见“供应商须知前附表”。</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0"/>
        </w:numPr>
        <w:autoSpaceDE w:val="0"/>
        <w:autoSpaceDN w:val="0"/>
        <w:spacing w:line="360" w:lineRule="auto"/>
        <w:ind w:firstLineChars="0"/>
        <w:contextualSpacing/>
        <w:rPr>
          <w:rFonts w:ascii="ˎ̥" w:hAnsi="ˎ̥"/>
          <w:vanish/>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4"/>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0"/>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15"/>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9"/>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不收取</w:t>
            </w:r>
          </w:p>
          <w:p>
            <w:pPr>
              <w:spacing w:line="360" w:lineRule="auto"/>
              <w:rPr>
                <w:rFonts w:hint="eastAsia"/>
                <w:lang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0"/>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6"/>
        <w:spacing w:after="156" w:line="500" w:lineRule="exact"/>
        <w:rPr>
          <w:rFonts w:ascii="仿宋" w:hAnsi="仿宋" w:eastAsia="仿宋"/>
          <w:szCs w:val="24"/>
        </w:rPr>
      </w:pPr>
      <w:bookmarkStart w:id="0" w:name="_Toc354922980"/>
      <w:bookmarkStart w:id="1" w:name="_Toc326060505"/>
      <w:bookmarkStart w:id="2" w:name="_Toc357868214"/>
      <w:bookmarkStart w:id="3" w:name="_Toc364457259"/>
      <w:bookmarkStart w:id="4" w:name="_Toc356744034"/>
      <w:bookmarkStart w:id="5" w:name="_Toc354923119"/>
      <w:bookmarkStart w:id="6" w:name="_Toc354404029"/>
      <w:bookmarkStart w:id="7" w:name="_Toc329278149"/>
      <w:bookmarkStart w:id="8" w:name="_Toc355649942"/>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21"/>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21"/>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21"/>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21"/>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6"/>
        <w:spacing w:after="156" w:line="500" w:lineRule="exact"/>
        <w:rPr>
          <w:rFonts w:cs="宋体" w:asciiTheme="minorEastAsia" w:hAnsiTheme="minorEastAsia" w:eastAsiaTheme="minorEastAsia"/>
          <w:sz w:val="21"/>
          <w:szCs w:val="21"/>
          <w:lang w:val="en-US"/>
        </w:rPr>
      </w:pPr>
      <w:bookmarkStart w:id="9" w:name="_Toc357868215"/>
      <w:bookmarkStart w:id="10" w:name="_Toc326060506"/>
      <w:bookmarkStart w:id="11" w:name="_Toc354923120"/>
      <w:bookmarkStart w:id="12" w:name="_Toc364457260"/>
      <w:bookmarkStart w:id="13" w:name="_Toc329278150"/>
      <w:bookmarkStart w:id="14" w:name="_Toc355649943"/>
      <w:bookmarkStart w:id="15" w:name="_Toc356744035"/>
      <w:bookmarkStart w:id="16" w:name="_Toc354922981"/>
      <w:bookmarkStart w:id="17" w:name="_Toc354404030"/>
      <w:r>
        <w:rPr>
          <w:rFonts w:hint="eastAsia" w:cs="宋体" w:asciiTheme="minorEastAsia" w:hAnsiTheme="minorEastAsia" w:eastAsiaTheme="minorEastAsia"/>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60"/>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6"/>
        <w:spacing w:after="156" w:line="500" w:lineRule="exact"/>
        <w:rPr>
          <w:rFonts w:cs="宋体" w:asciiTheme="minorEastAsia" w:hAnsiTheme="minorEastAsia" w:eastAsiaTheme="minorEastAsia"/>
          <w:sz w:val="21"/>
          <w:szCs w:val="21"/>
          <w:lang w:val="en-US"/>
        </w:rPr>
      </w:pPr>
      <w:bookmarkStart w:id="18" w:name="_Toc326060507"/>
      <w:bookmarkStart w:id="19" w:name="_Toc354923121"/>
      <w:bookmarkStart w:id="20" w:name="_Toc354922982"/>
      <w:bookmarkStart w:id="21" w:name="_Toc356744036"/>
      <w:bookmarkStart w:id="22" w:name="_Toc357868216"/>
      <w:bookmarkStart w:id="23" w:name="_Toc364457261"/>
      <w:bookmarkStart w:id="24" w:name="_Toc329278151"/>
      <w:bookmarkStart w:id="25" w:name="_Toc354404031"/>
      <w:bookmarkStart w:id="26" w:name="_Toc355649944"/>
      <w:r>
        <w:rPr>
          <w:rFonts w:hint="eastAsia" w:cs="宋体" w:asciiTheme="minorEastAsia" w:hAnsiTheme="minorEastAsia" w:eastAsiaTheme="minorEastAsia"/>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6"/>
        <w:spacing w:after="156" w:line="500" w:lineRule="exact"/>
        <w:rPr>
          <w:rFonts w:cs="宋体" w:asciiTheme="minorEastAsia" w:hAnsiTheme="minorEastAsia" w:eastAsiaTheme="minorEastAsia"/>
          <w:sz w:val="21"/>
          <w:szCs w:val="21"/>
          <w:lang w:val="en-US"/>
        </w:rPr>
      </w:pPr>
      <w:bookmarkStart w:id="27" w:name="_Toc354923122"/>
      <w:bookmarkStart w:id="28" w:name="_Toc357868217"/>
      <w:bookmarkStart w:id="29" w:name="_Toc329278152"/>
      <w:bookmarkStart w:id="30" w:name="_Toc354404032"/>
      <w:bookmarkStart w:id="31" w:name="_Toc354922983"/>
      <w:bookmarkStart w:id="32" w:name="_Toc355649945"/>
      <w:bookmarkStart w:id="33" w:name="_Toc326060508"/>
      <w:bookmarkStart w:id="34" w:name="_Toc364457262"/>
      <w:bookmarkStart w:id="35" w:name="_Toc356744037"/>
      <w:r>
        <w:rPr>
          <w:rFonts w:hint="eastAsia" w:cs="宋体" w:asciiTheme="minorEastAsia" w:hAnsiTheme="minorEastAsia" w:eastAsiaTheme="minorEastAsia"/>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23"/>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6"/>
        <w:spacing w:after="156" w:line="500" w:lineRule="exact"/>
        <w:rPr>
          <w:rFonts w:cs="宋体" w:asciiTheme="minorEastAsia" w:hAnsiTheme="minorEastAsia" w:eastAsiaTheme="minorEastAsia"/>
          <w:sz w:val="21"/>
          <w:szCs w:val="21"/>
          <w:lang w:val="en-US"/>
        </w:rPr>
      </w:pPr>
      <w:bookmarkStart w:id="36" w:name="_Toc356744038"/>
      <w:bookmarkStart w:id="37" w:name="_Toc355649946"/>
      <w:bookmarkStart w:id="38" w:name="_Toc354404033"/>
      <w:bookmarkStart w:id="39" w:name="_Toc354922984"/>
      <w:bookmarkStart w:id="40" w:name="_Toc357868218"/>
      <w:bookmarkStart w:id="41" w:name="_Toc326060509"/>
      <w:bookmarkStart w:id="42" w:name="_Toc329278153"/>
      <w:bookmarkStart w:id="43" w:name="_Toc354923123"/>
      <w:bookmarkStart w:id="44" w:name="_Toc364457263"/>
      <w:r>
        <w:rPr>
          <w:rFonts w:hint="eastAsia" w:cs="宋体" w:asciiTheme="minorEastAsia" w:hAnsiTheme="minorEastAsia" w:eastAsiaTheme="minorEastAsia"/>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6"/>
        <w:spacing w:after="156" w:line="500" w:lineRule="exact"/>
        <w:rPr>
          <w:rFonts w:cs="宋体" w:asciiTheme="minorEastAsia" w:hAnsiTheme="minorEastAsia" w:eastAsiaTheme="minorEastAsia"/>
          <w:sz w:val="21"/>
          <w:szCs w:val="21"/>
          <w:lang w:val="en-US"/>
        </w:rPr>
      </w:pPr>
      <w:bookmarkStart w:id="45" w:name="_Toc354922985"/>
      <w:bookmarkStart w:id="46" w:name="_Toc354923124"/>
      <w:bookmarkStart w:id="47" w:name="_Toc364457264"/>
      <w:bookmarkStart w:id="48" w:name="_Toc355649947"/>
      <w:bookmarkStart w:id="49" w:name="_Toc356744039"/>
      <w:bookmarkStart w:id="50" w:name="_Toc354404034"/>
      <w:bookmarkStart w:id="51" w:name="_Toc329278154"/>
      <w:bookmarkStart w:id="52" w:name="_Toc326060510"/>
      <w:bookmarkStart w:id="53" w:name="_Toc357868219"/>
      <w:r>
        <w:rPr>
          <w:rFonts w:hint="eastAsia" w:cs="宋体" w:asciiTheme="minorEastAsia" w:hAnsiTheme="minorEastAsia" w:eastAsiaTheme="minorEastAsia"/>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24"/>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24"/>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24"/>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24"/>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25"/>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25"/>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5"/>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6"/>
        <w:spacing w:after="156" w:line="500" w:lineRule="exact"/>
        <w:rPr>
          <w:rFonts w:cs="宋体" w:asciiTheme="minorEastAsia" w:hAnsiTheme="minorEastAsia" w:eastAsiaTheme="minorEastAsia"/>
          <w:sz w:val="21"/>
          <w:szCs w:val="21"/>
          <w:lang w:val="en-US"/>
        </w:rPr>
      </w:pPr>
      <w:bookmarkStart w:id="54" w:name="_Toc354404035"/>
      <w:bookmarkStart w:id="55" w:name="_Toc354923125"/>
      <w:bookmarkStart w:id="56" w:name="_Toc329278155"/>
      <w:bookmarkStart w:id="57" w:name="_Toc354922986"/>
      <w:bookmarkStart w:id="58" w:name="_Toc357868220"/>
      <w:bookmarkStart w:id="59" w:name="_Toc364457265"/>
      <w:bookmarkStart w:id="60" w:name="_Toc356744040"/>
      <w:bookmarkStart w:id="61" w:name="_Toc355649948"/>
      <w:bookmarkStart w:id="62" w:name="_Toc326060511"/>
      <w:r>
        <w:rPr>
          <w:rFonts w:hint="eastAsia" w:cs="宋体" w:asciiTheme="minorEastAsia" w:hAnsiTheme="minorEastAsia" w:eastAsiaTheme="minorEastAsia"/>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6"/>
        <w:spacing w:after="156" w:line="500" w:lineRule="exact"/>
        <w:rPr>
          <w:rFonts w:cs="宋体" w:asciiTheme="minorEastAsia" w:hAnsiTheme="minorEastAsia" w:eastAsiaTheme="minorEastAsia"/>
          <w:sz w:val="21"/>
          <w:szCs w:val="21"/>
          <w:lang w:val="en-US"/>
        </w:rPr>
      </w:pPr>
      <w:bookmarkStart w:id="63" w:name="_Toc364457266"/>
      <w:bookmarkStart w:id="64" w:name="_Toc329278156"/>
      <w:bookmarkStart w:id="65" w:name="_Toc354922987"/>
      <w:bookmarkStart w:id="66" w:name="_Toc357868221"/>
      <w:bookmarkStart w:id="67" w:name="_Toc326060512"/>
      <w:bookmarkStart w:id="68" w:name="_Toc354404036"/>
      <w:bookmarkStart w:id="69" w:name="_Toc354923126"/>
      <w:bookmarkStart w:id="70" w:name="_Toc355649949"/>
      <w:bookmarkStart w:id="71" w:name="_Toc356744041"/>
      <w:r>
        <w:rPr>
          <w:rFonts w:hint="eastAsia" w:cs="宋体" w:asciiTheme="minorEastAsia" w:hAnsiTheme="minorEastAsia" w:eastAsiaTheme="minorEastAsia"/>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26"/>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26"/>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6"/>
        <w:spacing w:after="156" w:line="500" w:lineRule="exact"/>
        <w:rPr>
          <w:rFonts w:cs="宋体" w:asciiTheme="minorEastAsia" w:hAnsiTheme="minorEastAsia" w:eastAsiaTheme="minorEastAsia"/>
          <w:sz w:val="21"/>
          <w:szCs w:val="21"/>
          <w:lang w:val="en-US"/>
        </w:rPr>
      </w:pPr>
      <w:bookmarkStart w:id="72" w:name="_Toc354923127"/>
      <w:bookmarkStart w:id="73" w:name="_Toc364457267"/>
      <w:bookmarkStart w:id="74" w:name="_Toc326060513"/>
      <w:bookmarkStart w:id="75" w:name="_Toc354922988"/>
      <w:bookmarkStart w:id="76" w:name="_Toc357868222"/>
      <w:bookmarkStart w:id="77" w:name="_Toc329278157"/>
      <w:bookmarkStart w:id="78" w:name="_Toc356744042"/>
      <w:bookmarkStart w:id="79" w:name="_Toc355649950"/>
      <w:bookmarkStart w:id="80" w:name="_Toc354404037"/>
      <w:r>
        <w:rPr>
          <w:rFonts w:hint="eastAsia" w:cs="宋体" w:asciiTheme="minorEastAsia" w:hAnsiTheme="minorEastAsia" w:eastAsiaTheme="minorEastAsia"/>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
        <w:ind w:firstLine="340"/>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675"/>
        <w:gridCol w:w="1160"/>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1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0000000000000000000"/>
    <w:charset w:val="00"/>
    <w:family w:val="decorative"/>
    <w:pitch w:val="default"/>
    <w:sig w:usb0="00000000" w:usb1="00000000" w:usb2="00000000" w:usb3="00000000" w:csb0="00000001" w:csb1="00000000"/>
  </w:font>
  <w:font w:name="仿宋_GB2312">
    <w:altName w:val="仿宋"/>
    <w:panose1 w:val="02010609030101010101"/>
    <w:charset w:val="86"/>
    <w:family w:val="roman"/>
    <w:pitch w:val="default"/>
    <w:sig w:usb0="00000000" w:usb1="0000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54"/>
      <w:suff w:val="nothing"/>
      <w:lvlText w:val="%1、"/>
      <w:lvlJc w:val="left"/>
    </w:lvl>
  </w:abstractNum>
  <w:abstractNum w:abstractNumId="2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1"/>
  </w:num>
  <w:num w:numId="4">
    <w:abstractNumId w:val="1"/>
  </w:num>
  <w:num w:numId="5">
    <w:abstractNumId w:val="18"/>
  </w:num>
  <w:num w:numId="6">
    <w:abstractNumId w:val="22"/>
  </w:num>
  <w:num w:numId="7">
    <w:abstractNumId w:val="16"/>
  </w:num>
  <w:num w:numId="8">
    <w:abstractNumId w:val="11"/>
  </w:num>
  <w:num w:numId="9">
    <w:abstractNumId w:val="17"/>
  </w:num>
  <w:num w:numId="10">
    <w:abstractNumId w:val="19"/>
  </w:num>
  <w:num w:numId="11">
    <w:abstractNumId w:val="25"/>
  </w:num>
  <w:num w:numId="12">
    <w:abstractNumId w:val="15"/>
  </w:num>
  <w:num w:numId="13">
    <w:abstractNumId w:val="12"/>
  </w:num>
  <w:num w:numId="14">
    <w:abstractNumId w:val="23"/>
  </w:num>
  <w:num w:numId="15">
    <w:abstractNumId w:val="10"/>
  </w:num>
  <w:num w:numId="16">
    <w:abstractNumId w:val="20"/>
  </w:num>
  <w:num w:numId="17">
    <w:abstractNumId w:val="14"/>
  </w:num>
  <w:num w:numId="18">
    <w:abstractNumId w:val="24"/>
  </w:num>
  <w:num w:numId="19">
    <w:abstractNumId w:val="26"/>
  </w:num>
  <w:num w:numId="20">
    <w:abstractNumId w:val="0"/>
  </w:num>
  <w:num w:numId="21">
    <w:abstractNumId w:val="4"/>
  </w:num>
  <w:num w:numId="22">
    <w:abstractNumId w:val="8"/>
  </w:num>
  <w:num w:numId="23">
    <w:abstractNumId w:val="5"/>
  </w:num>
  <w:num w:numId="24">
    <w:abstractNumId w:val="7"/>
  </w:num>
  <w:num w:numId="25">
    <w:abstractNumId w:val="3"/>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3D66"/>
    <w:rsid w:val="00344EE8"/>
    <w:rsid w:val="00345108"/>
    <w:rsid w:val="00345B36"/>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6F049E2"/>
    <w:rsid w:val="07BF5E31"/>
    <w:rsid w:val="07F96DEB"/>
    <w:rsid w:val="08D81C3A"/>
    <w:rsid w:val="08ED0258"/>
    <w:rsid w:val="08EF08AA"/>
    <w:rsid w:val="09097ED2"/>
    <w:rsid w:val="09611AE5"/>
    <w:rsid w:val="09B61E03"/>
    <w:rsid w:val="09E74862"/>
    <w:rsid w:val="0A1E34A8"/>
    <w:rsid w:val="0A335D9D"/>
    <w:rsid w:val="0A4B727F"/>
    <w:rsid w:val="0A962F1E"/>
    <w:rsid w:val="0AD81D4C"/>
    <w:rsid w:val="0AED524D"/>
    <w:rsid w:val="0B042130"/>
    <w:rsid w:val="0B391354"/>
    <w:rsid w:val="0B502FD2"/>
    <w:rsid w:val="0BCA6449"/>
    <w:rsid w:val="0C8637F8"/>
    <w:rsid w:val="0CAE7D79"/>
    <w:rsid w:val="0CE7384B"/>
    <w:rsid w:val="0DAC0795"/>
    <w:rsid w:val="0E1D453B"/>
    <w:rsid w:val="0E211F8B"/>
    <w:rsid w:val="0E335042"/>
    <w:rsid w:val="0E7F2542"/>
    <w:rsid w:val="0EA30502"/>
    <w:rsid w:val="0ED93001"/>
    <w:rsid w:val="0F492F98"/>
    <w:rsid w:val="10060191"/>
    <w:rsid w:val="100B4F00"/>
    <w:rsid w:val="10270E40"/>
    <w:rsid w:val="10C20E4B"/>
    <w:rsid w:val="110E6C6E"/>
    <w:rsid w:val="115665C0"/>
    <w:rsid w:val="115D39B8"/>
    <w:rsid w:val="116B77A2"/>
    <w:rsid w:val="118C172A"/>
    <w:rsid w:val="11A50019"/>
    <w:rsid w:val="11F264E7"/>
    <w:rsid w:val="122C725F"/>
    <w:rsid w:val="123F74DC"/>
    <w:rsid w:val="128E3D8E"/>
    <w:rsid w:val="12E50F51"/>
    <w:rsid w:val="13BF63D1"/>
    <w:rsid w:val="13FD3B91"/>
    <w:rsid w:val="14214638"/>
    <w:rsid w:val="143F6CA5"/>
    <w:rsid w:val="149819C8"/>
    <w:rsid w:val="14D058A3"/>
    <w:rsid w:val="15444E7F"/>
    <w:rsid w:val="15511A5E"/>
    <w:rsid w:val="15E8716E"/>
    <w:rsid w:val="15EE44D7"/>
    <w:rsid w:val="15F146D6"/>
    <w:rsid w:val="16B051B6"/>
    <w:rsid w:val="175E24E1"/>
    <w:rsid w:val="17B078B6"/>
    <w:rsid w:val="18C216D0"/>
    <w:rsid w:val="18F61CE6"/>
    <w:rsid w:val="195E6397"/>
    <w:rsid w:val="197B011F"/>
    <w:rsid w:val="198F1D07"/>
    <w:rsid w:val="19DB09FD"/>
    <w:rsid w:val="1A50262B"/>
    <w:rsid w:val="1A6D388D"/>
    <w:rsid w:val="1A907281"/>
    <w:rsid w:val="1AE95642"/>
    <w:rsid w:val="1B1C3903"/>
    <w:rsid w:val="1B70335D"/>
    <w:rsid w:val="1B933962"/>
    <w:rsid w:val="1BC27E34"/>
    <w:rsid w:val="1C317F37"/>
    <w:rsid w:val="1C3312D7"/>
    <w:rsid w:val="1C527EEE"/>
    <w:rsid w:val="1CB36692"/>
    <w:rsid w:val="1D8C4188"/>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B32A61"/>
    <w:rsid w:val="24D83346"/>
    <w:rsid w:val="25720679"/>
    <w:rsid w:val="25DF5154"/>
    <w:rsid w:val="265B42DF"/>
    <w:rsid w:val="27553E85"/>
    <w:rsid w:val="27A229B2"/>
    <w:rsid w:val="27B5253B"/>
    <w:rsid w:val="283E3CD3"/>
    <w:rsid w:val="288C6375"/>
    <w:rsid w:val="29D14A0E"/>
    <w:rsid w:val="2A4D4EEC"/>
    <w:rsid w:val="2B3F5F01"/>
    <w:rsid w:val="2C0B7CF9"/>
    <w:rsid w:val="2C2E4C48"/>
    <w:rsid w:val="2C377758"/>
    <w:rsid w:val="2D5F028F"/>
    <w:rsid w:val="2DD707ED"/>
    <w:rsid w:val="2E5D642A"/>
    <w:rsid w:val="2EC5794C"/>
    <w:rsid w:val="2F124B1C"/>
    <w:rsid w:val="2F45482D"/>
    <w:rsid w:val="2F477084"/>
    <w:rsid w:val="2F5E419A"/>
    <w:rsid w:val="2FF24A9E"/>
    <w:rsid w:val="305F0D15"/>
    <w:rsid w:val="307D673F"/>
    <w:rsid w:val="30C848E7"/>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6A4DAC"/>
    <w:rsid w:val="35C15576"/>
    <w:rsid w:val="35C46C85"/>
    <w:rsid w:val="364B0EC2"/>
    <w:rsid w:val="36D45DBC"/>
    <w:rsid w:val="37571F09"/>
    <w:rsid w:val="38014F46"/>
    <w:rsid w:val="38E97278"/>
    <w:rsid w:val="38FC4233"/>
    <w:rsid w:val="39073CCD"/>
    <w:rsid w:val="391317D1"/>
    <w:rsid w:val="391E6950"/>
    <w:rsid w:val="3A1A525E"/>
    <w:rsid w:val="3B380893"/>
    <w:rsid w:val="3C175755"/>
    <w:rsid w:val="3C4D34DB"/>
    <w:rsid w:val="3C725167"/>
    <w:rsid w:val="3C9839FA"/>
    <w:rsid w:val="3CA6239E"/>
    <w:rsid w:val="3CB04E80"/>
    <w:rsid w:val="3CC67CD4"/>
    <w:rsid w:val="3D96637E"/>
    <w:rsid w:val="3DC372EE"/>
    <w:rsid w:val="3DEC2498"/>
    <w:rsid w:val="3E4F494F"/>
    <w:rsid w:val="3ED82F46"/>
    <w:rsid w:val="3FAD3FCA"/>
    <w:rsid w:val="40BE3049"/>
    <w:rsid w:val="416D7FD7"/>
    <w:rsid w:val="422721F4"/>
    <w:rsid w:val="42547D8B"/>
    <w:rsid w:val="42F23437"/>
    <w:rsid w:val="430B4CE4"/>
    <w:rsid w:val="43663E29"/>
    <w:rsid w:val="44052193"/>
    <w:rsid w:val="444769AF"/>
    <w:rsid w:val="44EA4606"/>
    <w:rsid w:val="458C667A"/>
    <w:rsid w:val="46366161"/>
    <w:rsid w:val="463E6D9A"/>
    <w:rsid w:val="46465AAA"/>
    <w:rsid w:val="467D2F1A"/>
    <w:rsid w:val="46CE1703"/>
    <w:rsid w:val="46E35449"/>
    <w:rsid w:val="46E8208A"/>
    <w:rsid w:val="473960E8"/>
    <w:rsid w:val="477B7C75"/>
    <w:rsid w:val="47A07BC1"/>
    <w:rsid w:val="47A4555A"/>
    <w:rsid w:val="47AF74CC"/>
    <w:rsid w:val="48080763"/>
    <w:rsid w:val="48264474"/>
    <w:rsid w:val="485128BA"/>
    <w:rsid w:val="48737219"/>
    <w:rsid w:val="48C0687E"/>
    <w:rsid w:val="48EE371C"/>
    <w:rsid w:val="49574371"/>
    <w:rsid w:val="49CF3E0F"/>
    <w:rsid w:val="49E32D62"/>
    <w:rsid w:val="4A222BB1"/>
    <w:rsid w:val="4ABE0F93"/>
    <w:rsid w:val="4CE713A1"/>
    <w:rsid w:val="4D005CCE"/>
    <w:rsid w:val="4D550000"/>
    <w:rsid w:val="4DE45808"/>
    <w:rsid w:val="4E9448CD"/>
    <w:rsid w:val="4F374C6E"/>
    <w:rsid w:val="4FF32A73"/>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5C93BF0"/>
    <w:rsid w:val="56626902"/>
    <w:rsid w:val="56700294"/>
    <w:rsid w:val="57D2139A"/>
    <w:rsid w:val="57DF4B76"/>
    <w:rsid w:val="585C571D"/>
    <w:rsid w:val="586B1477"/>
    <w:rsid w:val="589C02B5"/>
    <w:rsid w:val="58A31F4C"/>
    <w:rsid w:val="59484EC2"/>
    <w:rsid w:val="59A3652F"/>
    <w:rsid w:val="5A85418B"/>
    <w:rsid w:val="5AA342BB"/>
    <w:rsid w:val="5BAE2A99"/>
    <w:rsid w:val="5BC20F3E"/>
    <w:rsid w:val="5C1717D9"/>
    <w:rsid w:val="5C1A7007"/>
    <w:rsid w:val="5C1E368A"/>
    <w:rsid w:val="5C20031E"/>
    <w:rsid w:val="5CB139A0"/>
    <w:rsid w:val="5CD938B8"/>
    <w:rsid w:val="5D280ACB"/>
    <w:rsid w:val="5D823D4C"/>
    <w:rsid w:val="5DA504AA"/>
    <w:rsid w:val="5DD54801"/>
    <w:rsid w:val="5E8E5AC1"/>
    <w:rsid w:val="5E921C4D"/>
    <w:rsid w:val="5EE83EB0"/>
    <w:rsid w:val="5EFB17CA"/>
    <w:rsid w:val="5F4A434F"/>
    <w:rsid w:val="6001186C"/>
    <w:rsid w:val="606E3CED"/>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2A75DE"/>
    <w:rsid w:val="66980FBD"/>
    <w:rsid w:val="67341FB4"/>
    <w:rsid w:val="67F03A67"/>
    <w:rsid w:val="68D23C1D"/>
    <w:rsid w:val="69294622"/>
    <w:rsid w:val="69995CD6"/>
    <w:rsid w:val="69CA0494"/>
    <w:rsid w:val="69FB4D8B"/>
    <w:rsid w:val="6C2234CC"/>
    <w:rsid w:val="6D32159C"/>
    <w:rsid w:val="6D351CF7"/>
    <w:rsid w:val="6E412611"/>
    <w:rsid w:val="6E9976D7"/>
    <w:rsid w:val="6EB746A7"/>
    <w:rsid w:val="6EF32B6E"/>
    <w:rsid w:val="6F13150B"/>
    <w:rsid w:val="6F34277B"/>
    <w:rsid w:val="6F6B3219"/>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7727982"/>
    <w:rsid w:val="77A80A16"/>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4"/>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3"/>
    <w:qFormat/>
    <w:uiPriority w:val="0"/>
    <w:rPr>
      <w:rFonts w:ascii="Times New Roman" w:hAnsi="Times New Roman" w:eastAsia="宋体" w:cs="Times New Roman"/>
      <w:color w:val="FF0000"/>
      <w:sz w:val="24"/>
      <w:szCs w:val="24"/>
    </w:r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4"/>
    <w:qFormat/>
    <w:uiPriority w:val="0"/>
    <w:rPr>
      <w:rFonts w:ascii="Calibri" w:hAnsi="Calibri" w:eastAsia="宋体" w:cs="Times New Roman"/>
      <w:b/>
      <w:bCs/>
      <w:kern w:val="44"/>
      <w:sz w:val="44"/>
      <w:szCs w:val="44"/>
    </w:rPr>
  </w:style>
  <w:style w:type="character" w:customStyle="1" w:styleId="30">
    <w:name w:val="标题 2 Char"/>
    <w:basedOn w:val="24"/>
    <w:link w:val="5"/>
    <w:qFormat/>
    <w:uiPriority w:val="0"/>
    <w:rPr>
      <w:rFonts w:ascii="Arial" w:hAnsi="Arial" w:eastAsia="黑体" w:cs="Times New Roman"/>
      <w:b/>
      <w:bCs/>
      <w:sz w:val="32"/>
      <w:szCs w:val="32"/>
    </w:rPr>
  </w:style>
  <w:style w:type="character" w:customStyle="1" w:styleId="31">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7"/>
    <w:qFormat/>
    <w:uiPriority w:val="0"/>
    <w:rPr>
      <w:rFonts w:ascii="Arial" w:hAnsi="Arial" w:eastAsia="黑体" w:cs="Times New Roman"/>
      <w:b/>
      <w:bCs/>
      <w:sz w:val="28"/>
      <w:szCs w:val="28"/>
    </w:rPr>
  </w:style>
  <w:style w:type="character" w:customStyle="1" w:styleId="33">
    <w:name w:val="正文文本 3 Char"/>
    <w:basedOn w:val="24"/>
    <w:link w:val="10"/>
    <w:qFormat/>
    <w:uiPriority w:val="0"/>
    <w:rPr>
      <w:rFonts w:ascii="Times New Roman" w:hAnsi="Times New Roman" w:eastAsia="宋体" w:cs="Times New Roman"/>
      <w:color w:val="FF0000"/>
      <w:sz w:val="24"/>
      <w:szCs w:val="24"/>
    </w:rPr>
  </w:style>
  <w:style w:type="character" w:customStyle="1" w:styleId="34">
    <w:name w:val="正文文本 Char"/>
    <w:basedOn w:val="24"/>
    <w:link w:val="3"/>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纯文本1"/>
    <w:basedOn w:val="1"/>
    <w:qFormat/>
    <w:uiPriority w:val="0"/>
    <w:rPr>
      <w:rFonts w:ascii="宋体" w:hAnsi="Courier New"/>
      <w:kern w:val="0"/>
      <w:sz w:val="20"/>
      <w:szCs w:val="21"/>
    </w:rPr>
  </w:style>
  <w:style w:type="paragraph" w:customStyle="1" w:styleId="62">
    <w:name w:val="p0"/>
    <w:basedOn w:val="1"/>
    <w:qFormat/>
    <w:uiPriority w:val="0"/>
    <w:pPr>
      <w:widowControl/>
    </w:pPr>
    <w:rPr>
      <w:kern w:val="0"/>
    </w:rPr>
  </w:style>
  <w:style w:type="character" w:customStyle="1" w:styleId="63">
    <w:name w:val="font61"/>
    <w:basedOn w:val="24"/>
    <w:qFormat/>
    <w:uiPriority w:val="0"/>
    <w:rPr>
      <w:rFonts w:hint="eastAsia" w:ascii="宋体" w:hAnsi="宋体" w:eastAsia="宋体" w:cs="宋体"/>
      <w:color w:val="000000"/>
      <w:sz w:val="22"/>
      <w:szCs w:val="22"/>
      <w:u w:val="none"/>
    </w:rPr>
  </w:style>
  <w:style w:type="character" w:customStyle="1" w:styleId="64">
    <w:name w:val="font31"/>
    <w:basedOn w:val="24"/>
    <w:qFormat/>
    <w:uiPriority w:val="0"/>
    <w:rPr>
      <w:rFonts w:hint="eastAsia" w:ascii="仿宋_GB2312" w:eastAsia="仿宋_GB2312" w:cs="仿宋_GB2312"/>
      <w:color w:val="000000"/>
      <w:sz w:val="22"/>
      <w:szCs w:val="22"/>
      <w:u w:val="none"/>
    </w:rPr>
  </w:style>
  <w:style w:type="character" w:customStyle="1" w:styleId="65">
    <w:name w:val="font21"/>
    <w:basedOn w:val="24"/>
    <w:qFormat/>
    <w:uiPriority w:val="0"/>
    <w:rPr>
      <w:rFonts w:hint="eastAsia" w:ascii="宋体" w:hAnsi="宋体" w:eastAsia="宋体" w:cs="宋体"/>
      <w:color w:val="000000"/>
      <w:sz w:val="20"/>
      <w:szCs w:val="20"/>
      <w:u w:val="none"/>
    </w:rPr>
  </w:style>
  <w:style w:type="character" w:customStyle="1" w:styleId="66">
    <w:name w:val="font41"/>
    <w:basedOn w:val="2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314A6-C450-4BEC-8F64-A576BA8C331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5394</Words>
  <Characters>30747</Characters>
  <Lines>256</Lines>
  <Paragraphs>72</Paragraphs>
  <TotalTime>11</TotalTime>
  <ScaleCrop>false</ScaleCrop>
  <LinksUpToDate>false</LinksUpToDate>
  <CharactersWithSpaces>36069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2020-03-12T02:48:04Z</dcterms:modified>
  <cp:revision>621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