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djustRightInd w:val="0"/>
        <w:snapToGrid w:val="0"/>
        <w:spacing w:line="360" w:lineRule="auto"/>
        <w:rPr>
          <w:rFonts w:hint="eastAsia" w:ascii="宋体" w:hAnsi="宋体" w:cs="宋体"/>
          <w:b/>
          <w:bCs/>
          <w:sz w:val="30"/>
          <w:szCs w:val="30"/>
        </w:rPr>
      </w:pPr>
    </w:p>
    <w:p>
      <w:pPr>
        <w:adjustRightInd w:val="0"/>
        <w:snapToGrid w:val="0"/>
        <w:spacing w:line="360" w:lineRule="auto"/>
        <w:ind w:firstLine="904" w:firstLineChars="300"/>
        <w:rPr>
          <w:rFonts w:hint="eastAsia" w:ascii="宋体" w:hAnsi="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val="en-US" w:eastAsia="zh-CN"/>
        </w:rPr>
        <w:t>长葛市实验幼儿园购置空调、</w:t>
      </w:r>
    </w:p>
    <w:p>
      <w:pPr>
        <w:adjustRightInd w:val="0"/>
        <w:snapToGrid w:val="0"/>
        <w:spacing w:line="360" w:lineRule="auto"/>
        <w:ind w:firstLine="2711" w:firstLineChars="900"/>
        <w:rPr>
          <w:rFonts w:hint="eastAsia" w:ascii="宋体" w:hAnsi="宋体" w:cs="宋体" w:eastAsiaTheme="minorEastAsia"/>
          <w:b/>
          <w:bCs/>
          <w:sz w:val="30"/>
          <w:szCs w:val="30"/>
          <w:lang w:val="en-US" w:eastAsia="zh-CN"/>
        </w:rPr>
      </w:pPr>
      <w:r>
        <w:rPr>
          <w:rFonts w:hint="eastAsia" w:ascii="宋体" w:hAnsi="宋体" w:cs="宋体"/>
          <w:b/>
          <w:bCs/>
          <w:sz w:val="30"/>
          <w:szCs w:val="30"/>
          <w:lang w:val="en-US" w:eastAsia="zh-CN"/>
        </w:rPr>
        <w:t>电视、电脑等办公设备</w:t>
      </w:r>
    </w:p>
    <w:p>
      <w:pPr>
        <w:adjustRightInd w:val="0"/>
        <w:snapToGrid w:val="0"/>
        <w:spacing w:line="360" w:lineRule="auto"/>
        <w:ind w:firstLine="904" w:firstLineChars="300"/>
        <w:rPr>
          <w:rFonts w:hint="eastAsia" w:ascii="宋体" w:hAnsi="宋体" w:cs="宋体"/>
          <w:b/>
          <w:bCs/>
          <w:sz w:val="30"/>
          <w:szCs w:val="30"/>
        </w:rPr>
      </w:pPr>
      <w:r>
        <w:rPr>
          <w:rFonts w:hint="eastAsia" w:ascii="宋体" w:hAnsi="宋体" w:cs="宋体"/>
          <w:b/>
          <w:bCs/>
          <w:sz w:val="30"/>
          <w:szCs w:val="30"/>
        </w:rPr>
        <w:t>项目编号：</w:t>
      </w:r>
      <w:bookmarkStart w:id="0" w:name="OLE_LINK1"/>
      <w:r>
        <w:rPr>
          <w:rFonts w:hint="eastAsia" w:ascii="宋体" w:hAnsi="宋体" w:cs="宋体"/>
          <w:b/>
          <w:bCs/>
          <w:sz w:val="30"/>
          <w:szCs w:val="30"/>
        </w:rPr>
        <w:t>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164</w:t>
      </w:r>
      <w:r>
        <w:rPr>
          <w:rFonts w:hint="eastAsia" w:ascii="宋体" w:hAnsi="宋体" w:cs="宋体"/>
          <w:b/>
          <w:bCs/>
          <w:sz w:val="30"/>
          <w:szCs w:val="30"/>
        </w:rPr>
        <w:t>号</w:t>
      </w:r>
      <w:bookmarkEnd w:id="0"/>
    </w:p>
    <w:p>
      <w:pPr>
        <w:adjustRightInd w:val="0"/>
        <w:snapToGrid w:val="0"/>
        <w:spacing w:line="360" w:lineRule="auto"/>
        <w:ind w:firstLine="904" w:firstLineChars="300"/>
        <w:rPr>
          <w:rFonts w:hint="eastAsia" w:ascii="宋体" w:hAnsi="宋体" w:cs="宋体"/>
          <w:b/>
          <w:bCs/>
          <w:sz w:val="30"/>
          <w:szCs w:val="30"/>
          <w:lang w:val="en-US" w:eastAsia="zh-CN"/>
        </w:rPr>
      </w:pPr>
      <w:r>
        <w:rPr>
          <w:rFonts w:hint="eastAsia" w:ascii="宋体" w:hAnsi="宋体" w:cs="宋体"/>
          <w:b/>
          <w:bCs/>
          <w:sz w:val="30"/>
          <w:szCs w:val="30"/>
        </w:rPr>
        <w:t>采 购 人：</w:t>
      </w:r>
      <w:r>
        <w:rPr>
          <w:rFonts w:hint="eastAsia" w:ascii="宋体" w:hAnsi="宋体" w:cs="宋体"/>
          <w:b/>
          <w:bCs/>
          <w:sz w:val="30"/>
          <w:szCs w:val="30"/>
          <w:lang w:val="en-US" w:eastAsia="zh-CN"/>
        </w:rPr>
        <w:t>长葛市实验幼儿园</w:t>
      </w:r>
    </w:p>
    <w:p>
      <w:pPr>
        <w:adjustRightInd w:val="0"/>
        <w:snapToGrid w:val="0"/>
        <w:spacing w:line="360" w:lineRule="auto"/>
        <w:ind w:firstLine="904" w:firstLineChars="300"/>
        <w:rPr>
          <w:rFonts w:hint="eastAsia"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二○二○年</w:t>
      </w:r>
      <w:r>
        <w:rPr>
          <w:rFonts w:hint="eastAsia" w:ascii="新宋体" w:hAnsi="新宋体" w:eastAsia="新宋体" w:cs="新宋体"/>
          <w:b/>
          <w:bCs/>
          <w:sz w:val="32"/>
          <w:szCs w:val="32"/>
          <w:lang w:eastAsia="zh-CN"/>
        </w:rPr>
        <w:t>三月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2"/>
        <w:widowControl/>
        <w:shd w:val="clear" w:color="auto" w:fill="FFFFFF"/>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受“长葛市实验幼儿园”的委托，长葛市公共资源交易中心就“长葛市实验幼儿园购置空调、电视、电脑等办公设备”进行竞争性谈判采购，欢迎合格的投标人前来投标。</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（一）项目名称：长葛市实验幼儿园购置空调、电视、电脑等办公设备</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（二）项目编号：长招采竞字【2019】164号</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（三）项目需求：长葛市实验幼儿园拟采购空调、电视、电脑等办公设备：</w:t>
      </w:r>
    </w:p>
    <w:p>
      <w:pPr>
        <w:pStyle w:val="22"/>
        <w:widowControl/>
        <w:shd w:val="clear" w:color="auto" w:fill="FFFFFF"/>
        <w:spacing w:line="360" w:lineRule="auto"/>
        <w:ind w:firstLine="2100" w:firstLineChars="10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详细内容见谈判文件。</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w:t>
      </w:r>
      <w:r>
        <w:rPr>
          <w:rFonts w:hint="eastAsia" w:hAnsi="宋体" w:asciiTheme="minorHAnsi" w:eastAsiaTheme="minorEastAsia" w:cstheme="minorBidi"/>
          <w:b/>
          <w:bCs/>
          <w:color w:val="000000"/>
          <w:kern w:val="2"/>
          <w:sz w:val="21"/>
          <w:szCs w:val="21"/>
          <w:lang w:val="en-US" w:eastAsia="zh-CN" w:bidi="ar-SA"/>
        </w:rPr>
        <w:t>（¥313500.00元）（预算上限，超过此预算价为无效报价）。</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（二）未被列入“信用中国”网站(www.creditchina.gov.cn)失信被执行人、重大税收违法案件当事人名单的供应商；“中国政府采购网” (www.ccgp.gov.cn)政府采购严重违法失信行为记录名单的供应商。</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（三）本次采购不接受联合体响应。</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2"/>
        <w:widowControl/>
        <w:shd w:val="clear" w:color="auto" w:fill="FFFFFF"/>
        <w:spacing w:line="360" w:lineRule="auto"/>
        <w:ind w:firstLine="420"/>
        <w:contextualSpacing/>
        <w:jc w:val="left"/>
        <w:rPr>
          <w:rFonts w:hint="eastAsia" w:hAnsi="宋体" w:asciiTheme="minorHAnsi" w:eastAsiaTheme="minorEastAsia" w:cstheme="minorBidi"/>
          <w:b w:val="0"/>
          <w:bCs w:val="0"/>
          <w:color w:val="000000"/>
          <w:kern w:val="2"/>
          <w:sz w:val="21"/>
          <w:szCs w:val="21"/>
          <w:lang w:val="en-US" w:eastAsia="zh-CN" w:bidi="ar-SA"/>
        </w:rPr>
      </w:pPr>
      <w:r>
        <w:rPr>
          <w:rFonts w:hint="eastAsia" w:hAnsi="宋体" w:asciiTheme="minorHAnsi" w:eastAsiaTheme="minorEastAsia" w:cstheme="minorBidi"/>
          <w:b w:val="0"/>
          <w:bCs w:val="0"/>
          <w:color w:val="000000"/>
          <w:kern w:val="2"/>
          <w:sz w:val="21"/>
          <w:szCs w:val="21"/>
          <w:lang w:val="en-US" w:eastAsia="zh-CN" w:bidi="ar-SA"/>
        </w:rPr>
        <w:t>（一）响应文件提交截止时间及谈判响应截止时间、谈判时间：2020年 3月 19日 9 时30分（北京时间），逾期送达或不符合规定的响应文件恕不接受。</w:t>
      </w:r>
    </w:p>
    <w:p>
      <w:pPr>
        <w:pStyle w:val="22"/>
        <w:widowControl/>
        <w:shd w:val="clear" w:color="auto" w:fill="FFFFFF"/>
        <w:spacing w:line="360" w:lineRule="auto"/>
        <w:ind w:firstLine="420"/>
        <w:contextualSpacing/>
        <w:jc w:val="left"/>
        <w:rPr>
          <w:rFonts w:hint="eastAsia" w:hAnsi="宋体" w:asciiTheme="minorHAnsi" w:eastAsiaTheme="minorEastAsia" w:cstheme="minorBidi"/>
          <w:b w:val="0"/>
          <w:bCs w:val="0"/>
          <w:color w:val="000000"/>
          <w:kern w:val="2"/>
          <w:sz w:val="21"/>
          <w:szCs w:val="21"/>
          <w:lang w:val="en-US" w:eastAsia="zh-CN" w:bidi="ar-SA"/>
        </w:rPr>
      </w:pPr>
      <w:r>
        <w:rPr>
          <w:rFonts w:hint="eastAsia" w:hAnsi="宋体" w:asciiTheme="minorHAnsi" w:eastAsiaTheme="minorEastAsia" w:cstheme="minorBidi"/>
          <w:b w:val="0"/>
          <w:bCs w:val="0"/>
          <w:color w:val="000000"/>
          <w:kern w:val="2"/>
          <w:sz w:val="21"/>
          <w:szCs w:val="21"/>
          <w:lang w:val="en-US" w:eastAsia="zh-CN" w:bidi="ar-SA"/>
        </w:rPr>
        <w:t>（二）响应文件开启时间：同响应文件提交截止时间。</w:t>
      </w:r>
    </w:p>
    <w:p>
      <w:pPr>
        <w:pStyle w:val="22"/>
        <w:widowControl/>
        <w:shd w:val="clear" w:color="auto" w:fill="FFFFFF"/>
        <w:spacing w:line="360" w:lineRule="auto"/>
        <w:ind w:firstLine="420"/>
        <w:contextualSpacing/>
        <w:jc w:val="left"/>
        <w:rPr>
          <w:rFonts w:hint="eastAsia" w:hAnsi="宋体" w:asciiTheme="minorHAnsi" w:eastAsiaTheme="minorEastAsia" w:cstheme="minorBidi"/>
          <w:b w:val="0"/>
          <w:bCs w:val="0"/>
          <w:color w:val="000000"/>
          <w:kern w:val="2"/>
          <w:sz w:val="21"/>
          <w:szCs w:val="21"/>
          <w:lang w:val="en-US" w:eastAsia="zh-CN" w:bidi="ar-SA"/>
        </w:rPr>
      </w:pPr>
      <w:r>
        <w:rPr>
          <w:rFonts w:hint="eastAsia" w:hAnsi="宋体" w:asciiTheme="minorHAnsi" w:eastAsiaTheme="minorEastAsia" w:cstheme="minorBidi"/>
          <w:b w:val="0"/>
          <w:bCs w:val="0"/>
          <w:color w:val="000000"/>
          <w:kern w:val="2"/>
          <w:sz w:val="21"/>
          <w:szCs w:val="21"/>
          <w:lang w:val="en-US" w:eastAsia="zh-CN" w:bidi="ar-SA"/>
        </w:rPr>
        <w:t>六、谈判响应文件递交及开启地点、谈判地点：</w:t>
      </w:r>
    </w:p>
    <w:p>
      <w:pPr>
        <w:pStyle w:val="22"/>
        <w:widowControl/>
        <w:shd w:val="clear" w:color="auto" w:fill="FFFFFF"/>
        <w:spacing w:line="360" w:lineRule="auto"/>
        <w:ind w:firstLine="420"/>
        <w:contextualSpacing/>
        <w:jc w:val="left"/>
        <w:rPr>
          <w:rFonts w:hint="eastAsia" w:hAnsi="宋体" w:asciiTheme="minorHAnsi" w:eastAsiaTheme="minorEastAsia" w:cstheme="minorBidi"/>
          <w:b w:val="0"/>
          <w:bCs w:val="0"/>
          <w:color w:val="000000"/>
          <w:kern w:val="2"/>
          <w:sz w:val="21"/>
          <w:szCs w:val="21"/>
          <w:lang w:val="en-US" w:eastAsia="zh-CN" w:bidi="ar-SA"/>
        </w:rPr>
      </w:pPr>
      <w:r>
        <w:rPr>
          <w:rFonts w:hint="eastAsia" w:hAnsi="宋体" w:asciiTheme="minorHAnsi" w:eastAsiaTheme="minorEastAsia" w:cstheme="minorBidi"/>
          <w:b w:val="0"/>
          <w:bCs w:val="0"/>
          <w:color w:val="000000"/>
          <w:kern w:val="2"/>
          <w:sz w:val="21"/>
          <w:szCs w:val="21"/>
          <w:lang w:val="en-US" w:eastAsia="zh-CN" w:bidi="ar-SA"/>
        </w:rPr>
        <w:t>（一）谈判响应文件递交地点：长葛市公共资源交易中心开标 506室（长葛市葛天大道东段商务区6号楼 5楼）</w:t>
      </w:r>
    </w:p>
    <w:p>
      <w:pPr>
        <w:pStyle w:val="22"/>
        <w:widowControl/>
        <w:shd w:val="clear" w:color="auto" w:fill="FFFFFF"/>
        <w:spacing w:line="360" w:lineRule="auto"/>
        <w:ind w:firstLine="630" w:firstLineChars="3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 本项目为全流程电子化交易项目，供应商须提交电子响应文件和纸质响应文件。</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仿宋_GB2312" w:asciiTheme="minorEastAsia" w:hAnsiTheme="minorEastAsia"/>
          <w:color w:val="000000"/>
          <w:sz w:val="21"/>
          <w:szCs w:val="21"/>
          <w:shd w:val="clear" w:color="auto" w:fill="FFFFFF"/>
          <w:lang w:eastAsia="zh-CN"/>
        </w:rPr>
      </w:pPr>
      <w:r>
        <w:rPr>
          <w:rFonts w:hint="eastAsia" w:hAnsi="宋体" w:asciiTheme="minorHAnsi" w:eastAsiaTheme="minorEastAsia" w:cstheme="minorBidi"/>
          <w:color w:val="000000"/>
          <w:kern w:val="2"/>
          <w:sz w:val="21"/>
          <w:szCs w:val="21"/>
          <w:lang w:val="en-US" w:eastAsia="zh-CN" w:bidi="ar-SA"/>
        </w:rPr>
        <w:t>采购人：</w:t>
      </w:r>
      <w:r>
        <w:rPr>
          <w:rFonts w:hint="eastAsia" w:cs="仿宋_GB2312" w:asciiTheme="minorEastAsia" w:hAnsiTheme="minorEastAsia" w:eastAsiaTheme="minorEastAsia"/>
          <w:color w:val="000000"/>
          <w:sz w:val="21"/>
          <w:szCs w:val="21"/>
          <w:shd w:val="clear" w:color="auto" w:fill="FFFFFF"/>
          <w:lang w:eastAsia="zh-CN"/>
        </w:rPr>
        <w:t>长葛市实验幼儿园</w:t>
      </w:r>
    </w:p>
    <w:p>
      <w:pPr>
        <w:adjustRightInd w:val="0"/>
        <w:spacing w:line="360" w:lineRule="auto"/>
        <w:ind w:firstLine="840" w:firstLineChars="400"/>
        <w:contextualSpacing/>
        <w:jc w:val="left"/>
        <w:rPr>
          <w:rFonts w:hint="eastAsia" w:cs="Arial" w:asciiTheme="minorEastAsia" w:hAnsiTheme="minorEastAsia"/>
          <w:color w:val="000000"/>
          <w:szCs w:val="21"/>
          <w:lang w:val="en-US" w:eastAsia="zh-CN"/>
        </w:rPr>
      </w:pPr>
      <w:r>
        <w:rPr>
          <w:rFonts w:hint="eastAsia" w:hAnsi="宋体" w:asciiTheme="minorHAnsi" w:eastAsiaTheme="minorEastAsia" w:cstheme="minorBidi"/>
          <w:color w:val="000000"/>
          <w:kern w:val="2"/>
          <w:sz w:val="21"/>
          <w:szCs w:val="21"/>
          <w:lang w:val="en-US" w:eastAsia="zh-CN" w:bidi="ar-SA"/>
        </w:rPr>
        <w:t>联系人：</w:t>
      </w:r>
      <w:r>
        <w:rPr>
          <w:rFonts w:hint="eastAsia" w:hAnsi="宋体" w:cstheme="minorBidi"/>
          <w:color w:val="000000"/>
          <w:kern w:val="2"/>
          <w:sz w:val="21"/>
          <w:szCs w:val="21"/>
          <w:lang w:val="en-US" w:eastAsia="zh-CN" w:bidi="ar-SA"/>
        </w:rPr>
        <w:t>宋</w:t>
      </w:r>
      <w:r>
        <w:rPr>
          <w:rFonts w:hint="eastAsia" w:cs="Arial" w:asciiTheme="minorEastAsia" w:hAnsiTheme="minorEastAsia"/>
          <w:color w:val="000000"/>
          <w:szCs w:val="21"/>
          <w:lang w:eastAsia="zh-CN"/>
        </w:rPr>
        <w:t>先生</w:t>
      </w:r>
      <w:r>
        <w:rPr>
          <w:rFonts w:hint="eastAsia" w:hAnsi="宋体" w:asciiTheme="minorHAnsi" w:eastAsiaTheme="minorEastAsia" w:cstheme="minorBidi"/>
          <w:color w:val="000000"/>
          <w:kern w:val="2"/>
          <w:sz w:val="21"/>
          <w:szCs w:val="21"/>
          <w:lang w:val="en-US" w:eastAsia="zh-CN" w:bidi="ar-SA"/>
        </w:rPr>
        <w:t xml:space="preserve">          联系电话：</w:t>
      </w:r>
      <w:r>
        <w:rPr>
          <w:rFonts w:hint="eastAsia" w:cs="Arial" w:asciiTheme="minorEastAsia" w:hAnsiTheme="minorEastAsia"/>
          <w:color w:val="000000"/>
          <w:szCs w:val="21"/>
          <w:lang w:val="en-US" w:eastAsia="zh-CN"/>
        </w:rPr>
        <w:t>15603861619</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w:t>
      </w:r>
      <w:r>
        <w:rPr>
          <w:rFonts w:hint="eastAsia" w:hAnsi="宋体" w:cstheme="minorBidi"/>
          <w:color w:val="000000"/>
          <w:kern w:val="2"/>
          <w:sz w:val="21"/>
          <w:szCs w:val="21"/>
          <w:lang w:val="en-US" w:eastAsia="zh-CN" w:bidi="ar-SA"/>
        </w:rPr>
        <w:t>二</w:t>
      </w:r>
      <w:r>
        <w:rPr>
          <w:rFonts w:hint="eastAsia" w:hAnsi="宋体" w:asciiTheme="minorHAnsi" w:eastAsiaTheme="minorEastAsia" w:cstheme="minorBidi"/>
          <w:color w:val="000000"/>
          <w:kern w:val="2"/>
          <w:sz w:val="21"/>
          <w:szCs w:val="21"/>
          <w:lang w:val="en-US" w:eastAsia="zh-CN" w:bidi="ar-SA"/>
        </w:rPr>
        <w:t>部    联系电话：0374-618</w:t>
      </w:r>
      <w:r>
        <w:rPr>
          <w:rFonts w:hint="eastAsia" w:hAnsi="宋体" w:cstheme="minorBidi"/>
          <w:color w:val="000000"/>
          <w:kern w:val="2"/>
          <w:sz w:val="21"/>
          <w:szCs w:val="21"/>
          <w:lang w:val="en-US" w:eastAsia="zh-CN" w:bidi="ar-SA"/>
        </w:rPr>
        <w:t>667</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ind w:firstLine="3213" w:firstLineChars="10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长葛市实验幼儿园拟采购空调、电视、电脑等办公设备：详细内容见谈判文件。</w:t>
      </w:r>
    </w:p>
    <w:p>
      <w:pPr>
        <w:pStyle w:val="2"/>
        <w:numPr>
          <w:ilvl w:val="0"/>
          <w:numId w:val="4"/>
        </w:numPr>
        <w:jc w:val="both"/>
        <w:rPr>
          <w:rFonts w:hint="eastAsia" w:cs="黑体" w:asciiTheme="minorEastAsia" w:hAnsi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eastAsia="zh-CN"/>
        </w:rPr>
        <w:t>采购参数：</w:t>
      </w:r>
      <w:r>
        <w:rPr>
          <w:rFonts w:hint="eastAsia" w:cs="黑体" w:asciiTheme="minorEastAsia" w:hAnsiTheme="minorEastAsia"/>
          <w:b/>
          <w:bCs/>
          <w:color w:val="000000"/>
          <w:sz w:val="24"/>
          <w:szCs w:val="24"/>
          <w:shd w:val="clear" w:color="auto" w:fill="FFFFFF"/>
          <w:lang w:val="en-US" w:eastAsia="zh-CN"/>
        </w:rPr>
        <w:t xml:space="preserve">  </w:t>
      </w:r>
    </w:p>
    <w:p>
      <w:pPr>
        <w:pStyle w:val="2"/>
        <w:numPr>
          <w:ilvl w:val="0"/>
          <w:numId w:val="0"/>
        </w:numPr>
        <w:ind w:firstLine="2720" w:firstLineChars="800"/>
        <w:jc w:val="both"/>
        <w:rPr>
          <w:rFonts w:hint="eastAsia"/>
          <w:vertAlign w:val="baseline"/>
          <w:lang w:eastAsia="zh-CN"/>
        </w:rPr>
      </w:pPr>
      <w:r>
        <w:rPr>
          <w:rFonts w:hint="eastAsia"/>
          <w:vertAlign w:val="baseline"/>
          <w:lang w:eastAsia="zh-CN"/>
        </w:rPr>
        <w:t>长葛市实验幼儿园</w:t>
      </w:r>
    </w:p>
    <w:p>
      <w:pPr>
        <w:pStyle w:val="2"/>
        <w:ind w:firstLine="1020" w:firstLineChars="300"/>
        <w:jc w:val="both"/>
        <w:rPr>
          <w:rFonts w:hint="eastAsia" w:eastAsia="宋体"/>
          <w:lang w:eastAsia="zh-CN"/>
        </w:rPr>
      </w:pPr>
      <w:r>
        <w:rPr>
          <w:rFonts w:hint="eastAsia"/>
          <w:vertAlign w:val="baseline"/>
          <w:lang w:eastAsia="zh-CN"/>
        </w:rPr>
        <w:t>空调、电视、电脑等办公设备购置参数</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095"/>
        <w:gridCol w:w="660"/>
        <w:gridCol w:w="720"/>
        <w:gridCol w:w="4005"/>
        <w:gridCol w:w="720"/>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095"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66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4005"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w:t>
            </w:r>
          </w:p>
        </w:tc>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95"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3P空调</w:t>
            </w:r>
          </w:p>
        </w:tc>
        <w:tc>
          <w:tcPr>
            <w:tcW w:w="66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4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冷暖变频3匹柜机； 循环风量:1200m3/h；  </w:t>
            </w:r>
          </w:p>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制冷量：1500-8000瓦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制冷功率：500-3300瓦 ；                </w:t>
            </w:r>
          </w:p>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制热量：800-5100瓦；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制热功率：150-9000瓦；                </w:t>
            </w:r>
          </w:p>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辅助电加热：1800瓦</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p>
        </w:tc>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95"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1.5P空调</w:t>
            </w:r>
          </w:p>
        </w:tc>
        <w:tc>
          <w:tcPr>
            <w:tcW w:w="66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4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冷暖变频1.5匹挂机；循环风量:630m3/h  </w:t>
            </w:r>
          </w:p>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制冷量：450-3600瓦：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制冷功率：160-1300瓦               </w:t>
            </w:r>
          </w:p>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制热量：650-4690瓦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制热功率：200-1700瓦              </w:t>
            </w:r>
          </w:p>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 xml:space="preserve"> 辅助电加热：1000瓦  </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p>
        </w:tc>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95"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电子白板</w:t>
            </w:r>
          </w:p>
        </w:tc>
        <w:tc>
          <w:tcPr>
            <w:tcW w:w="66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4005" w:type="dxa"/>
            <w:vAlign w:val="center"/>
          </w:tcPr>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一、整机硬件及功能要求：</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外观及功能：</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全金属外观，一体化设计，外部无任何可见内部功能模块连接线，且连接处采用无锐角设计，保护老师及学生使用安全。</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整机经过产品可靠性检验，MTBF大于100000小时。</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开机LOGO自定义:支持开机LOGO设置，可自定义开机LOGO功能，并可关闭LOGO显示；屏幕透光率不低于90%；</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整机处于任意通道下，在屏幕表面任意位置都可通过手势快速调出触摸便捷菜单，可将该功能完全隐藏或持续悬浮于桌面。实现十笔即时批注、手势擦除、截图、快捷白板、聚光灯等功能，方便配合视频展台等外接设备进行辅助教学</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支持体感操作，可通过肢体语言的识别实现软件控制操作；按一个按钮可以关闭背光进入节能状态，节能状态可节能≥80%能耗</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整机具备3路前置双通道USB3.0接口,同一个USB接口可支持同时在Windows及Android系统下被读取，无需区分。适合与推拉式黑板搭配使用，方便拓展其他多媒体应用或给外部设备供电、充电</w:t>
            </w:r>
          </w:p>
          <w:p>
            <w:pPr>
              <w:keepNext w:val="0"/>
              <w:keepLines w:val="0"/>
              <w:pageBreakBefore w:val="0"/>
              <w:widowControl/>
              <w:kinsoku/>
              <w:wordWrap/>
              <w:overflowPunct/>
              <w:topLinePunct w:val="0"/>
              <w:autoSpaceDE/>
              <w:autoSpaceDN/>
              <w:bidi w:val="0"/>
              <w:adjustRightInd w:val="0"/>
              <w:snapToGrid w:val="0"/>
              <w:spacing w:line="264" w:lineRule="auto"/>
              <w:ind w:firstLine="480" w:firstLineChars="200"/>
              <w:jc w:val="left"/>
              <w:textAlignment w:val="top"/>
              <w:outlineLvl w:val="9"/>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外模块部分被遮挡，不影响其他非遮挡区域的书写，不影响整个系统的正常工作，触控屏扭曲变形达到10度时，仍然可以实现多点触控；设备在100KLux强光照射下能正常触控</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为保证设备使用安全，使用金属边框，整机采用防火防护外壳设计，满足 GB4943.1-2011 标准的防火要求；整机屏幕采用全钢化玻璃，使用1 kg钢球，在0.5m处撞击无损伤</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触控及屏幕技术要求：</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整机屏幕≥</w:t>
            </w:r>
            <w:r>
              <w:rPr>
                <w:rFonts w:hint="eastAsia" w:ascii="宋体" w:hAnsi="宋体" w:eastAsia="宋体" w:cs="宋体"/>
                <w:sz w:val="24"/>
                <w:szCs w:val="24"/>
                <w:lang w:val="en-US" w:eastAsia="zh-CN"/>
              </w:rPr>
              <w:t>65</w:t>
            </w:r>
            <w:r>
              <w:rPr>
                <w:rFonts w:hint="eastAsia" w:ascii="宋体" w:hAnsi="宋体" w:eastAsia="宋体" w:cs="宋体"/>
                <w:sz w:val="24"/>
                <w:szCs w:val="24"/>
              </w:rPr>
              <w:t>英寸 LED 液晶屏，可视角度：≥178°，屏幕图像分辨率达3840*2160</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亮度:≥500cd/m²、对比度:≥6000：1</w:t>
            </w:r>
          </w:p>
          <w:p>
            <w:pPr>
              <w:keepNext w:val="0"/>
              <w:keepLines w:val="0"/>
              <w:pageBreakBefore w:val="0"/>
              <w:widowControl/>
              <w:kinsoku/>
              <w:wordWrap/>
              <w:overflowPunct/>
              <w:topLinePunct w:val="0"/>
              <w:autoSpaceDE/>
              <w:autoSpaceDN/>
              <w:bidi w:val="0"/>
              <w:adjustRightInd w:val="0"/>
              <w:snapToGrid w:val="0"/>
              <w:spacing w:line="264" w:lineRule="auto"/>
              <w:ind w:firstLine="480" w:firstLineChars="200"/>
              <w:jc w:val="left"/>
              <w:textAlignment w:val="top"/>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整机触摸区域无图标按键，防止老师误碰，操作简单快捷；连续响应时间≤5毫秒；</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整机可一键进行硬件自检，包括对系统硬盘、系统内存、触摸框、PC模块、光感系统等模块进行检测，并针对不同模块给出问题原因提示</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电脑模块技术要求：</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采用插拔式模块电脑架构，主板采用标准ops 80针接口，Intel第六代CPU架构Corei5 处理器,主频3.2GHZ, 4G内存, 128G MSATA</w:t>
            </w:r>
            <w:r>
              <w:rPr>
                <w:rFonts w:hint="eastAsia" w:ascii="宋体" w:hAnsi="宋体" w:eastAsia="宋体" w:cs="宋体"/>
                <w:sz w:val="24"/>
                <w:szCs w:val="24"/>
                <w:lang w:eastAsia="zh-CN"/>
              </w:rPr>
              <w:t>固态</w:t>
            </w:r>
            <w:bookmarkStart w:id="3" w:name="_GoBack"/>
            <w:bookmarkEnd w:id="3"/>
            <w:r>
              <w:rPr>
                <w:rFonts w:hint="eastAsia" w:ascii="宋体" w:hAnsi="宋体" w:eastAsia="宋体" w:cs="宋体"/>
                <w:sz w:val="24"/>
                <w:szCs w:val="24"/>
              </w:rPr>
              <w:t>硬盘, Intel CPU内部</w:t>
            </w:r>
            <w:r>
              <w:rPr>
                <w:rFonts w:hint="eastAsia" w:ascii="宋体" w:hAnsi="宋体" w:eastAsia="宋体" w:cs="宋体"/>
                <w:sz w:val="24"/>
                <w:szCs w:val="24"/>
                <w:lang w:eastAsia="zh-CN"/>
              </w:rPr>
              <w:t>独立</w:t>
            </w:r>
            <w:r>
              <w:rPr>
                <w:rFonts w:hint="eastAsia" w:ascii="宋体" w:hAnsi="宋体" w:eastAsia="宋体" w:cs="宋体"/>
                <w:sz w:val="24"/>
                <w:szCs w:val="24"/>
              </w:rPr>
              <w:t>显卡,支持4K分辨率，支持双天线802.11b/g/n 2T2R MIMO WiFi，支持高速无线传输，具备HDMI接口 x1、DP 接口 x1、Gigabit Ethernet x1、Audio 接口x2、USB3.0接口 x6。</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二、教学白板软件:</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支持老师个人账号注册登录、扫码登录进行身份快速识别；</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支持教师从云端引用文本、图片、音频、视频、习题等类型的资源作为导学任务的素材发送给学生之用，支持一键调起微课录制工具录制微课导学资源，学生可通过WEB端或手机端查收导学任务</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提供答题卡测练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计报告。</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数学公式编辑器：支持复杂数学公式输入，提供不少于18个数学符号及模板，输出的公式内容支持不同颜色标记及二次编辑。</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支持一键课堂录屏，能将课堂的板书、教师语音进行录制，自动保存到本地，在课后上传到云端，学生通过智能手机和学生空间可以实时查看。</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支持与Office PPT结合，教师在使用Office PPT的同时，登录账号后，可一键将教材及云资源引用至课件中。</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针对学生提交的习题导学，支持系统的自动判断，支持教师按照学生分析和习题分析维度查看作答情况；可以查看班级已提交人数、未提交人数、平均耗时、平均正确率等；学生分析可以查看每个学生的完成情况、提交时间、做题耗时、错题数、正确率等；习题分析可以查看每道习题学生的答案选择比例。</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三、移动授课软件: </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作业布置：教师可在APP端轻松布置和检查作业，作业类型包括图片、音视频、作业通知等；作业支持移动终端批改。</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家校沟通：教师和家长间可以便捷的进行语音、文本和图片形式的会话聊天。用户可以指定联系人或群组发起会话聊天，还可以在对创建各种讨论组</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班级圈分享：教师可以将学生在学校的学习情况分享到班级圈 </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班级通知：支持手机客户端与教育云平台的消息互通，教师发布、查看、接收班级通知</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班级成绩发布：支持手机客户端与教育云平台的消息互通，教师通过平台发布学生成绩、班级通知</w:t>
            </w:r>
          </w:p>
          <w:p>
            <w:pPr>
              <w:keepNext w:val="0"/>
              <w:keepLines w:val="0"/>
              <w:pageBreakBefore w:val="0"/>
              <w:kinsoku/>
              <w:wordWrap/>
              <w:overflowPunct/>
              <w:topLinePunct w:val="0"/>
              <w:autoSpaceDE/>
              <w:autoSpaceDN/>
              <w:bidi w:val="0"/>
              <w:adjustRightInd w:val="0"/>
              <w:snapToGrid w:val="0"/>
              <w:spacing w:line="264" w:lineRule="auto"/>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w:t>
            </w: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教学资源推送：实现手机客户端资源向教师空间同步，教师可多渠道快速收集任何感兴趣的资源，并进行标签化管理，还可将手机将资源一键发送给学生、分享给同事，以及投送资源到课堂电子白板上展现</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1.结构：双层结构，内层为固定书写板，外层为滑动书写板，滑动板配装刻有黑板品牌LOGO标识的挂锁，支持电子产品居中放置；</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2.基本尺寸：≥4000mm×1280mm，保证与电子产品外形尺寸配套；</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3.板面：优质烤漆板面，亚光墨绿色，光泽度≤12光泽单位。参照GB/T6739-2006,板面硬度测试结果为9H无划痕，提供板面硬度。</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4.衬板：选用吸音、防潮、阻燃聚苯乙烯板，厚度≥14mm；</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5.背板：选用优质镀锌钢板。设有凹槽加强筋；</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6.覆板：自动化流水线覆板作业，甲醛释放量≤0.15mg/L，符合GB 28231-2011《书写板安全卫生要求》；</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7.边框：采用高强度电泳香槟色铝合金，模具挤压一次成型，依据GB5237.3-2008＆GB/T8013.1-2001落砂磨耗实验结果为合格；</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8.黑板滑轮：上轮采用减震消音双吊轮，滑轮使用高精度轴承稳定性好；</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kern w:val="0"/>
                <w:sz w:val="24"/>
                <w:szCs w:val="24"/>
              </w:rPr>
              <w:t>9.安全性：一把锁实现对滑动黑板的锁定，钥匙通用，方便实用；</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p>
        </w:tc>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095"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笔记本电脑</w:t>
            </w:r>
          </w:p>
        </w:tc>
        <w:tc>
          <w:tcPr>
            <w:tcW w:w="66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4005" w:type="dxa"/>
            <w:vAlign w:val="center"/>
          </w:tcPr>
          <w:p>
            <w:pPr>
              <w:keepNext w:val="0"/>
              <w:keepLines w:val="0"/>
              <w:pageBreakBefore w:val="0"/>
              <w:kinsoku/>
              <w:wordWrap/>
              <w:overflowPunct/>
              <w:topLinePunct w:val="0"/>
              <w:autoSpaceDE/>
              <w:autoSpaceDN/>
              <w:bidi w:val="0"/>
              <w:adjustRightInd w:val="0"/>
              <w:snapToGrid w:val="0"/>
              <w:spacing w:line="264" w:lineRule="auto"/>
              <w:jc w:val="both"/>
              <w:outlineLvl w:val="9"/>
              <w:rPr>
                <w:rFonts w:hint="eastAsia" w:ascii="宋体" w:hAnsi="宋体" w:eastAsia="宋体" w:cs="宋体"/>
                <w:sz w:val="24"/>
                <w:szCs w:val="24"/>
                <w:lang w:eastAsia="zh-CN"/>
              </w:rPr>
            </w:pPr>
            <w:r>
              <w:rPr>
                <w:rFonts w:hint="eastAsia" w:ascii="宋体" w:hAnsi="宋体" w:eastAsia="宋体" w:cs="宋体"/>
                <w:sz w:val="24"/>
                <w:szCs w:val="24"/>
              </w:rPr>
              <w:t>CPU Intel 酷睿i</w:t>
            </w:r>
            <w:r>
              <w:rPr>
                <w:rFonts w:hint="eastAsia" w:ascii="宋体" w:hAnsi="宋体" w:eastAsia="宋体" w:cs="宋体"/>
                <w:sz w:val="24"/>
                <w:szCs w:val="24"/>
                <w:lang w:val="en-US" w:eastAsia="zh-CN"/>
              </w:rPr>
              <w:t>7</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CPU主频 2.5GHz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最高睿频 3.1GHz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核心/线程数 双核心/四线程 三级缓存 3MB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内存容量 </w:t>
            </w:r>
            <w:r>
              <w:rPr>
                <w:rFonts w:hint="eastAsia" w:ascii="宋体" w:hAnsi="宋体" w:eastAsia="宋体" w:cs="宋体"/>
                <w:sz w:val="24"/>
                <w:szCs w:val="24"/>
                <w:lang w:val="en-US" w:eastAsia="zh-CN"/>
              </w:rPr>
              <w:t>8</w:t>
            </w:r>
            <w:r>
              <w:rPr>
                <w:rFonts w:hint="eastAsia" w:ascii="宋体" w:hAnsi="宋体" w:eastAsia="宋体" w:cs="宋体"/>
                <w:sz w:val="24"/>
                <w:szCs w:val="24"/>
              </w:rPr>
              <w:t>GB</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内存类型 DDR4 2133MHz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插槽数量 1xSO-DIMM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硬盘容量 1TB以上</w:t>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光驱类型 DVD刻录</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屏幕尺寸 15.6英寸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显示比例 16:9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屏幕分辨率 1920x1080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屏幕技术 FHD，LED背光</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显卡芯片 AMD Radeon 530 显存容量 </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GB </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p>
        </w:tc>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rPr>
            </w:pPr>
          </w:p>
        </w:tc>
      </w:tr>
    </w:tbl>
    <w:p>
      <w:pPr>
        <w:spacing w:line="360" w:lineRule="auto"/>
        <w:rPr>
          <w:sz w:val="24"/>
          <w:szCs w:val="24"/>
        </w:rPr>
      </w:pPr>
    </w:p>
    <w:p>
      <w:pPr>
        <w:widowControl/>
        <w:numPr>
          <w:ilvl w:val="0"/>
          <w:numId w:val="0"/>
        </w:numPr>
        <w:shd w:val="clear" w:color="auto" w:fill="FFFFFF"/>
        <w:spacing w:line="360" w:lineRule="auto"/>
        <w:ind w:firstLine="241" w:firstLineChars="1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auto"/>
          <w:szCs w:val="21"/>
        </w:rPr>
      </w:pPr>
      <w:r>
        <w:rPr>
          <w:rFonts w:hint="eastAsia" w:hAnsi="宋体"/>
          <w:b/>
          <w:bCs/>
          <w:color w:val="auto"/>
          <w:szCs w:val="21"/>
        </w:rPr>
        <w:t>4、供货期限：</w:t>
      </w:r>
      <w:r>
        <w:rPr>
          <w:rFonts w:hint="eastAsia" w:hAnsi="宋体"/>
          <w:b/>
          <w:bCs/>
          <w:color w:val="auto"/>
          <w:szCs w:val="21"/>
          <w:lang w:val="en-US" w:eastAsia="zh-CN"/>
        </w:rPr>
        <w:t xml:space="preserve"> 60天</w:t>
      </w:r>
      <w:r>
        <w:rPr>
          <w:rFonts w:hint="eastAsia" w:hAnsi="宋体"/>
          <w:b/>
          <w:bCs/>
          <w:color w:val="auto"/>
          <w:szCs w:val="21"/>
        </w:rPr>
        <w:t>。</w:t>
      </w:r>
      <w:r>
        <w:rPr>
          <w:rFonts w:hint="eastAsia" w:hAnsi="宋体"/>
          <w:b/>
          <w:bCs/>
          <w:color w:val="auto"/>
          <w:szCs w:val="21"/>
          <w:lang w:val="en-US" w:eastAsia="zh-CN"/>
        </w:rPr>
        <w:t xml:space="preserve">  </w:t>
      </w:r>
      <w:r>
        <w:rPr>
          <w:rFonts w:hint="eastAsia" w:hAnsi="宋体"/>
          <w:b/>
          <w:bCs/>
          <w:color w:val="auto"/>
          <w:szCs w:val="21"/>
        </w:rPr>
        <w:t>交货地点：</w:t>
      </w:r>
      <w:bookmarkStart w:id="1" w:name="定位_【交货地点】_201042105043"/>
      <w:bookmarkEnd w:id="1"/>
      <w:bookmarkStart w:id="2" w:name="OK_【交货地点】_201042105043"/>
      <w:r>
        <w:rPr>
          <w:rFonts w:hint="eastAsia" w:hAnsi="宋体"/>
          <w:b/>
          <w:bCs/>
          <w:color w:val="auto"/>
          <w:szCs w:val="21"/>
        </w:rPr>
        <w:t>采购单位指定地点</w:t>
      </w:r>
      <w:bookmarkEnd w:id="2"/>
      <w:r>
        <w:rPr>
          <w:rFonts w:hint="eastAsia" w:hAnsi="宋体"/>
          <w:b/>
          <w:bCs/>
          <w:color w:val="auto"/>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eastAsiaTheme="minorEastAsia"/>
          <w:b/>
          <w:bCs/>
          <w:color w:val="FF0000"/>
          <w:szCs w:val="21"/>
          <w:lang w:eastAsia="zh-CN"/>
        </w:rPr>
      </w:pPr>
      <w:r>
        <w:rPr>
          <w:rFonts w:hint="eastAsia" w:hAnsi="宋体"/>
          <w:color w:val="000000"/>
          <w:szCs w:val="21"/>
        </w:rPr>
        <w:t xml:space="preserve"> </w:t>
      </w:r>
      <w:r>
        <w:rPr>
          <w:rFonts w:hint="eastAsia" w:hAnsi="宋体"/>
          <w:b/>
          <w:bCs/>
          <w:color w:val="000000"/>
          <w:szCs w:val="21"/>
        </w:rPr>
        <w:t xml:space="preserve"> 付款方式：</w:t>
      </w:r>
      <w:r>
        <w:rPr>
          <w:rFonts w:hint="eastAsia" w:hAnsi="宋体"/>
          <w:b/>
          <w:bCs/>
          <w:color w:val="000000"/>
          <w:szCs w:val="21"/>
          <w:lang w:eastAsia="zh-CN"/>
        </w:rPr>
        <w:t>银行转账。</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11、</w:t>
      </w:r>
      <w:r>
        <w:rPr>
          <w:rFonts w:hint="eastAsia" w:hAnsi="宋体"/>
          <w:b/>
          <w:bCs/>
          <w:color w:val="000000"/>
          <w:szCs w:val="21"/>
        </w:rPr>
        <w:t>本项目最高限价¥</w:t>
      </w:r>
      <w:r>
        <w:rPr>
          <w:rFonts w:hint="eastAsia" w:hAnsi="宋体"/>
          <w:b/>
          <w:bCs/>
          <w:color w:val="000000"/>
          <w:szCs w:val="21"/>
          <w:lang w:val="en-US" w:eastAsia="zh-CN"/>
        </w:rPr>
        <w:t>313500.00</w:t>
      </w:r>
      <w:r>
        <w:rPr>
          <w:rFonts w:hint="eastAsia" w:hAnsi="宋体"/>
          <w:b/>
          <w:bCs/>
          <w:color w:val="000000"/>
          <w:szCs w:val="21"/>
        </w:rPr>
        <w:t>元</w:t>
      </w:r>
      <w:r>
        <w:rPr>
          <w:rFonts w:hint="eastAsia" w:hAnsi="宋体"/>
          <w:color w:val="000000"/>
          <w:szCs w:val="21"/>
        </w:rPr>
        <w:t>，</w:t>
      </w:r>
      <w:r>
        <w:rPr>
          <w:rFonts w:hint="eastAsia" w:hAnsi="宋体"/>
          <w:b/>
          <w:bCs/>
          <w:color w:val="000000"/>
          <w:szCs w:val="21"/>
        </w:rPr>
        <w:t>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ind w:firstLine="2570" w:firstLineChars="800"/>
        <w:jc w:val="both"/>
        <w:rPr>
          <w:rFonts w:hint="eastAsia" w:cs="宋体" w:asciiTheme="majorEastAsia" w:hAnsiTheme="majorEastAsia" w:eastAsiaTheme="majorEastAsia"/>
          <w:b/>
          <w:kern w:val="0"/>
          <w:sz w:val="32"/>
          <w:szCs w:val="32"/>
        </w:rPr>
      </w:pPr>
    </w:p>
    <w:p>
      <w:pPr>
        <w:autoSpaceDE w:val="0"/>
        <w:autoSpaceDN w:val="0"/>
        <w:adjustRightInd w:val="0"/>
        <w:ind w:firstLine="2570" w:firstLineChars="800"/>
        <w:jc w:val="both"/>
        <w:rPr>
          <w:rFonts w:hint="eastAsia" w:cs="宋体" w:asciiTheme="majorEastAsia" w:hAnsiTheme="majorEastAsia" w:eastAsiaTheme="majorEastAsia"/>
          <w:b/>
          <w:kern w:val="0"/>
          <w:sz w:val="32"/>
          <w:szCs w:val="32"/>
        </w:rPr>
      </w:pPr>
    </w:p>
    <w:p>
      <w:pPr>
        <w:autoSpaceDE w:val="0"/>
        <w:autoSpaceDN w:val="0"/>
        <w:adjustRightInd w:val="0"/>
        <w:ind w:firstLine="2570" w:firstLineChars="800"/>
        <w:jc w:val="both"/>
        <w:rPr>
          <w:rFonts w:hint="eastAsia" w:cs="宋体" w:asciiTheme="majorEastAsia" w:hAnsiTheme="majorEastAsia" w:eastAsiaTheme="majorEastAsia"/>
          <w:b/>
          <w:kern w:val="0"/>
          <w:sz w:val="32"/>
          <w:szCs w:val="32"/>
        </w:rPr>
      </w:pPr>
    </w:p>
    <w:p>
      <w:pPr>
        <w:autoSpaceDE w:val="0"/>
        <w:autoSpaceDN w:val="0"/>
        <w:adjustRightInd w:val="0"/>
        <w:ind w:firstLine="2570" w:firstLineChars="800"/>
        <w:jc w:val="both"/>
        <w:rPr>
          <w:rFonts w:hint="eastAsia" w:cs="宋体" w:asciiTheme="majorEastAsia" w:hAnsiTheme="majorEastAsia" w:eastAsiaTheme="majorEastAsia"/>
          <w:b/>
          <w:kern w:val="0"/>
          <w:sz w:val="32"/>
          <w:szCs w:val="32"/>
        </w:rPr>
      </w:pPr>
    </w:p>
    <w:p>
      <w:pPr>
        <w:autoSpaceDE w:val="0"/>
        <w:autoSpaceDN w:val="0"/>
        <w:adjustRightInd w:val="0"/>
        <w:ind w:firstLine="2570"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2"/>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项目名称：长葛市实验幼儿园购置空调、电视、电脑等办公设备</w:t>
            </w:r>
          </w:p>
          <w:p>
            <w:pPr>
              <w:pStyle w:val="22"/>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项目编号：长招采竞字【2019】164号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eastAsiaTheme="minorEastAsia"/>
                <w:kern w:val="2"/>
                <w:sz w:val="21"/>
                <w:szCs w:val="21"/>
                <w:lang w:val="en-US" w:eastAsia="zh-CN" w:bidi="ar-SA"/>
              </w:rPr>
              <w:t>项目内容：长葛市实验幼儿园拟采购空调、电视、电脑等办公设备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pPr>
            <w:r>
              <w:rPr>
                <w:rFonts w:hint="eastAsia" w:cs="仿宋_GB2312" w:asciiTheme="minorEastAsia" w:hAnsiTheme="minorEastAsia"/>
                <w:szCs w:val="21"/>
              </w:rPr>
              <w:t>名称：</w:t>
            </w:r>
            <w:r>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t>长葛市实验幼儿园</w:t>
            </w:r>
          </w:p>
          <w:p>
            <w:pPr>
              <w:adjustRightInd w:val="0"/>
              <w:spacing w:line="360" w:lineRule="auto"/>
              <w:contextualSpacing/>
              <w:jc w:val="left"/>
              <w:rPr>
                <w:rFonts w:hint="default" w:cs="仿宋_GB2312" w:asciiTheme="minorEastAsia" w:hAnsiTheme="minorEastAsia"/>
                <w:szCs w:val="21"/>
                <w:lang w:val="en-US"/>
              </w:rPr>
            </w:pPr>
            <w:r>
              <w:rPr>
                <w:rFonts w:hint="eastAsia" w:cs="仿宋_GB2312" w:asciiTheme="minorEastAsia" w:hAnsiTheme="minorEastAsia"/>
                <w:szCs w:val="21"/>
              </w:rPr>
              <w:t>地址：</w:t>
            </w:r>
            <w:r>
              <w:rPr>
                <w:rFonts w:hint="eastAsia" w:cs="仿宋_GB2312" w:asciiTheme="minorEastAsia" w:hAnsiTheme="minorEastAsia"/>
                <w:color w:val="000000" w:themeColor="text1"/>
                <w:sz w:val="21"/>
                <w:szCs w:val="21"/>
                <w:shd w:val="clear" w:color="auto" w:fill="FFFFFF"/>
                <w:lang w:eastAsia="zh-CN"/>
                <w14:textFill>
                  <w14:solidFill>
                    <w14:schemeClr w14:val="tx1"/>
                  </w14:solidFill>
                </w14:textFill>
              </w:rPr>
              <w:t>河南省长葛市育才街</w:t>
            </w:r>
            <w:r>
              <w:rPr>
                <w:rFonts w:hint="eastAsia" w:cs="仿宋_GB2312" w:asciiTheme="minorEastAsia" w:hAnsiTheme="minorEastAsia"/>
                <w:color w:val="000000" w:themeColor="text1"/>
                <w:sz w:val="21"/>
                <w:szCs w:val="21"/>
                <w:shd w:val="clear" w:color="auto" w:fill="FFFFFF"/>
                <w:lang w:val="en-US" w:eastAsia="zh-CN"/>
                <w14:textFill>
                  <w14:solidFill>
                    <w14:schemeClr w14:val="tx1"/>
                  </w14:solidFill>
                </w14:textFill>
              </w:rPr>
              <w:t>13号</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宋</w:t>
            </w:r>
            <w:r>
              <w:rPr>
                <w:rFonts w:hint="eastAsia" w:cs="Arial" w:asciiTheme="minorEastAsia" w:hAnsiTheme="minorEastAsia"/>
                <w:color w:val="000000" w:themeColor="text1"/>
                <w:szCs w:val="21"/>
                <w:lang w:eastAsia="zh-CN"/>
                <w14:textFill>
                  <w14:solidFill>
                    <w14:schemeClr w14:val="tx1"/>
                  </w14:solidFill>
                </w14:textFill>
              </w:rPr>
              <w:t>先生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15603861619</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政府采购二部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一、</w:t>
            </w:r>
            <w:r>
              <w:rPr>
                <w:rFonts w:cs="宋体" w:asciiTheme="minorEastAsia" w:hAnsiTheme="minorEastAsia"/>
                <w:b/>
                <w:bCs/>
                <w:color w:val="000000" w:themeColor="text1"/>
                <w:szCs w:val="21"/>
                <w:lang w:val="zh-CN"/>
                <w14:textFill>
                  <w14:solidFill>
                    <w14:schemeClr w14:val="tx1"/>
                  </w14:solidFill>
                </w14:textFill>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1、企业法人营业执照或营业执照。（企业提供）</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2、事业单位法人证书。（事业单位提供）</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3、执业许可证。（非企业专业服务机构提供）</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4、个体工商户营业执照。（个体工商户提供）</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5、自然人身份证明。（自然人提供）</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二、财务状况报告相关材料</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（1）供应商是法人（法人包括企业法人、机关法人、事业单位法人和社会团体法人），提供本单位：</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Theme="minorEastAsia" w:hAnsiTheme="minorEastAsia"/>
                <w:bCs/>
                <w:color w:val="000000" w:themeColor="text1"/>
                <w:szCs w:val="21"/>
                <w:lang w:val="en-US" w:eastAsia="zh-CN"/>
                <w14:textFill>
                  <w14:solidFill>
                    <w14:schemeClr w14:val="tx1"/>
                  </w14:solidFill>
                </w14:textFill>
              </w:rPr>
              <w:t xml:space="preserve"> </w:t>
            </w:r>
            <w:r>
              <w:rPr>
                <w:rFonts w:hint="eastAsia" w:asciiTheme="minorEastAsia" w:hAnsiTheme="minorEastAsia"/>
                <w:bCs/>
                <w:color w:val="000000" w:themeColor="text1"/>
                <w:szCs w:val="21"/>
                <w14:textFill>
                  <w14:solidFill>
                    <w14:schemeClr w14:val="tx1"/>
                  </w14:solidFill>
                </w14:textFill>
              </w:rPr>
              <w:t>2018年度经审计的财务报告，包括资产负债表、利润表、现金流量表、所有者权益变动表及其附注；</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②基本开户银行出具的资信证明；</w:t>
            </w:r>
          </w:p>
          <w:p>
            <w:pPr>
              <w:spacing w:line="360" w:lineRule="auto"/>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①～③其中之一即可。</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（2）供应商（其他组织和自然人）提供本单位：</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Theme="minorEastAsia" w:hAnsiTheme="minorEastAsia"/>
                <w:bCs/>
                <w:color w:val="000000" w:themeColor="text1"/>
                <w:szCs w:val="21"/>
                <w:lang w:val="en-US" w:eastAsia="zh-CN"/>
                <w14:textFill>
                  <w14:solidFill>
                    <w14:schemeClr w14:val="tx1"/>
                  </w14:solidFill>
                </w14:textFill>
              </w:rPr>
              <w:t xml:space="preserve"> </w:t>
            </w:r>
            <w:r>
              <w:rPr>
                <w:rFonts w:hint="eastAsia" w:asciiTheme="minorEastAsia" w:hAnsiTheme="minorEastAsia"/>
                <w:bCs/>
                <w:color w:val="000000" w:themeColor="text1"/>
                <w:szCs w:val="21"/>
                <w14:textFill>
                  <w14:solidFill>
                    <w14:schemeClr w14:val="tx1"/>
                  </w14:solidFill>
                </w14:textFill>
              </w:rPr>
              <w:t>2018年度经审计的财务报告，包括资产负债表、利润表、现金流量表、所有者权益变动表及其附注；</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②银行出具的资信证明；</w:t>
            </w:r>
          </w:p>
          <w:p>
            <w:pPr>
              <w:spacing w:line="360" w:lineRule="auto"/>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①～③其中之一即可。</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三、依法缴纳税收相关材料</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四、依法缴纳社会保障资金的证明材料</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①相关设备的购置发票、专业技术人员职称证书、用工合同等；</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themeColor="text1"/>
                <w:sz w:val="24"/>
                <w:szCs w:val="24"/>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①～②其中之一即可。</w:t>
            </w:r>
          </w:p>
          <w:p>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w:t>
            </w:r>
            <w:r>
              <w:rPr>
                <w:rFonts w:cs="宋体" w:asciiTheme="minorEastAsia" w:hAnsiTheme="minorEastAsia"/>
                <w:b/>
                <w:bCs/>
                <w:color w:val="000000" w:themeColor="text1"/>
                <w:szCs w:val="21"/>
                <w:lang w:val="zh-CN"/>
                <w14:textFill>
                  <w14:solidFill>
                    <w14:schemeClr w14:val="tx1"/>
                  </w14:solidFill>
                </w14:textFill>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供应商“</w:t>
            </w:r>
            <w:r>
              <w:rPr>
                <w:rFonts w:cs="宋体" w:asciiTheme="minorEastAsia" w:hAnsiTheme="minorEastAsia"/>
                <w:bCs/>
                <w:color w:val="000000" w:themeColor="text1"/>
                <w:szCs w:val="21"/>
                <w:lang w:val="zh-CN"/>
                <w14:textFill>
                  <w14:solidFill>
                    <w14:schemeClr w14:val="tx1"/>
                  </w14:solidFill>
                </w14:textFill>
              </w:rPr>
              <w:t>参加政府采购活动前3年内在经营活动中没有重大违法记录的书面声明</w:t>
            </w:r>
            <w:r>
              <w:rPr>
                <w:rFonts w:hint="eastAsia" w:cs="宋体" w:asciiTheme="minorEastAsia" w:hAnsiTheme="minorEastAsia"/>
                <w:bCs/>
                <w:color w:val="000000" w:themeColor="text1"/>
                <w:szCs w:val="21"/>
                <w:lang w:val="zh-CN"/>
                <w14:textFill>
                  <w14:solidFill>
                    <w14:schemeClr w14:val="tx1"/>
                  </w14:solidFill>
                </w14:textFill>
              </w:rPr>
              <w:t>”。 重大违法记录，是指供应商因违法经营受到刑事处罚或者责令停产停业、吊销许可证或者执照、较大数额罚款等行政处罚。</w:t>
            </w:r>
          </w:p>
          <w:p>
            <w:pPr>
              <w:numPr>
                <w:ilvl w:val="0"/>
                <w:numId w:val="5"/>
              </w:numPr>
              <w:autoSpaceDE w:val="0"/>
              <w:autoSpaceDN w:val="0"/>
              <w:spacing w:line="360" w:lineRule="auto"/>
              <w:contextualSpacing/>
              <w:jc w:val="left"/>
              <w:rPr>
                <w:rFonts w:hint="eastAsia"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未被列入“信用中国”网站(www.creditchina.gov.cn)失信被执行人、重大税收违法案件当事人名单的供应商；“中国政府采购网” (www.ccgp.gov.cn)政府采购严重违法失信行为记录名单的供应商；</w:t>
            </w:r>
          </w:p>
          <w:p>
            <w:pPr>
              <w:numPr>
                <w:ilvl w:val="0"/>
                <w:numId w:val="0"/>
              </w:num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注：政府采购活动中查询及使用投标人信用记录的具体要求为：投标人未被列入失信被执行人、重大税收违法案件当事人名单</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政府采购严重违法失信行为记录名单</w:t>
            </w:r>
            <w:r>
              <w:rPr>
                <w:rFonts w:hint="eastAsia" w:ascii="宋体" w:hAnsi="宋体"/>
                <w:bCs/>
                <w:color w:val="000000" w:themeColor="text1"/>
                <w:szCs w:val="21"/>
                <w:lang w:val="en-US" w:eastAsia="zh-CN"/>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联合体形式响应的，联合体成员存在不良信用记录，视同联合体存在不良信用记录）。</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1、查询渠道：</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s="宋体"/>
                <w:color w:val="000000" w:themeColor="text1"/>
                <w:kern w:val="0"/>
                <w14:textFill>
                  <w14:solidFill>
                    <w14:schemeClr w14:val="tx1"/>
                  </w14:solidFill>
                </w14:textFill>
              </w:rPr>
              <w:t>www.creditchina.gov.cn</w:t>
            </w:r>
            <w:r>
              <w:rPr>
                <w:rFonts w:hint="eastAsia" w:cs="宋体"/>
                <w:color w:val="000000" w:themeColor="text1"/>
                <w:kern w:val="0"/>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pPr>
              <w:spacing w:line="360" w:lineRule="auto"/>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②“中国政府采购网”（www.ccgp.gov.cn）</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2、截止时间：同谈判响应截止时间；</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4、信用信息的使用原则：经谈判小组认定的被列入失信被执行人、重大税收违法案件当事人名单</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政府采购严重违法失信行为记录名单的供应商，将拒绝其参与本次政府采购活动。</w:t>
            </w:r>
          </w:p>
          <w:p>
            <w:pPr>
              <w:autoSpaceDE w:val="0"/>
              <w:autoSpaceDN w:val="0"/>
              <w:spacing w:line="360" w:lineRule="auto"/>
              <w:contextualSpacing/>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default" w:cs="仿宋_GB2312" w:asciiTheme="minorEastAsia" w:hAnsiTheme="minorEastAsia" w:eastAsiaTheme="minorEastAsia"/>
                <w:b/>
                <w:bCs/>
                <w:color w:val="000000"/>
                <w:sz w:val="21"/>
                <w:szCs w:val="21"/>
                <w:shd w:val="clear" w:color="auto" w:fill="FFFFFF"/>
              </w:rPr>
              <w:t>¥</w:t>
            </w:r>
            <w:r>
              <w:rPr>
                <w:rFonts w:hint="eastAsia" w:cs="仿宋_GB2312" w:asciiTheme="minorEastAsia" w:hAnsiTheme="minorEastAsia"/>
                <w:b/>
                <w:bCs/>
                <w:color w:val="000000"/>
                <w:sz w:val="21"/>
                <w:szCs w:val="21"/>
                <w:shd w:val="clear" w:color="auto" w:fill="FFFFFF"/>
                <w:lang w:val="en-US" w:eastAsia="zh-CN"/>
              </w:rPr>
              <w:t>313500.00</w:t>
            </w:r>
            <w:r>
              <w:rPr>
                <w:rFonts w:hint="eastAsia" w:cs="仿宋_GB2312" w:asciiTheme="minorEastAsia" w:hAnsiTheme="minorEastAsia" w:eastAsiaTheme="minorEastAsia"/>
                <w:b/>
                <w:bCs/>
                <w:color w:val="000000"/>
                <w:sz w:val="21"/>
                <w:szCs w:val="21"/>
                <w:shd w:val="clear" w:color="auto" w:fill="FFFFFF"/>
              </w:rPr>
              <w:t>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FF0000"/>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 xml:space="preserve"> </w:t>
            </w:r>
            <w:r>
              <w:rPr>
                <w:rFonts w:hint="eastAsia" w:cs="宋体" w:asciiTheme="minorEastAsia" w:hAnsiTheme="minorEastAsia"/>
                <w:bCs/>
                <w:color w:val="000000" w:themeColor="text1"/>
                <w:szCs w:val="21"/>
                <w:lang w:val="en-US" w:eastAsia="zh-CN"/>
                <w14:textFill>
                  <w14:solidFill>
                    <w14:schemeClr w14:val="tx1"/>
                  </w14:solidFill>
                </w14:textFill>
              </w:rPr>
              <w:t>2020</w:t>
            </w:r>
            <w:r>
              <w:rPr>
                <w:rFonts w:hint="eastAsia" w:cs="宋体" w:asciiTheme="minorEastAsia" w:hAnsiTheme="minorEastAsia"/>
                <w:bCs/>
                <w:color w:val="000000" w:themeColor="text1"/>
                <w:szCs w:val="21"/>
                <w:lang w:val="zh-CN"/>
                <w14:textFill>
                  <w14:solidFill>
                    <w14:schemeClr w14:val="tx1"/>
                  </w14:solidFill>
                </w14:textFill>
              </w:rPr>
              <w:t>年</w:t>
            </w:r>
            <w:r>
              <w:rPr>
                <w:rFonts w:hint="eastAsia" w:cs="宋体" w:asciiTheme="minorEastAsia" w:hAnsiTheme="minorEastAsia"/>
                <w:bCs/>
                <w:color w:val="000000" w:themeColor="text1"/>
                <w:szCs w:val="21"/>
                <w:lang w:val="en-US" w:eastAsia="zh-CN"/>
                <w14:textFill>
                  <w14:solidFill>
                    <w14:schemeClr w14:val="tx1"/>
                  </w14:solidFill>
                </w14:textFill>
              </w:rPr>
              <w:t xml:space="preserve"> 3 </w:t>
            </w:r>
            <w:r>
              <w:rPr>
                <w:rFonts w:hint="eastAsia" w:cs="宋体" w:asciiTheme="minorEastAsia" w:hAnsiTheme="minorEastAsia"/>
                <w:bCs/>
                <w:color w:val="000000" w:themeColor="text1"/>
                <w:szCs w:val="21"/>
                <w:lang w:val="zh-CN"/>
                <w14:textFill>
                  <w14:solidFill>
                    <w14:schemeClr w14:val="tx1"/>
                  </w14:solidFill>
                </w14:textFill>
              </w:rPr>
              <w:t>月</w:t>
            </w:r>
            <w:r>
              <w:rPr>
                <w:rFonts w:hint="eastAsia" w:cs="宋体" w:asciiTheme="minorEastAsia" w:hAnsiTheme="minorEastAsia"/>
                <w:bCs/>
                <w:color w:val="000000" w:themeColor="text1"/>
                <w:szCs w:val="21"/>
                <w:lang w:val="en-US" w:eastAsia="zh-CN"/>
                <w14:textFill>
                  <w14:solidFill>
                    <w14:schemeClr w14:val="tx1"/>
                  </w14:solidFill>
                </w14:textFill>
              </w:rPr>
              <w:t xml:space="preserve"> 19 </w:t>
            </w:r>
            <w:r>
              <w:rPr>
                <w:rFonts w:hint="eastAsia" w:cs="宋体" w:asciiTheme="minorEastAsia" w:hAnsiTheme="minorEastAsia"/>
                <w:bCs/>
                <w:color w:val="000000" w:themeColor="text1"/>
                <w:szCs w:val="21"/>
                <w:lang w:val="zh-CN"/>
                <w14:textFill>
                  <w14:solidFill>
                    <w14:schemeClr w14:val="tx1"/>
                  </w14:solidFill>
                </w14:textFill>
              </w:rPr>
              <w:t>日</w:t>
            </w:r>
            <w:r>
              <w:rPr>
                <w:rFonts w:hint="eastAsia" w:cs="宋体" w:asciiTheme="minorEastAsia" w:hAnsiTheme="minorEastAsia"/>
                <w:bCs/>
                <w:color w:val="000000" w:themeColor="text1"/>
                <w:szCs w:val="21"/>
                <w:lang w:val="en-US" w:eastAsia="zh-CN"/>
                <w14:textFill>
                  <w14:solidFill>
                    <w14:schemeClr w14:val="tx1"/>
                  </w14:solidFill>
                </w14:textFill>
              </w:rPr>
              <w:t xml:space="preserve"> 9 </w:t>
            </w:r>
            <w:r>
              <w:rPr>
                <w:rFonts w:hint="eastAsia" w:cs="宋体" w:asciiTheme="minorEastAsia" w:hAnsiTheme="minorEastAsia"/>
                <w:bCs/>
                <w:color w:val="000000" w:themeColor="text1"/>
                <w:szCs w:val="21"/>
                <w:lang w:val="zh-CN"/>
                <w14:textFill>
                  <w14:solidFill>
                    <w14:schemeClr w14:val="tx1"/>
                  </w14:solidFill>
                </w14:textFill>
              </w:rPr>
              <w:t>时</w:t>
            </w:r>
            <w:r>
              <w:rPr>
                <w:rFonts w:hint="eastAsia" w:cs="宋体" w:asciiTheme="minorEastAsia" w:hAnsiTheme="minorEastAsia"/>
                <w:bCs/>
                <w:color w:val="000000" w:themeColor="text1"/>
                <w:szCs w:val="21"/>
                <w:lang w:val="en-US" w:eastAsia="zh-CN"/>
                <w14:textFill>
                  <w14:solidFill>
                    <w14:schemeClr w14:val="tx1"/>
                  </w14:solidFill>
                </w14:textFill>
              </w:rPr>
              <w:t xml:space="preserve"> 30 </w:t>
            </w:r>
            <w:r>
              <w:rPr>
                <w:rFonts w:hint="eastAsia" w:cs="宋体" w:asciiTheme="minorEastAsia" w:hAnsiTheme="minorEastAsia"/>
                <w:bCs/>
                <w:color w:val="000000" w:themeColor="text1"/>
                <w:szCs w:val="21"/>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w:t>
            </w:r>
            <w:r>
              <w:rPr>
                <w:rFonts w:hint="eastAsia" w:cs="仿宋_GB2312" w:asciiTheme="minorEastAsia" w:hAnsiTheme="minorEastAsia"/>
                <w:color w:val="000000" w:themeColor="text1"/>
                <w:szCs w:val="21"/>
                <w14:textFill>
                  <w14:solidFill>
                    <w14:schemeClr w14:val="tx1"/>
                  </w14:solidFill>
                </w14:textFill>
              </w:rPr>
              <w:t>响应文件递交地点：</w:t>
            </w:r>
            <w:r>
              <w:rPr>
                <w:rFonts w:hint="eastAsia" w:cs="仿宋_GB2312" w:asciiTheme="minorEastAsia" w:hAnsiTheme="minorEastAsia" w:eastAsiaTheme="minorEastAsia"/>
                <w:color w:val="000000" w:themeColor="text1"/>
                <w:sz w:val="21"/>
                <w:szCs w:val="21"/>
                <w14:textFill>
                  <w14:solidFill>
                    <w14:schemeClr w14:val="tx1"/>
                  </w14:solidFill>
                </w14:textFill>
              </w:rPr>
              <w:t>长葛市公共资源交易</w:t>
            </w:r>
            <w:r>
              <w:rPr>
                <w:rFonts w:hint="eastAsia" w:cs="仿宋_GB2312" w:asciiTheme="minorEastAsia" w:hAnsiTheme="minorEastAsia" w:eastAsiaTheme="minorEastAsia"/>
                <w:color w:val="000000" w:themeColor="text1"/>
                <w:sz w:val="21"/>
                <w:szCs w:val="21"/>
                <w:lang w:eastAsia="zh-CN"/>
                <w14:textFill>
                  <w14:solidFill>
                    <w14:schemeClr w14:val="tx1"/>
                  </w14:solidFill>
                </w14:textFill>
              </w:rPr>
              <w:t>中心</w:t>
            </w:r>
            <w:r>
              <w:rPr>
                <w:rFonts w:hint="eastAsia" w:cs="仿宋_GB2312" w:asciiTheme="minorEastAsia" w:hAnsiTheme="minorEastAsia" w:eastAsiaTheme="minorEastAsia"/>
                <w:color w:val="000000" w:themeColor="text1"/>
                <w:sz w:val="21"/>
                <w:szCs w:val="21"/>
                <w14:textFill>
                  <w14:solidFill>
                    <w14:schemeClr w14:val="tx1"/>
                  </w14:solidFill>
                </w14:textFill>
              </w:rPr>
              <w:t>开标</w:t>
            </w:r>
            <w:r>
              <w:rPr>
                <w:rFonts w:hint="eastAsia" w:cs="仿宋_GB2312" w:asciiTheme="minorEastAsia" w:hAnsiTheme="minorEastAsia"/>
                <w:color w:val="000000" w:themeColor="text1"/>
                <w:sz w:val="21"/>
                <w:szCs w:val="21"/>
                <w:lang w:val="en-US" w:eastAsia="zh-CN"/>
                <w14:textFill>
                  <w14:solidFill>
                    <w14:schemeClr w14:val="tx1"/>
                  </w14:solidFill>
                </w14:textFill>
              </w:rPr>
              <w:t xml:space="preserve"> 506 </w:t>
            </w:r>
            <w:r>
              <w:rPr>
                <w:rFonts w:hint="eastAsia" w:cs="仿宋_GB2312" w:asciiTheme="minorEastAsia" w:hAnsiTheme="minorEastAsia" w:eastAsiaTheme="minorEastAsia"/>
                <w:color w:val="000000" w:themeColor="text1"/>
                <w:sz w:val="21"/>
                <w:szCs w:val="21"/>
                <w14:textFill>
                  <w14:solidFill>
                    <w14:schemeClr w14:val="tx1"/>
                  </w14:solidFill>
                </w14:textFill>
              </w:rPr>
              <w:t>室</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仿宋_GB2312" w:asciiTheme="minorEastAsia" w:hAnsiTheme="minorEastAsia"/>
                <w:color w:val="000000" w:themeColor="text1"/>
                <w:szCs w:val="21"/>
                <w:lang w:val="en-US" w:eastAsia="zh-CN"/>
                <w14:textFill>
                  <w14:solidFill>
                    <w14:schemeClr w14:val="tx1"/>
                  </w14:solidFill>
                </w14:textFill>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000000" w:themeColor="text1"/>
                <w:szCs w:val="21"/>
                <w:lang w:eastAsia="zh-CN"/>
                <w14:textFill>
                  <w14:solidFill>
                    <w14:schemeClr w14:val="tx1"/>
                  </w14:solidFill>
                </w14:textFill>
              </w:rPr>
            </w:pPr>
            <w:r>
              <w:rPr>
                <w:rFonts w:hint="eastAsia" w:cs="仿宋_GB2312" w:asciiTheme="minorEastAsia" w:hAnsiTheme="minorEastAsia"/>
                <w:color w:val="000000" w:themeColor="text1"/>
                <w:szCs w:val="21"/>
                <w:lang w:eastAsia="zh-CN"/>
                <w14:textFill>
                  <w14:solidFill>
                    <w14:schemeClr w14:val="tx1"/>
                  </w14:solidFill>
                </w14:textFill>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lang w:eastAsia="zh-CN"/>
                <w14:textFill>
                  <w14:solidFill>
                    <w14:schemeClr w14:val="tx1"/>
                  </w14:solidFill>
                </w14:textFill>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ascii="宋体" w:hAnsi="宋体" w:cs="宋体"/>
                <w:color w:val="333333"/>
                <w:szCs w:val="21"/>
              </w:rPr>
            </w:pP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开户行：中国工商银行股份有限公司长葛支行</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账  号：1708026029200151795</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履约保证金的形式：基本户转账，在中标人签订合同前办理。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6"/>
        </w:numPr>
        <w:autoSpaceDE w:val="0"/>
        <w:autoSpaceDN w:val="0"/>
        <w:spacing w:line="360" w:lineRule="auto"/>
        <w:ind w:firstLineChars="0"/>
        <w:contextualSpacing/>
        <w:rPr>
          <w:rFonts w:cs="宋体" w:asciiTheme="minorEastAsia" w:hAnsiTheme="minorEastAsia"/>
          <w:b/>
          <w:bCs/>
          <w:kern w:val="0"/>
          <w:szCs w:val="21"/>
        </w:rPr>
      </w:pPr>
      <w:r>
        <w:rPr>
          <w:rFonts w:hint="eastAsia" w:cs="宋体" w:asciiTheme="minorEastAsia" w:hAnsiTheme="minorEastAsia"/>
          <w:b/>
          <w:bCs/>
          <w:kern w:val="0"/>
          <w:szCs w:val="21"/>
        </w:rPr>
        <w:t>谈判文件中凡标有“</w:t>
      </w:r>
      <w:r>
        <w:rPr>
          <w:rFonts w:hint="eastAsia" w:cs="宋体" w:asciiTheme="minorEastAsia" w:hAnsiTheme="minorEastAsia"/>
          <w:b/>
          <w:bCs/>
          <w:color w:val="FF0000"/>
          <w:kern w:val="0"/>
          <w:szCs w:val="21"/>
        </w:rPr>
        <w:t>★</w:t>
      </w:r>
      <w:r>
        <w:rPr>
          <w:rFonts w:hint="eastAsia" w:cs="宋体" w:asciiTheme="minorEastAsia" w:hAnsiTheme="minorEastAsia"/>
          <w:b/>
          <w:bCs/>
          <w:kern w:val="0"/>
          <w:szCs w:val="21"/>
        </w:rPr>
        <w:t>”的条款均系实质性要求条款。</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6"/>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政府采购活动中查询及使用响应人信用记录的具体要求为：响应人未被列入失信被执行人、重大税收违法案件当事人名单</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政府采购严重违法失信行为记录名单</w:t>
      </w:r>
      <w:r>
        <w:rPr>
          <w:rFonts w:hint="eastAsia" w:cs="宋体" w:asciiTheme="minorEastAsia" w:hAnsiTheme="minorEastAsia"/>
          <w:color w:val="000000" w:themeColor="text1"/>
          <w:kern w:val="0"/>
          <w:szCs w:val="21"/>
          <w:lang w:val="en-US"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（联合体形式响应的，联合体成员存在不良信用记录，视同联合体存在不良信用记录）。</w:t>
      </w:r>
    </w:p>
    <w:p>
      <w:pPr>
        <w:pStyle w:val="45"/>
        <w:numPr>
          <w:ilvl w:val="0"/>
          <w:numId w:val="0"/>
        </w:numPr>
        <w:autoSpaceDE w:val="0"/>
        <w:autoSpaceDN w:val="0"/>
        <w:spacing w:line="360" w:lineRule="auto"/>
        <w:ind w:firstLine="840" w:firstLineChars="400"/>
        <w:contextualSpacing/>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（1）查询渠道：“信用中国”网站（www.creditchina.gov.cn）、“中国政府采购网”（www.ccgp.gov.cn）</w:t>
      </w:r>
      <w:r>
        <w:rPr>
          <w:rFonts w:hint="eastAsia" w:cs="宋体" w:asciiTheme="minorEastAsia" w:hAnsiTheme="minorEastAsia"/>
          <w:color w:val="000000" w:themeColor="text1"/>
          <w:kern w:val="0"/>
          <w:szCs w:val="21"/>
          <w:lang w:eastAsia="zh-CN"/>
          <w14:textFill>
            <w14:solidFill>
              <w14:schemeClr w14:val="tx1"/>
            </w14:solidFill>
          </w14:textFill>
        </w:rPr>
        <w:t>。</w:t>
      </w:r>
    </w:p>
    <w:p>
      <w:pPr>
        <w:pStyle w:val="45"/>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w:t>
      </w:r>
      <w:r>
        <w:rPr>
          <w:rFonts w:hint="eastAsia" w:cs="宋体" w:asciiTheme="minorEastAsia" w:hAnsiTheme="minorEastAsia"/>
          <w:kern w:val="0"/>
          <w:szCs w:val="21"/>
          <w:lang w:eastAsia="zh-CN"/>
        </w:rPr>
        <w:t>；</w:t>
      </w:r>
      <w:r>
        <w:rPr>
          <w:rFonts w:hint="eastAsia" w:cs="宋体" w:asciiTheme="minorEastAsia" w:hAnsiTheme="minorEastAsia"/>
          <w:kern w:val="0"/>
          <w:szCs w:val="21"/>
        </w:rPr>
        <w:t>政府采购严重违法失信行为记录名单的投标人</w:t>
      </w:r>
      <w:r>
        <w:rPr>
          <w:rFonts w:hint="eastAsia" w:cs="宋体" w:asciiTheme="minorEastAsia" w:hAnsiTheme="minorEastAsia"/>
          <w:kern w:val="0"/>
          <w:szCs w:val="21"/>
          <w:lang w:val="en-US" w:eastAsia="zh-CN"/>
        </w:rPr>
        <w:t>,</w:t>
      </w:r>
      <w:r>
        <w:rPr>
          <w:rFonts w:hint="eastAsia" w:cs="宋体" w:asciiTheme="minorEastAsia" w:hAnsiTheme="minorEastAsia"/>
          <w:kern w:val="0"/>
          <w:szCs w:val="21"/>
        </w:rPr>
        <w:t>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16"/>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副本”密封包装。使用电子介质存储的响应文件单独密封包装。将以上密封包装的纸质响应文件和使用电子介质存储的响应文件一并提交。</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5"/>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xml:space="preserve">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     不具备谈判文件中规定的资格要求的；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xml:space="preserve">     报价超过谈判文件中规定的预算金额的；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1"/>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5"/>
        <w:autoSpaceDE w:val="0"/>
        <w:autoSpaceDN w:val="0"/>
        <w:spacing w:line="360" w:lineRule="auto"/>
        <w:ind w:left="964" w:firstLine="0" w:firstLineChars="0"/>
        <w:contextualSpacing/>
        <w:rPr>
          <w:rFonts w:ascii="ˎ̥" w:hAnsi="ˎ̥"/>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7"/>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autoSpaceDE w:val="0"/>
        <w:autoSpaceDN w:val="0"/>
        <w:spacing w:line="360" w:lineRule="auto"/>
        <w:ind w:left="964" w:firstLine="0" w:firstLineChars="0"/>
        <w:contextualSpacing/>
        <w:rPr>
          <w:rFonts w:ascii="ˎ̥" w:hAnsi="ˎ̥"/>
        </w:rPr>
      </w:pP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5"/>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16"/>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如无重大违法记录请按照谈判文件提供格式填写。</w:t>
            </w:r>
          </w:p>
          <w:p>
            <w:pPr>
              <w:spacing w:line="360" w:lineRule="auto"/>
              <w:jc w:val="lef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政府采购活动中查询及使用供应商信用记录的具体要求为：供应商未被列入“信用中国”网站(www.creditchina.gov.cn)失信被执行人、重大税收违法案件当事人名单供应商；“中国政府采购网” (www.ccgp.gov.cn)政府采购严重违法失信行为记录名单的投标人；</w:t>
            </w:r>
          </w:p>
          <w:p>
            <w:pPr>
              <w:adjustRightInd w:val="0"/>
              <w:snapToGrid w:val="0"/>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政府采购活动中查询及使用投标人信用记录的具体要求为：投标人未被列入失信被执行人、重大税收违法案件当事人名单、严重违法失信社会组织名单（联合体形式投标的，联合体成员存在不良信用记录，视同联合体存在不良信用记录）。</w:t>
            </w:r>
          </w:p>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）查询渠道：“信用中国”网站（</w:t>
            </w:r>
            <w:r>
              <w:rPr>
                <w:rFonts w:ascii="宋体" w:hAnsi="宋体"/>
                <w:color w:val="000000" w:themeColor="text1"/>
                <w:szCs w:val="21"/>
                <w14:textFill>
                  <w14:solidFill>
                    <w14:schemeClr w14:val="tx1"/>
                  </w14:solidFill>
                </w14:textFill>
              </w:rPr>
              <w:t>www.creditchina.gov.cn</w:t>
            </w:r>
            <w:r>
              <w:rPr>
                <w:rFonts w:hint="eastAsia" w:ascii="宋体" w:hAnsi="宋体"/>
                <w:color w:val="000000" w:themeColor="text1"/>
                <w:szCs w:val="21"/>
                <w14:textFill>
                  <w14:solidFill>
                    <w14:schemeClr w14:val="tx1"/>
                  </w14:solidFill>
                </w14:textFill>
              </w:rPr>
              <w:t>）、“中国政府采购网”（</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"http://www.ccgp.gov.cn" </w:instrText>
            </w:r>
            <w:r>
              <w:rPr>
                <w:rFonts w:ascii="宋体" w:hAnsi="宋体"/>
                <w:color w:val="000000" w:themeColor="text1"/>
                <w:szCs w:val="21"/>
                <w14:textFill>
                  <w14:solidFill>
                    <w14:schemeClr w14:val="tx1"/>
                  </w14:solidFill>
                </w14:textFill>
              </w:rPr>
              <w:fldChar w:fldCharType="separate"/>
            </w:r>
            <w:r>
              <w:rPr>
                <w:rFonts w:ascii="宋体" w:hAnsi="宋体"/>
                <w:color w:val="000000" w:themeColor="text1"/>
                <w:szCs w:val="21"/>
                <w14:textFill>
                  <w14:solidFill>
                    <w14:schemeClr w14:val="tx1"/>
                  </w14:solidFill>
                </w14:textFill>
              </w:rPr>
              <w:t>www.ccgp.gov.cn</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w:t>
            </w:r>
          </w:p>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）截止时间：同投标截止时间；</w:t>
            </w:r>
          </w:p>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）信用信息查询记录和证据留存具体方式：经采购人确认的查询结果网页截图作为查询记录和证据，与其他采购文件一并保存；</w:t>
            </w:r>
          </w:p>
          <w:p>
            <w:pPr>
              <w:spacing w:line="360" w:lineRule="auto"/>
              <w:rPr>
                <w:rFonts w:hint="eastAsia" w:asciiTheme="minorEastAsia" w:hAnsiTheme="minorEastAsia" w:eastAsiaTheme="minorEastAsia"/>
                <w:b/>
                <w:bCs/>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）信用信息的使用原则：经采购人认定的被列入失信被执行人、重大税收违法案件当事人名单</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政府采购严重违法失信行为记录名单</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严重违法失信社会组织名单的供应商，将拒绝其参与政府采购活动</w:t>
            </w:r>
            <w:r>
              <w:rPr>
                <w:rFonts w:hint="eastAsia" w:ascii="宋体" w:hAnsi="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000000" w:themeColor="text1"/>
                <w:szCs w:val="21"/>
                <w14:textFill>
                  <w14:solidFill>
                    <w14:schemeClr w14:val="tx1"/>
                  </w14:solidFill>
                </w14:textFill>
              </w:rPr>
              <w:t>11</w:t>
            </w:r>
          </w:p>
        </w:tc>
        <w:tc>
          <w:tcPr>
            <w:tcW w:w="2410" w:type="dxa"/>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投标承诺函</w:t>
            </w:r>
          </w:p>
        </w:tc>
        <w:tc>
          <w:tcPr>
            <w:tcW w:w="5954" w:type="dxa"/>
            <w:vAlign w:val="center"/>
          </w:tcPr>
          <w:p>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按给定格式填写。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2"/>
        <w:spacing w:before="75" w:after="75" w:line="360" w:lineRule="auto"/>
        <w:rPr>
          <w:rFonts w:hint="eastAsia" w:ascii="宋体" w:hAnsi="宋体" w:eastAsia="微软雅黑"/>
          <w:color w:val="000000"/>
          <w:highlight w:val="none"/>
          <w:u w:val="single"/>
        </w:rPr>
      </w:pP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2"/>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ind w:firstLine="3373" w:firstLineChars="1200"/>
        <w:jc w:val="both"/>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3092" w:firstLineChars="11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ind w:firstLine="1928" w:firstLineChars="800"/>
        <w:jc w:val="both"/>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widowControl/>
        <w:spacing w:before="100" w:beforeAutospacing="1" w:after="100" w:afterAutospacing="1" w:line="360" w:lineRule="auto"/>
        <w:jc w:val="center"/>
        <w:rPr>
          <w:rFonts w:hint="eastAsia" w:ascii="宋体" w:hAnsi="宋体"/>
          <w:b/>
          <w:bCs/>
          <w:color w:val="000000"/>
          <w:sz w:val="24"/>
          <w:szCs w:val="24"/>
          <w:lang w:eastAsia="zh-CN"/>
        </w:rPr>
      </w:pPr>
      <w:r>
        <w:rPr>
          <w:rFonts w:hint="eastAsia" w:ascii="宋体" w:hAnsi="宋体"/>
          <w:b/>
          <w:bCs/>
          <w:color w:val="000000"/>
          <w:sz w:val="24"/>
          <w:szCs w:val="24"/>
        </w:rPr>
        <w:t xml:space="preserve">3.5 </w:t>
      </w:r>
      <w:r>
        <w:rPr>
          <w:rFonts w:hint="eastAsia" w:ascii="宋体" w:hAnsi="宋体"/>
          <w:b/>
          <w:bCs/>
          <w:color w:val="000000"/>
          <w:sz w:val="24"/>
          <w:szCs w:val="24"/>
          <w:lang w:eastAsia="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16"/>
        <w:rPr>
          <w:rFonts w:cs="黑体" w:asciiTheme="minorEastAsia" w:hAnsiTheme="minorEastAsia"/>
          <w:b/>
          <w:bCs/>
          <w:sz w:val="44"/>
          <w:szCs w:val="44"/>
          <w:lang w:val="zh-CN"/>
        </w:rPr>
      </w:pPr>
    </w:p>
    <w:p>
      <w:pPr>
        <w:pStyle w:val="16"/>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LIDq+&#10;7QEAAM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evh1F9QEAAMEDAAAOAAAAAAAAAAEAIAAAAB8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pStyle w:val="19"/>
    </w:pP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1060C"/>
    <w:multiLevelType w:val="singleLevel"/>
    <w:tmpl w:val="CE61060C"/>
    <w:lvl w:ilvl="0" w:tentative="0">
      <w:start w:val="7"/>
      <w:numFmt w:val="chineseCounting"/>
      <w:suff w:val="nothing"/>
      <w:lvlText w:val="%1、"/>
      <w:lvlJc w:val="left"/>
      <w:rPr>
        <w:rFonts w:hint="eastAsia"/>
      </w:rPr>
    </w:lvl>
  </w:abstractNum>
  <w:abstractNum w:abstractNumId="1">
    <w:nsid w:val="EA2C8C74"/>
    <w:multiLevelType w:val="singleLevel"/>
    <w:tmpl w:val="EA2C8C74"/>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5"/>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4"/>
  </w:num>
  <w:num w:numId="4">
    <w:abstractNumId w:val="1"/>
  </w:num>
  <w:num w:numId="5">
    <w:abstractNumId w:val="0"/>
  </w:num>
  <w:num w:numId="6">
    <w:abstractNumId w:val="11"/>
  </w:num>
  <w:num w:numId="7">
    <w:abstractNumId w:val="15"/>
  </w:num>
  <w:num w:numId="8">
    <w:abstractNumId w:val="9"/>
  </w:num>
  <w:num w:numId="9">
    <w:abstractNumId w:val="4"/>
  </w:num>
  <w:num w:numId="10">
    <w:abstractNumId w:val="10"/>
  </w:num>
  <w:num w:numId="11">
    <w:abstractNumId w:val="12"/>
  </w:num>
  <w:num w:numId="12">
    <w:abstractNumId w:val="18"/>
  </w:num>
  <w:num w:numId="13">
    <w:abstractNumId w:val="8"/>
  </w:num>
  <w:num w:numId="14">
    <w:abstractNumId w:val="5"/>
  </w:num>
  <w:num w:numId="15">
    <w:abstractNumId w:val="16"/>
  </w:num>
  <w:num w:numId="16">
    <w:abstractNumId w:val="13"/>
  </w:num>
  <w:num w:numId="17">
    <w:abstractNumId w:val="7"/>
  </w:num>
  <w:num w:numId="18">
    <w:abstractNumId w:val="17"/>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1697D84"/>
    <w:rsid w:val="028435D5"/>
    <w:rsid w:val="03101F14"/>
    <w:rsid w:val="04886E34"/>
    <w:rsid w:val="04A6236A"/>
    <w:rsid w:val="053F5432"/>
    <w:rsid w:val="064E7C45"/>
    <w:rsid w:val="068A4CBA"/>
    <w:rsid w:val="06CC3293"/>
    <w:rsid w:val="06EB0133"/>
    <w:rsid w:val="07511304"/>
    <w:rsid w:val="07881078"/>
    <w:rsid w:val="07D25902"/>
    <w:rsid w:val="08B30F6F"/>
    <w:rsid w:val="08E64DEC"/>
    <w:rsid w:val="09120F98"/>
    <w:rsid w:val="0A7641DC"/>
    <w:rsid w:val="0AAA0289"/>
    <w:rsid w:val="0AED524D"/>
    <w:rsid w:val="0B23256F"/>
    <w:rsid w:val="0B274046"/>
    <w:rsid w:val="0B391354"/>
    <w:rsid w:val="0B873248"/>
    <w:rsid w:val="0C227C27"/>
    <w:rsid w:val="0C953F96"/>
    <w:rsid w:val="0CA54E8F"/>
    <w:rsid w:val="0CAE7D79"/>
    <w:rsid w:val="0D5A1343"/>
    <w:rsid w:val="0D9D02F2"/>
    <w:rsid w:val="0E687FC0"/>
    <w:rsid w:val="0EA251DE"/>
    <w:rsid w:val="0EDF7E29"/>
    <w:rsid w:val="0F492F98"/>
    <w:rsid w:val="100B4F00"/>
    <w:rsid w:val="105C4115"/>
    <w:rsid w:val="11042329"/>
    <w:rsid w:val="11091F74"/>
    <w:rsid w:val="11570565"/>
    <w:rsid w:val="11ED1C9B"/>
    <w:rsid w:val="12123452"/>
    <w:rsid w:val="12200ABA"/>
    <w:rsid w:val="136C0866"/>
    <w:rsid w:val="138835F2"/>
    <w:rsid w:val="13CC56B8"/>
    <w:rsid w:val="14214638"/>
    <w:rsid w:val="149819C8"/>
    <w:rsid w:val="14BF19B2"/>
    <w:rsid w:val="14D058A3"/>
    <w:rsid w:val="14D52C64"/>
    <w:rsid w:val="14FD3393"/>
    <w:rsid w:val="15094976"/>
    <w:rsid w:val="151328B5"/>
    <w:rsid w:val="15747D23"/>
    <w:rsid w:val="15EE44D7"/>
    <w:rsid w:val="165420F9"/>
    <w:rsid w:val="16A04E60"/>
    <w:rsid w:val="17347C94"/>
    <w:rsid w:val="176C621B"/>
    <w:rsid w:val="17953403"/>
    <w:rsid w:val="17B078B6"/>
    <w:rsid w:val="17D4102F"/>
    <w:rsid w:val="183214DD"/>
    <w:rsid w:val="18335D5B"/>
    <w:rsid w:val="186123CE"/>
    <w:rsid w:val="18A87727"/>
    <w:rsid w:val="191352ED"/>
    <w:rsid w:val="196D2B55"/>
    <w:rsid w:val="197B011F"/>
    <w:rsid w:val="19B77508"/>
    <w:rsid w:val="1AB02D06"/>
    <w:rsid w:val="1BBD14F6"/>
    <w:rsid w:val="1BC27E34"/>
    <w:rsid w:val="1C1567C4"/>
    <w:rsid w:val="1C317F37"/>
    <w:rsid w:val="1C527EEE"/>
    <w:rsid w:val="1C6E2577"/>
    <w:rsid w:val="1D90357B"/>
    <w:rsid w:val="1EB5576F"/>
    <w:rsid w:val="1ED64165"/>
    <w:rsid w:val="1FE93A23"/>
    <w:rsid w:val="1FF345DD"/>
    <w:rsid w:val="1FFD0819"/>
    <w:rsid w:val="2020726C"/>
    <w:rsid w:val="204C3CC9"/>
    <w:rsid w:val="20717C09"/>
    <w:rsid w:val="208747B3"/>
    <w:rsid w:val="20B752FA"/>
    <w:rsid w:val="20C558B1"/>
    <w:rsid w:val="20D23128"/>
    <w:rsid w:val="211D1613"/>
    <w:rsid w:val="21A619E5"/>
    <w:rsid w:val="21DF17AC"/>
    <w:rsid w:val="22112ED9"/>
    <w:rsid w:val="22A222A4"/>
    <w:rsid w:val="22B643D4"/>
    <w:rsid w:val="23DE6450"/>
    <w:rsid w:val="241C1021"/>
    <w:rsid w:val="24326801"/>
    <w:rsid w:val="24BD5925"/>
    <w:rsid w:val="25720679"/>
    <w:rsid w:val="257913BE"/>
    <w:rsid w:val="25AC180D"/>
    <w:rsid w:val="25CE46C7"/>
    <w:rsid w:val="26146C67"/>
    <w:rsid w:val="264B797C"/>
    <w:rsid w:val="267F6930"/>
    <w:rsid w:val="27041650"/>
    <w:rsid w:val="27083540"/>
    <w:rsid w:val="270F057A"/>
    <w:rsid w:val="27116667"/>
    <w:rsid w:val="27B5253B"/>
    <w:rsid w:val="280A2283"/>
    <w:rsid w:val="286E7905"/>
    <w:rsid w:val="29097392"/>
    <w:rsid w:val="29AE5E1F"/>
    <w:rsid w:val="29F529F5"/>
    <w:rsid w:val="2B4D4ABE"/>
    <w:rsid w:val="2B7C5707"/>
    <w:rsid w:val="2C112B2B"/>
    <w:rsid w:val="2C221639"/>
    <w:rsid w:val="2C24081C"/>
    <w:rsid w:val="2C2E4C48"/>
    <w:rsid w:val="2C59288E"/>
    <w:rsid w:val="2CD728C3"/>
    <w:rsid w:val="2CE23AA3"/>
    <w:rsid w:val="2D16002E"/>
    <w:rsid w:val="2D5F028F"/>
    <w:rsid w:val="2EC53CB0"/>
    <w:rsid w:val="2EE70E88"/>
    <w:rsid w:val="2F033EA7"/>
    <w:rsid w:val="2F45482D"/>
    <w:rsid w:val="2F477084"/>
    <w:rsid w:val="2FA163D5"/>
    <w:rsid w:val="3003483C"/>
    <w:rsid w:val="30320A84"/>
    <w:rsid w:val="30594D2E"/>
    <w:rsid w:val="305F0D15"/>
    <w:rsid w:val="30732A97"/>
    <w:rsid w:val="307D673F"/>
    <w:rsid w:val="31DD1CA1"/>
    <w:rsid w:val="32B20743"/>
    <w:rsid w:val="32E31462"/>
    <w:rsid w:val="334540A0"/>
    <w:rsid w:val="337630DC"/>
    <w:rsid w:val="33BA2A8B"/>
    <w:rsid w:val="33D72AE1"/>
    <w:rsid w:val="33E374F7"/>
    <w:rsid w:val="342D2C33"/>
    <w:rsid w:val="34A82C3F"/>
    <w:rsid w:val="34C445E8"/>
    <w:rsid w:val="35306958"/>
    <w:rsid w:val="35376244"/>
    <w:rsid w:val="36584E6B"/>
    <w:rsid w:val="366B2858"/>
    <w:rsid w:val="38A15C9C"/>
    <w:rsid w:val="391E6950"/>
    <w:rsid w:val="39AC4FE3"/>
    <w:rsid w:val="39E27D6A"/>
    <w:rsid w:val="3A1A525E"/>
    <w:rsid w:val="3A4E22BD"/>
    <w:rsid w:val="3A9F130E"/>
    <w:rsid w:val="3AC80250"/>
    <w:rsid w:val="3B2524D7"/>
    <w:rsid w:val="3B380893"/>
    <w:rsid w:val="3B396FC7"/>
    <w:rsid w:val="3B815E67"/>
    <w:rsid w:val="3BD71DF6"/>
    <w:rsid w:val="3CA27DE0"/>
    <w:rsid w:val="3CA350FF"/>
    <w:rsid w:val="3CA44201"/>
    <w:rsid w:val="3D4934C0"/>
    <w:rsid w:val="3D83631F"/>
    <w:rsid w:val="3D96637E"/>
    <w:rsid w:val="3DA46CE8"/>
    <w:rsid w:val="3DAE38E0"/>
    <w:rsid w:val="3DCA4BA8"/>
    <w:rsid w:val="3DD1690A"/>
    <w:rsid w:val="3E100F1A"/>
    <w:rsid w:val="3E463466"/>
    <w:rsid w:val="3F09222A"/>
    <w:rsid w:val="3F192EE4"/>
    <w:rsid w:val="3F940AD9"/>
    <w:rsid w:val="3FBA1C67"/>
    <w:rsid w:val="414324D1"/>
    <w:rsid w:val="419C7FB7"/>
    <w:rsid w:val="42077FA7"/>
    <w:rsid w:val="42521A6B"/>
    <w:rsid w:val="4283495D"/>
    <w:rsid w:val="42CA2AA5"/>
    <w:rsid w:val="42D26343"/>
    <w:rsid w:val="42DA5C25"/>
    <w:rsid w:val="42F23437"/>
    <w:rsid w:val="43B2632F"/>
    <w:rsid w:val="43F31E9E"/>
    <w:rsid w:val="442D0132"/>
    <w:rsid w:val="44EA4606"/>
    <w:rsid w:val="46366161"/>
    <w:rsid w:val="467D2F1A"/>
    <w:rsid w:val="467D65A7"/>
    <w:rsid w:val="46CE1703"/>
    <w:rsid w:val="46E35449"/>
    <w:rsid w:val="47211491"/>
    <w:rsid w:val="473960E8"/>
    <w:rsid w:val="47DB3550"/>
    <w:rsid w:val="47F44371"/>
    <w:rsid w:val="485128BA"/>
    <w:rsid w:val="48DE5FEB"/>
    <w:rsid w:val="494D5593"/>
    <w:rsid w:val="49574371"/>
    <w:rsid w:val="4B17637C"/>
    <w:rsid w:val="4B8F1B82"/>
    <w:rsid w:val="4B9279F7"/>
    <w:rsid w:val="4C583143"/>
    <w:rsid w:val="4CB161ED"/>
    <w:rsid w:val="4CC23E78"/>
    <w:rsid w:val="4CEC150D"/>
    <w:rsid w:val="4CFE775B"/>
    <w:rsid w:val="4D005CCE"/>
    <w:rsid w:val="4D026AF7"/>
    <w:rsid w:val="4D325031"/>
    <w:rsid w:val="4D73773B"/>
    <w:rsid w:val="4DE45808"/>
    <w:rsid w:val="4E2030AF"/>
    <w:rsid w:val="4E332ECE"/>
    <w:rsid w:val="4E4921A2"/>
    <w:rsid w:val="4E7659F5"/>
    <w:rsid w:val="4E9448CD"/>
    <w:rsid w:val="4EE00C6D"/>
    <w:rsid w:val="4EE35A98"/>
    <w:rsid w:val="4F0E58A0"/>
    <w:rsid w:val="4FA57045"/>
    <w:rsid w:val="4FE33D55"/>
    <w:rsid w:val="50092F77"/>
    <w:rsid w:val="50353F8F"/>
    <w:rsid w:val="50433D70"/>
    <w:rsid w:val="5047195B"/>
    <w:rsid w:val="505F0174"/>
    <w:rsid w:val="507B3A5B"/>
    <w:rsid w:val="50A050A3"/>
    <w:rsid w:val="50D200CE"/>
    <w:rsid w:val="51352836"/>
    <w:rsid w:val="52666AED"/>
    <w:rsid w:val="526E319D"/>
    <w:rsid w:val="537D7454"/>
    <w:rsid w:val="538F09F6"/>
    <w:rsid w:val="542B1DCB"/>
    <w:rsid w:val="54333346"/>
    <w:rsid w:val="544C0545"/>
    <w:rsid w:val="545C1718"/>
    <w:rsid w:val="546A12E9"/>
    <w:rsid w:val="547008BC"/>
    <w:rsid w:val="54DB311C"/>
    <w:rsid w:val="55684A64"/>
    <w:rsid w:val="563377CA"/>
    <w:rsid w:val="56733604"/>
    <w:rsid w:val="57E80B5E"/>
    <w:rsid w:val="58504BAF"/>
    <w:rsid w:val="58A31F4C"/>
    <w:rsid w:val="58C632AF"/>
    <w:rsid w:val="594F5DB3"/>
    <w:rsid w:val="59BB254A"/>
    <w:rsid w:val="5A3B19AE"/>
    <w:rsid w:val="5A7F0963"/>
    <w:rsid w:val="5B14678C"/>
    <w:rsid w:val="5B865281"/>
    <w:rsid w:val="5BD83E74"/>
    <w:rsid w:val="5C1717D9"/>
    <w:rsid w:val="5C7E195A"/>
    <w:rsid w:val="5CB139A0"/>
    <w:rsid w:val="5CD938B8"/>
    <w:rsid w:val="5D4D770C"/>
    <w:rsid w:val="5DB52180"/>
    <w:rsid w:val="5DF8624F"/>
    <w:rsid w:val="5E8E5AC1"/>
    <w:rsid w:val="5F4A434F"/>
    <w:rsid w:val="5F6F266C"/>
    <w:rsid w:val="5F9316CB"/>
    <w:rsid w:val="601101CA"/>
    <w:rsid w:val="604B22FC"/>
    <w:rsid w:val="60AA0154"/>
    <w:rsid w:val="60CE2876"/>
    <w:rsid w:val="61331343"/>
    <w:rsid w:val="614E3A65"/>
    <w:rsid w:val="6152430E"/>
    <w:rsid w:val="617E5EC0"/>
    <w:rsid w:val="61BC4DC2"/>
    <w:rsid w:val="61C9428E"/>
    <w:rsid w:val="62E30EBD"/>
    <w:rsid w:val="62F34E93"/>
    <w:rsid w:val="634675E2"/>
    <w:rsid w:val="63916D43"/>
    <w:rsid w:val="63A1475B"/>
    <w:rsid w:val="63F4509F"/>
    <w:rsid w:val="640B4298"/>
    <w:rsid w:val="64FE6613"/>
    <w:rsid w:val="65603E60"/>
    <w:rsid w:val="66832BD3"/>
    <w:rsid w:val="671E038B"/>
    <w:rsid w:val="67341FB4"/>
    <w:rsid w:val="68522686"/>
    <w:rsid w:val="685F0779"/>
    <w:rsid w:val="686A54EC"/>
    <w:rsid w:val="686B226D"/>
    <w:rsid w:val="691127FA"/>
    <w:rsid w:val="69FB4D8B"/>
    <w:rsid w:val="6AA7246A"/>
    <w:rsid w:val="6AB0569B"/>
    <w:rsid w:val="6ABC140D"/>
    <w:rsid w:val="6AF819D5"/>
    <w:rsid w:val="6B4224EC"/>
    <w:rsid w:val="6C1E4516"/>
    <w:rsid w:val="6C4D5566"/>
    <w:rsid w:val="6D233967"/>
    <w:rsid w:val="6D32159C"/>
    <w:rsid w:val="6D351CF7"/>
    <w:rsid w:val="6DAC4BCA"/>
    <w:rsid w:val="6DFE7684"/>
    <w:rsid w:val="6E5D0D3A"/>
    <w:rsid w:val="6EB746A7"/>
    <w:rsid w:val="6F0F427D"/>
    <w:rsid w:val="6FAF5B34"/>
    <w:rsid w:val="70052CD8"/>
    <w:rsid w:val="704D75D1"/>
    <w:rsid w:val="7072440C"/>
    <w:rsid w:val="7092622D"/>
    <w:rsid w:val="70B3673D"/>
    <w:rsid w:val="70D41C32"/>
    <w:rsid w:val="713E3AD4"/>
    <w:rsid w:val="71417D97"/>
    <w:rsid w:val="71AE365D"/>
    <w:rsid w:val="72742476"/>
    <w:rsid w:val="730744C5"/>
    <w:rsid w:val="738F2290"/>
    <w:rsid w:val="73AD61C5"/>
    <w:rsid w:val="73F638BE"/>
    <w:rsid w:val="741C71F9"/>
    <w:rsid w:val="755E1E93"/>
    <w:rsid w:val="75AB4839"/>
    <w:rsid w:val="76047FEE"/>
    <w:rsid w:val="767C5E46"/>
    <w:rsid w:val="76B625A7"/>
    <w:rsid w:val="76DD046C"/>
    <w:rsid w:val="76E2002B"/>
    <w:rsid w:val="77231705"/>
    <w:rsid w:val="78742DEB"/>
    <w:rsid w:val="787D7581"/>
    <w:rsid w:val="789915BC"/>
    <w:rsid w:val="78AF68A0"/>
    <w:rsid w:val="793269F1"/>
    <w:rsid w:val="79A8684A"/>
    <w:rsid w:val="7AC62ED3"/>
    <w:rsid w:val="7ADB34AE"/>
    <w:rsid w:val="7B7B38A1"/>
    <w:rsid w:val="7B911D6F"/>
    <w:rsid w:val="7BBC7213"/>
    <w:rsid w:val="7BF537C5"/>
    <w:rsid w:val="7C0C4577"/>
    <w:rsid w:val="7C3F0113"/>
    <w:rsid w:val="7C434A51"/>
    <w:rsid w:val="7C6F13B0"/>
    <w:rsid w:val="7CE017B2"/>
    <w:rsid w:val="7D8C3CFB"/>
    <w:rsid w:val="7E157434"/>
    <w:rsid w:val="7E1E0EFB"/>
    <w:rsid w:val="7E4C7A10"/>
    <w:rsid w:val="7E583278"/>
    <w:rsid w:val="7E72712A"/>
    <w:rsid w:val="7E9A6790"/>
    <w:rsid w:val="7EB52D4A"/>
    <w:rsid w:val="7EE7719C"/>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4"/>
    <w:qFormat/>
    <w:uiPriority w:val="0"/>
    <w:rPr>
      <w:rFonts w:ascii="Times New Roman" w:hAnsi="Times New Roman" w:eastAsia="宋体" w:cs="Times New Roman"/>
      <w:color w:val="FF0000"/>
      <w:sz w:val="24"/>
      <w:szCs w:val="24"/>
    </w:r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ody Text Indent 2"/>
    <w:basedOn w:val="1"/>
    <w:semiHidden/>
    <w:qFormat/>
    <w:uiPriority w:val="99"/>
    <w:pPr>
      <w:spacing w:after="120" w:line="480" w:lineRule="auto"/>
      <w:ind w:left="420" w:leftChars="2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4"/>
    <w:qFormat/>
    <w:uiPriority w:val="0"/>
    <w:rPr>
      <w:rFonts w:ascii="Calibri" w:hAnsi="Calibri" w:eastAsia="宋体" w:cs="Times New Roman"/>
      <w:b/>
      <w:bCs/>
      <w:kern w:val="44"/>
      <w:sz w:val="44"/>
      <w:szCs w:val="44"/>
    </w:rPr>
  </w:style>
  <w:style w:type="character" w:customStyle="1" w:styleId="31">
    <w:name w:val="标题 2 Char"/>
    <w:basedOn w:val="25"/>
    <w:link w:val="5"/>
    <w:qFormat/>
    <w:uiPriority w:val="0"/>
    <w:rPr>
      <w:rFonts w:ascii="Arial" w:hAnsi="Arial" w:eastAsia="黑体" w:cs="Times New Roman"/>
      <w:b/>
      <w:bCs/>
      <w:sz w:val="32"/>
      <w:szCs w:val="32"/>
    </w:rPr>
  </w:style>
  <w:style w:type="character" w:customStyle="1" w:styleId="32">
    <w:name w:val="标题 3 Char"/>
    <w:basedOn w:val="25"/>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7"/>
    <w:qFormat/>
    <w:uiPriority w:val="0"/>
    <w:rPr>
      <w:rFonts w:ascii="Arial" w:hAnsi="Arial" w:eastAsia="黑体" w:cs="Times New Roman"/>
      <w:b/>
      <w:bCs/>
      <w:sz w:val="28"/>
      <w:szCs w:val="28"/>
    </w:rPr>
  </w:style>
  <w:style w:type="character" w:customStyle="1" w:styleId="34">
    <w:name w:val="正文文本 3 Char"/>
    <w:basedOn w:val="25"/>
    <w:link w:val="10"/>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green"/>
    <w:basedOn w:val="25"/>
    <w:qFormat/>
    <w:uiPriority w:val="0"/>
    <w:rPr>
      <w:color w:val="66AE00"/>
      <w:sz w:val="18"/>
      <w:szCs w:val="18"/>
    </w:rPr>
  </w:style>
  <w:style w:type="character" w:customStyle="1" w:styleId="61">
    <w:name w:val="green1"/>
    <w:basedOn w:val="25"/>
    <w:qFormat/>
    <w:uiPriority w:val="0"/>
    <w:rPr>
      <w:color w:val="66AE00"/>
      <w:sz w:val="18"/>
      <w:szCs w:val="18"/>
    </w:rPr>
  </w:style>
  <w:style w:type="character" w:customStyle="1" w:styleId="62">
    <w:name w:val="red"/>
    <w:basedOn w:val="25"/>
    <w:qFormat/>
    <w:uiPriority w:val="0"/>
    <w:rPr>
      <w:color w:val="FF0000"/>
      <w:sz w:val="18"/>
      <w:szCs w:val="18"/>
    </w:rPr>
  </w:style>
  <w:style w:type="character" w:customStyle="1" w:styleId="63">
    <w:name w:val="red1"/>
    <w:basedOn w:val="25"/>
    <w:qFormat/>
    <w:uiPriority w:val="0"/>
    <w:rPr>
      <w:color w:val="FF0000"/>
      <w:sz w:val="18"/>
      <w:szCs w:val="18"/>
    </w:rPr>
  </w:style>
  <w:style w:type="character" w:customStyle="1" w:styleId="64">
    <w:name w:val="red2"/>
    <w:basedOn w:val="25"/>
    <w:qFormat/>
    <w:uiPriority w:val="0"/>
    <w:rPr>
      <w:color w:val="CC0000"/>
    </w:rPr>
  </w:style>
  <w:style w:type="character" w:customStyle="1" w:styleId="65">
    <w:name w:val="red3"/>
    <w:basedOn w:val="25"/>
    <w:qFormat/>
    <w:uiPriority w:val="0"/>
    <w:rPr>
      <w:color w:val="FF0000"/>
    </w:rPr>
  </w:style>
  <w:style w:type="character" w:customStyle="1" w:styleId="66">
    <w:name w:val="blue"/>
    <w:basedOn w:val="25"/>
    <w:qFormat/>
    <w:uiPriority w:val="0"/>
    <w:rPr>
      <w:color w:val="0371C6"/>
      <w:sz w:val="21"/>
      <w:szCs w:val="21"/>
    </w:rPr>
  </w:style>
  <w:style w:type="character" w:customStyle="1" w:styleId="67">
    <w:name w:val="hover25"/>
    <w:basedOn w:val="25"/>
    <w:qFormat/>
    <w:uiPriority w:val="0"/>
  </w:style>
  <w:style w:type="character" w:customStyle="1" w:styleId="68">
    <w:name w:val="gb-jt"/>
    <w:basedOn w:val="25"/>
    <w:qFormat/>
    <w:uiPriority w:val="0"/>
  </w:style>
  <w:style w:type="character" w:customStyle="1" w:styleId="69">
    <w:name w:val="right"/>
    <w:basedOn w:val="25"/>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36</TotalTime>
  <ScaleCrop>false</ScaleCrop>
  <LinksUpToDate>false</LinksUpToDate>
  <CharactersWithSpaces>34056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长葛市公共资源交易中心:王丹丹</cp:lastModifiedBy>
  <cp:lastPrinted>2020-03-11T07:11:00Z</cp:lastPrinted>
  <dcterms:modified xsi:type="dcterms:W3CDTF">2020-03-11T08:13:03Z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