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0"/>
        <w:jc w:val="left"/>
        <w:rPr>
          <w:rFonts w:hint="eastAsia" w:ascii="黑体" w:hAnsi="黑体" w:eastAsia="黑体" w:cs="黑体"/>
          <w:b/>
          <w:bCs/>
          <w:i w:val="0"/>
          <w:sz w:val="36"/>
          <w:szCs w:val="36"/>
        </w:rPr>
      </w:pPr>
      <w:r>
        <w:rPr>
          <w:rFonts w:hint="eastAsia" w:ascii="黑体" w:hAnsi="黑体" w:eastAsia="黑体" w:cs="黑体"/>
          <w:b/>
          <w:bCs/>
          <w:i w:val="0"/>
          <w:color w:val="000000"/>
          <w:kern w:val="0"/>
          <w:sz w:val="36"/>
          <w:szCs w:val="36"/>
          <w:u w:val="none"/>
          <w:shd w:val="clear" w:fill="FFFFFF"/>
          <w:lang w:val="en-US" w:eastAsia="zh-CN" w:bidi="ar"/>
        </w:rPr>
        <w:t>许昌技术经济学校财税综合实训中心设备项目（二次）</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hint="eastAsia" w:asciiTheme="majorEastAsia" w:hAnsiTheme="majorEastAsia" w:eastAsiaTheme="majorEastAsia" w:cstheme="majorEastAsia"/>
          <w:b/>
          <w:bCs w:val="0"/>
          <w:color w:val="000000"/>
          <w:w w:val="90"/>
          <w:sz w:val="84"/>
          <w:szCs w:val="84"/>
        </w:rPr>
      </w:pPr>
      <w:r>
        <w:rPr>
          <w:rFonts w:hint="eastAsia" w:asciiTheme="majorEastAsia" w:hAnsiTheme="majorEastAsia" w:eastAsiaTheme="majorEastAsia" w:cstheme="majorEastAsia"/>
          <w:b/>
          <w:bCs w:val="0"/>
          <w:color w:val="000000"/>
          <w:w w:val="90"/>
          <w:sz w:val="84"/>
          <w:szCs w:val="84"/>
        </w:rPr>
        <w:t>招</w:t>
      </w:r>
      <w:r>
        <w:rPr>
          <w:rFonts w:hint="eastAsia" w:asciiTheme="majorEastAsia" w:hAnsiTheme="majorEastAsia" w:eastAsiaTheme="majorEastAsia" w:cstheme="majorEastAsia"/>
          <w:b/>
          <w:bCs w:val="0"/>
          <w:color w:val="000000"/>
          <w:w w:val="90"/>
          <w:sz w:val="84"/>
          <w:szCs w:val="84"/>
          <w:lang w:val="en-US" w:eastAsia="zh-CN"/>
        </w:rPr>
        <w:t xml:space="preserve"> </w:t>
      </w:r>
      <w:r>
        <w:rPr>
          <w:rFonts w:hint="eastAsia" w:asciiTheme="majorEastAsia" w:hAnsiTheme="majorEastAsia" w:eastAsiaTheme="majorEastAsia" w:cstheme="majorEastAsia"/>
          <w:b/>
          <w:bCs w:val="0"/>
          <w:color w:val="000000"/>
          <w:w w:val="90"/>
          <w:sz w:val="84"/>
          <w:szCs w:val="84"/>
        </w:rPr>
        <w:t>标</w:t>
      </w:r>
      <w:r>
        <w:rPr>
          <w:rFonts w:hint="eastAsia" w:asciiTheme="majorEastAsia" w:hAnsiTheme="majorEastAsia" w:eastAsiaTheme="majorEastAsia" w:cstheme="majorEastAsia"/>
          <w:b/>
          <w:bCs w:val="0"/>
          <w:color w:val="000000"/>
          <w:w w:val="90"/>
          <w:sz w:val="84"/>
          <w:szCs w:val="84"/>
          <w:lang w:val="en-US" w:eastAsia="zh-CN"/>
        </w:rPr>
        <w:t xml:space="preserve"> </w:t>
      </w:r>
      <w:r>
        <w:rPr>
          <w:rFonts w:hint="eastAsia" w:asciiTheme="majorEastAsia" w:hAnsiTheme="majorEastAsia" w:eastAsiaTheme="majorEastAsia" w:cstheme="majorEastAsia"/>
          <w:b/>
          <w:bCs w:val="0"/>
          <w:color w:val="000000"/>
          <w:w w:val="90"/>
          <w:sz w:val="84"/>
          <w:szCs w:val="84"/>
        </w:rPr>
        <w:t>文</w:t>
      </w:r>
      <w:r>
        <w:rPr>
          <w:rFonts w:hint="eastAsia" w:asciiTheme="majorEastAsia" w:hAnsiTheme="majorEastAsia" w:eastAsiaTheme="majorEastAsia" w:cstheme="majorEastAsia"/>
          <w:b/>
          <w:bCs w:val="0"/>
          <w:color w:val="000000"/>
          <w:w w:val="90"/>
          <w:sz w:val="84"/>
          <w:szCs w:val="84"/>
          <w:lang w:val="en-US" w:eastAsia="zh-CN"/>
        </w:rPr>
        <w:t xml:space="preserve"> </w:t>
      </w:r>
      <w:r>
        <w:rPr>
          <w:rFonts w:hint="eastAsia" w:asciiTheme="majorEastAsia" w:hAnsiTheme="majorEastAsia" w:eastAsiaTheme="majorEastAsia" w:cstheme="majorEastAsia"/>
          <w:b/>
          <w:bCs w:val="0"/>
          <w:color w:val="000000"/>
          <w:w w:val="90"/>
          <w:sz w:val="84"/>
          <w:szCs w:val="84"/>
        </w:rPr>
        <w:t>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hint="eastAsia"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w:t>
      </w:r>
    </w:p>
    <w:p>
      <w:pPr>
        <w:keepNext w:val="0"/>
        <w:keepLines w:val="0"/>
        <w:pageBreakBefore w:val="0"/>
        <w:widowControl w:val="0"/>
        <w:kinsoku/>
        <w:wordWrap/>
        <w:overflowPunct/>
        <w:topLinePunct w:val="0"/>
        <w:autoSpaceDE/>
        <w:autoSpaceDN/>
        <w:bidi w:val="0"/>
        <w:adjustRightInd/>
        <w:snapToGrid/>
        <w:spacing w:line="880" w:lineRule="exact"/>
        <w:jc w:val="center"/>
        <w:textAlignment w:val="auto"/>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lang w:eastAsia="zh-CN"/>
        </w:rPr>
        <w:t>项目编号：长招采公字</w:t>
      </w:r>
      <w:r>
        <w:rPr>
          <w:rFonts w:hint="eastAsia" w:asciiTheme="majorEastAsia" w:hAnsiTheme="majorEastAsia" w:eastAsiaTheme="majorEastAsia" w:cstheme="majorEastAsia"/>
          <w:b/>
          <w:bCs/>
          <w:color w:val="000000"/>
          <w:sz w:val="36"/>
          <w:szCs w:val="36"/>
          <w:lang w:val="en-US" w:eastAsia="zh-CN"/>
        </w:rPr>
        <w:t>【2019】</w:t>
      </w:r>
      <w:r>
        <w:rPr>
          <w:rFonts w:hint="eastAsia" w:asciiTheme="majorEastAsia" w:hAnsiTheme="majorEastAsia" w:eastAsiaTheme="majorEastAsia" w:cstheme="majorEastAsia"/>
          <w:b/>
          <w:bCs/>
          <w:color w:val="000000"/>
          <w:sz w:val="36"/>
          <w:szCs w:val="36"/>
          <w:lang w:eastAsia="zh-CN"/>
        </w:rPr>
        <w:t>0</w:t>
      </w:r>
      <w:r>
        <w:rPr>
          <w:rFonts w:hint="eastAsia" w:asciiTheme="majorEastAsia" w:hAnsiTheme="majorEastAsia" w:eastAsiaTheme="majorEastAsia" w:cstheme="majorEastAsia"/>
          <w:b/>
          <w:bCs/>
          <w:color w:val="000000"/>
          <w:sz w:val="36"/>
          <w:szCs w:val="36"/>
          <w:lang w:val="en-US" w:eastAsia="zh-CN"/>
        </w:rPr>
        <w:t>79</w:t>
      </w:r>
      <w:r>
        <w:rPr>
          <w:rFonts w:hint="eastAsia" w:asciiTheme="majorEastAsia" w:hAnsiTheme="majorEastAsia" w:eastAsiaTheme="majorEastAsia" w:cstheme="majorEastAsia"/>
          <w:b/>
          <w:bCs/>
          <w:color w:val="000000"/>
          <w:sz w:val="36"/>
          <w:szCs w:val="36"/>
          <w:lang w:eastAsia="zh-CN"/>
        </w:rPr>
        <w:t>号</w:t>
      </w:r>
    </w:p>
    <w:p>
      <w:pPr>
        <w:keepNext w:val="0"/>
        <w:keepLines w:val="0"/>
        <w:pageBreakBefore w:val="0"/>
        <w:widowControl w:val="0"/>
        <w:kinsoku/>
        <w:wordWrap/>
        <w:overflowPunct/>
        <w:topLinePunct w:val="0"/>
        <w:autoSpaceDE/>
        <w:autoSpaceDN/>
        <w:bidi w:val="0"/>
        <w:adjustRightInd/>
        <w:snapToGrid/>
        <w:spacing w:line="880" w:lineRule="exact"/>
        <w:ind w:firstLine="1446" w:firstLineChars="400"/>
        <w:jc w:val="both"/>
        <w:textAlignment w:val="auto"/>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lang w:eastAsia="zh-CN"/>
        </w:rPr>
        <w:t>采购单位：</w:t>
      </w:r>
      <w:r>
        <w:rPr>
          <w:rFonts w:hint="eastAsia" w:asciiTheme="majorEastAsia" w:hAnsiTheme="majorEastAsia" w:eastAsiaTheme="majorEastAsia" w:cstheme="majorEastAsia"/>
          <w:b/>
          <w:bCs/>
          <w:color w:val="000000"/>
          <w:sz w:val="36"/>
          <w:szCs w:val="36"/>
          <w:lang w:val="en-US" w:eastAsia="zh-CN"/>
        </w:rPr>
        <w:t>许昌技术经济学校</w:t>
      </w:r>
    </w:p>
    <w:p>
      <w:pPr>
        <w:keepNext w:val="0"/>
        <w:keepLines w:val="0"/>
        <w:pageBreakBefore w:val="0"/>
        <w:widowControl w:val="0"/>
        <w:kinsoku/>
        <w:wordWrap/>
        <w:overflowPunct/>
        <w:topLinePunct w:val="0"/>
        <w:autoSpaceDE/>
        <w:autoSpaceDN/>
        <w:bidi w:val="0"/>
        <w:adjustRightInd/>
        <w:snapToGrid/>
        <w:spacing w:line="880" w:lineRule="exact"/>
        <w:jc w:val="center"/>
        <w:textAlignment w:val="auto"/>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lang w:eastAsia="zh-CN"/>
        </w:rPr>
        <w:t>代理机构：山西文昌工程咨询有限公司</w:t>
      </w:r>
      <w:r>
        <w:rPr>
          <w:rFonts w:hint="eastAsia" w:asciiTheme="majorEastAsia" w:hAnsiTheme="majorEastAsia" w:eastAsiaTheme="majorEastAsia" w:cstheme="majorEastAsia"/>
          <w:b/>
          <w:bCs/>
          <w:color w:val="000000"/>
          <w:sz w:val="36"/>
          <w:szCs w:val="36"/>
        </w:rPr>
        <w:t xml:space="preserve">      </w:t>
      </w:r>
    </w:p>
    <w:p>
      <w:pPr>
        <w:keepNext w:val="0"/>
        <w:keepLines w:val="0"/>
        <w:pageBreakBefore w:val="0"/>
        <w:widowControl w:val="0"/>
        <w:kinsoku/>
        <w:wordWrap/>
        <w:overflowPunct/>
        <w:topLinePunct w:val="0"/>
        <w:autoSpaceDE/>
        <w:autoSpaceDN/>
        <w:bidi w:val="0"/>
        <w:adjustRightInd/>
        <w:snapToGrid/>
        <w:spacing w:line="880" w:lineRule="exact"/>
        <w:jc w:val="center"/>
        <w:textAlignment w:val="auto"/>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w:t>
      </w:r>
      <w:r>
        <w:rPr>
          <w:rFonts w:hint="eastAsia" w:asciiTheme="majorEastAsia" w:hAnsiTheme="majorEastAsia" w:eastAsiaTheme="majorEastAsia" w:cstheme="majorEastAsia"/>
          <w:b/>
          <w:bCs/>
          <w:color w:val="000000"/>
          <w:sz w:val="36"/>
          <w:szCs w:val="36"/>
          <w:lang w:eastAsia="zh-CN"/>
        </w:rPr>
        <w:t>二</w:t>
      </w:r>
      <w:r>
        <w:rPr>
          <w:rFonts w:hint="eastAsia" w:asciiTheme="majorEastAsia" w:hAnsiTheme="majorEastAsia" w:eastAsiaTheme="majorEastAsia" w:cstheme="majorEastAsia"/>
          <w:b/>
          <w:bCs/>
          <w:color w:val="000000"/>
          <w:sz w:val="36"/>
          <w:szCs w:val="36"/>
        </w:rPr>
        <w:t>〇年</w:t>
      </w:r>
      <w:r>
        <w:rPr>
          <w:rFonts w:hint="eastAsia" w:asciiTheme="majorEastAsia" w:hAnsiTheme="majorEastAsia" w:eastAsiaTheme="majorEastAsia" w:cstheme="majorEastAsia"/>
          <w:b/>
          <w:bCs/>
          <w:color w:val="000000"/>
          <w:sz w:val="36"/>
          <w:szCs w:val="36"/>
          <w:lang w:eastAsia="zh-CN"/>
        </w:rPr>
        <w:t>三</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sectPr>
          <w:headerReference r:id="rId4" w:type="first"/>
          <w:headerReference r:id="rId3" w:type="default"/>
          <w:footerReference r:id="rId5" w:type="default"/>
          <w:pgSz w:w="11906" w:h="16838"/>
          <w:pgMar w:top="2098" w:right="1474" w:bottom="1928" w:left="1588" w:header="851" w:footer="992" w:gutter="0"/>
          <w:cols w:space="425" w:num="1"/>
          <w:titlePg/>
          <w:docGrid w:type="lines" w:linePitch="312" w:charSpace="0"/>
        </w:sect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both"/>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80" w:firstLineChars="200"/>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山西文昌工程咨询有限公司</w:t>
      </w:r>
      <w:r>
        <w:rPr>
          <w:rFonts w:hint="eastAsia" w:cs="仿宋_GB2312" w:asciiTheme="minorEastAsia" w:hAnsiTheme="minorEastAsia" w:eastAsiaTheme="minorEastAsia"/>
          <w:color w:val="000000"/>
          <w:sz w:val="24"/>
          <w:szCs w:val="24"/>
          <w:shd w:val="clear" w:color="auto" w:fill="FFFFFF"/>
          <w:lang w:val="zh-CN" w:eastAsia="zh-CN"/>
        </w:rPr>
        <w:t>(以下简称代理机构) 受</w:t>
      </w:r>
      <w:r>
        <w:rPr>
          <w:rFonts w:hint="eastAsia" w:cs="仿宋_GB2312" w:asciiTheme="minorEastAsia" w:hAnsiTheme="minorEastAsia" w:eastAsiaTheme="minorEastAsia"/>
          <w:color w:val="000000"/>
          <w:sz w:val="24"/>
          <w:szCs w:val="24"/>
          <w:shd w:val="clear" w:color="auto" w:fill="FFFFFF"/>
          <w:lang w:val="en-US" w:eastAsia="zh-CN"/>
        </w:rPr>
        <w:t>许昌技术经济学校</w:t>
      </w:r>
      <w:r>
        <w:rPr>
          <w:rFonts w:hint="eastAsia" w:cs="仿宋_GB2312" w:asciiTheme="minorEastAsia" w:hAnsiTheme="minorEastAsia" w:eastAsiaTheme="minorEastAsia"/>
          <w:color w:val="000000"/>
          <w:sz w:val="24"/>
          <w:szCs w:val="24"/>
          <w:shd w:val="clear" w:color="auto" w:fill="FFFFFF"/>
          <w:lang w:val="zh-CN" w:eastAsia="zh-CN"/>
        </w:rPr>
        <w:t>的委托，对</w:t>
      </w:r>
      <w:r>
        <w:rPr>
          <w:rFonts w:hint="eastAsia" w:cs="仿宋_GB2312" w:asciiTheme="minorEastAsia" w:hAnsiTheme="minorEastAsia" w:eastAsiaTheme="minorEastAsia"/>
          <w:color w:val="000000"/>
          <w:sz w:val="24"/>
          <w:szCs w:val="24"/>
          <w:shd w:val="clear" w:color="auto" w:fill="FFFFFF"/>
          <w:lang w:val="en-US" w:eastAsia="zh-CN"/>
        </w:rPr>
        <w:t>许昌技术经济学校财税综合实训中心设备项目</w:t>
      </w:r>
      <w:r>
        <w:rPr>
          <w:rFonts w:hint="eastAsia" w:cs="仿宋_GB2312" w:asciiTheme="minorEastAsia" w:hAnsiTheme="minorEastAsia" w:eastAsiaTheme="minorEastAsia"/>
          <w:color w:val="000000"/>
          <w:sz w:val="24"/>
          <w:szCs w:val="24"/>
          <w:shd w:val="clear" w:color="auto" w:fill="FFFFFF"/>
          <w:lang w:val="zh-CN" w:eastAsia="zh-CN"/>
        </w:rPr>
        <w:t>进行</w:t>
      </w:r>
      <w:r>
        <w:rPr>
          <w:rFonts w:hint="eastAsia" w:cs="仿宋_GB2312" w:asciiTheme="minorEastAsia" w:hAnsiTheme="minorEastAsia"/>
          <w:color w:val="000000"/>
          <w:sz w:val="24"/>
          <w:szCs w:val="24"/>
          <w:shd w:val="clear" w:color="auto" w:fill="FFFFFF"/>
          <w:lang w:val="zh-CN" w:eastAsia="zh-CN"/>
        </w:rPr>
        <w:t>二次</w:t>
      </w:r>
      <w:r>
        <w:rPr>
          <w:rFonts w:hint="eastAsia" w:cs="仿宋_GB2312" w:asciiTheme="minorEastAsia" w:hAnsiTheme="minorEastAsia" w:eastAsiaTheme="minorEastAsia"/>
          <w:color w:val="000000"/>
          <w:sz w:val="24"/>
          <w:szCs w:val="24"/>
          <w:shd w:val="clear" w:color="auto" w:fill="FFFFFF"/>
          <w:lang w:val="zh-CN" w:eastAsia="zh-CN"/>
        </w:rPr>
        <w:t>公开招标。现邀请符合本招标文件规定条件的投标人前来投标。</w:t>
      </w:r>
    </w:p>
    <w:p>
      <w:pPr>
        <w:pStyle w:val="21"/>
        <w:widowControl/>
        <w:shd w:val="clear" w:color="auto" w:fill="FFFFFF"/>
        <w:spacing w:line="360" w:lineRule="auto"/>
        <w:contextualSpacing/>
        <w:jc w:val="left"/>
        <w:rPr>
          <w:rFonts w:cs="黑体" w:asciiTheme="minorEastAsia" w:hAnsiTheme="minorEastAsia" w:eastAsiaTheme="minorEastAsia"/>
          <w:b/>
          <w:bCs/>
          <w:color w:val="000000"/>
          <w:sz w:val="24"/>
          <w:szCs w:val="24"/>
        </w:rPr>
      </w:pPr>
      <w:r>
        <w:rPr>
          <w:rFonts w:hint="eastAsia" w:ascii="黑体" w:hAnsi="黑体" w:eastAsia="黑体" w:cs="黑体"/>
          <w:bCs/>
          <w:color w:val="000000"/>
          <w:sz w:val="24"/>
          <w:szCs w:val="24"/>
          <w:shd w:val="clear" w:color="auto" w:fill="FFFFFF"/>
        </w:rPr>
        <w:t xml:space="preserve">    </w:t>
      </w:r>
      <w:r>
        <w:rPr>
          <w:rFonts w:hint="eastAsia" w:cs="黑体" w:asciiTheme="minorEastAsia" w:hAnsiTheme="minorEastAsia" w:eastAsiaTheme="minorEastAsia"/>
          <w:b/>
          <w:bCs/>
          <w:color w:val="000000"/>
          <w:sz w:val="24"/>
          <w:szCs w:val="24"/>
          <w:shd w:val="clear" w:color="auto" w:fill="FFFFFF"/>
        </w:rPr>
        <w:t>一、项目基本情况</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en-US" w:eastAsia="zh-CN"/>
        </w:rPr>
      </w:pPr>
      <w:r>
        <w:rPr>
          <w:rFonts w:hint="eastAsia" w:cs="仿宋_GB2312" w:asciiTheme="minorEastAsia" w:hAnsiTheme="minorEastAsia" w:eastAsiaTheme="minorEastAsia"/>
          <w:color w:val="000000"/>
          <w:sz w:val="24"/>
          <w:szCs w:val="24"/>
          <w:shd w:val="clear" w:color="auto" w:fill="FFFFFF"/>
        </w:rPr>
        <w:t>（一）项目名</w:t>
      </w:r>
      <w:r>
        <w:rPr>
          <w:rFonts w:hint="eastAsia" w:cs="仿宋_GB2312" w:asciiTheme="minorEastAsia" w:hAnsiTheme="minorEastAsia" w:eastAsiaTheme="minorEastAsia"/>
          <w:color w:val="000000"/>
          <w:sz w:val="24"/>
          <w:szCs w:val="24"/>
          <w:shd w:val="clear" w:color="auto" w:fill="FFFFFF"/>
          <w:lang w:val="zh-CN"/>
        </w:rPr>
        <w:t>称：</w:t>
      </w:r>
      <w:r>
        <w:rPr>
          <w:rFonts w:hint="eastAsia" w:cs="仿宋_GB2312" w:asciiTheme="minorEastAsia" w:hAnsiTheme="minorEastAsia" w:eastAsiaTheme="minorEastAsia"/>
          <w:color w:val="000000"/>
          <w:sz w:val="24"/>
          <w:szCs w:val="24"/>
          <w:shd w:val="clear" w:color="auto" w:fill="FFFFFF"/>
          <w:lang w:val="en-US" w:eastAsia="zh-CN"/>
        </w:rPr>
        <w:t>许昌技术经济学校财税综合实训中心设备项目（二次）</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（二）项目编号：</w:t>
      </w:r>
      <w:r>
        <w:rPr>
          <w:rFonts w:hint="eastAsia" w:cs="仿宋_GB2312" w:asciiTheme="minorEastAsia" w:hAnsiTheme="minorEastAsia" w:eastAsiaTheme="minorEastAsia"/>
          <w:color w:val="000000"/>
          <w:sz w:val="24"/>
          <w:szCs w:val="24"/>
          <w:shd w:val="clear" w:color="auto" w:fill="FFFFFF"/>
          <w:lang w:val="zh-CN" w:eastAsia="zh-CN"/>
        </w:rPr>
        <w:t>长招采公字</w:t>
      </w:r>
      <w:r>
        <w:rPr>
          <w:rFonts w:hint="eastAsia" w:cs="仿宋_GB2312" w:asciiTheme="minorEastAsia" w:hAnsiTheme="minorEastAsia" w:eastAsiaTheme="minorEastAsia"/>
          <w:color w:val="000000"/>
          <w:sz w:val="24"/>
          <w:szCs w:val="24"/>
          <w:shd w:val="clear" w:color="auto" w:fill="FFFFFF"/>
          <w:lang w:val="en-US" w:eastAsia="zh-CN"/>
        </w:rPr>
        <w:t>【2019】</w:t>
      </w:r>
      <w:r>
        <w:rPr>
          <w:rFonts w:hint="eastAsia" w:cs="仿宋_GB2312" w:asciiTheme="minorEastAsia" w:hAnsiTheme="minorEastAsia" w:eastAsiaTheme="minorEastAsia"/>
          <w:color w:val="000000"/>
          <w:sz w:val="24"/>
          <w:szCs w:val="24"/>
          <w:shd w:val="clear" w:color="auto" w:fill="FFFFFF"/>
          <w:lang w:val="zh-CN" w:eastAsia="zh-CN"/>
        </w:rPr>
        <w:t>0</w:t>
      </w:r>
      <w:r>
        <w:rPr>
          <w:rFonts w:hint="eastAsia" w:cs="仿宋_GB2312" w:asciiTheme="minorEastAsia" w:hAnsiTheme="minorEastAsia" w:eastAsiaTheme="minorEastAsia"/>
          <w:color w:val="000000"/>
          <w:sz w:val="24"/>
          <w:szCs w:val="24"/>
          <w:shd w:val="clear" w:color="auto" w:fill="FFFFFF"/>
          <w:lang w:val="en-US" w:eastAsia="zh-CN"/>
        </w:rPr>
        <w:t>79</w:t>
      </w:r>
      <w:r>
        <w:rPr>
          <w:rFonts w:hint="eastAsia" w:cs="仿宋_GB2312" w:asciiTheme="minorEastAsia" w:hAnsiTheme="minorEastAsia" w:eastAsiaTheme="minorEastAsia"/>
          <w:color w:val="000000"/>
          <w:sz w:val="24"/>
          <w:szCs w:val="24"/>
          <w:shd w:val="clear" w:color="auto" w:fill="FFFFFF"/>
          <w:lang w:val="zh-CN" w:eastAsia="zh-CN"/>
        </w:rPr>
        <w:t xml:space="preserve">号 </w:t>
      </w:r>
      <w:r>
        <w:rPr>
          <w:rFonts w:hint="eastAsia" w:cs="仿宋_GB2312" w:asciiTheme="minorEastAsia" w:hAnsiTheme="minorEastAsia" w:eastAsiaTheme="minorEastAsia"/>
          <w:color w:val="000000"/>
          <w:sz w:val="24"/>
          <w:szCs w:val="24"/>
          <w:shd w:val="clear" w:color="auto" w:fill="FFFFFF"/>
          <w:lang w:val="zh-CN"/>
        </w:rPr>
        <w:t xml:space="preserve">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 xml:space="preserve">（三）采购方式：公开招标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en-US" w:eastAsia="zh-CN"/>
        </w:rPr>
      </w:pPr>
      <w:r>
        <w:rPr>
          <w:rFonts w:hint="eastAsia" w:cs="仿宋_GB2312" w:asciiTheme="minorEastAsia" w:hAnsiTheme="minorEastAsia" w:eastAsiaTheme="minorEastAsia"/>
          <w:b w:val="0"/>
          <w:color w:val="000000"/>
          <w:kern w:val="2"/>
          <w:sz w:val="24"/>
          <w:szCs w:val="24"/>
          <w:shd w:val="clear" w:color="auto" w:fill="FFFFFF"/>
          <w:lang w:val="zh-CN" w:eastAsia="zh-CN" w:bidi="ar-SA"/>
        </w:rPr>
        <w:t>（四）项目主要内容、数量及要求：</w:t>
      </w:r>
      <w:r>
        <w:rPr>
          <w:rFonts w:hint="eastAsia" w:cs="仿宋_GB2312" w:asciiTheme="minorEastAsia" w:hAnsiTheme="minorEastAsia" w:eastAsiaTheme="minorEastAsia"/>
          <w:b w:val="0"/>
          <w:color w:val="000000"/>
          <w:kern w:val="2"/>
          <w:sz w:val="24"/>
          <w:szCs w:val="24"/>
          <w:shd w:val="clear" w:color="auto" w:fill="FFFFFF"/>
          <w:lang w:val="en-US" w:eastAsia="zh-CN" w:bidi="ar-SA"/>
        </w:rPr>
        <w:t>财税综合实训中心设备及财会职业能力养成平</w:t>
      </w:r>
      <w:r>
        <w:rPr>
          <w:rFonts w:hint="eastAsia" w:cs="仿宋_GB2312" w:asciiTheme="minorEastAsia" w:hAnsiTheme="minorEastAsia" w:eastAsiaTheme="minorEastAsia"/>
          <w:color w:val="000000"/>
          <w:sz w:val="24"/>
          <w:szCs w:val="24"/>
          <w:shd w:val="clear" w:color="auto" w:fill="FFFFFF"/>
          <w:lang w:val="en-US" w:eastAsia="zh-CN"/>
        </w:rPr>
        <w:t>台软件采购，详细参数见采购文件。</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（五）预算金额（最高限价）：</w:t>
      </w:r>
      <w:r>
        <w:rPr>
          <w:rFonts w:hint="eastAsia" w:cs="仿宋_GB2312" w:asciiTheme="minorEastAsia" w:hAnsiTheme="minorEastAsia" w:eastAsiaTheme="minorEastAsia"/>
          <w:color w:val="000000"/>
          <w:sz w:val="24"/>
          <w:szCs w:val="24"/>
          <w:shd w:val="clear" w:color="auto" w:fill="FFFFFF"/>
          <w:lang w:val="en-US" w:eastAsia="zh-CN"/>
        </w:rPr>
        <w:t>1217430元</w:t>
      </w:r>
      <w:r>
        <w:rPr>
          <w:rFonts w:hint="eastAsia" w:cs="仿宋_GB2312" w:asciiTheme="minorEastAsia" w:hAnsiTheme="minorEastAsia" w:eastAsiaTheme="minorEastAsia"/>
          <w:color w:val="000000"/>
          <w:sz w:val="24"/>
          <w:szCs w:val="24"/>
          <w:shd w:val="clear" w:color="auto" w:fill="FFFFFF"/>
          <w:lang w:val="zh-CN"/>
        </w:rPr>
        <w:t>。</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en-US" w:eastAsia="zh-CN"/>
        </w:rPr>
      </w:pPr>
      <w:r>
        <w:rPr>
          <w:rFonts w:hint="eastAsia" w:cs="仿宋_GB2312" w:asciiTheme="minorEastAsia" w:hAnsiTheme="minorEastAsia" w:eastAsiaTheme="minorEastAsia"/>
          <w:color w:val="000000"/>
          <w:sz w:val="24"/>
          <w:szCs w:val="24"/>
          <w:shd w:val="clear" w:color="auto" w:fill="FFFFFF"/>
          <w:lang w:val="zh-CN"/>
        </w:rPr>
        <w:t>（六）交付（服务、完工）时间</w:t>
      </w:r>
      <w:r>
        <w:rPr>
          <w:rFonts w:hint="eastAsia" w:cs="仿宋_GB2312" w:asciiTheme="minorEastAsia" w:hAnsiTheme="minorEastAsia" w:eastAsiaTheme="minorEastAsia"/>
          <w:color w:val="000000"/>
          <w:sz w:val="24"/>
          <w:szCs w:val="24"/>
          <w:shd w:val="clear" w:color="auto" w:fill="FFFFFF"/>
          <w:lang w:val="zh-CN" w:eastAsia="zh-CN"/>
        </w:rPr>
        <w:t xml:space="preserve"> ：</w:t>
      </w:r>
      <w:bookmarkStart w:id="0" w:name="交付日期"/>
      <w:r>
        <w:rPr>
          <w:rFonts w:hint="eastAsia" w:cs="仿宋_GB2312" w:asciiTheme="minorEastAsia" w:hAnsiTheme="minorEastAsia" w:eastAsiaTheme="minorEastAsia"/>
          <w:color w:val="000000"/>
          <w:sz w:val="24"/>
          <w:szCs w:val="24"/>
          <w:shd w:val="clear" w:color="auto" w:fill="FFFFFF"/>
          <w:lang w:val="en-US" w:eastAsia="zh-CN"/>
        </w:rPr>
        <w:t>合同签后30日历天内完成供货安装</w:t>
      </w:r>
      <w:bookmarkEnd w:id="0"/>
      <w:r>
        <w:rPr>
          <w:rFonts w:hint="eastAsia" w:cs="仿宋_GB2312" w:asciiTheme="minorEastAsia" w:hAnsiTheme="minorEastAsia" w:eastAsiaTheme="minorEastAsia"/>
          <w:color w:val="000000"/>
          <w:sz w:val="24"/>
          <w:szCs w:val="24"/>
          <w:shd w:val="clear" w:color="auto" w:fill="FFFFFF"/>
          <w:lang w:val="en-US" w:eastAsia="zh-CN"/>
        </w:rPr>
        <w:t>。</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eastAsia="zh-CN"/>
        </w:rPr>
      </w:pPr>
      <w:r>
        <w:rPr>
          <w:rFonts w:hint="eastAsia" w:cs="仿宋_GB2312" w:asciiTheme="minorEastAsia" w:hAnsiTheme="minorEastAsia" w:eastAsiaTheme="minorEastAsia"/>
          <w:color w:val="000000"/>
          <w:sz w:val="24"/>
          <w:szCs w:val="24"/>
          <w:shd w:val="clear" w:color="auto" w:fill="FFFFFF"/>
          <w:lang w:val="zh-CN" w:eastAsia="zh-CN"/>
        </w:rPr>
        <w:t>（七）交付（服务、完工）地点：</w:t>
      </w:r>
      <w:r>
        <w:rPr>
          <w:rFonts w:hint="eastAsia" w:cs="仿宋_GB2312" w:asciiTheme="minorEastAsia" w:hAnsiTheme="minorEastAsia" w:eastAsiaTheme="minorEastAsia"/>
          <w:color w:val="000000"/>
          <w:sz w:val="24"/>
          <w:szCs w:val="24"/>
          <w:shd w:val="clear" w:color="auto" w:fill="FFFFFF"/>
          <w:lang w:val="en-US" w:eastAsia="zh-CN"/>
        </w:rPr>
        <w:t>许昌技术经济学校</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（八）进口产品：不允许。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本项目落实中小微型企业、监狱企业、残疾人福利性单位扶持等相关政府采购政策。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（一）符合《中华人民共和国政府采购法》第二十二条之规定；</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（二）未被列入“信用中国”网站(www.creditchina.gov.cn)失信被执行人、重大税收违法案件当事人名单；“中国政府采购网” (www.ccgp.gov.cn)政府采购严重违法失信行为记录名单</w:t>
      </w:r>
      <w:r>
        <w:rPr>
          <w:rFonts w:hint="eastAsia" w:cs="仿宋_GB2312" w:asciiTheme="minorEastAsia" w:hAnsiTheme="minorEastAsia" w:eastAsiaTheme="minorEastAsia"/>
          <w:color w:val="000000"/>
          <w:sz w:val="24"/>
          <w:szCs w:val="24"/>
          <w:shd w:val="clear" w:color="auto" w:fill="FFFFFF"/>
          <w:lang w:val="en-US" w:eastAsia="zh-CN"/>
        </w:rPr>
        <w:t>；“中国社会组织公共服务平台”网站（www.chinanpo.gov.cn）严重违法失信</w:t>
      </w:r>
      <w:r>
        <w:rPr>
          <w:rFonts w:hint="eastAsia" w:cs="仿宋_GB2312" w:asciiTheme="minorEastAsia" w:hAnsiTheme="minorEastAsia" w:eastAsiaTheme="minorEastAsia"/>
          <w:color w:val="auto"/>
          <w:sz w:val="24"/>
          <w:szCs w:val="24"/>
          <w:shd w:val="clear" w:color="auto" w:fill="FFFFFF"/>
          <w:lang w:val="zh-CN"/>
        </w:rPr>
        <w:t>社会组织</w:t>
      </w:r>
      <w:r>
        <w:rPr>
          <w:rFonts w:hint="eastAsia" w:cs="仿宋_GB2312" w:asciiTheme="minorEastAsia" w:hAnsiTheme="minorEastAsia" w:eastAsiaTheme="minorEastAsia"/>
          <w:color w:val="auto"/>
          <w:sz w:val="24"/>
          <w:szCs w:val="24"/>
          <w:shd w:val="clear" w:color="auto" w:fill="FFFFFF"/>
          <w:lang w:val="en-US" w:eastAsia="zh-CN"/>
        </w:rPr>
        <w:t>的投标人</w:t>
      </w:r>
      <w:r>
        <w:rPr>
          <w:rFonts w:hint="eastAsia" w:cs="仿宋_GB2312" w:asciiTheme="minorEastAsia" w:hAnsiTheme="minorEastAsia" w:eastAsiaTheme="minorEastAsia"/>
          <w:color w:val="auto"/>
          <w:sz w:val="24"/>
          <w:szCs w:val="24"/>
          <w:shd w:val="clear" w:color="auto" w:fill="FFFFFF"/>
          <w:lang w:val="zh-CN"/>
        </w:rPr>
        <w:t>；</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w:t>
      </w:r>
      <w:r>
        <w:rPr>
          <w:rFonts w:hint="eastAsia" w:cs="仿宋_GB2312" w:asciiTheme="minorEastAsia" w:hAnsiTheme="minorEastAsia" w:eastAsiaTheme="minorEastAsia"/>
          <w:color w:val="000000"/>
          <w:sz w:val="24"/>
          <w:szCs w:val="24"/>
          <w:shd w:val="clear" w:color="auto" w:fill="FFFFFF"/>
          <w:lang w:val="zh-CN" w:eastAsia="zh-CN"/>
        </w:rPr>
        <w:t>三</w:t>
      </w:r>
      <w:r>
        <w:rPr>
          <w:rFonts w:hint="eastAsia" w:cs="仿宋_GB2312" w:asciiTheme="minorEastAsia" w:hAnsiTheme="minorEastAsia" w:eastAsiaTheme="minorEastAsia"/>
          <w:color w:val="000000"/>
          <w:sz w:val="24"/>
          <w:szCs w:val="24"/>
          <w:shd w:val="clear" w:color="auto" w:fill="FFFFFF"/>
          <w:lang w:val="zh-CN"/>
        </w:rPr>
        <w:t>）本次招标不接受联合体投标。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（一）投标截止及开标时间：</w:t>
      </w:r>
      <w:r>
        <w:rPr>
          <w:rFonts w:hint="eastAsia" w:cs="仿宋_GB2312" w:asciiTheme="minorEastAsia" w:hAnsiTheme="minorEastAsia" w:eastAsiaTheme="minorEastAsia"/>
          <w:color w:val="000000"/>
          <w:sz w:val="24"/>
          <w:szCs w:val="24"/>
          <w:u w:val="single"/>
          <w:lang w:val="en-US" w:eastAsia="zh-CN"/>
        </w:rPr>
        <w:t>2020</w:t>
      </w:r>
      <w:r>
        <w:rPr>
          <w:rFonts w:hint="eastAsia" w:cs="仿宋_GB2312" w:asciiTheme="minorEastAsia" w:hAnsiTheme="minorEastAsia" w:eastAsiaTheme="minorEastAsia"/>
          <w:color w:val="000000"/>
          <w:sz w:val="24"/>
          <w:szCs w:val="24"/>
        </w:rPr>
        <w:t>年</w:t>
      </w:r>
      <w:r>
        <w:rPr>
          <w:rFonts w:hint="eastAsia" w:cs="仿宋_GB2312" w:asciiTheme="minorEastAsia" w:hAnsiTheme="minorEastAsia" w:eastAsiaTheme="minorEastAsia"/>
          <w:color w:val="000000"/>
          <w:sz w:val="24"/>
          <w:szCs w:val="24"/>
          <w:u w:val="single"/>
          <w:lang w:val="en-US" w:eastAsia="zh-CN"/>
        </w:rPr>
        <w:t>4</w:t>
      </w:r>
      <w:r>
        <w:rPr>
          <w:rFonts w:hint="eastAsia" w:cs="仿宋_GB2312" w:asciiTheme="minorEastAsia" w:hAnsiTheme="minorEastAsia" w:eastAsiaTheme="minorEastAsia"/>
          <w:color w:val="000000"/>
          <w:sz w:val="24"/>
          <w:szCs w:val="24"/>
        </w:rPr>
        <w:t>月</w:t>
      </w:r>
      <w:r>
        <w:rPr>
          <w:rFonts w:hint="eastAsia" w:cs="仿宋_GB2312" w:asciiTheme="minorEastAsia" w:hAnsiTheme="minorEastAsia" w:eastAsiaTheme="minorEastAsia"/>
          <w:color w:val="000000"/>
          <w:sz w:val="24"/>
          <w:szCs w:val="24"/>
          <w:u w:val="single"/>
          <w:lang w:val="en-US" w:eastAsia="zh-CN"/>
        </w:rPr>
        <w:t>2</w:t>
      </w:r>
      <w:r>
        <w:rPr>
          <w:rFonts w:hint="eastAsia" w:cs="仿宋_GB2312" w:asciiTheme="minorEastAsia" w:hAnsiTheme="minorEastAsia" w:eastAsiaTheme="minorEastAsia"/>
          <w:color w:val="000000"/>
          <w:sz w:val="24"/>
          <w:szCs w:val="24"/>
        </w:rPr>
        <w:t>日</w:t>
      </w:r>
      <w:r>
        <w:rPr>
          <w:rFonts w:hint="eastAsia" w:cs="仿宋_GB2312" w:asciiTheme="minorEastAsia" w:hAnsiTheme="minorEastAsia" w:eastAsiaTheme="minorEastAsia"/>
          <w:color w:val="000000"/>
          <w:sz w:val="24"/>
          <w:szCs w:val="24"/>
          <w:u w:val="single"/>
          <w:lang w:val="en-US" w:eastAsia="zh-CN"/>
        </w:rPr>
        <w:t>09</w:t>
      </w:r>
      <w:r>
        <w:rPr>
          <w:rFonts w:hint="eastAsia" w:cs="仿宋_GB2312" w:asciiTheme="minorEastAsia" w:hAnsiTheme="minorEastAsia" w:eastAsiaTheme="minorEastAsia"/>
          <w:color w:val="000000"/>
          <w:sz w:val="24"/>
          <w:szCs w:val="24"/>
        </w:rPr>
        <w:t>时</w:t>
      </w:r>
      <w:r>
        <w:rPr>
          <w:rFonts w:hint="eastAsia" w:cs="仿宋_GB2312" w:asciiTheme="minorEastAsia" w:hAnsiTheme="minorEastAsia" w:eastAsiaTheme="minorEastAsia"/>
          <w:color w:val="000000"/>
          <w:sz w:val="24"/>
          <w:szCs w:val="24"/>
          <w:u w:val="single"/>
          <w:lang w:val="en-US" w:eastAsia="zh-CN"/>
        </w:rPr>
        <w:t>00</w:t>
      </w:r>
      <w:r>
        <w:rPr>
          <w:rFonts w:hint="eastAsia" w:cs="仿宋_GB2312" w:asciiTheme="minorEastAsia" w:hAnsiTheme="minorEastAsia" w:eastAsiaTheme="minorEastAsia"/>
          <w:color w:val="000000"/>
          <w:sz w:val="24"/>
          <w:szCs w:val="24"/>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（二）开标地点：长葛市公共资源交易中心开标</w:t>
      </w:r>
      <w:r>
        <w:rPr>
          <w:rFonts w:hint="eastAsia" w:cs="仿宋_GB2312" w:asciiTheme="minorEastAsia" w:hAnsiTheme="minorEastAsia" w:eastAsiaTheme="minorEastAsia"/>
          <w:color w:val="000000"/>
          <w:sz w:val="24"/>
          <w:szCs w:val="24"/>
          <w:lang w:val="en-US" w:eastAsia="zh-CN"/>
        </w:rPr>
        <w:t>二</w:t>
      </w:r>
      <w:r>
        <w:rPr>
          <w:rFonts w:hint="eastAsia" w:cs="仿宋_GB2312" w:asciiTheme="minorEastAsia" w:hAnsiTheme="minorEastAsia" w:eastAsiaTheme="minorEastAsia"/>
          <w:color w:val="000000"/>
          <w:sz w:val="24"/>
          <w:szCs w:val="24"/>
        </w:rPr>
        <w:t>室（长葛市葛天大道东段商务区6#楼</w:t>
      </w:r>
      <w:r>
        <w:rPr>
          <w:rFonts w:hint="eastAsia" w:cs="仿宋_GB2312" w:asciiTheme="minorEastAsia" w:hAnsiTheme="minorEastAsia" w:eastAsiaTheme="minorEastAsia"/>
          <w:color w:val="000000"/>
          <w:sz w:val="24"/>
          <w:szCs w:val="24"/>
          <w:lang w:val="en-US" w:eastAsia="zh-CN"/>
        </w:rPr>
        <w:t>4</w:t>
      </w:r>
      <w:r>
        <w:rPr>
          <w:rFonts w:hint="eastAsia" w:cs="仿宋_GB2312" w:asciiTheme="minorEastAsia" w:hAnsiTheme="minorEastAsia" w:eastAsiaTheme="minorEastAsia"/>
          <w:color w:val="000000"/>
          <w:sz w:val="24"/>
          <w:szCs w:val="24"/>
        </w:rPr>
        <w:t>楼</w:t>
      </w:r>
      <w:r>
        <w:rPr>
          <w:rFonts w:hint="eastAsia" w:cs="仿宋_GB2312" w:asciiTheme="minorEastAsia" w:hAnsiTheme="minorEastAsia" w:eastAsiaTheme="minorEastAsia"/>
          <w:color w:val="000000"/>
          <w:sz w:val="24"/>
          <w:szCs w:val="24"/>
          <w:lang w:val="en-US" w:eastAsia="zh-CN"/>
        </w:rPr>
        <w:t>409</w:t>
      </w:r>
      <w:r>
        <w:rPr>
          <w:rFonts w:hint="eastAsia" w:cs="仿宋_GB2312" w:asciiTheme="minorEastAsia" w:hAnsiTheme="minorEastAsia" w:eastAsiaTheme="minorEastAsia"/>
          <w:color w:val="000000"/>
          <w:sz w:val="24"/>
          <w:szCs w:val="24"/>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1、加密电子投标文件</w:t>
      </w:r>
      <w:r>
        <w:rPr>
          <w:rFonts w:hint="eastAsia" w:cs="宋体" w:asciiTheme="minorEastAsia" w:hAnsiTheme="minorEastAsia"/>
          <w:color w:val="000000"/>
          <w:sz w:val="24"/>
          <w:szCs w:val="24"/>
        </w:rPr>
        <w:t>（</w:t>
      </w:r>
      <w:r>
        <w:rPr>
          <w:rFonts w:asciiTheme="minorEastAsia" w:hAnsiTheme="minorEastAsia" w:eastAsiaTheme="minorEastAsia"/>
          <w:color w:val="000000"/>
          <w:sz w:val="24"/>
          <w:szCs w:val="24"/>
        </w:rPr>
        <w:t>.file</w:t>
      </w:r>
      <w:r>
        <w:rPr>
          <w:rFonts w:hint="eastAsia" w:cs="宋体" w:asciiTheme="minorEastAsia" w:hAnsiTheme="minorEastAsia"/>
          <w:color w:val="000000"/>
          <w:sz w:val="24"/>
          <w:szCs w:val="24"/>
        </w:rPr>
        <w:t>格式）须</w:t>
      </w:r>
      <w:r>
        <w:rPr>
          <w:rFonts w:hint="eastAsia" w:cs="仿宋_GB2312" w:asciiTheme="minorEastAsia" w:hAnsiTheme="minorEastAsia" w:eastAsiaTheme="minorEastAsia"/>
          <w:color w:val="000000"/>
          <w:sz w:val="24"/>
          <w:szCs w:val="24"/>
        </w:rPr>
        <w:t>在投标截止时间（开标时间）前通过《全国公共资源交易平台(河南省</w:t>
      </w:r>
      <w:r>
        <w:rPr>
          <w:rFonts w:hint="eastAsia" w:ascii="MS Mincho" w:hAnsi="MS Mincho" w:eastAsia="MS Mincho" w:cs="MS Mincho"/>
          <w:color w:val="000000"/>
          <w:sz w:val="24"/>
          <w:szCs w:val="24"/>
        </w:rPr>
        <w:t>▪</w:t>
      </w:r>
      <w:r>
        <w:rPr>
          <w:rFonts w:hint="eastAsia" w:ascii="宋体" w:hAnsi="宋体" w:cs="宋体"/>
          <w:color w:val="000000"/>
          <w:sz w:val="24"/>
          <w:szCs w:val="24"/>
        </w:rPr>
        <w:t>许昌市</w:t>
      </w:r>
      <w:r>
        <w:rPr>
          <w:rFonts w:hint="eastAsia" w:cs="仿宋_GB2312" w:asciiTheme="minorEastAsia" w:hAnsiTheme="minorEastAsia" w:eastAsiaTheme="minorEastAsia"/>
          <w:color w:val="000000"/>
          <w:sz w:val="24"/>
          <w:szCs w:val="24"/>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pct10" w:color="auto" w:fill="FFFFFF"/>
        </w:rPr>
      </w:pPr>
      <w:r>
        <w:rPr>
          <w:rFonts w:hint="eastAsia" w:cs="仿宋_GB2312" w:asciiTheme="minorEastAsia" w:hAnsiTheme="minorEastAsia" w:eastAsiaTheme="minorEastAsia"/>
          <w:color w:val="000000"/>
          <w:sz w:val="24"/>
          <w:szCs w:val="24"/>
        </w:rPr>
        <w:t>2、纸质投标文件（正本、副本各1份）和备份文件1份</w:t>
      </w:r>
      <w:r>
        <w:rPr>
          <w:rFonts w:hint="eastAsia" w:hAnsi="宋体"/>
          <w:color w:val="000000"/>
          <w:sz w:val="24"/>
          <w:szCs w:val="24"/>
        </w:rPr>
        <w:t>（使用电子介质存储）</w:t>
      </w:r>
      <w:r>
        <w:rPr>
          <w:rFonts w:hint="eastAsia" w:cs="仿宋_GB2312" w:asciiTheme="minorEastAsia" w:hAnsiTheme="minorEastAsia" w:eastAsiaTheme="minorEastAsia"/>
          <w:color w:val="000000"/>
          <w:sz w:val="24"/>
          <w:szCs w:val="24"/>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六、本次招标公告同时在《河南省政府采购网》、《全国公共资源交易平台（河南省·许昌市）》、《长葛市人民政府门户网站》发布。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rPr>
      </w:pPr>
      <w:r>
        <w:rPr>
          <w:rFonts w:hint="eastAsia" w:cs="黑体" w:asciiTheme="minorEastAsia" w:hAnsiTheme="minorEastAsia" w:eastAsiaTheme="minorEastAsia"/>
          <w:b/>
          <w:bCs/>
          <w:color w:val="000000"/>
          <w:sz w:val="24"/>
          <w:szCs w:val="24"/>
        </w:rPr>
        <w:t>八、联系方式</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采购人：许昌技术经济学校</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 xml:space="preserve">联系人：高科长                      </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联系电话：03746170603</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地址：长葛市八七路</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 xml:space="preserve">代理机构：山西文昌工程咨询有限公司 </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代理机构联系方式：张先生  13271279113</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代理机构地址：郑州市高新区冬青街7号B座1606</w:t>
      </w:r>
    </w:p>
    <w:p>
      <w:pPr>
        <w:spacing w:line="360" w:lineRule="exact"/>
        <w:ind w:firstLine="482" w:firstLineChars="200"/>
        <w:rPr>
          <w:rFonts w:hint="eastAsia" w:cs="黑体" w:asciiTheme="minorEastAsia" w:hAnsiTheme="minorEastAsia" w:eastAsiaTheme="minorEastAsia"/>
          <w:b/>
          <w:bCs/>
          <w:color w:val="000000"/>
          <w:kern w:val="2"/>
          <w:sz w:val="24"/>
          <w:szCs w:val="24"/>
          <w:lang w:val="en-US" w:eastAsia="zh-CN" w:bidi="ar-SA"/>
        </w:rPr>
      </w:pPr>
      <w:r>
        <w:rPr>
          <w:rFonts w:hint="eastAsia" w:cs="黑体" w:asciiTheme="minorEastAsia" w:hAnsiTheme="minorEastAsia" w:eastAsiaTheme="minorEastAsia"/>
          <w:b/>
          <w:bCs/>
          <w:color w:val="000000"/>
          <w:kern w:val="2"/>
          <w:sz w:val="24"/>
          <w:szCs w:val="24"/>
          <w:lang w:val="en-US" w:eastAsia="zh-CN" w:bidi="ar-SA"/>
        </w:rPr>
        <w:t>九、特别提示：</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1、所有投标单位请时刻关注全国公共资源交易平台（河南省.许昌市），澄清、答疑、变更均在全国公共资源交易平台（河南省.许昌市）发布，不再另行通知。如未及时查看影响其投标，后果自负。</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2、各投标人对代理公司提供的服务不满意，或认为代理公司在服务过程中有不当行为的，可致电长葛市公共资源交易管理委员会办公室监管股（0374-6189576），经查实后将按规定作出处理。</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highlight w:val="none"/>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w:t>
      </w:r>
      <w:r>
        <w:rPr>
          <w:rFonts w:hint="eastAsia" w:ascii="宋体" w:hAnsi="宋体" w:eastAsia="宋体" w:cs="宋体"/>
          <w:color w:val="000000"/>
          <w:szCs w:val="21"/>
          <w:highlight w:val="none"/>
        </w:rPr>
        <w:t>昌市</w:t>
      </w:r>
      <w:r>
        <w:rPr>
          <w:rFonts w:hint="eastAsia" w:asciiTheme="minorEastAsia" w:hAnsiTheme="minorEastAsia"/>
          <w:color w:val="000000"/>
          <w:szCs w:val="21"/>
          <w:highlight w:val="none"/>
        </w:rPr>
        <w:t>)</w:t>
      </w:r>
      <w:r>
        <w:rPr>
          <w:rFonts w:hint="eastAsia" w:hAnsi="宋体"/>
          <w:color w:val="000000"/>
          <w:szCs w:val="21"/>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27"/>
          <w:rFonts w:hAnsi="宋体"/>
          <w:szCs w:val="21"/>
          <w:highlight w:val="none"/>
        </w:rPr>
        <w:t>http://221.14.6.70:8088/ggzy/</w:t>
      </w:r>
      <w:r>
        <w:rPr>
          <w:rStyle w:val="27"/>
          <w:rFonts w:hAnsi="宋体"/>
          <w:szCs w:val="21"/>
          <w:highlight w:val="none"/>
        </w:rPr>
        <w:fldChar w:fldCharType="end"/>
      </w:r>
      <w:r>
        <w:rPr>
          <w:rFonts w:hint="eastAsia" w:hAnsi="宋体"/>
          <w:color w:val="000000"/>
          <w:szCs w:val="21"/>
          <w:highlight w:val="none"/>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0"/>
        </w:numPr>
        <w:jc w:val="both"/>
        <w:rPr>
          <w:rFonts w:hint="eastAsia" w:cs="宋体" w:asciiTheme="majorEastAsia" w:hAnsiTheme="majorEastAsia" w:eastAsiaTheme="majorEastAsia"/>
          <w:b/>
          <w:kern w:val="0"/>
          <w:sz w:val="32"/>
          <w:szCs w:val="32"/>
          <w:lang w:eastAsia="zh-CN"/>
        </w:rPr>
      </w:pPr>
    </w:p>
    <w:p>
      <w:pPr>
        <w:numPr>
          <w:ilvl w:val="0"/>
          <w:numId w:val="0"/>
        </w:numPr>
        <w:ind w:firstLine="2570" w:firstLineChars="8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eastAsia="zh-CN"/>
        </w:rPr>
        <w:t>第二章</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项目需求</w:t>
      </w:r>
      <w:r>
        <w:rPr>
          <w:rFonts w:hint="eastAsia" w:ascii="宋体" w:hAnsi="宋体" w:eastAsia="宋体" w:cs="宋体"/>
          <w:b/>
          <w:kern w:val="0"/>
          <w:sz w:val="32"/>
          <w:szCs w:val="32"/>
        </w:rPr>
        <w:t>★</w:t>
      </w:r>
    </w:p>
    <w:tbl>
      <w:tblPr>
        <w:tblStyle w:val="22"/>
        <w:tblpPr w:leftFromText="180" w:rightFromText="180" w:vertAnchor="text" w:horzAnchor="page" w:tblpXSpec="center" w:tblpY="793"/>
        <w:tblOverlap w:val="never"/>
        <w:tblW w:w="10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78"/>
        <w:gridCol w:w="915"/>
        <w:gridCol w:w="812"/>
        <w:gridCol w:w="6275"/>
        <w:gridCol w:w="79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序号</w:t>
            </w:r>
          </w:p>
        </w:tc>
        <w:tc>
          <w:tcPr>
            <w:tcW w:w="915"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名称</w:t>
            </w:r>
          </w:p>
        </w:tc>
        <w:tc>
          <w:tcPr>
            <w:tcW w:w="7087" w:type="dxa"/>
            <w:gridSpan w:val="2"/>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规格及技术要求</w:t>
            </w:r>
          </w:p>
        </w:tc>
        <w:tc>
          <w:tcPr>
            <w:tcW w:w="790"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数量</w:t>
            </w:r>
          </w:p>
        </w:tc>
        <w:tc>
          <w:tcPr>
            <w:tcW w:w="71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kern w:val="0"/>
                <w:sz w:val="21"/>
                <w:szCs w:val="21"/>
                <w:lang w:bidi="ar"/>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1</w:t>
            </w:r>
          </w:p>
        </w:tc>
        <w:tc>
          <w:tcPr>
            <w:tcW w:w="915" w:type="dxa"/>
            <w:tcBorders>
              <w:tl2br w:val="nil"/>
              <w:tr2bl w:val="nil"/>
            </w:tcBorders>
            <w:vAlign w:val="center"/>
          </w:tcPr>
          <w:p>
            <w:pPr>
              <w:autoSpaceDE w:val="0"/>
              <w:autoSpaceDN w:val="0"/>
              <w:adjustRightInd w:val="0"/>
              <w:jc w:val="center"/>
              <w:rPr>
                <w:rFonts w:ascii="宋体" w:hAnsi="宋体"/>
                <w:b/>
                <w:bCs/>
                <w:sz w:val="21"/>
                <w:szCs w:val="21"/>
              </w:rPr>
            </w:pPr>
            <w:r>
              <w:rPr>
                <w:rFonts w:hint="eastAsia" w:ascii="宋体" w:hAnsi="宋体"/>
                <w:b/>
                <w:bCs/>
                <w:sz w:val="21"/>
                <w:szCs w:val="21"/>
              </w:rPr>
              <w:t>电脑</w:t>
            </w:r>
          </w:p>
        </w:tc>
        <w:tc>
          <w:tcPr>
            <w:tcW w:w="7087" w:type="dxa"/>
            <w:gridSpan w:val="2"/>
            <w:tcBorders>
              <w:tl2br w:val="nil"/>
              <w:tr2bl w:val="nil"/>
            </w:tcBorders>
            <w:vAlign w:val="center"/>
          </w:tcPr>
          <w:p>
            <w:pPr>
              <w:rPr>
                <w:rFonts w:ascii="宋体" w:hAnsi="宋体"/>
                <w:bCs/>
                <w:sz w:val="21"/>
                <w:szCs w:val="21"/>
              </w:rPr>
            </w:pPr>
            <w:r>
              <w:rPr>
                <w:rFonts w:hint="eastAsia" w:ascii="宋体" w:hAnsi="宋体"/>
                <w:bCs/>
                <w:sz w:val="21"/>
                <w:szCs w:val="21"/>
              </w:rPr>
              <w:t>1、CPU：Intel 第八代 I5-</w:t>
            </w:r>
            <w:r>
              <w:rPr>
                <w:rFonts w:hint="eastAsia" w:ascii="宋体" w:hAnsi="宋体"/>
                <w:bCs/>
                <w:sz w:val="21"/>
                <w:szCs w:val="21"/>
                <w:lang w:val="en-US" w:eastAsia="zh-CN"/>
              </w:rPr>
              <w:t>9</w:t>
            </w:r>
            <w:r>
              <w:rPr>
                <w:rFonts w:hint="eastAsia" w:ascii="宋体" w:hAnsi="宋体"/>
                <w:bCs/>
                <w:sz w:val="21"/>
                <w:szCs w:val="21"/>
              </w:rPr>
              <w:t>400，主频≥2.8GHz，缓存≥9M ；</w:t>
            </w:r>
          </w:p>
          <w:p>
            <w:pPr>
              <w:rPr>
                <w:rFonts w:ascii="宋体" w:hAnsi="宋体"/>
                <w:bCs/>
                <w:sz w:val="21"/>
                <w:szCs w:val="21"/>
              </w:rPr>
            </w:pPr>
            <w:r>
              <w:rPr>
                <w:rFonts w:hint="eastAsia" w:ascii="宋体" w:hAnsi="宋体"/>
                <w:bCs/>
                <w:sz w:val="21"/>
                <w:szCs w:val="21"/>
              </w:rPr>
              <w:t>2、主板：Intel B360及以上；</w:t>
            </w:r>
          </w:p>
          <w:p>
            <w:pPr>
              <w:rPr>
                <w:rFonts w:ascii="宋体" w:hAnsi="宋体"/>
                <w:bCs/>
                <w:sz w:val="21"/>
                <w:szCs w:val="21"/>
              </w:rPr>
            </w:pPr>
            <w:r>
              <w:rPr>
                <w:rFonts w:hint="eastAsia" w:ascii="宋体" w:hAnsi="宋体"/>
                <w:bCs/>
                <w:sz w:val="21"/>
                <w:szCs w:val="21"/>
              </w:rPr>
              <w:t>3、内存：配置≥</w:t>
            </w:r>
            <w:r>
              <w:rPr>
                <w:rFonts w:hint="eastAsia" w:ascii="宋体" w:hAnsi="宋体"/>
                <w:bCs/>
                <w:sz w:val="21"/>
                <w:szCs w:val="21"/>
                <w:lang w:val="en-US" w:eastAsia="zh-CN"/>
              </w:rPr>
              <w:t>16</w:t>
            </w:r>
            <w:r>
              <w:rPr>
                <w:rFonts w:hint="eastAsia" w:ascii="宋体" w:hAnsi="宋体"/>
                <w:bCs/>
                <w:sz w:val="21"/>
                <w:szCs w:val="21"/>
              </w:rPr>
              <w:t>GB DDR4-2400MHz，2个或以上内存插槽；</w:t>
            </w:r>
          </w:p>
          <w:p>
            <w:pPr>
              <w:rPr>
                <w:rFonts w:ascii="宋体" w:hAnsi="宋体"/>
                <w:bCs/>
                <w:sz w:val="21"/>
                <w:szCs w:val="21"/>
              </w:rPr>
            </w:pPr>
            <w:r>
              <w:rPr>
                <w:rFonts w:hint="eastAsia" w:ascii="宋体" w:hAnsi="宋体"/>
                <w:bCs/>
                <w:sz w:val="21"/>
                <w:szCs w:val="21"/>
              </w:rPr>
              <w:t>4、声卡：集成5.1声道声卡；</w:t>
            </w:r>
          </w:p>
          <w:p>
            <w:pPr>
              <w:rPr>
                <w:rFonts w:ascii="宋体" w:hAnsi="宋体"/>
                <w:bCs/>
                <w:sz w:val="21"/>
                <w:szCs w:val="21"/>
              </w:rPr>
            </w:pPr>
            <w:r>
              <w:rPr>
                <w:rFonts w:hint="eastAsia" w:ascii="宋体" w:hAnsi="宋体"/>
                <w:bCs/>
                <w:sz w:val="21"/>
                <w:szCs w:val="21"/>
              </w:rPr>
              <w:t>5、硬盘：≥1T SATA ；</w:t>
            </w:r>
          </w:p>
          <w:p>
            <w:pPr>
              <w:rPr>
                <w:rFonts w:ascii="宋体" w:hAnsi="宋体"/>
                <w:bCs/>
                <w:sz w:val="21"/>
                <w:szCs w:val="21"/>
              </w:rPr>
            </w:pPr>
            <w:r>
              <w:rPr>
                <w:rFonts w:hint="eastAsia" w:ascii="宋体" w:hAnsi="宋体"/>
                <w:bCs/>
                <w:sz w:val="21"/>
                <w:szCs w:val="21"/>
              </w:rPr>
              <w:t>6、网卡：集成10/100/1000M以太网卡;</w:t>
            </w:r>
          </w:p>
          <w:p>
            <w:pPr>
              <w:rPr>
                <w:rFonts w:ascii="宋体" w:hAnsi="宋体"/>
                <w:bCs/>
                <w:sz w:val="21"/>
                <w:szCs w:val="21"/>
              </w:rPr>
            </w:pPr>
            <w:r>
              <w:rPr>
                <w:rFonts w:hint="eastAsia" w:ascii="宋体" w:hAnsi="宋体"/>
                <w:bCs/>
                <w:sz w:val="21"/>
                <w:szCs w:val="21"/>
              </w:rPr>
              <w:t>7、显卡：R7-430  4G 128BIT独立显卡；</w:t>
            </w:r>
          </w:p>
          <w:p>
            <w:pPr>
              <w:rPr>
                <w:rFonts w:ascii="宋体" w:hAnsi="宋体"/>
                <w:bCs/>
                <w:sz w:val="21"/>
                <w:szCs w:val="21"/>
              </w:rPr>
            </w:pPr>
            <w:r>
              <w:rPr>
                <w:rFonts w:hint="eastAsia" w:ascii="宋体" w:hAnsi="宋体"/>
                <w:bCs/>
                <w:sz w:val="21"/>
                <w:szCs w:val="21"/>
              </w:rPr>
              <w:t>8、扩展槽：≥1个PCIeX16、2个PCIeX1、1个PCI、1个PS/2接口、1个并口</w:t>
            </w:r>
          </w:p>
          <w:p>
            <w:pPr>
              <w:rPr>
                <w:rFonts w:ascii="宋体" w:hAnsi="宋体"/>
                <w:bCs/>
                <w:sz w:val="21"/>
                <w:szCs w:val="21"/>
              </w:rPr>
            </w:pPr>
            <w:r>
              <w:rPr>
                <w:rFonts w:hint="eastAsia" w:ascii="宋体" w:hAnsi="宋体"/>
                <w:bCs/>
                <w:sz w:val="21"/>
                <w:szCs w:val="21"/>
              </w:rPr>
              <w:t>9、显示器：≥21.5</w:t>
            </w:r>
            <w:r>
              <w:rPr>
                <w:rFonts w:ascii="宋体" w:hAnsi="宋体"/>
                <w:bCs/>
                <w:sz w:val="21"/>
                <w:szCs w:val="21"/>
              </w:rPr>
              <w:t>”</w:t>
            </w:r>
            <w:r>
              <w:rPr>
                <w:rFonts w:hint="eastAsia" w:ascii="宋体" w:hAnsi="宋体"/>
                <w:bCs/>
                <w:sz w:val="21"/>
                <w:szCs w:val="21"/>
              </w:rPr>
              <w:t>宽屏16:9LED背光液晶显示器，VGA接口，分辨率</w:t>
            </w:r>
            <w:r>
              <w:rPr>
                <w:rFonts w:ascii="宋体" w:hAnsi="宋体"/>
                <w:bCs/>
                <w:sz w:val="21"/>
                <w:szCs w:val="21"/>
              </w:rPr>
              <w:t>1920*1080</w:t>
            </w:r>
            <w:r>
              <w:rPr>
                <w:rFonts w:hint="eastAsia" w:ascii="宋体" w:hAnsi="宋体"/>
                <w:bCs/>
                <w:sz w:val="21"/>
                <w:szCs w:val="21"/>
              </w:rPr>
              <w:t>；</w:t>
            </w:r>
          </w:p>
          <w:p>
            <w:pPr>
              <w:rPr>
                <w:rFonts w:hint="eastAsia" w:ascii="宋体" w:hAnsi="宋体"/>
                <w:bCs/>
                <w:sz w:val="21"/>
                <w:szCs w:val="21"/>
              </w:rPr>
            </w:pPr>
            <w:r>
              <w:rPr>
                <w:rFonts w:hint="eastAsia" w:ascii="宋体" w:hAnsi="宋体"/>
                <w:bCs/>
                <w:sz w:val="21"/>
                <w:szCs w:val="21"/>
              </w:rPr>
              <w:t>10、USB接口键盘、鼠标：抗菌键盘，抗菌鼠标</w:t>
            </w:r>
          </w:p>
          <w:p>
            <w:pPr>
              <w:rPr>
                <w:rFonts w:ascii="宋体" w:hAnsi="宋体"/>
                <w:bCs/>
                <w:sz w:val="21"/>
                <w:szCs w:val="21"/>
              </w:rPr>
            </w:pPr>
            <w:r>
              <w:rPr>
                <w:rFonts w:hint="eastAsia" w:ascii="宋体" w:hAnsi="宋体"/>
                <w:bCs/>
                <w:sz w:val="21"/>
                <w:szCs w:val="21"/>
              </w:rPr>
              <w:t>11、接口：USB接口≥10个，其中后置至少2个USB2.0、4个USB3.0、1个VGA、1个DVI；</w:t>
            </w:r>
          </w:p>
          <w:p>
            <w:pPr>
              <w:rPr>
                <w:rFonts w:ascii="宋体" w:hAnsi="宋体"/>
                <w:bCs/>
                <w:sz w:val="21"/>
                <w:szCs w:val="21"/>
              </w:rPr>
            </w:pPr>
            <w:r>
              <w:rPr>
                <w:rFonts w:hint="eastAsia" w:ascii="宋体" w:hAnsi="宋体"/>
                <w:bCs/>
                <w:sz w:val="21"/>
                <w:szCs w:val="21"/>
              </w:rPr>
              <w:t>12、电源：≥200W节能环保电源</w:t>
            </w:r>
          </w:p>
          <w:p>
            <w:pPr>
              <w:rPr>
                <w:rFonts w:ascii="宋体" w:hAnsi="宋体"/>
                <w:bCs/>
                <w:sz w:val="21"/>
                <w:szCs w:val="21"/>
              </w:rPr>
            </w:pPr>
            <w:r>
              <w:rPr>
                <w:rFonts w:hint="eastAsia" w:ascii="宋体" w:hAnsi="宋体"/>
                <w:bCs/>
                <w:sz w:val="21"/>
                <w:szCs w:val="21"/>
              </w:rPr>
              <w:t>13、机箱：标准立式机箱，静音设计；体积≤15L</w:t>
            </w:r>
          </w:p>
          <w:p>
            <w:pPr>
              <w:rPr>
                <w:rFonts w:ascii="宋体" w:hAnsi="宋体"/>
                <w:bCs/>
                <w:sz w:val="21"/>
                <w:szCs w:val="21"/>
              </w:rPr>
            </w:pPr>
            <w:r>
              <w:rPr>
                <w:rFonts w:hint="eastAsia" w:ascii="宋体" w:hAnsi="宋体"/>
                <w:bCs/>
                <w:sz w:val="21"/>
                <w:szCs w:val="21"/>
              </w:rPr>
              <w:t>14、操作系统：预装正版Win10正版操作系统和基于安卓的正版国产开源操作系统</w:t>
            </w:r>
          </w:p>
          <w:p>
            <w:pPr>
              <w:rPr>
                <w:rFonts w:ascii="宋体" w:hAnsi="宋体"/>
                <w:bCs/>
                <w:sz w:val="21"/>
                <w:szCs w:val="21"/>
              </w:rPr>
            </w:pPr>
            <w:r>
              <w:rPr>
                <w:rFonts w:hint="eastAsia" w:ascii="宋体" w:hAnsi="宋体"/>
                <w:bCs/>
                <w:sz w:val="21"/>
                <w:szCs w:val="21"/>
              </w:rPr>
              <w:t>15、平均无故障时间：≥50万小时（需提供国家电子计算机质量检验中心出具的MTBF值</w:t>
            </w:r>
            <w:r>
              <w:rPr>
                <w:rFonts w:hint="eastAsia" w:ascii="宋体" w:hAnsi="宋体"/>
                <w:bCs/>
                <w:sz w:val="21"/>
                <w:szCs w:val="21"/>
                <w:lang w:eastAsia="zh-CN"/>
              </w:rPr>
              <w:t>检验证书</w:t>
            </w:r>
            <w:r>
              <w:rPr>
                <w:rFonts w:hint="eastAsia" w:ascii="宋体" w:hAnsi="宋体"/>
                <w:bCs/>
                <w:sz w:val="21"/>
                <w:szCs w:val="21"/>
              </w:rPr>
              <w:t>；）</w:t>
            </w:r>
          </w:p>
          <w:p>
            <w:pPr>
              <w:rPr>
                <w:rFonts w:ascii="宋体" w:hAnsi="宋体"/>
                <w:bCs/>
                <w:sz w:val="21"/>
                <w:szCs w:val="21"/>
              </w:rPr>
            </w:pPr>
            <w:r>
              <w:rPr>
                <w:rFonts w:hint="eastAsia" w:ascii="宋体" w:hAnsi="宋体"/>
                <w:bCs/>
                <w:sz w:val="21"/>
                <w:szCs w:val="21"/>
              </w:rPr>
              <w:t>质保服务：三年全保（包括键盘鼠标）及上门，原厂400或800售后电话，第二工作日上门服务。</w:t>
            </w:r>
          </w:p>
        </w:tc>
        <w:tc>
          <w:tcPr>
            <w:tcW w:w="790"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49</w:t>
            </w:r>
          </w:p>
        </w:tc>
        <w:tc>
          <w:tcPr>
            <w:tcW w:w="718"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kern w:val="0"/>
                <w:sz w:val="21"/>
                <w:szCs w:val="21"/>
                <w:lang w:bidi="ar"/>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2</w:t>
            </w:r>
          </w:p>
        </w:tc>
        <w:tc>
          <w:tcPr>
            <w:tcW w:w="915" w:type="dxa"/>
            <w:tcBorders>
              <w:tl2br w:val="nil"/>
              <w:tr2bl w:val="nil"/>
            </w:tcBorders>
            <w:vAlign w:val="center"/>
          </w:tcPr>
          <w:p>
            <w:pPr>
              <w:autoSpaceDE w:val="0"/>
              <w:autoSpaceDN w:val="0"/>
              <w:adjustRightInd w:val="0"/>
              <w:jc w:val="center"/>
              <w:rPr>
                <w:rFonts w:ascii="宋体" w:hAnsi="宋体"/>
                <w:b/>
                <w:bCs/>
                <w:sz w:val="21"/>
                <w:szCs w:val="21"/>
              </w:rPr>
            </w:pPr>
            <w:r>
              <w:rPr>
                <w:rFonts w:hint="eastAsia" w:ascii="宋体" w:hAnsi="宋体"/>
                <w:b/>
                <w:bCs/>
                <w:sz w:val="21"/>
                <w:szCs w:val="21"/>
              </w:rPr>
              <w:t>笔记本电脑</w:t>
            </w:r>
          </w:p>
        </w:tc>
        <w:tc>
          <w:tcPr>
            <w:tcW w:w="7087" w:type="dxa"/>
            <w:gridSpan w:val="2"/>
            <w:tcBorders>
              <w:tl2br w:val="nil"/>
              <w:tr2bl w:val="nil"/>
            </w:tcBorders>
            <w:vAlign w:val="center"/>
          </w:tcPr>
          <w:p>
            <w:pPr>
              <w:rPr>
                <w:rFonts w:ascii="宋体" w:hAnsi="宋体"/>
                <w:bCs/>
                <w:sz w:val="21"/>
                <w:szCs w:val="21"/>
              </w:rPr>
            </w:pPr>
            <w:r>
              <w:rPr>
                <w:rFonts w:hint="eastAsia" w:ascii="宋体" w:hAnsi="宋体"/>
                <w:bCs/>
                <w:sz w:val="21"/>
                <w:szCs w:val="21"/>
              </w:rPr>
              <w:t>1、CPU:Intel酷睿8代I5- 8265U , 主频1.6GHz；</w:t>
            </w:r>
          </w:p>
          <w:p>
            <w:pPr>
              <w:rPr>
                <w:rFonts w:ascii="宋体" w:hAnsi="宋体"/>
                <w:bCs/>
                <w:sz w:val="21"/>
                <w:szCs w:val="21"/>
              </w:rPr>
            </w:pPr>
            <w:r>
              <w:rPr>
                <w:rFonts w:hint="eastAsia" w:ascii="宋体" w:hAnsi="宋体"/>
                <w:bCs/>
                <w:sz w:val="21"/>
                <w:szCs w:val="21"/>
              </w:rPr>
              <w:t>2、内存：</w:t>
            </w:r>
            <w:r>
              <w:rPr>
                <w:rFonts w:ascii="宋体" w:hAnsi="宋体"/>
                <w:bCs/>
                <w:sz w:val="21"/>
                <w:szCs w:val="21"/>
              </w:rPr>
              <w:t>8G DDR4 2400MHz</w:t>
            </w:r>
            <w:r>
              <w:rPr>
                <w:rFonts w:hint="eastAsia" w:ascii="宋体" w:hAnsi="宋体"/>
                <w:bCs/>
                <w:sz w:val="21"/>
                <w:szCs w:val="21"/>
              </w:rPr>
              <w:t>；</w:t>
            </w:r>
          </w:p>
          <w:p>
            <w:pPr>
              <w:rPr>
                <w:rFonts w:ascii="宋体" w:hAnsi="宋体"/>
                <w:bCs/>
                <w:sz w:val="21"/>
                <w:szCs w:val="21"/>
              </w:rPr>
            </w:pPr>
            <w:r>
              <w:rPr>
                <w:rFonts w:hint="eastAsia" w:ascii="宋体" w:hAnsi="宋体"/>
                <w:bCs/>
                <w:sz w:val="21"/>
                <w:szCs w:val="21"/>
              </w:rPr>
              <w:t>3、硬盘：256G M.2 PCI-E SSD固态硬盘,专用Anti-shock硬盘保护技术,配备专用减震缓冲螺钉。</w:t>
            </w:r>
          </w:p>
          <w:p>
            <w:pPr>
              <w:rPr>
                <w:rFonts w:ascii="宋体" w:hAnsi="宋体"/>
                <w:bCs/>
                <w:sz w:val="21"/>
                <w:szCs w:val="21"/>
              </w:rPr>
            </w:pPr>
            <w:r>
              <w:rPr>
                <w:rFonts w:hint="eastAsia" w:ascii="宋体" w:hAnsi="宋体"/>
                <w:bCs/>
                <w:sz w:val="21"/>
                <w:szCs w:val="21"/>
              </w:rPr>
              <w:t>4、摄像头：内置720P摄像头；</w:t>
            </w:r>
          </w:p>
          <w:p>
            <w:pPr>
              <w:rPr>
                <w:rFonts w:ascii="宋体" w:hAnsi="宋体"/>
                <w:bCs/>
                <w:sz w:val="21"/>
                <w:szCs w:val="21"/>
              </w:rPr>
            </w:pPr>
            <w:r>
              <w:rPr>
                <w:rFonts w:hint="eastAsia" w:ascii="宋体" w:hAnsi="宋体"/>
                <w:bCs/>
                <w:sz w:val="21"/>
                <w:szCs w:val="21"/>
              </w:rPr>
              <w:t>5、操作系统：预装正版Windows 10 64位操作系统；</w:t>
            </w:r>
          </w:p>
          <w:p>
            <w:pPr>
              <w:rPr>
                <w:rFonts w:ascii="宋体" w:hAnsi="宋体"/>
                <w:bCs/>
                <w:sz w:val="21"/>
                <w:szCs w:val="21"/>
              </w:rPr>
            </w:pPr>
            <w:r>
              <w:rPr>
                <w:rFonts w:hint="eastAsia" w:ascii="宋体" w:hAnsi="宋体"/>
                <w:bCs/>
                <w:sz w:val="21"/>
                <w:szCs w:val="21"/>
              </w:rPr>
              <w:t>6、尺寸外观：14寸</w:t>
            </w:r>
          </w:p>
        </w:tc>
        <w:tc>
          <w:tcPr>
            <w:tcW w:w="790"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2</w:t>
            </w:r>
          </w:p>
        </w:tc>
        <w:tc>
          <w:tcPr>
            <w:tcW w:w="718"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kern w:val="0"/>
                <w:sz w:val="21"/>
                <w:szCs w:val="21"/>
                <w:lang w:bidi="ar"/>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3</w:t>
            </w:r>
          </w:p>
        </w:tc>
        <w:tc>
          <w:tcPr>
            <w:tcW w:w="915" w:type="dxa"/>
            <w:tcBorders>
              <w:tl2br w:val="nil"/>
              <w:tr2bl w:val="nil"/>
            </w:tcBorders>
            <w:vAlign w:val="center"/>
          </w:tcPr>
          <w:p>
            <w:pPr>
              <w:autoSpaceDE w:val="0"/>
              <w:autoSpaceDN w:val="0"/>
              <w:adjustRightInd w:val="0"/>
              <w:jc w:val="center"/>
              <w:rPr>
                <w:rFonts w:ascii="宋体" w:hAnsi="宋体"/>
                <w:b/>
                <w:bCs/>
                <w:sz w:val="21"/>
                <w:szCs w:val="21"/>
              </w:rPr>
            </w:pPr>
            <w:r>
              <w:rPr>
                <w:rFonts w:hint="eastAsia" w:ascii="宋体" w:hAnsi="宋体"/>
                <w:b/>
                <w:bCs/>
                <w:sz w:val="21"/>
                <w:szCs w:val="21"/>
              </w:rPr>
              <w:t>交换机</w:t>
            </w:r>
          </w:p>
        </w:tc>
        <w:tc>
          <w:tcPr>
            <w:tcW w:w="7087" w:type="dxa"/>
            <w:gridSpan w:val="2"/>
            <w:tcBorders>
              <w:tl2br w:val="nil"/>
              <w:tr2bl w:val="nil"/>
            </w:tcBorders>
            <w:vAlign w:val="center"/>
          </w:tcPr>
          <w:p>
            <w:pPr>
              <w:rPr>
                <w:rFonts w:ascii="宋体" w:hAnsi="宋体"/>
                <w:bCs/>
                <w:sz w:val="21"/>
                <w:szCs w:val="21"/>
              </w:rPr>
            </w:pPr>
            <w:r>
              <w:rPr>
                <w:rFonts w:hint="eastAsia" w:ascii="宋体" w:hAnsi="宋体"/>
                <w:bCs/>
                <w:sz w:val="21"/>
                <w:szCs w:val="21"/>
              </w:rPr>
              <w:t>24个10/100/1000BASE-T以太网端口，</w:t>
            </w:r>
          </w:p>
        </w:tc>
        <w:tc>
          <w:tcPr>
            <w:tcW w:w="790"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3</w:t>
            </w:r>
          </w:p>
        </w:tc>
        <w:tc>
          <w:tcPr>
            <w:tcW w:w="718"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kern w:val="0"/>
                <w:sz w:val="21"/>
                <w:szCs w:val="21"/>
                <w:lang w:bidi="ar"/>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4</w:t>
            </w:r>
          </w:p>
        </w:tc>
        <w:tc>
          <w:tcPr>
            <w:tcW w:w="915" w:type="dxa"/>
            <w:tcBorders>
              <w:tl2br w:val="nil"/>
              <w:tr2bl w:val="nil"/>
            </w:tcBorders>
            <w:vAlign w:val="center"/>
          </w:tcPr>
          <w:p>
            <w:pPr>
              <w:autoSpaceDE w:val="0"/>
              <w:autoSpaceDN w:val="0"/>
              <w:adjustRightInd w:val="0"/>
              <w:jc w:val="center"/>
              <w:rPr>
                <w:rFonts w:ascii="宋体" w:hAnsi="宋体"/>
                <w:b/>
                <w:bCs/>
                <w:sz w:val="21"/>
                <w:szCs w:val="21"/>
              </w:rPr>
            </w:pPr>
            <w:r>
              <w:rPr>
                <w:rFonts w:hint="eastAsia" w:ascii="宋体" w:hAnsi="宋体"/>
                <w:b/>
                <w:bCs/>
                <w:color w:val="000000" w:themeColor="text1"/>
                <w:sz w:val="21"/>
                <w:szCs w:val="21"/>
                <w14:textFill>
                  <w14:solidFill>
                    <w14:schemeClr w14:val="tx1"/>
                  </w14:solidFill>
                </w14:textFill>
              </w:rPr>
              <w:t>教师椅</w:t>
            </w:r>
          </w:p>
        </w:tc>
        <w:tc>
          <w:tcPr>
            <w:tcW w:w="7087" w:type="dxa"/>
            <w:gridSpan w:val="2"/>
            <w:tcBorders>
              <w:tl2br w:val="nil"/>
              <w:tr2bl w:val="nil"/>
            </w:tcBorders>
            <w:vAlign w:val="center"/>
          </w:tcPr>
          <w:p>
            <w:pPr>
              <w:rPr>
                <w:rFonts w:ascii="宋体" w:hAnsi="宋体"/>
                <w:bCs/>
                <w:sz w:val="21"/>
                <w:szCs w:val="21"/>
              </w:rPr>
            </w:pPr>
            <w:r>
              <w:rPr>
                <w:rFonts w:hint="eastAsia" w:ascii="宋体" w:hAnsi="宋体"/>
                <w:bCs/>
                <w:sz w:val="21"/>
                <w:szCs w:val="21"/>
              </w:rPr>
              <w:t>椅子座板宽46cm深46cm地面至后靠背高96cm白框+海蓝色</w:t>
            </w:r>
          </w:p>
        </w:tc>
        <w:tc>
          <w:tcPr>
            <w:tcW w:w="790"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1</w:t>
            </w:r>
          </w:p>
        </w:tc>
        <w:tc>
          <w:tcPr>
            <w:tcW w:w="718"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kern w:val="0"/>
                <w:sz w:val="21"/>
                <w:szCs w:val="21"/>
                <w:lang w:bidi="ar"/>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5</w:t>
            </w:r>
          </w:p>
        </w:tc>
        <w:tc>
          <w:tcPr>
            <w:tcW w:w="915" w:type="dxa"/>
            <w:tcBorders>
              <w:tl2br w:val="nil"/>
              <w:tr2bl w:val="nil"/>
            </w:tcBorders>
            <w:vAlign w:val="center"/>
          </w:tcPr>
          <w:p>
            <w:pPr>
              <w:jc w:val="center"/>
              <w:rPr>
                <w:rFonts w:ascii="宋体" w:hAnsi="宋体"/>
                <w:b/>
                <w:bCs/>
                <w:sz w:val="21"/>
                <w:szCs w:val="21"/>
              </w:rPr>
            </w:pPr>
            <w:r>
              <w:rPr>
                <w:rFonts w:hint="eastAsia" w:ascii="宋体" w:hAnsi="宋体"/>
                <w:b/>
                <w:bCs/>
                <w:sz w:val="21"/>
                <w:szCs w:val="21"/>
              </w:rPr>
              <w:t>教师台</w:t>
            </w:r>
          </w:p>
        </w:tc>
        <w:tc>
          <w:tcPr>
            <w:tcW w:w="7087" w:type="dxa"/>
            <w:gridSpan w:val="2"/>
            <w:tcBorders>
              <w:tl2br w:val="nil"/>
              <w:tr2bl w:val="nil"/>
            </w:tcBorders>
            <w:vAlign w:val="center"/>
          </w:tcPr>
          <w:p>
            <w:pPr>
              <w:rPr>
                <w:rFonts w:ascii="宋体" w:hAnsi="宋体"/>
                <w:bCs/>
                <w:sz w:val="21"/>
                <w:szCs w:val="21"/>
              </w:rPr>
            </w:pPr>
            <w:r>
              <w:rPr>
                <w:rFonts w:ascii="宋体" w:hAnsi="宋体"/>
                <w:bCs/>
                <w:sz w:val="21"/>
                <w:szCs w:val="21"/>
              </w:rPr>
              <w:t>＊</w:t>
            </w:r>
            <w:r>
              <w:rPr>
                <w:rFonts w:hint="eastAsia" w:ascii="宋体" w:hAnsi="宋体"/>
                <w:bCs/>
                <w:sz w:val="21"/>
                <w:szCs w:val="21"/>
              </w:rPr>
              <w:t>一、ABS注塑一次成型讲桌；外形尺寸：1200*660mm*1000mm（长*宽*高）；</w:t>
            </w:r>
          </w:p>
          <w:p>
            <w:pPr>
              <w:rPr>
                <w:rFonts w:ascii="宋体" w:hAnsi="宋体"/>
                <w:bCs/>
                <w:sz w:val="21"/>
                <w:szCs w:val="21"/>
              </w:rPr>
            </w:pPr>
            <w:r>
              <w:rPr>
                <w:rFonts w:ascii="宋体" w:hAnsi="宋体"/>
                <w:bCs/>
                <w:sz w:val="21"/>
                <w:szCs w:val="21"/>
              </w:rPr>
              <w:t>＊</w:t>
            </w:r>
            <w:r>
              <w:rPr>
                <w:rFonts w:hint="eastAsia" w:ascii="宋体" w:hAnsi="宋体"/>
                <w:bCs/>
                <w:sz w:val="21"/>
                <w:szCs w:val="21"/>
              </w:rPr>
              <w:t>二、结构：上下分体式结构（采用倒凸样式，美观、大方。便于运输）；顶部和左右门均可打开。整体桌面、钢制部分边棱全部采用圆弧设计；三面进线、全方位纸箱包装，气泡塑料内包装。</w:t>
            </w:r>
          </w:p>
          <w:p>
            <w:pPr>
              <w:rPr>
                <w:rFonts w:ascii="宋体" w:hAnsi="宋体"/>
                <w:bCs/>
                <w:sz w:val="21"/>
                <w:szCs w:val="21"/>
              </w:rPr>
            </w:pPr>
            <w:r>
              <w:rPr>
                <w:rFonts w:ascii="宋体" w:hAnsi="宋体"/>
                <w:bCs/>
                <w:sz w:val="21"/>
                <w:szCs w:val="21"/>
              </w:rPr>
              <w:t>＊</w:t>
            </w:r>
            <w:r>
              <w:rPr>
                <w:rFonts w:hint="eastAsia" w:ascii="宋体" w:hAnsi="宋体"/>
                <w:bCs/>
                <w:sz w:val="21"/>
                <w:szCs w:val="21"/>
              </w:rPr>
              <w:t>三、材质：上体台面、键盘托、中控盖板和玻璃框选用一次注塑成型（禁至使用吹塑工艺、二次废料制作）壁厚大于4mm的ABS工程塑料材质，颜色：灰色，禁止喷塑或喷漆。采用三包围结构，整个台面（包含显示器、中控）不能出现金属板材（有效防止触电可能）；下体采用钢制。钢制部位材料厚度1.2mm；钢制部分表面静电喷塑处理，塑粉要求采用细沙纹，喷后均匀，颜色选用灰白色；</w:t>
            </w:r>
          </w:p>
          <w:p>
            <w:pPr>
              <w:rPr>
                <w:rFonts w:ascii="宋体" w:hAnsi="宋体"/>
                <w:bCs/>
                <w:sz w:val="21"/>
                <w:szCs w:val="21"/>
              </w:rPr>
            </w:pPr>
            <w:r>
              <w:rPr>
                <w:rFonts w:hint="eastAsia" w:ascii="宋体" w:hAnsi="宋体"/>
                <w:bCs/>
                <w:sz w:val="21"/>
                <w:szCs w:val="21"/>
              </w:rPr>
              <w:t>布局：桌面左侧放置显示器，显示器窗口安装10mm厚钢化玻璃（固定玻璃配件材质为ABS，禁用铁质、玻璃胶等容易脱落的配件），有效显示范围不小于20英寸宽屏(不小于450×300mm)；带有中控盒，可锁闭。</w:t>
            </w:r>
          </w:p>
          <w:p>
            <w:pPr>
              <w:rPr>
                <w:rFonts w:ascii="宋体" w:hAnsi="宋体"/>
                <w:bCs/>
                <w:sz w:val="21"/>
                <w:szCs w:val="21"/>
              </w:rPr>
            </w:pPr>
            <w:r>
              <w:rPr>
                <w:rFonts w:hint="eastAsia" w:ascii="宋体" w:hAnsi="宋体"/>
                <w:bCs/>
                <w:sz w:val="21"/>
                <w:szCs w:val="21"/>
              </w:rPr>
              <w:t>五、实物展台隐藏抽拉式、桌体内可左右互换（在桌子的左侧或右侧拉出，方便操作）。</w:t>
            </w:r>
          </w:p>
        </w:tc>
        <w:tc>
          <w:tcPr>
            <w:tcW w:w="790"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1</w:t>
            </w:r>
          </w:p>
        </w:tc>
        <w:tc>
          <w:tcPr>
            <w:tcW w:w="718" w:type="dxa"/>
            <w:tcBorders>
              <w:tl2br w:val="nil"/>
              <w:tr2bl w:val="nil"/>
            </w:tcBorders>
            <w:vAlign w:val="center"/>
          </w:tcPr>
          <w:p>
            <w:pPr>
              <w:jc w:val="center"/>
              <w:rPr>
                <w:rFonts w:ascii="宋体" w:hAnsi="宋体"/>
                <w:bCs/>
                <w:sz w:val="21"/>
                <w:szCs w:val="21"/>
              </w:rPr>
            </w:pPr>
            <w:r>
              <w:rPr>
                <w:rFonts w:hint="eastAsia" w:ascii="宋体" w:hAnsi="宋体"/>
                <w:bCs/>
                <w:sz w:val="21"/>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kern w:val="0"/>
                <w:sz w:val="21"/>
                <w:szCs w:val="21"/>
                <w:lang w:bidi="ar"/>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6</w:t>
            </w:r>
          </w:p>
        </w:tc>
        <w:tc>
          <w:tcPr>
            <w:tcW w:w="915" w:type="dxa"/>
            <w:tcBorders>
              <w:tl2br w:val="nil"/>
              <w:tr2bl w:val="nil"/>
            </w:tcBorders>
            <w:vAlign w:val="center"/>
          </w:tcPr>
          <w:p>
            <w:pPr>
              <w:autoSpaceDE w:val="0"/>
              <w:autoSpaceDN w:val="0"/>
              <w:adjustRightInd w:val="0"/>
              <w:jc w:val="center"/>
              <w:rPr>
                <w:rFonts w:ascii="宋体" w:hAnsi="宋体"/>
                <w:b/>
                <w:bCs/>
                <w:sz w:val="21"/>
                <w:szCs w:val="21"/>
              </w:rPr>
            </w:pPr>
            <w:r>
              <w:rPr>
                <w:rFonts w:hint="eastAsia" w:ascii="宋体" w:hAnsi="宋体"/>
                <w:b/>
                <w:bCs/>
                <w:sz w:val="21"/>
                <w:szCs w:val="21"/>
              </w:rPr>
              <w:t>学生电脑桌椅</w:t>
            </w:r>
          </w:p>
        </w:tc>
        <w:tc>
          <w:tcPr>
            <w:tcW w:w="7087" w:type="dxa"/>
            <w:gridSpan w:val="2"/>
            <w:tcBorders>
              <w:tl2br w:val="nil"/>
              <w:tr2bl w:val="nil"/>
            </w:tcBorders>
            <w:vAlign w:val="center"/>
          </w:tcPr>
          <w:p>
            <w:pPr>
              <w:rPr>
                <w:sz w:val="21"/>
                <w:szCs w:val="21"/>
              </w:rPr>
            </w:pPr>
            <w:r>
              <w:rPr>
                <w:rFonts w:hint="eastAsia"/>
                <w:sz w:val="21"/>
                <w:szCs w:val="21"/>
              </w:rPr>
              <w:t>所有材质符合欧洲E1级甲醛释放标准，隔断主材质选用30款屏风材质，玻璃采用布纹玻璃，台面选用25mm厚的实木颗粒板制作，每一套均配一个活动柜和主板拖键盘架。排列方式按照设计方案，隔断颜色为乳白色+棕海蓝色。桌子规格尺寸：1200mm*1400mm 椅子座板宽46cm深46cm地面至后靠背高96cm白框+海蓝色</w:t>
            </w:r>
          </w:p>
        </w:tc>
        <w:tc>
          <w:tcPr>
            <w:tcW w:w="790"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40</w:t>
            </w:r>
          </w:p>
        </w:tc>
        <w:tc>
          <w:tcPr>
            <w:tcW w:w="718"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kern w:val="0"/>
                <w:sz w:val="21"/>
                <w:szCs w:val="21"/>
                <w:lang w:bidi="ar"/>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7</w:t>
            </w:r>
          </w:p>
        </w:tc>
        <w:tc>
          <w:tcPr>
            <w:tcW w:w="915" w:type="dxa"/>
            <w:tcBorders>
              <w:tl2br w:val="nil"/>
              <w:tr2bl w:val="nil"/>
            </w:tcBorders>
            <w:vAlign w:val="center"/>
          </w:tcPr>
          <w:p>
            <w:pPr>
              <w:autoSpaceDE w:val="0"/>
              <w:autoSpaceDN w:val="0"/>
              <w:adjustRightInd w:val="0"/>
              <w:jc w:val="center"/>
              <w:rPr>
                <w:rFonts w:ascii="宋体" w:hAnsi="宋体"/>
                <w:b/>
                <w:bCs/>
                <w:sz w:val="21"/>
                <w:szCs w:val="21"/>
              </w:rPr>
            </w:pPr>
            <w:r>
              <w:rPr>
                <w:rFonts w:hint="eastAsia" w:ascii="宋体" w:hAnsi="宋体"/>
                <w:b/>
                <w:bCs/>
                <w:sz w:val="21"/>
                <w:szCs w:val="21"/>
              </w:rPr>
              <w:t>智慧黑板</w:t>
            </w:r>
          </w:p>
        </w:tc>
        <w:tc>
          <w:tcPr>
            <w:tcW w:w="7087" w:type="dxa"/>
            <w:gridSpan w:val="2"/>
            <w:tcBorders>
              <w:tl2br w:val="nil"/>
              <w:tr2bl w:val="nil"/>
            </w:tcBorders>
            <w:vAlign w:val="center"/>
          </w:tcPr>
          <w:p>
            <w:pPr>
              <w:pStyle w:val="39"/>
              <w:numPr>
                <w:ilvl w:val="0"/>
                <w:numId w:val="4"/>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正面显示为一个由三块拼接而成的平面普通黑板，可以在上面用各种水笔书写，又可以根据需要采用无尘粉笔书写。</w:t>
            </w:r>
          </w:p>
          <w:p>
            <w:pPr>
              <w:pStyle w:val="39"/>
              <w:numPr>
                <w:ilvl w:val="0"/>
                <w:numId w:val="4"/>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当打开电源时，中间一块显示出液晶的显示画面，可以进行触摸互动，而关掉时，显示画面隐形，又显示为一个普通黑板的表象，可以在上面进行书写。</w:t>
            </w:r>
          </w:p>
          <w:p>
            <w:pPr>
              <w:pStyle w:val="39"/>
              <w:numPr>
                <w:ilvl w:val="0"/>
                <w:numId w:val="4"/>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整体尺寸：宽≥4200mm,高≥1400mm,厚≥70mm必须采用模块化设计，壁挂式安装，拆卸方便。</w:t>
            </w:r>
          </w:p>
          <w:p>
            <w:pPr>
              <w:pStyle w:val="39"/>
              <w:numPr>
                <w:ilvl w:val="0"/>
                <w:numId w:val="4"/>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必须支持白板水笔书写功能，无尘粉笔书写功能。</w:t>
            </w:r>
          </w:p>
          <w:p>
            <w:pPr>
              <w:pStyle w:val="39"/>
              <w:numPr>
                <w:ilvl w:val="0"/>
                <w:numId w:val="4"/>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具有高光过滤技术，将对眼睛有害的光源过滤掉，使得画面变得更加柔和。</w:t>
            </w:r>
          </w:p>
          <w:p>
            <w:pPr>
              <w:pStyle w:val="39"/>
              <w:numPr>
                <w:ilvl w:val="0"/>
                <w:numId w:val="4"/>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表面防眩光技术，无法在表面形成反射影像，不影响可视画面。采用耐书写技术，采用水笔书及粉笔写对黑板表面永久性无损伤。</w:t>
            </w:r>
          </w:p>
          <w:p>
            <w:pPr>
              <w:pStyle w:val="39"/>
              <w:numPr>
                <w:ilvl w:val="0"/>
                <w:numId w:val="4"/>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表面可承受不低于90MPA的外应力冲击，整机具有防爆功能，玻璃破碎不能溅出伤人。</w:t>
            </w:r>
          </w:p>
          <w:p>
            <w:pPr>
              <w:pStyle w:val="39"/>
              <w:numPr>
                <w:ilvl w:val="0"/>
                <w:numId w:val="4"/>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显示尺寸≥86英寸</w:t>
            </w:r>
            <w:r>
              <w:rPr>
                <w:rFonts w:hint="eastAsia" w:ascii="宋体" w:hAnsi="宋体"/>
                <w:bCs/>
                <w:iCs/>
                <w:color w:val="auto"/>
                <w:kern w:val="0"/>
                <w:sz w:val="21"/>
                <w:szCs w:val="21"/>
              </w:rPr>
              <w:t>，</w:t>
            </w:r>
            <w:r>
              <w:rPr>
                <w:rFonts w:hint="eastAsia" w:ascii="宋体" w:hAnsi="宋体" w:eastAsia="宋体"/>
                <w:bCs/>
                <w:iCs/>
                <w:color w:val="auto"/>
                <w:kern w:val="0"/>
                <w:sz w:val="21"/>
                <w:szCs w:val="21"/>
              </w:rPr>
              <w:t>对比度≥1200:1，色温≥10000K，亮度≥350cd/㎡，响应速度≥8ms</w:t>
            </w:r>
            <w:r>
              <w:rPr>
                <w:rFonts w:hint="eastAsia" w:ascii="宋体" w:hAnsi="宋体"/>
                <w:bCs/>
                <w:iCs/>
                <w:color w:val="auto"/>
                <w:kern w:val="0"/>
                <w:sz w:val="21"/>
                <w:szCs w:val="21"/>
              </w:rPr>
              <w:t>，</w:t>
            </w:r>
            <w:r>
              <w:rPr>
                <w:rFonts w:hint="eastAsia" w:ascii="宋体" w:hAnsi="宋体" w:eastAsia="宋体"/>
                <w:bCs/>
                <w:iCs/>
                <w:color w:val="auto"/>
                <w:kern w:val="0"/>
                <w:sz w:val="21"/>
                <w:szCs w:val="21"/>
              </w:rPr>
              <w:t>单屏物理分辨率: 3840*2160；可视角度：（水平/垂直)178°。</w:t>
            </w:r>
            <w:r>
              <w:rPr>
                <w:rFonts w:hint="eastAsia" w:ascii="宋体" w:hAnsi="宋体" w:eastAsia="宋体"/>
                <w:color w:val="auto"/>
                <w:sz w:val="21"/>
                <w:szCs w:val="21"/>
              </w:rPr>
              <w:t>搭载 Android8.0 嵌入式操作系统，全功能触摸互动操作，操作界面人性化设计，可视感强，CPU采用 Cortex A73智能处理器，多文件多任务操作，RAM 2G，Flash 16GB。</w:t>
            </w:r>
          </w:p>
          <w:p>
            <w:pPr>
              <w:pStyle w:val="39"/>
              <w:numPr>
                <w:ilvl w:val="0"/>
                <w:numId w:val="4"/>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产品采用国内最先进的纳米电容触控技术，手指轻触式多点（不小于10点触控）互动体验</w:t>
            </w:r>
            <w:r>
              <w:rPr>
                <w:rFonts w:hint="eastAsia" w:ascii="宋体" w:hAnsi="宋体"/>
                <w:bCs/>
                <w:iCs/>
                <w:color w:val="auto"/>
                <w:kern w:val="0"/>
                <w:sz w:val="21"/>
                <w:szCs w:val="21"/>
              </w:rPr>
              <w:t>，</w:t>
            </w:r>
            <w:r>
              <w:rPr>
                <w:rFonts w:hint="eastAsia" w:ascii="宋体" w:hAnsi="宋体" w:eastAsia="宋体"/>
                <w:bCs/>
                <w:iCs/>
                <w:color w:val="auto"/>
                <w:kern w:val="0"/>
                <w:sz w:val="21"/>
                <w:szCs w:val="21"/>
              </w:rPr>
              <w:t>多点书写技术：能在 Windows 自带画图软件中实现多点书写</w:t>
            </w:r>
          </w:p>
          <w:p>
            <w:pPr>
              <w:pStyle w:val="39"/>
              <w:numPr>
                <w:ilvl w:val="0"/>
                <w:numId w:val="4"/>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触摸屏满足连接 Windows 操作系统（Win 7、Win10）的电脑外部设备时正常无障碍使用。</w:t>
            </w:r>
          </w:p>
          <w:p>
            <w:pPr>
              <w:pStyle w:val="39"/>
              <w:numPr>
                <w:ilvl w:val="0"/>
                <w:numId w:val="4"/>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连续响应速度≤10ms。触摸有效识别≤5 毫米。内部信号接口：VGA*1；HDMI*1，音频接口(3.5mm) *2,USB2.0*4,usb3.0*2,音箱喇叭：2*15w等;外部接口：HDMI*1,DP*1,USB触摸口*2，USB升级端口</w:t>
            </w:r>
          </w:p>
          <w:p>
            <w:pPr>
              <w:pStyle w:val="39"/>
              <w:numPr>
                <w:ilvl w:val="0"/>
                <w:numId w:val="4"/>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产品信号接口必须具有自控防失真功能、多路图像同步显示功能、远传传输防静电功能、信号智能自动追踪系统。</w:t>
            </w:r>
          </w:p>
          <w:p>
            <w:pPr>
              <w:pStyle w:val="39"/>
              <w:numPr>
                <w:ilvl w:val="0"/>
                <w:numId w:val="4"/>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产品必须具有独特的音箱悬浮式设计结构，运用环境自适应扩声原理，保证高品质的音质效果，输出功率不低于15瓦x2。</w:t>
            </w:r>
          </w:p>
          <w:p>
            <w:pPr>
              <w:pStyle w:val="39"/>
              <w:numPr>
                <w:ilvl w:val="0"/>
                <w:numId w:val="4"/>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产品必须具有EMC电子抗干扰功能，能最大化的消除干扰杂讯电源信号。</w:t>
            </w:r>
          </w:p>
          <w:p>
            <w:pPr>
              <w:pStyle w:val="39"/>
              <w:numPr>
                <w:ilvl w:val="0"/>
                <w:numId w:val="4"/>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设备必须采用外框结构设计，无缝设计架构，安全可靠。抗氧化轻质铝设计，独特的无风扇风道设计，散热性更好。设备表面具有全防水功能，正面可以水洗，具有抗强光抗干扰功能。</w:t>
            </w:r>
          </w:p>
          <w:p>
            <w:pPr>
              <w:pStyle w:val="39"/>
              <w:numPr>
                <w:ilvl w:val="0"/>
                <w:numId w:val="4"/>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产品具有能够一键从黑板书写模式切换到液晶触摸屏模式。软件平台能以互动的方式呈现教学内容（如：PPT、视频、图片、动画等），能够提供丰富的互动模板能把枯燥的教学素材变为交互性好、视觉冲击好的互动教学课程，通过触控黑板的表面进行交互，简单、人性化的交互操作。</w:t>
            </w:r>
          </w:p>
          <w:p>
            <w:pPr>
              <w:pStyle w:val="39"/>
              <w:numPr>
                <w:ilvl w:val="0"/>
                <w:numId w:val="4"/>
              </w:numPr>
              <w:ind w:firstLineChars="0"/>
              <w:jc w:val="left"/>
              <w:rPr>
                <w:rFonts w:ascii="宋体" w:hAnsi="宋体" w:eastAsia="宋体"/>
                <w:color w:val="auto"/>
                <w:sz w:val="21"/>
                <w:szCs w:val="21"/>
              </w:rPr>
            </w:pPr>
            <w:r>
              <w:rPr>
                <w:rFonts w:hint="eastAsia" w:ascii="宋体" w:hAnsi="宋体" w:eastAsia="宋体"/>
                <w:bCs/>
                <w:iCs/>
                <w:color w:val="auto"/>
                <w:kern w:val="0"/>
                <w:sz w:val="21"/>
                <w:szCs w:val="21"/>
              </w:rPr>
              <w:t>支持一键除蓝光，降低有害光源对老师视力损害</w:t>
            </w:r>
            <w:r>
              <w:rPr>
                <w:rFonts w:hint="eastAsia" w:ascii="宋体" w:hAnsi="宋体"/>
                <w:bCs/>
                <w:iCs/>
                <w:color w:val="auto"/>
                <w:kern w:val="0"/>
                <w:sz w:val="21"/>
                <w:szCs w:val="21"/>
              </w:rPr>
              <w:t>，</w:t>
            </w:r>
            <w:r>
              <w:rPr>
                <w:rFonts w:hint="eastAsia" w:ascii="宋体" w:hAnsi="宋体" w:eastAsia="宋体"/>
                <w:color w:val="auto"/>
                <w:sz w:val="21"/>
                <w:szCs w:val="21"/>
              </w:rPr>
              <w:t>产品全电容按键，支持一键黑屏和计算机及外接输入源显示的切换</w:t>
            </w:r>
          </w:p>
          <w:p>
            <w:pPr>
              <w:pStyle w:val="21"/>
              <w:numPr>
                <w:ilvl w:val="0"/>
                <w:numId w:val="4"/>
              </w:numPr>
              <w:rPr>
                <w:color w:val="auto"/>
                <w:sz w:val="21"/>
                <w:szCs w:val="21"/>
              </w:rPr>
            </w:pPr>
            <w:r>
              <w:rPr>
                <w:color w:val="auto"/>
                <w:sz w:val="21"/>
                <w:szCs w:val="21"/>
              </w:rPr>
              <w:t>产品支持多种模式控制黑板：一键切换输入源,无需遥控器,隐形按键切换输入源。五指息屏，敲击呼出菜单，通过手势增减亮度，调整音量</w:t>
            </w:r>
            <w:r>
              <w:rPr>
                <w:rFonts w:hint="eastAsia"/>
                <w:color w:val="auto"/>
                <w:sz w:val="21"/>
                <w:szCs w:val="21"/>
              </w:rPr>
              <w:t>。</w:t>
            </w:r>
          </w:p>
          <w:p>
            <w:pPr>
              <w:jc w:val="left"/>
              <w:rPr>
                <w:rFonts w:ascii="宋体" w:hAnsi="宋体"/>
                <w:color w:val="auto"/>
                <w:sz w:val="21"/>
                <w:szCs w:val="21"/>
              </w:rPr>
            </w:pPr>
            <w:r>
              <w:rPr>
                <w:rFonts w:hint="eastAsia" w:ascii="宋体" w:hAnsi="宋体" w:cs="宋体"/>
                <w:color w:val="auto"/>
                <w:sz w:val="21"/>
                <w:szCs w:val="21"/>
              </w:rPr>
              <w:t>内置主机配置要求：</w:t>
            </w:r>
          </w:p>
          <w:p>
            <w:pPr>
              <w:pStyle w:val="39"/>
              <w:numPr>
                <w:ilvl w:val="0"/>
                <w:numId w:val="5"/>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模块化电脑厚度,采用OPS插拔式架构；</w:t>
            </w:r>
          </w:p>
          <w:p>
            <w:pPr>
              <w:pStyle w:val="39"/>
              <w:numPr>
                <w:ilvl w:val="0"/>
                <w:numId w:val="5"/>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处理器： Intel Corei5或以上配置；</w:t>
            </w:r>
          </w:p>
          <w:p>
            <w:pPr>
              <w:pStyle w:val="39"/>
              <w:numPr>
                <w:ilvl w:val="0"/>
                <w:numId w:val="5"/>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内存：4G DDR3 或以上配置；</w:t>
            </w:r>
          </w:p>
          <w:p>
            <w:pPr>
              <w:pStyle w:val="39"/>
              <w:numPr>
                <w:ilvl w:val="0"/>
                <w:numId w:val="5"/>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硬盘：128G-SSD 固态硬盘或以上配置；</w:t>
            </w:r>
          </w:p>
          <w:p>
            <w:pPr>
              <w:pStyle w:val="39"/>
              <w:numPr>
                <w:ilvl w:val="0"/>
                <w:numId w:val="5"/>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内置 WiFi：IEEE 802.11n 标准，保证足够的信号强度；</w:t>
            </w:r>
          </w:p>
          <w:p>
            <w:pPr>
              <w:pStyle w:val="39"/>
              <w:numPr>
                <w:ilvl w:val="0"/>
                <w:numId w:val="5"/>
              </w:numPr>
              <w:ind w:firstLineChars="0"/>
              <w:jc w:val="left"/>
              <w:rPr>
                <w:rFonts w:ascii="宋体" w:hAnsi="宋体" w:eastAsia="宋体"/>
                <w:bCs/>
                <w:iCs/>
                <w:color w:val="auto"/>
                <w:kern w:val="0"/>
                <w:sz w:val="21"/>
                <w:szCs w:val="21"/>
              </w:rPr>
            </w:pPr>
            <w:r>
              <w:rPr>
                <w:rFonts w:hint="eastAsia" w:ascii="宋体" w:hAnsi="宋体" w:eastAsia="宋体"/>
                <w:bCs/>
                <w:iCs/>
                <w:color w:val="auto"/>
                <w:kern w:val="0"/>
                <w:sz w:val="21"/>
                <w:szCs w:val="21"/>
              </w:rPr>
              <w:t>内置网卡：10M/100M/1000M</w:t>
            </w:r>
          </w:p>
          <w:p>
            <w:pPr>
              <w:rPr>
                <w:rFonts w:ascii="宋体" w:hAnsi="宋体"/>
                <w:b/>
                <w:bCs/>
                <w:color w:val="auto"/>
                <w:sz w:val="21"/>
                <w:szCs w:val="21"/>
              </w:rPr>
            </w:pPr>
            <w:bookmarkStart w:id="1" w:name="_Toc517164450"/>
            <w:bookmarkStart w:id="2" w:name="_Toc516842483"/>
            <w:r>
              <w:rPr>
                <w:rFonts w:hint="eastAsia" w:ascii="宋体" w:hAnsi="宋体" w:cs="宋体"/>
                <w:b/>
                <w:bCs/>
                <w:color w:val="auto"/>
                <w:sz w:val="21"/>
                <w:szCs w:val="21"/>
              </w:rPr>
              <w:t>备授课教学系统</w:t>
            </w:r>
            <w:bookmarkEnd w:id="1"/>
            <w:bookmarkEnd w:id="2"/>
            <w:r>
              <w:rPr>
                <w:rFonts w:hint="eastAsia" w:ascii="宋体" w:hAnsi="宋体" w:cs="宋体"/>
                <w:b/>
                <w:bCs/>
                <w:color w:val="auto"/>
                <w:sz w:val="21"/>
                <w:szCs w:val="21"/>
              </w:rPr>
              <w:t>：</w:t>
            </w:r>
          </w:p>
          <w:p>
            <w:pPr>
              <w:rPr>
                <w:rFonts w:ascii="宋体" w:hAnsi="宋体"/>
                <w:color w:val="auto"/>
                <w:sz w:val="21"/>
                <w:szCs w:val="21"/>
              </w:rPr>
            </w:pPr>
            <w:r>
              <w:rPr>
                <w:rFonts w:hint="eastAsia" w:ascii="宋体" w:hAnsi="宋体" w:cs="宋体"/>
                <w:color w:val="auto"/>
                <w:sz w:val="21"/>
                <w:szCs w:val="21"/>
              </w:rPr>
              <w:t>以下软件功能，必须在同一套软件环境下实现，不接受使用多套软件参加投标1、支持用户登录，支持用户信息验证后调起相关软件，支持USB Key身份快速识别登录；支持离线模式、普通账号登陆、VIP账号登陆，且支持单账号多客户端登录、制作课件、保存课件、同步课件等。</w:t>
            </w:r>
          </w:p>
          <w:p>
            <w:pPr>
              <w:rPr>
                <w:rFonts w:ascii="宋体" w:hAnsi="宋体"/>
                <w:color w:val="auto"/>
                <w:sz w:val="21"/>
                <w:szCs w:val="21"/>
              </w:rPr>
            </w:pPr>
            <w:r>
              <w:rPr>
                <w:rFonts w:hint="eastAsia" w:ascii="宋体" w:hAnsi="宋体" w:cs="宋体"/>
                <w:color w:val="auto"/>
                <w:sz w:val="21"/>
                <w:szCs w:val="21"/>
              </w:rPr>
              <w:t>2、支持课件云存储，无需使用U盘等存储设备，老师只需联网登录即可获取已同步的云课件。</w:t>
            </w:r>
          </w:p>
          <w:p>
            <w:pPr>
              <w:rPr>
                <w:rFonts w:ascii="宋体" w:hAnsi="宋体"/>
                <w:color w:val="auto"/>
                <w:sz w:val="21"/>
                <w:szCs w:val="21"/>
              </w:rPr>
            </w:pPr>
            <w:r>
              <w:rPr>
                <w:rFonts w:hint="eastAsia" w:ascii="宋体" w:hAnsi="宋体" w:cs="宋体"/>
                <w:color w:val="auto"/>
                <w:sz w:val="21"/>
                <w:szCs w:val="21"/>
              </w:rPr>
              <w:t xml:space="preserve">3、支持课件云同步，课件上的所有内容均可至端，无需单独保存上传。 </w:t>
            </w:r>
          </w:p>
          <w:p>
            <w:pPr>
              <w:rPr>
                <w:rFonts w:ascii="宋体" w:hAnsi="宋体"/>
                <w:b/>
                <w:color w:val="auto"/>
                <w:sz w:val="21"/>
                <w:szCs w:val="21"/>
              </w:rPr>
            </w:pPr>
            <w:r>
              <w:rPr>
                <w:rFonts w:hint="eastAsia" w:ascii="宋体" w:hAnsi="宋体" w:cs="宋体"/>
                <w:color w:val="auto"/>
                <w:sz w:val="21"/>
                <w:szCs w:val="21"/>
              </w:rPr>
              <w:t>4、支持 U 盘文件扫描，U 盘内的 Office 文档、文本文件、PDF 等文档支持以修改时间排序显示；支持单击快速打开文档。</w:t>
            </w:r>
          </w:p>
          <w:p>
            <w:pPr>
              <w:rPr>
                <w:rFonts w:ascii="宋体" w:hAnsi="宋体"/>
                <w:color w:val="auto"/>
                <w:sz w:val="21"/>
                <w:szCs w:val="21"/>
              </w:rPr>
            </w:pPr>
            <w:r>
              <w:rPr>
                <w:rFonts w:ascii="宋体" w:hAnsi="宋体" w:cs="宋体"/>
                <w:color w:val="auto"/>
                <w:sz w:val="21"/>
                <w:szCs w:val="21"/>
              </w:rPr>
              <w:t>5</w:t>
            </w:r>
            <w:r>
              <w:rPr>
                <w:rFonts w:hint="eastAsia" w:ascii="宋体" w:hAnsi="宋体" w:cs="宋体"/>
                <w:color w:val="auto"/>
                <w:sz w:val="21"/>
                <w:szCs w:val="21"/>
              </w:rPr>
              <w:t>、 系统备课课件成果具有开放性，支持备课成果导出为exe格式跨平台跨终端使用，资源使用开放与便捷。 提供富媒体课件工具，通过高效组织各种类型的教育资源，帮助教师便捷快速完成课件设计，解决信息资源应用不方便、利用率不高等突出问题，全面提升区域信息资源应用水平。具体做到：</w:t>
            </w:r>
          </w:p>
          <w:p>
            <w:pPr>
              <w:rPr>
                <w:rFonts w:ascii="宋体" w:hAnsi="宋体"/>
                <w:color w:val="auto"/>
                <w:sz w:val="21"/>
                <w:szCs w:val="21"/>
              </w:rPr>
            </w:pPr>
            <w:r>
              <w:rPr>
                <w:rFonts w:hint="eastAsia" w:ascii="宋体" w:hAnsi="宋体" w:cs="宋体"/>
                <w:color w:val="auto"/>
                <w:sz w:val="21"/>
                <w:szCs w:val="21"/>
              </w:rPr>
              <w:t>（1）实现文本、图片、视频、音频、动画多类型资源自由调用，教师利用不同类型资源，完成知识点识记、内容解析、演变推理等教学认知要求。各类资源来源丰富，包括本地、智能推送到章到节的碎片化资源。</w:t>
            </w:r>
          </w:p>
          <w:p>
            <w:pPr>
              <w:rPr>
                <w:rFonts w:ascii="宋体" w:hAnsi="宋体"/>
                <w:color w:val="auto"/>
                <w:sz w:val="21"/>
                <w:szCs w:val="21"/>
              </w:rPr>
            </w:pPr>
            <w:r>
              <w:rPr>
                <w:rFonts w:hint="eastAsia" w:ascii="宋体" w:hAnsi="宋体" w:cs="宋体"/>
                <w:color w:val="auto"/>
                <w:sz w:val="21"/>
                <w:szCs w:val="21"/>
              </w:rPr>
              <w:t>（2）提供多学科资源应用服务，包括公式、试题、仿真实验、教材引用、汉字教学、词语教学、钟表教学、识数教学、单词教学、英语听读、英语课文朗读等各类学科资源应用。从而更好地帮助教师组织利用碎片化的教学设计，解决资源编辑困难、规范性不足、演示效果差等问题；使学习者更好的理解、应用、拓展知识，真正提升学生实践能力、研究能力、创新能力等综合素质。资源内容丰富，智能精确推送，满足日常教学习惯。用户根据学情灵活选择使用，充分激发学习者的学习积极性。</w:t>
            </w:r>
          </w:p>
          <w:p>
            <w:pPr>
              <w:rPr>
                <w:rFonts w:ascii="宋体" w:hAnsi="宋体"/>
                <w:color w:val="auto"/>
                <w:sz w:val="21"/>
                <w:szCs w:val="21"/>
              </w:rPr>
            </w:pPr>
            <w:r>
              <w:rPr>
                <w:rFonts w:hint="eastAsia" w:ascii="宋体" w:hAnsi="宋体" w:cs="宋体"/>
                <w:color w:val="auto"/>
                <w:sz w:val="21"/>
                <w:szCs w:val="21"/>
              </w:rPr>
              <w:t>（3）提供丰富的资源应用效果管控功能，支持弹出、翻转、放映、匹配联动多种动画效果。教师能够更好有效组织课堂互动，全面把控课堂节奏和氛围，通过丰富视觉效果呈现方式，让课堂真正活起来。</w:t>
            </w:r>
          </w:p>
          <w:p>
            <w:pPr>
              <w:rPr>
                <w:rFonts w:ascii="宋体" w:hAnsi="宋体"/>
                <w:color w:val="auto"/>
                <w:sz w:val="21"/>
                <w:szCs w:val="21"/>
              </w:rPr>
            </w:pPr>
            <w:r>
              <w:rPr>
                <w:rFonts w:hint="eastAsia" w:ascii="宋体" w:hAnsi="宋体" w:cs="宋体"/>
                <w:color w:val="auto"/>
                <w:sz w:val="21"/>
                <w:szCs w:val="21"/>
              </w:rPr>
              <w:t>（4）根据用户教学需求，提供各个学科通用的模板，又分学科提供具有本学科特色的模板，帮助用户快速制作课件、微课或校本教材。根据用户的教学需求，某些模板下到章到节智能推送模板化互动式资源，供用户一键式拖拽使用。</w:t>
            </w:r>
          </w:p>
          <w:p>
            <w:pPr>
              <w:rPr>
                <w:rFonts w:ascii="宋体" w:hAnsi="宋体"/>
                <w:color w:val="auto"/>
                <w:sz w:val="21"/>
                <w:szCs w:val="21"/>
              </w:rPr>
            </w:pPr>
            <w:r>
              <w:rPr>
                <w:rFonts w:ascii="宋体" w:hAnsi="宋体" w:cs="宋体"/>
                <w:color w:val="auto"/>
                <w:sz w:val="21"/>
                <w:szCs w:val="21"/>
              </w:rPr>
              <w:t>6</w:t>
            </w:r>
            <w:r>
              <w:rPr>
                <w:rFonts w:hint="eastAsia" w:ascii="宋体" w:hAnsi="宋体" w:cs="宋体"/>
                <w:color w:val="auto"/>
                <w:sz w:val="21"/>
                <w:szCs w:val="21"/>
              </w:rPr>
              <w:t>、 系统支持资源服务分学科到章到节智能推送给用户，供用户作为课件、微课或校本教材制作的素材使用，也可以修改部分教学内容使之更符合教学需求。智能推送的资源既包括常规优质资源，也包括由交互课件工具制作的互动式精品资源。</w:t>
            </w:r>
          </w:p>
          <w:p>
            <w:pPr>
              <w:rPr>
                <w:rFonts w:ascii="宋体" w:hAnsi="宋体"/>
                <w:color w:val="auto"/>
                <w:sz w:val="21"/>
                <w:szCs w:val="21"/>
              </w:rPr>
            </w:pPr>
            <w:r>
              <w:rPr>
                <w:rFonts w:ascii="宋体" w:hAnsi="宋体" w:cs="宋体"/>
                <w:color w:val="auto"/>
                <w:sz w:val="21"/>
                <w:szCs w:val="21"/>
              </w:rPr>
              <w:t>7</w:t>
            </w:r>
            <w:r>
              <w:rPr>
                <w:rFonts w:hint="eastAsia" w:ascii="宋体" w:hAnsi="宋体" w:cs="宋体"/>
                <w:color w:val="auto"/>
                <w:sz w:val="21"/>
                <w:szCs w:val="21"/>
              </w:rPr>
              <w:t>、 系统支持备教材功能。教师基于系统提供的国家基础教材课程标准资源，通过下载智能推送优质资源或增添本地个性资源的方式，快速完成教材备课。同时支持资源地图，方便教师把握课程组织结构。</w:t>
            </w:r>
          </w:p>
          <w:p>
            <w:pPr>
              <w:rPr>
                <w:rFonts w:ascii="宋体" w:hAnsi="宋体"/>
                <w:bCs/>
                <w:sz w:val="21"/>
                <w:szCs w:val="21"/>
              </w:rPr>
            </w:pPr>
            <w:r>
              <w:rPr>
                <w:rFonts w:ascii="宋体" w:hAnsi="宋体" w:cs="宋体"/>
                <w:color w:val="auto"/>
                <w:sz w:val="21"/>
                <w:szCs w:val="21"/>
              </w:rPr>
              <w:t>8</w:t>
            </w:r>
            <w:r>
              <w:rPr>
                <w:rFonts w:hint="eastAsia" w:ascii="宋体" w:hAnsi="宋体" w:cs="宋体"/>
                <w:color w:val="auto"/>
                <w:sz w:val="21"/>
                <w:szCs w:val="21"/>
              </w:rPr>
              <w:t>、3D实验室软件，是采用国际主流的3D游戏引擎开发的交互式3D实验教学辅助软件。拥有纯3D的观察视角和3D的交互方式。根据教学大纲和主流教材上的演示实验和学生实验的内容，通过3D的方式展现与互动。为用户提供了具有探究性和扩展性的3D探究实验仿真环境，允许用户在平台中尽可能自由的搭建各种实验并进行互动。 3D实验室软件可以运行在Win7以上操作系统，提供物理、化学3D虚拟实验室，超过100个独立的虚拟实验资源。</w:t>
            </w:r>
          </w:p>
        </w:tc>
        <w:tc>
          <w:tcPr>
            <w:tcW w:w="790"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1</w:t>
            </w:r>
          </w:p>
        </w:tc>
        <w:tc>
          <w:tcPr>
            <w:tcW w:w="718"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kern w:val="0"/>
                <w:sz w:val="21"/>
                <w:szCs w:val="21"/>
                <w:lang w:bidi="ar"/>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8</w:t>
            </w:r>
          </w:p>
        </w:tc>
        <w:tc>
          <w:tcPr>
            <w:tcW w:w="915" w:type="dxa"/>
            <w:tcBorders>
              <w:tl2br w:val="nil"/>
              <w:tr2bl w:val="nil"/>
            </w:tcBorders>
            <w:vAlign w:val="center"/>
          </w:tcPr>
          <w:p>
            <w:pPr>
              <w:autoSpaceDE w:val="0"/>
              <w:autoSpaceDN w:val="0"/>
              <w:adjustRightInd w:val="0"/>
              <w:jc w:val="center"/>
              <w:rPr>
                <w:rFonts w:ascii="宋体" w:hAnsi="宋体"/>
                <w:b/>
                <w:bCs/>
                <w:sz w:val="21"/>
                <w:szCs w:val="21"/>
              </w:rPr>
            </w:pPr>
            <w:r>
              <w:rPr>
                <w:rFonts w:hint="eastAsia" w:ascii="宋体" w:hAnsi="宋体"/>
                <w:b/>
                <w:bCs/>
                <w:sz w:val="21"/>
                <w:szCs w:val="21"/>
              </w:rPr>
              <w:t>服务器</w:t>
            </w:r>
          </w:p>
        </w:tc>
        <w:tc>
          <w:tcPr>
            <w:tcW w:w="7087" w:type="dxa"/>
            <w:gridSpan w:val="2"/>
            <w:tcBorders>
              <w:tl2br w:val="nil"/>
              <w:tr2bl w:val="nil"/>
            </w:tcBorders>
            <w:vAlign w:val="center"/>
          </w:tcPr>
          <w:p>
            <w:pPr>
              <w:rPr>
                <w:rFonts w:ascii="宋体" w:hAnsi="宋体"/>
                <w:bCs/>
                <w:sz w:val="21"/>
                <w:szCs w:val="21"/>
              </w:rPr>
            </w:pPr>
            <w:r>
              <w:rPr>
                <w:rFonts w:hint="eastAsia" w:ascii="宋体" w:hAnsi="宋体"/>
                <w:bCs/>
                <w:sz w:val="21"/>
                <w:szCs w:val="21"/>
              </w:rPr>
              <w:t>CPU配置不低于2颗Intel Xeon E5-2620 V4处理器，单颗CPU不低于8核心，主频不低于2.1GHz，20MB缓存；内存插槽数≥20个，配置内存≥96GB DDR4，内存要求支持ECC，速率不低于2133MHz，支持最大内存扩展≥640GB；可插拔硬盘槽位≥8个，同时兼容2.5英寸和3.5英寸尺寸硬盘，本次要求配置SSD容量≥1*240GB，配置机械硬盘≥1TB SATA3.0企业级硬盘</w:t>
            </w:r>
          </w:p>
        </w:tc>
        <w:tc>
          <w:tcPr>
            <w:tcW w:w="790"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2</w:t>
            </w:r>
          </w:p>
        </w:tc>
        <w:tc>
          <w:tcPr>
            <w:tcW w:w="718"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kern w:val="0"/>
                <w:sz w:val="21"/>
                <w:szCs w:val="21"/>
                <w:lang w:bidi="ar"/>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9</w:t>
            </w:r>
          </w:p>
        </w:tc>
        <w:tc>
          <w:tcPr>
            <w:tcW w:w="915" w:type="dxa"/>
            <w:tcBorders>
              <w:tl2br w:val="nil"/>
              <w:tr2bl w:val="nil"/>
            </w:tcBorders>
            <w:vAlign w:val="center"/>
          </w:tcPr>
          <w:p>
            <w:pPr>
              <w:autoSpaceDE w:val="0"/>
              <w:autoSpaceDN w:val="0"/>
              <w:adjustRightInd w:val="0"/>
              <w:jc w:val="center"/>
              <w:rPr>
                <w:rFonts w:ascii="宋体" w:hAnsi="宋体"/>
                <w:b/>
                <w:bCs/>
                <w:sz w:val="21"/>
                <w:szCs w:val="21"/>
              </w:rPr>
            </w:pPr>
            <w:r>
              <w:rPr>
                <w:rFonts w:hint="eastAsia" w:ascii="宋体" w:hAnsi="宋体"/>
                <w:b/>
                <w:bCs/>
                <w:sz w:val="21"/>
                <w:szCs w:val="21"/>
              </w:rPr>
              <w:t>机柜</w:t>
            </w:r>
          </w:p>
        </w:tc>
        <w:tc>
          <w:tcPr>
            <w:tcW w:w="7087" w:type="dxa"/>
            <w:gridSpan w:val="2"/>
            <w:tcBorders>
              <w:tl2br w:val="nil"/>
              <w:tr2bl w:val="nil"/>
            </w:tcBorders>
            <w:vAlign w:val="center"/>
          </w:tcPr>
          <w:p>
            <w:pPr>
              <w:rPr>
                <w:rFonts w:ascii="宋体" w:hAnsi="宋体"/>
                <w:bCs/>
                <w:sz w:val="21"/>
                <w:szCs w:val="21"/>
              </w:rPr>
            </w:pPr>
            <w:r>
              <w:rPr>
                <w:rFonts w:hint="eastAsia" w:ascii="宋体" w:hAnsi="宋体"/>
                <w:bCs/>
                <w:sz w:val="21"/>
                <w:szCs w:val="21"/>
              </w:rPr>
              <w:t>42U标准机柜</w:t>
            </w:r>
          </w:p>
        </w:tc>
        <w:tc>
          <w:tcPr>
            <w:tcW w:w="790"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1</w:t>
            </w:r>
          </w:p>
        </w:tc>
        <w:tc>
          <w:tcPr>
            <w:tcW w:w="718"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kern w:val="0"/>
                <w:sz w:val="21"/>
                <w:szCs w:val="21"/>
                <w:lang w:bidi="ar"/>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10</w:t>
            </w:r>
          </w:p>
        </w:tc>
        <w:tc>
          <w:tcPr>
            <w:tcW w:w="915" w:type="dxa"/>
            <w:tcBorders>
              <w:tl2br w:val="nil"/>
              <w:tr2bl w:val="nil"/>
            </w:tcBorders>
            <w:vAlign w:val="center"/>
          </w:tcPr>
          <w:p>
            <w:pPr>
              <w:autoSpaceDE w:val="0"/>
              <w:autoSpaceDN w:val="0"/>
              <w:adjustRightInd w:val="0"/>
              <w:jc w:val="center"/>
              <w:rPr>
                <w:rFonts w:ascii="宋体" w:hAnsi="宋体"/>
                <w:b/>
                <w:bCs/>
                <w:sz w:val="21"/>
                <w:szCs w:val="21"/>
              </w:rPr>
            </w:pPr>
            <w:r>
              <w:rPr>
                <w:rFonts w:hint="eastAsia" w:ascii="宋体" w:hAnsi="宋体"/>
                <w:b/>
                <w:bCs/>
                <w:sz w:val="21"/>
                <w:szCs w:val="21"/>
              </w:rPr>
              <w:t>茶几</w:t>
            </w:r>
          </w:p>
        </w:tc>
        <w:tc>
          <w:tcPr>
            <w:tcW w:w="7087" w:type="dxa"/>
            <w:gridSpan w:val="2"/>
            <w:tcBorders>
              <w:tl2br w:val="nil"/>
              <w:tr2bl w:val="nil"/>
            </w:tcBorders>
            <w:vAlign w:val="center"/>
          </w:tcPr>
          <w:p>
            <w:pPr>
              <w:rPr>
                <w:rFonts w:ascii="宋体" w:hAnsi="宋体"/>
                <w:bCs/>
                <w:sz w:val="21"/>
                <w:szCs w:val="21"/>
              </w:rPr>
            </w:pPr>
            <w:r>
              <w:rPr>
                <w:rFonts w:hint="eastAsia" w:ascii="宋体" w:hAnsi="宋体"/>
                <w:bCs/>
                <w:sz w:val="21"/>
                <w:szCs w:val="21"/>
              </w:rPr>
              <w:t>木材、密度板或玻璃圆形及配套凳子</w:t>
            </w:r>
          </w:p>
        </w:tc>
        <w:tc>
          <w:tcPr>
            <w:tcW w:w="790"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2</w:t>
            </w:r>
          </w:p>
        </w:tc>
        <w:tc>
          <w:tcPr>
            <w:tcW w:w="718"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kern w:val="0"/>
                <w:sz w:val="21"/>
                <w:szCs w:val="21"/>
                <w:lang w:bidi="ar"/>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11</w:t>
            </w:r>
          </w:p>
        </w:tc>
        <w:tc>
          <w:tcPr>
            <w:tcW w:w="915" w:type="dxa"/>
            <w:tcBorders>
              <w:tl2br w:val="nil"/>
              <w:tr2bl w:val="nil"/>
            </w:tcBorders>
            <w:vAlign w:val="center"/>
          </w:tcPr>
          <w:p>
            <w:pPr>
              <w:autoSpaceDE w:val="0"/>
              <w:autoSpaceDN w:val="0"/>
              <w:adjustRightInd w:val="0"/>
              <w:jc w:val="center"/>
              <w:rPr>
                <w:rFonts w:ascii="宋体" w:hAnsi="宋体"/>
                <w:b/>
                <w:bCs/>
                <w:sz w:val="21"/>
                <w:szCs w:val="21"/>
              </w:rPr>
            </w:pPr>
            <w:r>
              <w:rPr>
                <w:rFonts w:hint="eastAsia" w:ascii="宋体" w:hAnsi="宋体"/>
                <w:b/>
                <w:bCs/>
                <w:sz w:val="21"/>
                <w:szCs w:val="21"/>
              </w:rPr>
              <w:t>音响系统</w:t>
            </w:r>
          </w:p>
        </w:tc>
        <w:tc>
          <w:tcPr>
            <w:tcW w:w="7087" w:type="dxa"/>
            <w:gridSpan w:val="2"/>
            <w:tcBorders>
              <w:tl2br w:val="nil"/>
              <w:tr2bl w:val="nil"/>
            </w:tcBorders>
            <w:vAlign w:val="center"/>
          </w:tcPr>
          <w:p>
            <w:pPr>
              <w:widowControl/>
              <w:spacing w:line="240" w:lineRule="exact"/>
              <w:jc w:val="left"/>
              <w:rPr>
                <w:rFonts w:ascii="ˎ̥" w:hAnsi="ˎ̥" w:cs="宋体"/>
                <w:kern w:val="0"/>
                <w:sz w:val="21"/>
                <w:szCs w:val="21"/>
              </w:rPr>
            </w:pPr>
            <w:r>
              <w:rPr>
                <w:rFonts w:hint="eastAsia" w:ascii="ˎ̥" w:hAnsi="ˎ̥" w:cs="宋体"/>
                <w:kern w:val="0"/>
                <w:sz w:val="21"/>
                <w:szCs w:val="21"/>
              </w:rPr>
              <w:t>1、数字红外技术，不受高频驱动光源干扰，可正常工作于阳光下的环境；</w:t>
            </w:r>
          </w:p>
          <w:p>
            <w:pPr>
              <w:widowControl/>
              <w:spacing w:line="240" w:lineRule="exact"/>
              <w:jc w:val="left"/>
              <w:rPr>
                <w:rFonts w:ascii="ˎ̥" w:hAnsi="ˎ̥" w:cs="宋体"/>
                <w:kern w:val="0"/>
                <w:sz w:val="21"/>
                <w:szCs w:val="21"/>
              </w:rPr>
            </w:pPr>
            <w:r>
              <w:rPr>
                <w:rFonts w:hint="eastAsia" w:ascii="ˎ̥" w:hAnsi="ˎ̥" w:cs="宋体"/>
                <w:kern w:val="0"/>
                <w:sz w:val="21"/>
                <w:szCs w:val="21"/>
              </w:rPr>
              <w:t>2、数字红外无线扩音系统（具备相关权威机构颁发的证书）；</w:t>
            </w:r>
          </w:p>
          <w:p>
            <w:pPr>
              <w:widowControl/>
              <w:spacing w:line="240" w:lineRule="exact"/>
              <w:jc w:val="left"/>
              <w:rPr>
                <w:rFonts w:ascii="ˎ̥" w:hAnsi="ˎ̥" w:cs="宋体"/>
                <w:kern w:val="0"/>
                <w:sz w:val="21"/>
                <w:szCs w:val="21"/>
              </w:rPr>
            </w:pPr>
            <w:r>
              <w:rPr>
                <w:rFonts w:hint="eastAsia" w:ascii="ˎ̥" w:hAnsi="ˎ̥" w:cs="宋体"/>
                <w:kern w:val="0"/>
                <w:sz w:val="21"/>
                <w:szCs w:val="21"/>
              </w:rPr>
              <w:t>3、无需对频，任意话筒即开即用；</w:t>
            </w:r>
          </w:p>
          <w:p>
            <w:pPr>
              <w:widowControl/>
              <w:spacing w:line="240" w:lineRule="exact"/>
              <w:jc w:val="left"/>
              <w:rPr>
                <w:rFonts w:ascii="ˎ̥" w:hAnsi="ˎ̥" w:cs="宋体"/>
                <w:kern w:val="0"/>
                <w:sz w:val="21"/>
                <w:szCs w:val="21"/>
              </w:rPr>
            </w:pPr>
            <w:r>
              <w:rPr>
                <w:rFonts w:hint="eastAsia" w:ascii="ˎ̥" w:hAnsi="ˎ̥" w:cs="宋体"/>
                <w:kern w:val="0"/>
                <w:sz w:val="21"/>
                <w:szCs w:val="21"/>
              </w:rPr>
              <w:t>4、红外传感器及功放主机集成一体化设计，无需再另外配置主机及功放，直接吊顶安装，防止无关人员触碰；</w:t>
            </w:r>
          </w:p>
          <w:p>
            <w:pPr>
              <w:widowControl/>
              <w:spacing w:line="240" w:lineRule="exact"/>
              <w:jc w:val="left"/>
              <w:rPr>
                <w:rFonts w:ascii="ˎ̥" w:hAnsi="ˎ̥" w:cs="宋体"/>
                <w:kern w:val="0"/>
                <w:sz w:val="21"/>
                <w:szCs w:val="21"/>
              </w:rPr>
            </w:pPr>
            <w:r>
              <w:rPr>
                <w:rFonts w:hint="eastAsia" w:ascii="ˎ̥" w:hAnsi="ˎ̥" w:cs="宋体"/>
                <w:kern w:val="0"/>
                <w:sz w:val="21"/>
                <w:szCs w:val="21"/>
              </w:rPr>
              <w:t>5、频率响应:50 Hz ~ 20 kHz；</w:t>
            </w:r>
          </w:p>
          <w:p>
            <w:pPr>
              <w:widowControl/>
              <w:spacing w:line="240" w:lineRule="exact"/>
              <w:jc w:val="left"/>
              <w:rPr>
                <w:rFonts w:ascii="ˎ̥" w:hAnsi="ˎ̥" w:cs="宋体"/>
                <w:kern w:val="0"/>
                <w:sz w:val="21"/>
                <w:szCs w:val="21"/>
              </w:rPr>
            </w:pPr>
            <w:r>
              <w:rPr>
                <w:rFonts w:hint="eastAsia" w:ascii="ˎ̥" w:hAnsi="ˎ̥" w:cs="宋体"/>
                <w:kern w:val="0"/>
                <w:sz w:val="21"/>
                <w:szCs w:val="21"/>
              </w:rPr>
              <w:t>6、信噪比: ＞85 dBA；</w:t>
            </w:r>
          </w:p>
          <w:p>
            <w:pPr>
              <w:widowControl/>
              <w:spacing w:line="240" w:lineRule="exact"/>
              <w:jc w:val="left"/>
              <w:rPr>
                <w:rFonts w:ascii="ˎ̥" w:hAnsi="ˎ̥" w:cs="宋体"/>
                <w:kern w:val="0"/>
                <w:sz w:val="21"/>
                <w:szCs w:val="21"/>
              </w:rPr>
            </w:pPr>
            <w:r>
              <w:rPr>
                <w:rFonts w:hint="eastAsia" w:ascii="ˎ̥" w:hAnsi="ˎ̥" w:cs="宋体"/>
                <w:kern w:val="0"/>
                <w:sz w:val="21"/>
                <w:szCs w:val="21"/>
              </w:rPr>
              <w:t>7、通道隔离度: ≥75 dB；</w:t>
            </w:r>
          </w:p>
          <w:p>
            <w:pPr>
              <w:widowControl/>
              <w:spacing w:line="240" w:lineRule="exact"/>
              <w:jc w:val="left"/>
              <w:rPr>
                <w:rFonts w:ascii="ˎ̥" w:hAnsi="ˎ̥" w:cs="宋体"/>
                <w:kern w:val="0"/>
                <w:sz w:val="21"/>
                <w:szCs w:val="21"/>
              </w:rPr>
            </w:pPr>
            <w:r>
              <w:rPr>
                <w:rFonts w:hint="eastAsia" w:ascii="ˎ̥" w:hAnsi="ˎ̥" w:cs="宋体"/>
                <w:kern w:val="0"/>
                <w:sz w:val="21"/>
                <w:szCs w:val="21"/>
              </w:rPr>
              <w:t>8、总谐波失真: ＜0.06%；</w:t>
            </w:r>
          </w:p>
          <w:p>
            <w:pPr>
              <w:widowControl/>
              <w:spacing w:line="240" w:lineRule="exact"/>
              <w:jc w:val="left"/>
              <w:rPr>
                <w:rFonts w:ascii="ˎ̥" w:hAnsi="ˎ̥" w:cs="宋体"/>
                <w:kern w:val="0"/>
                <w:sz w:val="21"/>
                <w:szCs w:val="21"/>
              </w:rPr>
            </w:pPr>
            <w:r>
              <w:rPr>
                <w:rFonts w:hint="eastAsia" w:ascii="ˎ̥" w:hAnsi="ˎ̥" w:cs="宋体"/>
                <w:kern w:val="0"/>
                <w:sz w:val="21"/>
                <w:szCs w:val="21"/>
              </w:rPr>
              <w:t>9、最大输出功率≥30W × 2（8Ω）；</w:t>
            </w:r>
          </w:p>
          <w:p>
            <w:pPr>
              <w:widowControl/>
              <w:spacing w:line="240" w:lineRule="exact"/>
              <w:jc w:val="left"/>
              <w:rPr>
                <w:rFonts w:ascii="ˎ̥" w:hAnsi="ˎ̥" w:cs="宋体"/>
                <w:kern w:val="0"/>
                <w:sz w:val="21"/>
                <w:szCs w:val="21"/>
              </w:rPr>
            </w:pPr>
            <w:r>
              <w:rPr>
                <w:rFonts w:hint="eastAsia" w:ascii="ˎ̥" w:hAnsi="ˎ̥" w:cs="宋体"/>
                <w:kern w:val="0"/>
                <w:sz w:val="21"/>
                <w:szCs w:val="21"/>
              </w:rPr>
              <w:t>10、接收范围：可直视距离：25米；接收范围：半径约12米；</w:t>
            </w:r>
          </w:p>
          <w:p>
            <w:pPr>
              <w:widowControl/>
              <w:spacing w:line="240" w:lineRule="exact"/>
              <w:jc w:val="left"/>
              <w:rPr>
                <w:rFonts w:ascii="ˎ̥" w:hAnsi="ˎ̥" w:cs="宋体"/>
                <w:kern w:val="0"/>
                <w:sz w:val="21"/>
                <w:szCs w:val="21"/>
              </w:rPr>
            </w:pPr>
            <w:r>
              <w:rPr>
                <w:rFonts w:hint="eastAsia" w:ascii="ˎ̥" w:hAnsi="ˎ̥" w:cs="宋体"/>
                <w:kern w:val="0"/>
                <w:sz w:val="21"/>
                <w:szCs w:val="21"/>
              </w:rPr>
              <w:t>11、接收角度：垂直：150° (±75°)，水平：360°；</w:t>
            </w:r>
          </w:p>
          <w:p>
            <w:pPr>
              <w:widowControl/>
              <w:spacing w:line="240" w:lineRule="exact"/>
              <w:jc w:val="left"/>
              <w:rPr>
                <w:rFonts w:ascii="ˎ̥" w:hAnsi="ˎ̥" w:cs="宋体"/>
                <w:kern w:val="0"/>
                <w:sz w:val="21"/>
                <w:szCs w:val="21"/>
              </w:rPr>
            </w:pPr>
            <w:r>
              <w:rPr>
                <w:rFonts w:hint="eastAsia" w:ascii="ˎ̥" w:hAnsi="ˎ̥" w:cs="宋体"/>
                <w:kern w:val="0"/>
                <w:sz w:val="21"/>
                <w:szCs w:val="21"/>
              </w:rPr>
              <w:t>12、具备啸叫抑制开关，三种模式可调；</w:t>
            </w:r>
          </w:p>
          <w:p>
            <w:pPr>
              <w:widowControl/>
              <w:spacing w:line="240" w:lineRule="exact"/>
              <w:jc w:val="left"/>
              <w:rPr>
                <w:rFonts w:ascii="ˎ̥" w:hAnsi="ˎ̥" w:cs="宋体"/>
                <w:kern w:val="0"/>
                <w:sz w:val="21"/>
                <w:szCs w:val="21"/>
              </w:rPr>
            </w:pPr>
            <w:r>
              <w:rPr>
                <w:rFonts w:hint="eastAsia" w:ascii="ˎ̥" w:hAnsi="ˎ̥" w:cs="宋体"/>
                <w:kern w:val="0"/>
                <w:sz w:val="21"/>
                <w:szCs w:val="21"/>
              </w:rPr>
              <w:t>13、具备自动衰减开关，三种模式可调；</w:t>
            </w:r>
          </w:p>
          <w:p>
            <w:pPr>
              <w:widowControl/>
              <w:spacing w:line="240" w:lineRule="exact"/>
              <w:jc w:val="left"/>
              <w:rPr>
                <w:rFonts w:ascii="ˎ̥" w:hAnsi="ˎ̥" w:cs="宋体"/>
                <w:kern w:val="0"/>
                <w:sz w:val="21"/>
                <w:szCs w:val="21"/>
              </w:rPr>
            </w:pPr>
            <w:r>
              <w:rPr>
                <w:rFonts w:hint="eastAsia" w:ascii="ˎ̥" w:hAnsi="ˎ̥" w:cs="宋体"/>
                <w:kern w:val="0"/>
                <w:sz w:val="21"/>
                <w:szCs w:val="21"/>
              </w:rPr>
              <w:t>14、具备总音量、低音及高音调节旋钮；</w:t>
            </w:r>
          </w:p>
          <w:p>
            <w:pPr>
              <w:widowControl/>
              <w:spacing w:line="240" w:lineRule="exact"/>
              <w:jc w:val="left"/>
              <w:rPr>
                <w:rFonts w:ascii="ˎ̥" w:hAnsi="ˎ̥" w:cs="宋体"/>
                <w:kern w:val="0"/>
                <w:sz w:val="21"/>
                <w:szCs w:val="21"/>
              </w:rPr>
            </w:pPr>
            <w:r>
              <w:rPr>
                <w:rFonts w:hint="eastAsia" w:ascii="ˎ̥" w:hAnsi="ˎ̥" w:cs="宋体"/>
                <w:kern w:val="0"/>
                <w:sz w:val="21"/>
                <w:szCs w:val="21"/>
              </w:rPr>
              <w:t>15、接口不少于：1路音频输入、1路音频输出、2通道功放输出、1*BNC红外信号扩展接口；</w:t>
            </w:r>
          </w:p>
        </w:tc>
        <w:tc>
          <w:tcPr>
            <w:tcW w:w="790"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1</w:t>
            </w:r>
          </w:p>
        </w:tc>
        <w:tc>
          <w:tcPr>
            <w:tcW w:w="718"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kern w:val="0"/>
                <w:sz w:val="21"/>
                <w:szCs w:val="21"/>
                <w:lang w:bidi="ar"/>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12</w:t>
            </w:r>
          </w:p>
        </w:tc>
        <w:tc>
          <w:tcPr>
            <w:tcW w:w="915" w:type="dxa"/>
            <w:tcBorders>
              <w:tl2br w:val="nil"/>
              <w:tr2bl w:val="nil"/>
            </w:tcBorders>
            <w:vAlign w:val="center"/>
          </w:tcPr>
          <w:p>
            <w:pPr>
              <w:autoSpaceDE w:val="0"/>
              <w:autoSpaceDN w:val="0"/>
              <w:adjustRightInd w:val="0"/>
              <w:jc w:val="center"/>
              <w:rPr>
                <w:rFonts w:ascii="宋体" w:hAnsi="宋体"/>
                <w:b/>
                <w:bCs/>
                <w:sz w:val="21"/>
                <w:szCs w:val="21"/>
              </w:rPr>
            </w:pPr>
            <w:r>
              <w:rPr>
                <w:rFonts w:hint="eastAsia" w:ascii="宋体" w:hAnsi="宋体"/>
                <w:b/>
                <w:bCs/>
                <w:sz w:val="21"/>
                <w:szCs w:val="21"/>
              </w:rPr>
              <w:t>一体台椅</w:t>
            </w:r>
          </w:p>
        </w:tc>
        <w:tc>
          <w:tcPr>
            <w:tcW w:w="7087" w:type="dxa"/>
            <w:gridSpan w:val="2"/>
            <w:tcBorders>
              <w:tl2br w:val="nil"/>
              <w:tr2bl w:val="nil"/>
            </w:tcBorders>
            <w:vAlign w:val="center"/>
          </w:tcPr>
          <w:p>
            <w:pPr>
              <w:rPr>
                <w:rFonts w:ascii="宋体" w:hAnsi="宋体"/>
                <w:bCs/>
                <w:sz w:val="21"/>
                <w:szCs w:val="21"/>
              </w:rPr>
            </w:pPr>
            <w:r>
              <w:rPr>
                <w:rFonts w:hint="eastAsia" w:ascii="宋体" w:hAnsi="宋体"/>
                <w:bCs/>
                <w:sz w:val="21"/>
                <w:szCs w:val="21"/>
              </w:rPr>
              <w:t>定制；仿真政府行政服务中心环境造型，第一层台面板材：仿大理石桌面，前台面包到底；第二层台面颜色和办公室桌椅匹配，板材：微粒密度板，经过防虫、防磨的化学处理；PVC封边条；自带走线槽，分布4个工位；配套办公椅子带靠背</w:t>
            </w:r>
          </w:p>
        </w:tc>
        <w:tc>
          <w:tcPr>
            <w:tcW w:w="790"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1</w:t>
            </w:r>
          </w:p>
        </w:tc>
        <w:tc>
          <w:tcPr>
            <w:tcW w:w="718"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kern w:val="0"/>
                <w:sz w:val="21"/>
                <w:szCs w:val="21"/>
                <w:lang w:bidi="ar"/>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13</w:t>
            </w:r>
          </w:p>
        </w:tc>
        <w:tc>
          <w:tcPr>
            <w:tcW w:w="915" w:type="dxa"/>
            <w:tcBorders>
              <w:tl2br w:val="nil"/>
              <w:tr2bl w:val="nil"/>
            </w:tcBorders>
            <w:vAlign w:val="center"/>
          </w:tcPr>
          <w:p>
            <w:pPr>
              <w:autoSpaceDE w:val="0"/>
              <w:autoSpaceDN w:val="0"/>
              <w:adjustRightInd w:val="0"/>
              <w:jc w:val="center"/>
              <w:rPr>
                <w:rFonts w:ascii="宋体" w:hAnsi="宋体"/>
                <w:b/>
                <w:bCs/>
                <w:sz w:val="21"/>
                <w:szCs w:val="21"/>
              </w:rPr>
            </w:pPr>
            <w:r>
              <w:rPr>
                <w:rFonts w:hint="eastAsia" w:ascii="宋体" w:hAnsi="宋体"/>
                <w:b/>
                <w:bCs/>
                <w:sz w:val="21"/>
                <w:szCs w:val="21"/>
              </w:rPr>
              <w:t>空调</w:t>
            </w:r>
          </w:p>
        </w:tc>
        <w:tc>
          <w:tcPr>
            <w:tcW w:w="7087" w:type="dxa"/>
            <w:gridSpan w:val="2"/>
            <w:tcBorders>
              <w:tl2br w:val="nil"/>
              <w:tr2bl w:val="nil"/>
            </w:tcBorders>
            <w:vAlign w:val="center"/>
          </w:tcPr>
          <w:p>
            <w:pPr>
              <w:rPr>
                <w:rFonts w:ascii="宋体" w:hAnsi="宋体"/>
                <w:bCs/>
                <w:sz w:val="21"/>
                <w:szCs w:val="21"/>
              </w:rPr>
            </w:pPr>
            <w:r>
              <w:rPr>
                <w:rFonts w:hint="eastAsia" w:ascii="宋体" w:hAnsi="宋体"/>
                <w:bCs/>
                <w:sz w:val="21"/>
                <w:szCs w:val="21"/>
                <w:lang w:val="en-US" w:eastAsia="zh-CN"/>
              </w:rPr>
              <w:t>3P</w:t>
            </w:r>
            <w:r>
              <w:rPr>
                <w:rFonts w:hint="eastAsia" w:ascii="宋体" w:hAnsi="宋体"/>
                <w:bCs/>
                <w:sz w:val="21"/>
                <w:szCs w:val="21"/>
              </w:rPr>
              <w:t>冷暖柜机，</w:t>
            </w:r>
            <w:r>
              <w:rPr>
                <w:rFonts w:hint="eastAsia" w:ascii="宋体" w:hAnsi="宋体"/>
                <w:bCs/>
                <w:sz w:val="21"/>
                <w:szCs w:val="21"/>
                <w:lang w:eastAsia="zh-CN"/>
              </w:rPr>
              <w:t>二级能效，</w:t>
            </w:r>
            <w:r>
              <w:rPr>
                <w:rFonts w:hint="eastAsia" w:ascii="宋体" w:hAnsi="宋体"/>
                <w:bCs/>
                <w:sz w:val="21"/>
                <w:szCs w:val="21"/>
              </w:rPr>
              <w:t>包括不自锈钢支架</w:t>
            </w:r>
          </w:p>
        </w:tc>
        <w:tc>
          <w:tcPr>
            <w:tcW w:w="790"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3</w:t>
            </w:r>
          </w:p>
        </w:tc>
        <w:tc>
          <w:tcPr>
            <w:tcW w:w="718"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eastAsia="宋体" w:cs="宋体"/>
                <w:b/>
                <w:bCs/>
                <w:color w:val="000000" w:themeColor="text1"/>
                <w:kern w:val="0"/>
                <w:sz w:val="21"/>
                <w:szCs w:val="21"/>
                <w:lang w:bidi="ar"/>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14</w:t>
            </w:r>
          </w:p>
        </w:tc>
        <w:tc>
          <w:tcPr>
            <w:tcW w:w="915" w:type="dxa"/>
            <w:tcBorders>
              <w:tl2br w:val="nil"/>
              <w:tr2bl w:val="nil"/>
            </w:tcBorders>
            <w:vAlign w:val="center"/>
          </w:tcPr>
          <w:p>
            <w:pPr>
              <w:autoSpaceDE w:val="0"/>
              <w:autoSpaceDN w:val="0"/>
              <w:adjustRightInd w:val="0"/>
              <w:jc w:val="center"/>
              <w:rPr>
                <w:rFonts w:ascii="宋体" w:hAnsi="宋体"/>
                <w:b/>
                <w:bCs/>
                <w:sz w:val="21"/>
                <w:szCs w:val="21"/>
              </w:rPr>
            </w:pPr>
            <w:r>
              <w:rPr>
                <w:rFonts w:hint="eastAsia" w:ascii="宋体" w:hAnsi="宋体"/>
                <w:b/>
                <w:bCs/>
                <w:sz w:val="21"/>
                <w:szCs w:val="21"/>
              </w:rPr>
              <w:t>文化装饰、栏目栏</w:t>
            </w:r>
          </w:p>
        </w:tc>
        <w:tc>
          <w:tcPr>
            <w:tcW w:w="7087" w:type="dxa"/>
            <w:gridSpan w:val="2"/>
            <w:tcBorders>
              <w:tl2br w:val="nil"/>
              <w:tr2bl w:val="nil"/>
            </w:tcBorders>
            <w:vAlign w:val="center"/>
          </w:tcPr>
          <w:p>
            <w:pPr>
              <w:rPr>
                <w:rFonts w:ascii="宋体" w:hAnsi="宋体"/>
                <w:bCs/>
                <w:sz w:val="21"/>
                <w:szCs w:val="21"/>
              </w:rPr>
            </w:pPr>
            <w:r>
              <w:rPr>
                <w:rFonts w:hint="eastAsia" w:ascii="宋体" w:hAnsi="宋体"/>
                <w:bCs/>
                <w:sz w:val="21"/>
                <w:szCs w:val="21"/>
              </w:rPr>
              <w:t>实验室门口标示、室内挂图、标语等布局、工位吊牌、具体结构、需求与用户协商</w:t>
            </w:r>
          </w:p>
        </w:tc>
        <w:tc>
          <w:tcPr>
            <w:tcW w:w="790"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1</w:t>
            </w:r>
          </w:p>
        </w:tc>
        <w:tc>
          <w:tcPr>
            <w:tcW w:w="718"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hint="eastAsia" w:ascii="宋体" w:hAnsi="宋体" w:eastAsia="宋体" w:cs="宋体"/>
                <w:b/>
                <w:bCs/>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1</w:t>
            </w: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5</w:t>
            </w:r>
          </w:p>
        </w:tc>
        <w:tc>
          <w:tcPr>
            <w:tcW w:w="915" w:type="dxa"/>
            <w:tcBorders>
              <w:tl2br w:val="nil"/>
              <w:tr2bl w:val="nil"/>
            </w:tcBorders>
            <w:vAlign w:val="center"/>
          </w:tcPr>
          <w:p>
            <w:pPr>
              <w:autoSpaceDE w:val="0"/>
              <w:autoSpaceDN w:val="0"/>
              <w:adjustRightInd w:val="0"/>
              <w:jc w:val="center"/>
              <w:rPr>
                <w:rFonts w:ascii="宋体" w:hAnsi="宋体"/>
                <w:b/>
                <w:bCs/>
                <w:sz w:val="21"/>
                <w:szCs w:val="21"/>
              </w:rPr>
            </w:pPr>
            <w:r>
              <w:rPr>
                <w:rFonts w:hint="eastAsia" w:ascii="宋体" w:hAnsi="宋体"/>
                <w:b/>
                <w:bCs/>
                <w:sz w:val="21"/>
                <w:szCs w:val="21"/>
              </w:rPr>
              <w:t>室内窗帘</w:t>
            </w:r>
          </w:p>
        </w:tc>
        <w:tc>
          <w:tcPr>
            <w:tcW w:w="7087" w:type="dxa"/>
            <w:gridSpan w:val="2"/>
            <w:tcBorders>
              <w:tl2br w:val="nil"/>
              <w:tr2bl w:val="nil"/>
            </w:tcBorders>
            <w:vAlign w:val="center"/>
          </w:tcPr>
          <w:p>
            <w:pPr>
              <w:rPr>
                <w:rFonts w:ascii="宋体" w:hAnsi="宋体"/>
                <w:bCs/>
                <w:sz w:val="21"/>
                <w:szCs w:val="21"/>
              </w:rPr>
            </w:pPr>
            <w:r>
              <w:rPr>
                <w:rFonts w:hint="eastAsia" w:ascii="宋体" w:hAnsi="宋体"/>
                <w:bCs/>
                <w:sz w:val="21"/>
                <w:szCs w:val="21"/>
              </w:rPr>
              <w:t>遮光材质，面料花色供用户挑选。单位：套</w:t>
            </w:r>
          </w:p>
        </w:tc>
        <w:tc>
          <w:tcPr>
            <w:tcW w:w="790"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2</w:t>
            </w:r>
          </w:p>
        </w:tc>
        <w:tc>
          <w:tcPr>
            <w:tcW w:w="718" w:type="dxa"/>
            <w:tcBorders>
              <w:tl2br w:val="nil"/>
              <w:tr2bl w:val="nil"/>
            </w:tcBorders>
            <w:vAlign w:val="center"/>
          </w:tcPr>
          <w:p>
            <w:pPr>
              <w:autoSpaceDE w:val="0"/>
              <w:autoSpaceDN w:val="0"/>
              <w:adjustRightInd w:val="0"/>
              <w:jc w:val="center"/>
              <w:rPr>
                <w:rFonts w:ascii="宋体" w:hAnsi="宋体"/>
                <w:bCs/>
                <w:sz w:val="21"/>
                <w:szCs w:val="21"/>
              </w:rPr>
            </w:pPr>
            <w:r>
              <w:rPr>
                <w:rFonts w:hint="eastAsia" w:ascii="宋体" w:hAnsi="宋体"/>
                <w:bCs/>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778" w:type="dxa"/>
            <w:tcBorders>
              <w:tl2br w:val="nil"/>
              <w:tr2bl w:val="nil"/>
            </w:tcBorders>
            <w:vAlign w:val="center"/>
          </w:tcPr>
          <w:p>
            <w:pPr>
              <w:widowControl/>
              <w:adjustRightInd w:val="0"/>
              <w:snapToGrid w:val="0"/>
              <w:spacing w:before="156" w:beforeLines="50" w:after="156" w:afterLines="50"/>
              <w:jc w:val="center"/>
              <w:textAlignment w:val="bottom"/>
              <w:rPr>
                <w:rFonts w:hint="default" w:ascii="宋体" w:hAnsi="宋体" w:eastAsia="宋体" w:cs="宋体"/>
                <w:b/>
                <w:bCs/>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16</w:t>
            </w:r>
          </w:p>
        </w:tc>
        <w:tc>
          <w:tcPr>
            <w:tcW w:w="915" w:type="dxa"/>
            <w:tcBorders>
              <w:tl2br w:val="nil"/>
              <w:tr2bl w:val="nil"/>
            </w:tcBorders>
            <w:vAlign w:val="center"/>
          </w:tcPr>
          <w:p>
            <w:pPr>
              <w:autoSpaceDE w:val="0"/>
              <w:autoSpaceDN w:val="0"/>
              <w:adjustRightInd w:val="0"/>
              <w:jc w:val="center"/>
              <w:rPr>
                <w:rFonts w:ascii="宋体" w:hAnsi="宋体" w:eastAsia="宋体" w:cs="宋体"/>
                <w:b/>
                <w:color w:val="000000" w:themeColor="text1"/>
                <w:kern w:val="0"/>
                <w:sz w:val="21"/>
                <w:szCs w:val="21"/>
                <w:lang w:bidi="ar"/>
                <w14:textFill>
                  <w14:solidFill>
                    <w14:schemeClr w14:val="tx1"/>
                  </w14:solidFill>
                </w14:textFill>
              </w:rPr>
            </w:pPr>
            <w:r>
              <w:rPr>
                <w:rFonts w:hint="eastAsia" w:ascii="宋体" w:hAnsi="宋体"/>
                <w:b/>
                <w:bCs/>
                <w:sz w:val="21"/>
                <w:szCs w:val="21"/>
              </w:rPr>
              <w:t>财会职业能力养成平台</w:t>
            </w:r>
          </w:p>
        </w:tc>
        <w:tc>
          <w:tcPr>
            <w:tcW w:w="7087" w:type="dxa"/>
            <w:gridSpan w:val="2"/>
            <w:tcBorders>
              <w:tl2br w:val="nil"/>
              <w:tr2bl w:val="nil"/>
            </w:tcBorders>
            <w:vAlign w:val="bottom"/>
          </w:tcPr>
          <w:p>
            <w:pPr>
              <w:pStyle w:val="6"/>
              <w:rPr>
                <w:sz w:val="21"/>
                <w:szCs w:val="21"/>
              </w:rPr>
            </w:pPr>
            <w:r>
              <w:rPr>
                <w:rFonts w:hint="eastAsia"/>
                <w:sz w:val="21"/>
                <w:szCs w:val="21"/>
              </w:rPr>
              <w:t>财会职业能力养成平台软件</w:t>
            </w:r>
          </w:p>
          <w:p>
            <w:pPr>
              <w:spacing w:line="360" w:lineRule="auto"/>
              <w:rPr>
                <w:rFonts w:ascii="宋体" w:hAnsi="宋体" w:cs="宋体"/>
                <w:sz w:val="21"/>
                <w:szCs w:val="21"/>
              </w:rPr>
            </w:pPr>
            <w:r>
              <w:rPr>
                <w:rFonts w:hint="eastAsia"/>
                <w:b/>
                <w:bCs/>
                <w:sz w:val="21"/>
                <w:szCs w:val="21"/>
              </w:rPr>
              <w:t>（一）技术参数</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软件采用云技术，提供以下版本应用（各版本数据可同步互传），以提高软件使用效率，满足教学需求：</w:t>
            </w:r>
          </w:p>
          <w:p>
            <w:pPr>
              <w:spacing w:line="360" w:lineRule="auto"/>
              <w:ind w:left="360"/>
              <w:rPr>
                <w:rFonts w:ascii="宋体" w:hAnsi="宋体" w:cs="仿宋"/>
                <w:bCs/>
                <w:sz w:val="21"/>
                <w:szCs w:val="21"/>
              </w:rPr>
            </w:pPr>
            <w:r>
              <w:rPr>
                <w:rFonts w:hint="eastAsia" w:ascii="宋体" w:hAnsi="宋体" w:cs="仿宋"/>
                <w:bCs/>
                <w:sz w:val="21"/>
                <w:szCs w:val="21"/>
              </w:rPr>
              <w:t>1.1提供网络服务器版：平台为B/S网络版，安装机房服务器，学生电脑直接通过网页访问使用，无用户数量限制，方便所有相关专业学生使用；</w:t>
            </w:r>
          </w:p>
          <w:p>
            <w:pPr>
              <w:spacing w:line="360" w:lineRule="auto"/>
              <w:ind w:left="360"/>
              <w:rPr>
                <w:rFonts w:ascii="宋体" w:hAnsi="宋体" w:cs="仿宋"/>
                <w:bCs/>
                <w:sz w:val="21"/>
                <w:szCs w:val="21"/>
              </w:rPr>
            </w:pPr>
            <w:r>
              <w:rPr>
                <w:rFonts w:hint="eastAsia" w:ascii="宋体" w:hAnsi="宋体" w:cs="仿宋"/>
                <w:bCs/>
                <w:sz w:val="21"/>
                <w:szCs w:val="21"/>
              </w:rPr>
              <w:t>1.2提供终端载体单机版（单机U盘版，实现口袋式移动资源）。移动终端载体规格：长×宽×高（含包装盒）不超过 10厘米×8厘米×4厘米，实现口袋式资源平台，随身携带，方便教师学生随时随地在有电脑的地方使用软件；</w:t>
            </w:r>
          </w:p>
          <w:p>
            <w:pPr>
              <w:spacing w:line="360" w:lineRule="auto"/>
              <w:ind w:left="360"/>
              <w:rPr>
                <w:rFonts w:ascii="宋体" w:hAnsi="宋体" w:cs="仿宋"/>
                <w:bCs/>
                <w:sz w:val="21"/>
                <w:szCs w:val="21"/>
              </w:rPr>
            </w:pPr>
            <w:r>
              <w:rPr>
                <w:rFonts w:hint="eastAsia" w:ascii="宋体" w:hAnsi="宋体" w:cs="仿宋"/>
                <w:bCs/>
                <w:sz w:val="21"/>
                <w:szCs w:val="21"/>
              </w:rPr>
              <w:t>备注：软件必须支持以上版本使用，交货时未能提供，采购单位有权取消其中标资格；</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包括信息中心系统、业务协同系统、出纳账系统、仓储系统、网上银行系统、会计信息化系统、保险柜系统、增值税防伪税控开票系统、网上税务局系统（网上办税模块、网上认证模块）、自然人税收管理系统、网上认证系统、财务分析系统、计算机审计系统、帮助系统、评价系统十四个系统；</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具有分岗功能，实现企业内部控制，业务协同系统、会计信息化系统系统、审计系统、网上银行系统有分岗位操作；</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各系统之间数据一贯性，业务协同系统、网上银行系统、防伪税控开票系统、电子申报纳税系统产生的数据均进入会计信息化系统，会计信息化系统数据进入审计系统、财务分析系统；</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信息中心系统中存有平台企业基本信息、企业介绍、财务制度、客户和供应商信息、业务合同等内容。各种企业档案信息存放于信息中心系统中，在实际业务办理、款项支付、会计核算等工作中将被应用、调取；</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业务协同系统相当于企业业务办理的OA，内置日历功能，完成当天工作事项后，进入下一天的工作；业务设计分岗流程、体现内控；逼真企业实际业务、类型丰富，包括流程审批业务、同步办理业务、外来票据核算业务、内部自制单据核算业务；体现团队协作、岗位职责和业务流程；具有盖章、画线、填制等操作功能；</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会计信息化系统仿真企业实际电算化系统，具有创建账套、初始化账套、填制凭证、审核凭证、结转损益、记账、结账等功能；系统具有岗位添加和权限设置功能，体现企业内控流程；系统增设业务单据面板功能，自动关联经济业务办理产生的单据，做到业务办理与财务核算的紧密结合与贯通流转；会计信息化系统具有科目辅助核算功能，可实时查看辅助核算项目明细账，或根据时间区间查看辅助核算项目明细账，如查看某一往来单位明细账； 配合平台其他系统，做到正确判断，准确入账；</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网上银行系统仿真现实企业网上银行用户端，具有银行转账付款申请、付款审批、余额查询、明细查询、回单查询等功能，培养学生基础技能操作的同时，也培养了学生每日查询余额，账实核对，为企业经营决策提供信息支持的意识和习惯；系统将付款业务中的制单操作和审批操作权限分配给两个岗位人员，体现了内部控制流程和资金安全管理制度；</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保险柜系统仿真现实中的实物保险柜，包括密码开启、余额查询、存入现金、取出现金的基础技能操作训练；平日存、取现金的记录内置在评价系统中，可以帮助学生核查现金日记账登记的及时性与准确性，养成每日盘点现金、账实核对、日清月结的良好习惯，加强现金安全管理意识；</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出纳账系统包括现金日记账、银行存款日记账、现金支票领用登记簿、转账支票领用登记簿、应收票据备查簿、应付票据备查簿等内容，可与网上银行系统配合，做到日清月结、每日核对、账实相符、账账相符、互相监督；</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仓储系统主要包括单据录入、单据查询、物料编码、物料明细等功能，实现对企业物料数据的动态管理；仓储系统可以帮助学生了解企业物料账目的产生过程，帮助学生理解会计账目与物料账目的关系与核对方法，增加对物料监管的意识和经验，体会如何用会计语言描述企业资产和经营状况；</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增值税防伪税控开票系统模拟现实开票系统，包括商品编码和客户编码的系统设置、发票读入和发票填开（增值税专用发票填开、增值税普通发票填开）发票作废、红字发票、库存查询，汇总查询、发票打印等功能，同时可直接将产生的增值税发票记账联传递到会计电算化系统单据面板，可直接附加到记账凭证中，并且支持原始凭证复印功能；</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增值税防伪税控开票系统模拟金税盘发售增值税专用发票和普通发票；</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网上税务局系统分为网上办税、网上认证两个模块。网上办税模块仿真真实网上办税客户端及界面，能够进行增值税、企业所得税、附加税、印花税、房产税、土地使用税等税种的申报；网上认证模块能够模拟实现外来增值税专用发票抵扣联网上认证操作的功能（具有手工认证、扫描认证、勾选认证三种方式）。网上办税系统与平台其他业务系统、账务系统、税务系统的数据关联勾稽，支持系统间数据核算与核对，形成了完整的网上认证、计税、报税、税款缴纳、账务处理工作链。</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网上办税系统完成纳税申报后，产生的纳税回单，传递到会计信息化系统单据面板，可直接附加到记账凭证中，并且支持原始凭证复印功能；</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自然人税收管理系统仿真模拟最新版金税三期税收管理系统，可进行个人所得税网上申报，包括人员登记、报表填写、申报表报送、申报更正、网上缴费、查询统计等功能，并且完成纳税申报后，产生的纳税回单，传递到会计电算化系统单据面板，可直接附加到记账凭证中，并且支持原始凭证复印功能；</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财务分析系统直接读取会计信息化系统中生成的数据，产生如营业收入结构分析、主营业务收入趋势分析、销售毛利率分析、全部成本费用分析、期间费用结构分析、税前利润分析、净利润贡献分析、营运能力分析、偿债能力分析、盈利能力析、杜邦分析图，显示为柱状图、饼图，具有报表自定义功能，自定义设计分析报表；</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计算机审计系统中包含取数功能，从会计信息化系统中取数；包括审计取数、账套信息查询、风险评估、内控测试、凭证借贷平衡检查、凭证异常对应检查、凭证典型对应检查、对应科目检查、凭证大额分析检查、凭证抽样检查、凭证条件检查、冲销凭证检查、实质测试、调整分录、调整分录汇总、试算平衡、审计报告等功能；</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帮助系统包括快速入门和使用说明，可以帮助学生自主学习平台各系统功能如何操作，帮助学生快速了解平台实训模式、岗位分工、系统权限设置、业务办理等内容，方便学生训练时自主完成训练任务，培养了学生的自主学习能力；</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评价系统通过过程评价、逻辑评价、结果评价三种方式进行综合评价，更客观地评价出学生的训练情况；</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终端载体单机版内置微课制作功能：</w:t>
            </w:r>
          </w:p>
          <w:p>
            <w:pPr>
              <w:spacing w:line="360" w:lineRule="auto"/>
              <w:ind w:left="360"/>
              <w:rPr>
                <w:rFonts w:ascii="宋体" w:hAnsi="宋体" w:cs="仿宋"/>
                <w:bCs/>
                <w:sz w:val="21"/>
                <w:szCs w:val="21"/>
              </w:rPr>
            </w:pPr>
            <w:r>
              <w:rPr>
                <w:rFonts w:hint="eastAsia" w:ascii="宋体" w:hAnsi="宋体" w:cs="仿宋"/>
                <w:bCs/>
                <w:sz w:val="21"/>
                <w:szCs w:val="21"/>
              </w:rPr>
              <w:t>21.1可直接导入PPT并保留PPT所有动画效果，生成视频微课；</w:t>
            </w:r>
          </w:p>
          <w:p>
            <w:pPr>
              <w:spacing w:line="360" w:lineRule="auto"/>
              <w:ind w:left="360"/>
              <w:rPr>
                <w:rFonts w:ascii="宋体" w:hAnsi="宋体" w:cs="仿宋"/>
                <w:bCs/>
                <w:sz w:val="21"/>
                <w:szCs w:val="21"/>
              </w:rPr>
            </w:pPr>
            <w:r>
              <w:rPr>
                <w:rFonts w:hint="eastAsia" w:ascii="宋体" w:hAnsi="宋体" w:cs="仿宋"/>
                <w:bCs/>
                <w:sz w:val="21"/>
                <w:szCs w:val="21"/>
              </w:rPr>
              <w:t>21.2制作过程可自动录音，可合成至生成的视频微课中；</w:t>
            </w:r>
          </w:p>
          <w:p>
            <w:pPr>
              <w:spacing w:line="360" w:lineRule="auto"/>
              <w:ind w:left="360"/>
              <w:rPr>
                <w:rFonts w:ascii="宋体" w:hAnsi="宋体" w:cs="仿宋"/>
                <w:bCs/>
                <w:sz w:val="21"/>
                <w:szCs w:val="21"/>
              </w:rPr>
            </w:pPr>
            <w:r>
              <w:rPr>
                <w:rFonts w:hint="eastAsia" w:ascii="宋体" w:hAnsi="宋体" w:cs="仿宋"/>
                <w:bCs/>
                <w:sz w:val="21"/>
                <w:szCs w:val="21"/>
              </w:rPr>
              <w:t>21.3微课制作时支持支持两个摄像头切换录制，第一摄像头和第二摄像头可随时切换录制现场人像或现场展示资料，录制内容可合成至生成的视频微课中；</w:t>
            </w:r>
          </w:p>
          <w:p>
            <w:pPr>
              <w:spacing w:line="360" w:lineRule="auto"/>
              <w:ind w:left="360"/>
              <w:rPr>
                <w:rFonts w:ascii="宋体" w:hAnsi="宋体" w:cs="仿宋"/>
                <w:bCs/>
                <w:sz w:val="21"/>
                <w:szCs w:val="21"/>
              </w:rPr>
            </w:pPr>
            <w:r>
              <w:rPr>
                <w:rFonts w:hint="eastAsia" w:ascii="宋体" w:hAnsi="宋体" w:cs="仿宋"/>
                <w:bCs/>
                <w:sz w:val="21"/>
                <w:szCs w:val="21"/>
              </w:rPr>
              <w:t>21.4微课制作过程中可随时板书，录制板书操作，并合成到生成的视频微课；</w:t>
            </w:r>
          </w:p>
          <w:p>
            <w:pPr>
              <w:spacing w:line="360" w:lineRule="auto"/>
              <w:ind w:left="360"/>
              <w:rPr>
                <w:rFonts w:ascii="宋体" w:hAnsi="宋体" w:cs="仿宋"/>
                <w:bCs/>
                <w:sz w:val="21"/>
                <w:szCs w:val="21"/>
              </w:rPr>
            </w:pPr>
            <w:r>
              <w:rPr>
                <w:rFonts w:hint="eastAsia" w:ascii="宋体" w:hAnsi="宋体" w:cs="仿宋"/>
                <w:bCs/>
                <w:sz w:val="21"/>
                <w:szCs w:val="21"/>
              </w:rPr>
              <w:t>21.5微课保存为视频时，可选择添加背景音乐，使制作的微课全程具有背景音乐效果，背景音乐提供多种选择；</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平台包括多种类型主体企业，提供持续经营的十二个月的一般纳税人新会计准则工业企业，初设立的一般纳税人新会计准则商业企业以及一般纳税人小企业准则工业企业及小规模纳税人小企业准则商业企业等；</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具有统计分析功能，图表方式统计某一次比赛每一道题目的得分率，并可进入详细查看这一题全部学员的答题情况及得分情况；</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 xml:space="preserve">平台配套会计信息化账务处理手机APP，供学生移动学习体验会计信息化常见功能模块： </w:t>
            </w:r>
          </w:p>
          <w:p>
            <w:pPr>
              <w:spacing w:line="360" w:lineRule="auto"/>
              <w:ind w:left="360"/>
              <w:rPr>
                <w:rFonts w:ascii="宋体" w:hAnsi="宋体" w:cs="仿宋"/>
                <w:bCs/>
                <w:sz w:val="21"/>
                <w:szCs w:val="21"/>
              </w:rPr>
            </w:pPr>
            <w:r>
              <w:rPr>
                <w:rFonts w:hint="eastAsia" w:ascii="宋体" w:hAnsi="宋体" w:cs="仿宋"/>
                <w:bCs/>
                <w:sz w:val="21"/>
                <w:szCs w:val="21"/>
              </w:rPr>
              <w:t>25.1初始设置：登录后可自定义创建账套，若已有账套，则直接进入角色登录界面；</w:t>
            </w:r>
          </w:p>
          <w:p>
            <w:pPr>
              <w:spacing w:line="360" w:lineRule="auto"/>
              <w:ind w:left="360"/>
              <w:rPr>
                <w:rFonts w:ascii="宋体" w:hAnsi="宋体" w:cs="仿宋"/>
                <w:bCs/>
                <w:sz w:val="21"/>
                <w:szCs w:val="21"/>
              </w:rPr>
            </w:pPr>
            <w:r>
              <w:rPr>
                <w:rFonts w:hint="eastAsia" w:ascii="宋体" w:hAnsi="宋体" w:cs="仿宋"/>
                <w:bCs/>
                <w:sz w:val="21"/>
                <w:szCs w:val="21"/>
              </w:rPr>
              <w:t>25.2角色登录：提供四个岗位角色登录，支持网络版管理员针对实际情况分配角色登录权限；</w:t>
            </w:r>
          </w:p>
          <w:p>
            <w:pPr>
              <w:spacing w:line="360" w:lineRule="auto"/>
              <w:ind w:left="360"/>
              <w:rPr>
                <w:rFonts w:ascii="宋体" w:hAnsi="宋体" w:cs="仿宋"/>
                <w:bCs/>
                <w:sz w:val="21"/>
                <w:szCs w:val="21"/>
              </w:rPr>
            </w:pPr>
            <w:r>
              <w:rPr>
                <w:rFonts w:hint="eastAsia" w:ascii="宋体" w:hAnsi="宋体" w:cs="仿宋"/>
                <w:bCs/>
                <w:sz w:val="21"/>
                <w:szCs w:val="21"/>
              </w:rPr>
              <w:t>25.3登录首页：包含凭证列表、审核凭证、记账、期末结账、结转损益、财务报表、查询/修改、明细账、总账、科目余额表等十个子功能模块。</w:t>
            </w:r>
          </w:p>
          <w:p>
            <w:pPr>
              <w:numPr>
                <w:ilvl w:val="0"/>
                <w:numId w:val="6"/>
              </w:numPr>
              <w:spacing w:line="360" w:lineRule="auto"/>
              <w:jc w:val="left"/>
              <w:rPr>
                <w:rFonts w:ascii="宋体" w:hAnsi="宋体" w:cs="仿宋"/>
                <w:bCs/>
                <w:sz w:val="21"/>
                <w:szCs w:val="21"/>
              </w:rPr>
            </w:pPr>
            <w:r>
              <w:rPr>
                <w:rFonts w:hint="eastAsia" w:ascii="宋体" w:hAnsi="宋体" w:cs="仿宋"/>
                <w:bCs/>
                <w:sz w:val="21"/>
                <w:szCs w:val="21"/>
              </w:rPr>
              <w:t>平台免费配套纸质单据套装，其中每一套内含空白支票（2张），银行回单、税单（1本45张），付款申请单据、报销单、借款单（1本31张），外来增值税发票（1本28张），空白票据（一式三联带复写，流水号码15张），入库单、领料单、销售单、出库单（1本123张），单据簿（1本96张）；</w:t>
            </w:r>
          </w:p>
          <w:p>
            <w:pPr>
              <w:numPr>
                <w:ilvl w:val="0"/>
                <w:numId w:val="6"/>
              </w:numPr>
              <w:spacing w:line="360" w:lineRule="auto"/>
              <w:jc w:val="left"/>
              <w:rPr>
                <w:rFonts w:ascii="宋体" w:hAnsi="宋体" w:cs="仿宋"/>
                <w:bCs/>
                <w:color w:val="FF0000"/>
                <w:sz w:val="21"/>
                <w:szCs w:val="21"/>
              </w:rPr>
            </w:pPr>
            <w:r>
              <w:rPr>
                <w:rFonts w:hint="eastAsia" w:ascii="宋体" w:hAnsi="宋体" w:cs="仿宋"/>
                <w:bCs/>
                <w:sz w:val="21"/>
                <w:szCs w:val="21"/>
              </w:rPr>
              <w:t>互动小游戏主要功能：</w:t>
            </w:r>
          </w:p>
          <w:p>
            <w:pPr>
              <w:spacing w:line="360" w:lineRule="auto"/>
              <w:ind w:left="360"/>
              <w:rPr>
                <w:rFonts w:ascii="宋体" w:hAnsi="宋体" w:cs="仿宋"/>
                <w:bCs/>
                <w:sz w:val="21"/>
                <w:szCs w:val="21"/>
              </w:rPr>
            </w:pPr>
            <w:r>
              <w:rPr>
                <w:rFonts w:hint="eastAsia" w:ascii="宋体" w:hAnsi="宋体" w:cs="仿宋"/>
                <w:bCs/>
                <w:sz w:val="21"/>
                <w:szCs w:val="21"/>
              </w:rPr>
              <w:t>27.1提供多个终端使用功能：游戏支持电脑、手机等终端使用；</w:t>
            </w:r>
          </w:p>
          <w:p>
            <w:pPr>
              <w:spacing w:line="360" w:lineRule="auto"/>
              <w:ind w:left="360"/>
              <w:rPr>
                <w:rFonts w:ascii="宋体" w:hAnsi="宋体" w:cs="仿宋"/>
                <w:bCs/>
                <w:sz w:val="21"/>
                <w:szCs w:val="21"/>
              </w:rPr>
            </w:pPr>
            <w:r>
              <w:rPr>
                <w:rFonts w:hint="eastAsia" w:ascii="宋体" w:hAnsi="宋体" w:cs="仿宋"/>
                <w:bCs/>
                <w:sz w:val="21"/>
                <w:szCs w:val="21"/>
              </w:rPr>
              <w:t>27.2在线游戏互动功能：学生可通过手机扫描系统的中会计游戏二维码，实现在手机上进行随堂游戏的互动体验；</w:t>
            </w:r>
          </w:p>
          <w:p>
            <w:pPr>
              <w:spacing w:line="360" w:lineRule="auto"/>
              <w:ind w:left="360"/>
              <w:rPr>
                <w:rFonts w:ascii="宋体" w:hAnsi="宋体" w:cs="仿宋"/>
                <w:bCs/>
                <w:sz w:val="21"/>
                <w:szCs w:val="21"/>
              </w:rPr>
            </w:pPr>
            <w:r>
              <w:rPr>
                <w:rFonts w:hint="eastAsia" w:ascii="宋体" w:hAnsi="宋体" w:cs="仿宋"/>
                <w:bCs/>
                <w:sz w:val="21"/>
                <w:szCs w:val="21"/>
              </w:rPr>
              <w:t>27.3竞赛排行功能：支持竞赛比拼并提供班级排行，增加课堂趣味性；可重复进行游戏，排行分数选取前三次的最高分。</w:t>
            </w:r>
          </w:p>
          <w:p>
            <w:pPr>
              <w:spacing w:line="360" w:lineRule="auto"/>
              <w:rPr>
                <w:b/>
                <w:bCs/>
                <w:sz w:val="21"/>
                <w:szCs w:val="21"/>
              </w:rPr>
            </w:pPr>
            <w:r>
              <w:rPr>
                <w:rFonts w:hint="eastAsia"/>
                <w:b/>
                <w:bCs/>
                <w:sz w:val="21"/>
                <w:szCs w:val="21"/>
              </w:rPr>
              <w:t>（二）业务参数</w:t>
            </w:r>
          </w:p>
          <w:p>
            <w:pPr>
              <w:numPr>
                <w:ilvl w:val="0"/>
                <w:numId w:val="7"/>
              </w:numPr>
              <w:spacing w:line="360" w:lineRule="auto"/>
              <w:jc w:val="left"/>
              <w:rPr>
                <w:rFonts w:ascii="宋体" w:hAnsi="宋体" w:cs="仿宋"/>
                <w:bCs/>
                <w:sz w:val="21"/>
                <w:szCs w:val="21"/>
              </w:rPr>
            </w:pPr>
            <w:r>
              <w:rPr>
                <w:rFonts w:hint="eastAsia" w:ascii="宋体" w:hAnsi="宋体" w:cs="仿宋"/>
                <w:bCs/>
                <w:sz w:val="21"/>
                <w:szCs w:val="21"/>
              </w:rPr>
              <w:t>行业账套内容：</w:t>
            </w:r>
          </w:p>
          <w:p>
            <w:pPr>
              <w:spacing w:line="360" w:lineRule="auto"/>
              <w:ind w:left="420"/>
              <w:rPr>
                <w:rFonts w:ascii="宋体" w:hAnsi="宋体" w:cs="宋体"/>
                <w:sz w:val="21"/>
                <w:szCs w:val="21"/>
              </w:rPr>
            </w:pPr>
            <w:r>
              <w:rPr>
                <w:rFonts w:hint="eastAsia" w:ascii="宋体" w:hAnsi="宋体" w:cs="宋体"/>
                <w:sz w:val="21"/>
                <w:szCs w:val="21"/>
              </w:rPr>
              <w:t>1.1工业企业：</w:t>
            </w:r>
          </w:p>
          <w:p>
            <w:pPr>
              <w:spacing w:line="360" w:lineRule="auto"/>
              <w:ind w:left="420"/>
              <w:rPr>
                <w:rFonts w:ascii="宋体" w:hAnsi="宋体" w:cs="宋体"/>
                <w:sz w:val="21"/>
                <w:szCs w:val="21"/>
              </w:rPr>
            </w:pPr>
            <w:r>
              <w:rPr>
                <w:rFonts w:hint="eastAsia" w:ascii="宋体" w:hAnsi="宋体" w:cs="宋体"/>
                <w:sz w:val="21"/>
                <w:szCs w:val="21"/>
              </w:rPr>
              <w:t>本业务内容为连续经营企业，财会职业能力养成平台核心业务，为制造业一般纳税人，采用新《企业会计准则》核算。业务内容包括连续12个月连贯业务，每个月不少于100笔典型经济业务，涉及到筹融资业务、投资业务、日常业务、经营业务、特殊业务等；</w:t>
            </w:r>
          </w:p>
          <w:p>
            <w:pPr>
              <w:spacing w:line="360" w:lineRule="auto"/>
              <w:ind w:left="420"/>
              <w:rPr>
                <w:rFonts w:ascii="宋体" w:hAnsi="宋体" w:cs="宋体"/>
                <w:sz w:val="21"/>
                <w:szCs w:val="21"/>
              </w:rPr>
            </w:pPr>
            <w:r>
              <w:rPr>
                <w:rFonts w:hint="eastAsia" w:ascii="宋体" w:hAnsi="宋体" w:cs="宋体"/>
                <w:sz w:val="21"/>
                <w:szCs w:val="21"/>
              </w:rPr>
              <w:t>1.2贸易企业</w:t>
            </w:r>
          </w:p>
          <w:p>
            <w:pPr>
              <w:spacing w:line="360" w:lineRule="auto"/>
              <w:ind w:left="420"/>
              <w:rPr>
                <w:rFonts w:ascii="宋体" w:hAnsi="宋体" w:cs="宋体"/>
                <w:sz w:val="21"/>
                <w:szCs w:val="21"/>
              </w:rPr>
            </w:pPr>
            <w:r>
              <w:rPr>
                <w:rFonts w:hint="eastAsia" w:ascii="宋体" w:hAnsi="宋体" w:cs="宋体"/>
                <w:sz w:val="21"/>
                <w:szCs w:val="21"/>
              </w:rPr>
              <w:t>本业务内容为新设企业，财会职业能力养成平台核心业务，为商业一般纳税人，采用新《企业会计准则》核算。业务内容包括新设2个月业务，将涉及到企业设立开办业务、筹资业务、投资业务、日常业务、采购业务、委托加工业务、销售业务等；</w:t>
            </w:r>
          </w:p>
          <w:p>
            <w:pPr>
              <w:spacing w:line="360" w:lineRule="auto"/>
              <w:ind w:left="420"/>
              <w:rPr>
                <w:rFonts w:ascii="宋体" w:hAnsi="宋体" w:cs="宋体"/>
                <w:sz w:val="21"/>
                <w:szCs w:val="21"/>
              </w:rPr>
            </w:pPr>
            <w:r>
              <w:rPr>
                <w:rFonts w:hint="eastAsia" w:ascii="宋体" w:hAnsi="宋体" w:cs="宋体"/>
                <w:sz w:val="21"/>
                <w:szCs w:val="21"/>
              </w:rPr>
              <w:t>1.3小规模纳税人企业</w:t>
            </w:r>
          </w:p>
          <w:p>
            <w:pPr>
              <w:spacing w:line="360" w:lineRule="auto"/>
              <w:ind w:left="420"/>
              <w:rPr>
                <w:rFonts w:ascii="宋体" w:hAnsi="宋体" w:cs="宋体"/>
                <w:sz w:val="21"/>
                <w:szCs w:val="21"/>
              </w:rPr>
            </w:pPr>
            <w:r>
              <w:rPr>
                <w:rFonts w:hint="eastAsia" w:ascii="宋体" w:hAnsi="宋体" w:cs="宋体"/>
                <w:sz w:val="21"/>
                <w:szCs w:val="21"/>
              </w:rPr>
              <w:t>本业务内容为连续经营企业，财会职业能力养成平台核心业务，为制造业小规模纳税人，采用新《企业会计准则》核算。业务内容包括连续2个月业务，将涉及到筹资业务、投资业务、日常业务、采购业务、委托加工业务、销售业务等；</w:t>
            </w:r>
          </w:p>
          <w:p>
            <w:pPr>
              <w:spacing w:line="360" w:lineRule="auto"/>
              <w:ind w:left="420"/>
              <w:rPr>
                <w:rFonts w:ascii="宋体" w:hAnsi="宋体" w:cs="宋体"/>
                <w:sz w:val="21"/>
                <w:szCs w:val="21"/>
              </w:rPr>
            </w:pPr>
            <w:r>
              <w:rPr>
                <w:rFonts w:hint="eastAsia" w:ascii="宋体" w:hAnsi="宋体" w:cs="宋体"/>
                <w:sz w:val="21"/>
                <w:szCs w:val="21"/>
              </w:rPr>
              <w:t>1.4小企业准则企业</w:t>
            </w:r>
          </w:p>
          <w:p>
            <w:pPr>
              <w:spacing w:line="360" w:lineRule="auto"/>
              <w:ind w:left="420"/>
              <w:rPr>
                <w:rFonts w:ascii="宋体" w:hAnsi="宋体" w:cs="宋体"/>
                <w:sz w:val="21"/>
                <w:szCs w:val="21"/>
              </w:rPr>
            </w:pPr>
            <w:r>
              <w:rPr>
                <w:rFonts w:hint="eastAsia" w:ascii="宋体" w:hAnsi="宋体" w:cs="宋体"/>
                <w:sz w:val="21"/>
                <w:szCs w:val="21"/>
              </w:rPr>
              <w:t>本业务内容为连续经营企业，财会职业能力养成平台核心业务，为制造业一般纳税人，采用《小企业会计准则》核算。业务内容包括连续3个月业务，将涉及到筹资业务、投资业务、日常业务、采购业务、委托加工业务、生产业务、销售业务等；</w:t>
            </w:r>
          </w:p>
          <w:p>
            <w:pPr>
              <w:spacing w:line="360" w:lineRule="auto"/>
              <w:ind w:left="360"/>
              <w:rPr>
                <w:rFonts w:ascii="宋体" w:hAnsi="宋体" w:cs="仿宋"/>
                <w:bCs/>
                <w:sz w:val="21"/>
                <w:szCs w:val="21"/>
              </w:rPr>
            </w:pPr>
            <w:r>
              <w:rPr>
                <w:rFonts w:hint="eastAsia" w:ascii="宋体" w:hAnsi="宋体" w:cs="仿宋"/>
                <w:bCs/>
                <w:sz w:val="21"/>
                <w:szCs w:val="21"/>
              </w:rPr>
              <w:t>1.5电子商务企业：</w:t>
            </w:r>
          </w:p>
          <w:p>
            <w:pPr>
              <w:spacing w:line="360" w:lineRule="auto"/>
              <w:ind w:left="360"/>
              <w:rPr>
                <w:rFonts w:ascii="宋体" w:hAnsi="宋体" w:cs="仿宋"/>
                <w:bCs/>
                <w:sz w:val="21"/>
                <w:szCs w:val="21"/>
              </w:rPr>
            </w:pPr>
            <w:r>
              <w:rPr>
                <w:rFonts w:hint="eastAsia" w:ascii="宋体" w:hAnsi="宋体" w:cs="仿宋"/>
                <w:bCs/>
                <w:sz w:val="21"/>
                <w:szCs w:val="21"/>
              </w:rPr>
              <w:t>本业务内容为连续经营企业，为电子商务零售业一般纳税人，采用新《企业会计准则》核算。业务内容包括连续2个月业务，将涉及筹资业务、投资业务、日常业务、采购业务、自营销售业务、平台服务业务等；</w:t>
            </w:r>
          </w:p>
          <w:p>
            <w:pPr>
              <w:spacing w:line="360" w:lineRule="auto"/>
              <w:ind w:left="360"/>
              <w:rPr>
                <w:rFonts w:ascii="宋体" w:hAnsi="宋体" w:cs="仿宋"/>
                <w:bCs/>
                <w:sz w:val="21"/>
                <w:szCs w:val="21"/>
              </w:rPr>
            </w:pPr>
            <w:r>
              <w:rPr>
                <w:rFonts w:hint="eastAsia" w:ascii="宋体" w:hAnsi="宋体" w:cs="仿宋"/>
                <w:bCs/>
                <w:sz w:val="21"/>
                <w:szCs w:val="21"/>
              </w:rPr>
              <w:t>1.6酒店行业企业：</w:t>
            </w:r>
          </w:p>
          <w:p>
            <w:pPr>
              <w:spacing w:line="360" w:lineRule="auto"/>
              <w:ind w:left="360"/>
              <w:rPr>
                <w:rFonts w:ascii="宋体" w:hAnsi="宋体" w:cs="仿宋"/>
                <w:bCs/>
                <w:sz w:val="21"/>
                <w:szCs w:val="21"/>
              </w:rPr>
            </w:pPr>
            <w:r>
              <w:rPr>
                <w:rFonts w:hint="eastAsia" w:ascii="宋体" w:hAnsi="宋体" w:cs="仿宋"/>
                <w:bCs/>
                <w:sz w:val="21"/>
                <w:szCs w:val="21"/>
              </w:rPr>
              <w:t>本业务内容为连续经营企业，为服务业一般纳税人，采用新《企业会计准则》核算。业务内容包括连续2个月业务，将涉及到筹资业务、投资业务、日常业务、采购业务、餐饮经营业务、客房经营业务、会务服务业务等；</w:t>
            </w:r>
          </w:p>
          <w:p>
            <w:pPr>
              <w:numPr>
                <w:ilvl w:val="0"/>
                <w:numId w:val="7"/>
              </w:numPr>
              <w:spacing w:line="360" w:lineRule="auto"/>
              <w:jc w:val="left"/>
              <w:rPr>
                <w:rFonts w:ascii="宋体" w:hAnsi="宋体" w:cs="仿宋"/>
                <w:bCs/>
                <w:sz w:val="21"/>
                <w:szCs w:val="21"/>
              </w:rPr>
            </w:pPr>
            <w:r>
              <w:rPr>
                <w:rFonts w:hint="eastAsia" w:ascii="宋体" w:hAnsi="宋体" w:cs="仿宋"/>
                <w:bCs/>
                <w:sz w:val="21"/>
                <w:szCs w:val="21"/>
              </w:rPr>
              <w:t>主要涉及业务：</w:t>
            </w:r>
          </w:p>
          <w:p>
            <w:pPr>
              <w:spacing w:line="360" w:lineRule="auto"/>
              <w:ind w:left="420"/>
              <w:rPr>
                <w:rFonts w:ascii="宋体" w:hAnsi="宋体" w:cs="宋体"/>
                <w:sz w:val="21"/>
                <w:szCs w:val="21"/>
              </w:rPr>
            </w:pPr>
            <w:r>
              <w:rPr>
                <w:rFonts w:hint="eastAsia" w:ascii="宋体" w:hAnsi="宋体" w:cs="宋体"/>
                <w:sz w:val="21"/>
                <w:szCs w:val="21"/>
              </w:rPr>
              <w:t>2.1筹融资业务：银行借款业务、发行债券业务、股权增资业务、分期付款融资业务等；</w:t>
            </w:r>
          </w:p>
          <w:p>
            <w:pPr>
              <w:spacing w:line="360" w:lineRule="auto"/>
              <w:ind w:left="420"/>
              <w:rPr>
                <w:rFonts w:ascii="宋体" w:hAnsi="宋体" w:cs="宋体"/>
                <w:sz w:val="21"/>
                <w:szCs w:val="21"/>
              </w:rPr>
            </w:pPr>
            <w:r>
              <w:rPr>
                <w:rFonts w:hint="eastAsia" w:ascii="宋体" w:hAnsi="宋体" w:cs="宋体"/>
                <w:sz w:val="21"/>
                <w:szCs w:val="21"/>
              </w:rPr>
              <w:t>2.2投资业务：金融资产的投资业务、对合营企业的投资业务、多次交易形成控股合并业务、不动产建造业务、生产线建造业务、机械设备改良业务、其他固定资产购建等；</w:t>
            </w:r>
          </w:p>
          <w:p>
            <w:pPr>
              <w:spacing w:line="360" w:lineRule="auto"/>
              <w:ind w:left="420"/>
              <w:rPr>
                <w:rFonts w:ascii="宋体" w:hAnsi="宋体" w:cs="宋体"/>
                <w:sz w:val="21"/>
                <w:szCs w:val="21"/>
              </w:rPr>
            </w:pPr>
            <w:r>
              <w:rPr>
                <w:rFonts w:hint="eastAsia" w:ascii="宋体" w:hAnsi="宋体" w:cs="宋体"/>
                <w:sz w:val="21"/>
                <w:szCs w:val="21"/>
              </w:rPr>
              <w:t>2.3日常业务：日常报销业务（提取备用金业务、报销办公费业务、因公借款业务、报销差旅费业务、报销招待费业务、发放福利费业务、发放工资业务、支付电话费业务、支付房租费业务等）、日常结算业务（现金结算业务、网银转账结算业务、转账支票结算业务、银行承兑汇票结算业务、商业承兑汇票结算业务、票据背书结算业务、电汇凭证结算业务、委托扣款结算业务等）、税费纳税业务（申报缴纳增值税业务、申报缴纳企业所得税业务、缴纳附加税业务、缴纳印花税业务、缴纳工会经费、缴纳房产税业务、缴纳土地使用税业务、代扣代缴个人所得税业务、缴纳社保费业务、缴纳住房公积金业务等）；</w:t>
            </w:r>
          </w:p>
          <w:p>
            <w:pPr>
              <w:spacing w:line="360" w:lineRule="auto"/>
              <w:ind w:left="420"/>
              <w:rPr>
                <w:rFonts w:ascii="宋体" w:hAnsi="宋体" w:cs="宋体"/>
                <w:sz w:val="21"/>
                <w:szCs w:val="21"/>
              </w:rPr>
            </w:pPr>
            <w:r>
              <w:rPr>
                <w:rFonts w:hint="eastAsia" w:ascii="宋体" w:hAnsi="宋体" w:cs="宋体"/>
                <w:sz w:val="21"/>
                <w:szCs w:val="21"/>
              </w:rPr>
              <w:t>2.4经营业务：采购环节业务（采购材料业务、委托加工材料业务、采购入库业务、采购承担运输费业务、采购存货损毁业务、采购商业折扣业务、采购折让业务、采购现金折扣业务等）、生产环节业务（直接材料核算业务、直接人工核算业务、辅助生产成本核算业务、制造费用核算业务、废品损失处理业务、完工产品入库业务等）、销售环节业务（现金销售业务、信用赊销业务、预收货款销售业务、商业折扣销售业务、销售确认运输费业务、折让销售业务、销售退货业务等）；</w:t>
            </w:r>
          </w:p>
          <w:p>
            <w:pPr>
              <w:spacing w:line="360" w:lineRule="auto"/>
              <w:ind w:left="420"/>
              <w:rPr>
                <w:rFonts w:ascii="宋体" w:hAnsi="宋体" w:cs="宋体"/>
                <w:sz w:val="21"/>
                <w:szCs w:val="21"/>
              </w:rPr>
            </w:pPr>
            <w:r>
              <w:rPr>
                <w:rFonts w:hint="eastAsia" w:ascii="宋体" w:hAnsi="宋体" w:cs="宋体"/>
                <w:sz w:val="21"/>
                <w:szCs w:val="21"/>
              </w:rPr>
              <w:t>2.5特殊业务：固定资产转投资性房地产业务、投资性房地产成本模式转公允价值模式业务、持有至到期投资转可供出售金融资产业务、债务重组业务、非货币性资产交换业务等；</w:t>
            </w:r>
          </w:p>
          <w:p>
            <w:pPr>
              <w:numPr>
                <w:ilvl w:val="0"/>
                <w:numId w:val="7"/>
              </w:numPr>
              <w:spacing w:line="360" w:lineRule="auto"/>
              <w:jc w:val="left"/>
              <w:rPr>
                <w:rFonts w:ascii="宋体" w:hAnsi="宋体" w:cs="仿宋"/>
                <w:bCs/>
                <w:sz w:val="21"/>
                <w:szCs w:val="21"/>
              </w:rPr>
            </w:pPr>
            <w:r>
              <w:rPr>
                <w:rFonts w:hint="eastAsia" w:ascii="宋体" w:hAnsi="宋体" w:cs="仿宋"/>
                <w:bCs/>
                <w:sz w:val="21"/>
                <w:szCs w:val="21"/>
              </w:rPr>
              <w:t>工业企业12个月业务内容：</w:t>
            </w:r>
          </w:p>
          <w:p>
            <w:pPr>
              <w:spacing w:line="360" w:lineRule="auto"/>
              <w:ind w:left="420"/>
              <w:rPr>
                <w:rFonts w:ascii="宋体" w:hAnsi="宋体" w:cs="宋体"/>
                <w:sz w:val="21"/>
                <w:szCs w:val="21"/>
              </w:rPr>
            </w:pPr>
            <w:r>
              <w:rPr>
                <w:rFonts w:hint="eastAsia" w:ascii="宋体" w:hAnsi="宋体" w:cs="宋体"/>
                <w:sz w:val="21"/>
                <w:szCs w:val="21"/>
              </w:rPr>
              <w:t>1月2-5日重点工作事项：提取备用金、销售开票、购入土地、支付办理；</w:t>
            </w:r>
          </w:p>
          <w:p>
            <w:pPr>
              <w:spacing w:line="360" w:lineRule="auto"/>
              <w:ind w:left="420"/>
              <w:rPr>
                <w:rFonts w:ascii="宋体" w:hAnsi="宋体" w:cs="宋体"/>
                <w:sz w:val="21"/>
                <w:szCs w:val="21"/>
              </w:rPr>
            </w:pPr>
            <w:r>
              <w:rPr>
                <w:rFonts w:hint="eastAsia" w:ascii="宋体" w:hAnsi="宋体" w:cs="宋体"/>
                <w:sz w:val="21"/>
                <w:szCs w:val="21"/>
              </w:rPr>
              <w:t>1月6-10日重点工作事项：其他货币资金；材料采购、入库，材料领用汇总；</w:t>
            </w:r>
          </w:p>
          <w:p>
            <w:pPr>
              <w:spacing w:line="360" w:lineRule="auto"/>
              <w:ind w:left="420"/>
              <w:rPr>
                <w:rFonts w:ascii="宋体" w:hAnsi="宋体" w:cs="宋体"/>
                <w:sz w:val="21"/>
                <w:szCs w:val="21"/>
              </w:rPr>
            </w:pPr>
            <w:r>
              <w:rPr>
                <w:rFonts w:hint="eastAsia" w:ascii="宋体" w:hAnsi="宋体" w:cs="宋体"/>
                <w:sz w:val="21"/>
                <w:szCs w:val="21"/>
              </w:rPr>
              <w:t>1月11日-13日重点工作事项：增值税、个人所得税申报填写、附加税、印花税、房产税、土地使用税申报填写；工会经费；企业所得税缴纳</w:t>
            </w:r>
          </w:p>
          <w:p>
            <w:pPr>
              <w:spacing w:line="360" w:lineRule="auto"/>
              <w:ind w:left="420"/>
              <w:rPr>
                <w:rFonts w:ascii="宋体" w:hAnsi="宋体" w:cs="宋体"/>
                <w:sz w:val="21"/>
                <w:szCs w:val="21"/>
              </w:rPr>
            </w:pPr>
            <w:r>
              <w:rPr>
                <w:rFonts w:hint="eastAsia" w:ascii="宋体" w:hAnsi="宋体" w:cs="宋体"/>
                <w:sz w:val="21"/>
                <w:szCs w:val="21"/>
              </w:rPr>
              <w:t>1月14-17日重点工作事项：材料领用成本汇总；销售开票；现金管理；转入工会经费；款项支付；</w:t>
            </w:r>
          </w:p>
          <w:p>
            <w:pPr>
              <w:spacing w:line="360" w:lineRule="auto"/>
              <w:ind w:left="420"/>
              <w:rPr>
                <w:rFonts w:ascii="宋体" w:hAnsi="宋体" w:cs="宋体"/>
                <w:sz w:val="21"/>
                <w:szCs w:val="21"/>
              </w:rPr>
            </w:pPr>
            <w:r>
              <w:rPr>
                <w:rFonts w:hint="eastAsia" w:ascii="宋体" w:hAnsi="宋体" w:cs="宋体"/>
                <w:sz w:val="21"/>
                <w:szCs w:val="21"/>
              </w:rPr>
              <w:t>1月18-22日重点工作事项：发放工资的账务处理；材料领用成本汇总；职工教育经费账务处理；</w:t>
            </w:r>
          </w:p>
          <w:p>
            <w:pPr>
              <w:spacing w:line="360" w:lineRule="auto"/>
              <w:ind w:left="420"/>
              <w:rPr>
                <w:rFonts w:ascii="宋体" w:hAnsi="宋体" w:cs="宋体"/>
                <w:sz w:val="21"/>
                <w:szCs w:val="21"/>
              </w:rPr>
            </w:pPr>
            <w:r>
              <w:rPr>
                <w:rFonts w:hint="eastAsia" w:ascii="宋体" w:hAnsi="宋体" w:cs="宋体"/>
                <w:sz w:val="21"/>
                <w:szCs w:val="21"/>
              </w:rPr>
              <w:t>1月23-27日重点工作事项：红字发票开具；租赁费分配；销售退货；费用支付办理；</w:t>
            </w:r>
          </w:p>
          <w:p>
            <w:pPr>
              <w:spacing w:line="360" w:lineRule="auto"/>
              <w:ind w:left="420"/>
              <w:rPr>
                <w:rFonts w:ascii="宋体" w:hAnsi="宋体" w:cs="宋体"/>
                <w:sz w:val="21"/>
                <w:szCs w:val="21"/>
              </w:rPr>
            </w:pPr>
            <w:r>
              <w:rPr>
                <w:rFonts w:hint="eastAsia" w:ascii="宋体" w:hAnsi="宋体" w:cs="宋体"/>
                <w:sz w:val="21"/>
                <w:szCs w:val="21"/>
              </w:rPr>
              <w:t>1月28-30日重点工作事项：材料领用成本汇总；捐赠业务；工伤事件；材料领用成本汇总；职工教育经费账务处理；工会经费账务处理；</w:t>
            </w:r>
          </w:p>
          <w:p>
            <w:pPr>
              <w:spacing w:line="360" w:lineRule="auto"/>
              <w:ind w:left="420"/>
              <w:rPr>
                <w:rFonts w:ascii="宋体" w:hAnsi="宋体" w:cs="宋体"/>
                <w:sz w:val="21"/>
                <w:szCs w:val="21"/>
              </w:rPr>
            </w:pPr>
            <w:r>
              <w:rPr>
                <w:rFonts w:hint="eastAsia" w:ascii="宋体" w:hAnsi="宋体" w:cs="宋体"/>
                <w:sz w:val="21"/>
                <w:szCs w:val="21"/>
              </w:rPr>
              <w:t>1月31日重点工作事项：房产税、土地使用税工资、社保及公积金的计提及账务处理；成本差异率计算；成本差异结转；交互分配法的运用；约当产量法的运用；完工产品成本计算；制造费用结转；资产盘点及账务处理；月末一次加权平均法的运用；销售成本结转；资产盘点及账务处理；坏账准备计算与账务处理；应交增值税的计算；附加税、企业所得税计提；月末结账；</w:t>
            </w:r>
          </w:p>
          <w:p>
            <w:pPr>
              <w:spacing w:line="360" w:lineRule="auto"/>
              <w:ind w:left="420"/>
              <w:rPr>
                <w:rFonts w:ascii="宋体" w:hAnsi="宋体" w:cs="宋体"/>
                <w:sz w:val="21"/>
                <w:szCs w:val="21"/>
              </w:rPr>
            </w:pPr>
            <w:r>
              <w:rPr>
                <w:rFonts w:hint="eastAsia" w:ascii="宋体" w:hAnsi="宋体" w:cs="宋体"/>
                <w:sz w:val="21"/>
                <w:szCs w:val="21"/>
              </w:rPr>
              <w:t>2月1-4日重点工作事项：签发商业汇票；提取备用金；</w:t>
            </w:r>
          </w:p>
          <w:p>
            <w:pPr>
              <w:spacing w:line="360" w:lineRule="auto"/>
              <w:ind w:left="420"/>
              <w:rPr>
                <w:rFonts w:ascii="宋体" w:hAnsi="宋体" w:cs="宋体"/>
                <w:sz w:val="21"/>
                <w:szCs w:val="21"/>
              </w:rPr>
            </w:pPr>
            <w:r>
              <w:rPr>
                <w:rFonts w:hint="eastAsia" w:ascii="宋体" w:hAnsi="宋体" w:cs="宋体"/>
                <w:sz w:val="21"/>
                <w:szCs w:val="21"/>
              </w:rPr>
              <w:t>2月5-9日重点工作事项：工伤事件处理；现金存入银行；材料入库；</w:t>
            </w:r>
          </w:p>
          <w:p>
            <w:pPr>
              <w:spacing w:line="360" w:lineRule="auto"/>
              <w:ind w:left="420"/>
              <w:rPr>
                <w:rFonts w:ascii="宋体" w:hAnsi="宋体" w:cs="宋体"/>
                <w:sz w:val="21"/>
                <w:szCs w:val="21"/>
              </w:rPr>
            </w:pPr>
            <w:r>
              <w:rPr>
                <w:rFonts w:hint="eastAsia" w:ascii="宋体" w:hAnsi="宋体" w:cs="宋体"/>
                <w:sz w:val="21"/>
                <w:szCs w:val="21"/>
              </w:rPr>
              <w:t>2月10-14日重点工作事项：材料领用成本汇总；增值税申报填写；票据贴现；增值税、印花税、附加税、个人所得税申报填写；工会经费账务处理；</w:t>
            </w:r>
          </w:p>
          <w:p>
            <w:pPr>
              <w:spacing w:line="360" w:lineRule="auto"/>
              <w:ind w:left="420"/>
              <w:rPr>
                <w:rFonts w:ascii="宋体" w:hAnsi="宋体" w:cs="宋体"/>
                <w:sz w:val="21"/>
                <w:szCs w:val="21"/>
              </w:rPr>
            </w:pPr>
            <w:r>
              <w:rPr>
                <w:rFonts w:hint="eastAsia" w:ascii="宋体" w:hAnsi="宋体" w:cs="宋体"/>
                <w:sz w:val="21"/>
                <w:szCs w:val="21"/>
              </w:rPr>
              <w:t>2月15-17日重点工作事项：材料领用成本汇总；工会经费账务处理；提取备用金；销售商品；</w:t>
            </w:r>
          </w:p>
          <w:p>
            <w:pPr>
              <w:spacing w:line="360" w:lineRule="auto"/>
              <w:ind w:left="420"/>
              <w:rPr>
                <w:rFonts w:ascii="宋体" w:hAnsi="宋体" w:cs="宋体"/>
                <w:sz w:val="21"/>
                <w:szCs w:val="21"/>
              </w:rPr>
            </w:pPr>
            <w:r>
              <w:rPr>
                <w:rFonts w:hint="eastAsia" w:ascii="宋体" w:hAnsi="宋体" w:cs="宋体"/>
                <w:sz w:val="21"/>
                <w:szCs w:val="21"/>
              </w:rPr>
              <w:t>2月18-21日重点工作事项：发放工资的账务处理；工伤事件处理；材料领用成本汇总；发放年终奖账务处理；金融资产；</w:t>
            </w:r>
          </w:p>
          <w:p>
            <w:pPr>
              <w:spacing w:line="360" w:lineRule="auto"/>
              <w:ind w:left="420"/>
              <w:rPr>
                <w:rFonts w:ascii="宋体" w:hAnsi="宋体" w:cs="宋体"/>
                <w:sz w:val="21"/>
                <w:szCs w:val="21"/>
              </w:rPr>
            </w:pPr>
            <w:r>
              <w:rPr>
                <w:rFonts w:hint="eastAsia" w:ascii="宋体" w:hAnsi="宋体" w:cs="宋体"/>
                <w:sz w:val="21"/>
                <w:szCs w:val="21"/>
              </w:rPr>
              <w:t>2月22-25日重点工作事项：支付业务；废品损失账务处理；</w:t>
            </w:r>
          </w:p>
          <w:p>
            <w:pPr>
              <w:spacing w:line="360" w:lineRule="auto"/>
              <w:ind w:left="420"/>
              <w:rPr>
                <w:rFonts w:ascii="宋体" w:hAnsi="宋体" w:cs="宋体"/>
                <w:sz w:val="21"/>
                <w:szCs w:val="21"/>
              </w:rPr>
            </w:pPr>
            <w:r>
              <w:rPr>
                <w:rFonts w:hint="eastAsia" w:ascii="宋体" w:hAnsi="宋体" w:cs="宋体"/>
                <w:sz w:val="21"/>
                <w:szCs w:val="21"/>
              </w:rPr>
              <w:t>2月26-29日重点工作事项：工会经费账务处理；职工教育经费账务处理；投资性房地产；材料领用成本汇总；工伤事件；销售退货；</w:t>
            </w:r>
          </w:p>
          <w:p>
            <w:pPr>
              <w:spacing w:line="360" w:lineRule="auto"/>
              <w:ind w:left="420"/>
              <w:rPr>
                <w:rFonts w:ascii="宋体" w:hAnsi="宋体" w:cs="宋体"/>
                <w:sz w:val="21"/>
                <w:szCs w:val="21"/>
              </w:rPr>
            </w:pPr>
            <w:r>
              <w:rPr>
                <w:rFonts w:hint="eastAsia" w:ascii="宋体" w:hAnsi="宋体" w:cs="宋体"/>
                <w:sz w:val="21"/>
                <w:szCs w:val="21"/>
              </w:rPr>
              <w:t>3月1-5日重点工作事项：支付业务；采购材料；</w:t>
            </w:r>
          </w:p>
          <w:p>
            <w:pPr>
              <w:spacing w:line="360" w:lineRule="auto"/>
              <w:ind w:left="420"/>
              <w:rPr>
                <w:rFonts w:ascii="宋体" w:hAnsi="宋体" w:cs="宋体"/>
                <w:sz w:val="21"/>
                <w:szCs w:val="21"/>
              </w:rPr>
            </w:pPr>
            <w:r>
              <w:rPr>
                <w:rFonts w:hint="eastAsia" w:ascii="宋体" w:hAnsi="宋体" w:cs="宋体"/>
                <w:sz w:val="21"/>
                <w:szCs w:val="21"/>
              </w:rPr>
              <w:t>3月6-11日重点工作事项：材料领用成本汇总；采购材料；材料入库；</w:t>
            </w:r>
          </w:p>
          <w:p>
            <w:pPr>
              <w:spacing w:line="360" w:lineRule="auto"/>
              <w:ind w:left="420"/>
              <w:rPr>
                <w:rFonts w:ascii="宋体" w:hAnsi="宋体" w:cs="宋体"/>
                <w:sz w:val="21"/>
                <w:szCs w:val="21"/>
              </w:rPr>
            </w:pPr>
            <w:r>
              <w:rPr>
                <w:rFonts w:hint="eastAsia" w:ascii="宋体" w:hAnsi="宋体" w:cs="宋体"/>
                <w:sz w:val="21"/>
                <w:szCs w:val="21"/>
              </w:rPr>
              <w:t>3月12日重点工作事项：增值税、附加税、个人所得税、印花税申报填写；</w:t>
            </w:r>
          </w:p>
          <w:p>
            <w:pPr>
              <w:spacing w:line="360" w:lineRule="auto"/>
              <w:ind w:left="420"/>
              <w:rPr>
                <w:rFonts w:ascii="宋体" w:hAnsi="宋体" w:cs="宋体"/>
                <w:sz w:val="21"/>
                <w:szCs w:val="21"/>
              </w:rPr>
            </w:pPr>
            <w:r>
              <w:rPr>
                <w:rFonts w:hint="eastAsia" w:ascii="宋体" w:hAnsi="宋体" w:cs="宋体"/>
                <w:sz w:val="21"/>
                <w:szCs w:val="21"/>
              </w:rPr>
              <w:t>3月13-18日重点工作事项：工会经费账务处理；委托加工；材料领用成本汇总；职工教育经费、工资发放的账务处理；工伤事件的账务处理；</w:t>
            </w:r>
          </w:p>
          <w:p>
            <w:pPr>
              <w:spacing w:line="360" w:lineRule="auto"/>
              <w:ind w:left="420"/>
              <w:rPr>
                <w:rFonts w:ascii="宋体" w:hAnsi="宋体" w:cs="宋体"/>
                <w:sz w:val="21"/>
                <w:szCs w:val="21"/>
              </w:rPr>
            </w:pPr>
            <w:r>
              <w:rPr>
                <w:rFonts w:hint="eastAsia" w:ascii="宋体" w:hAnsi="宋体" w:cs="宋体"/>
                <w:sz w:val="21"/>
                <w:szCs w:val="21"/>
              </w:rPr>
              <w:t>3月19-22日重点工作事项：发放股利；材料领用成本汇总；销售商品；</w:t>
            </w:r>
          </w:p>
          <w:p>
            <w:pPr>
              <w:spacing w:line="360" w:lineRule="auto"/>
              <w:ind w:left="420"/>
              <w:rPr>
                <w:rFonts w:ascii="宋体" w:hAnsi="宋体" w:cs="宋体"/>
                <w:sz w:val="21"/>
                <w:szCs w:val="21"/>
              </w:rPr>
            </w:pPr>
            <w:r>
              <w:rPr>
                <w:rFonts w:hint="eastAsia" w:ascii="宋体" w:hAnsi="宋体" w:cs="宋体"/>
                <w:sz w:val="21"/>
                <w:szCs w:val="21"/>
              </w:rPr>
              <w:t>3月23-26日重点工作事项：固定资产清理；工会经费账务处理；销售折让；</w:t>
            </w:r>
          </w:p>
          <w:p>
            <w:pPr>
              <w:spacing w:line="360" w:lineRule="auto"/>
              <w:ind w:left="420"/>
              <w:rPr>
                <w:rFonts w:ascii="宋体" w:hAnsi="宋体" w:cs="宋体"/>
                <w:sz w:val="21"/>
                <w:szCs w:val="21"/>
              </w:rPr>
            </w:pPr>
            <w:r>
              <w:rPr>
                <w:rFonts w:hint="eastAsia" w:ascii="宋体" w:hAnsi="宋体" w:cs="宋体"/>
                <w:sz w:val="21"/>
                <w:szCs w:val="21"/>
              </w:rPr>
              <w:t>3月27-30日重点工作事项：销售折让；材料领用成本汇总；工会经费账务处理；捐赠业务；公允价值变动；</w:t>
            </w:r>
          </w:p>
          <w:p>
            <w:pPr>
              <w:spacing w:line="360" w:lineRule="auto"/>
              <w:ind w:left="420"/>
              <w:rPr>
                <w:rFonts w:ascii="宋体" w:hAnsi="宋体" w:cs="宋体"/>
                <w:sz w:val="21"/>
                <w:szCs w:val="21"/>
              </w:rPr>
            </w:pPr>
            <w:r>
              <w:rPr>
                <w:rFonts w:hint="eastAsia" w:ascii="宋体" w:hAnsi="宋体" w:cs="宋体"/>
                <w:sz w:val="21"/>
                <w:szCs w:val="21"/>
              </w:rPr>
              <w:t>3月31日重点工作事项：职工教育经费；房产税、土地使用税、工资、社保的计提；投资性房地产；成本差异率计算；成本差异结转；交互成本法的运用；制造费用结转；资产盘点及账务处理；月末一次加权平均法的运用；销售成本结转；资产盘点及账务处理；坏账准备计算与账务处理；应交增值税的计算；附加税、企业所得税计提；月末结账；</w:t>
            </w:r>
          </w:p>
          <w:p>
            <w:pPr>
              <w:spacing w:line="360" w:lineRule="auto"/>
              <w:ind w:left="420"/>
              <w:rPr>
                <w:rFonts w:ascii="宋体" w:hAnsi="宋体" w:cs="宋体"/>
                <w:sz w:val="21"/>
                <w:szCs w:val="21"/>
              </w:rPr>
            </w:pPr>
            <w:r>
              <w:rPr>
                <w:rFonts w:hint="eastAsia" w:ascii="宋体" w:hAnsi="宋体" w:cs="宋体"/>
                <w:sz w:val="21"/>
                <w:szCs w:val="21"/>
              </w:rPr>
              <w:t>4月1-6日重点工作事项：收到股利；在建工程；销售商品；提取备用金；</w:t>
            </w:r>
          </w:p>
          <w:p>
            <w:pPr>
              <w:spacing w:line="360" w:lineRule="auto"/>
              <w:ind w:left="420"/>
              <w:rPr>
                <w:rFonts w:ascii="宋体" w:hAnsi="宋体" w:cs="宋体"/>
                <w:sz w:val="21"/>
                <w:szCs w:val="21"/>
              </w:rPr>
            </w:pPr>
            <w:r>
              <w:rPr>
                <w:rFonts w:hint="eastAsia" w:ascii="宋体" w:hAnsi="宋体" w:cs="宋体"/>
                <w:sz w:val="21"/>
                <w:szCs w:val="21"/>
              </w:rPr>
              <w:t>完成4月7-15日重点工作事项：材料领用成本汇总；增值税申报；附加税、印花税、个人所得税、房产税申报填写；工会经费账务处理；企业所得税季度申报；材料领用成本汇总；</w:t>
            </w:r>
          </w:p>
          <w:p>
            <w:pPr>
              <w:spacing w:line="360" w:lineRule="auto"/>
              <w:ind w:left="420"/>
              <w:rPr>
                <w:rFonts w:ascii="宋体" w:hAnsi="宋体" w:cs="宋体"/>
                <w:sz w:val="21"/>
                <w:szCs w:val="21"/>
              </w:rPr>
            </w:pPr>
            <w:r>
              <w:rPr>
                <w:rFonts w:hint="eastAsia" w:ascii="宋体" w:hAnsi="宋体" w:cs="宋体"/>
                <w:sz w:val="21"/>
                <w:szCs w:val="21"/>
              </w:rPr>
              <w:t>4月16-30日重点工作事项；材料领用成本汇总；职工教育经费、工会经费账务处理；投资性房地产；工资、社保及公积金计提的账务处理；房产税、土地使用税计提；公允价值变动；成本差异率计算；交互分配法的运用；成本差异结转；制造费用结转；资产盘点及账务处理；约当产量法；完工产品成本计算；资产盘点及账务处理；月末一次加权平均法的运用；销售成本结转；坏账准备计算与账务处理；应交增值税的计算；附加税的计提；企业所得税计提；月末结账；</w:t>
            </w:r>
          </w:p>
          <w:p>
            <w:pPr>
              <w:spacing w:line="360" w:lineRule="auto"/>
              <w:ind w:left="420"/>
              <w:rPr>
                <w:rFonts w:ascii="宋体" w:hAnsi="宋体" w:cs="宋体"/>
                <w:sz w:val="21"/>
                <w:szCs w:val="21"/>
              </w:rPr>
            </w:pPr>
            <w:r>
              <w:rPr>
                <w:rFonts w:hint="eastAsia" w:ascii="宋体" w:hAnsi="宋体" w:cs="宋体"/>
                <w:sz w:val="21"/>
                <w:szCs w:val="21"/>
              </w:rPr>
              <w:t>5月2-8日重点工作事项：材料入库；采购材料；销售商品；</w:t>
            </w:r>
          </w:p>
          <w:p>
            <w:pPr>
              <w:spacing w:line="360" w:lineRule="auto"/>
              <w:ind w:left="420"/>
              <w:rPr>
                <w:rFonts w:ascii="宋体" w:hAnsi="宋体" w:cs="宋体"/>
                <w:sz w:val="21"/>
                <w:szCs w:val="21"/>
              </w:rPr>
            </w:pPr>
            <w:r>
              <w:rPr>
                <w:rFonts w:hint="eastAsia" w:ascii="宋体" w:hAnsi="宋体" w:cs="宋体"/>
                <w:sz w:val="21"/>
                <w:szCs w:val="21"/>
              </w:rPr>
              <w:t>5月9-15日重点工作事项；材料领用成本汇总；增值税、附加税、印花税申报；个人所得税、房产税申报填写；工会经费账务处理；材料领用成本汇总；非货币性投资；</w:t>
            </w:r>
          </w:p>
          <w:p>
            <w:pPr>
              <w:spacing w:line="360" w:lineRule="auto"/>
              <w:ind w:left="420"/>
              <w:rPr>
                <w:rFonts w:ascii="宋体" w:hAnsi="宋体" w:cs="宋体"/>
                <w:sz w:val="21"/>
                <w:szCs w:val="21"/>
              </w:rPr>
            </w:pPr>
            <w:r>
              <w:rPr>
                <w:rFonts w:hint="eastAsia" w:ascii="宋体" w:hAnsi="宋体" w:cs="宋体"/>
                <w:sz w:val="21"/>
                <w:szCs w:val="21"/>
              </w:rPr>
              <w:t>5月16-21日重点工作事项：在建工程、工会经费、发放工资的账务处理；材料领用成本汇总；</w:t>
            </w:r>
          </w:p>
          <w:p>
            <w:pPr>
              <w:spacing w:line="360" w:lineRule="auto"/>
              <w:ind w:left="420"/>
              <w:rPr>
                <w:rFonts w:ascii="宋体" w:hAnsi="宋体" w:cs="宋体"/>
                <w:sz w:val="21"/>
                <w:szCs w:val="21"/>
              </w:rPr>
            </w:pPr>
            <w:r>
              <w:rPr>
                <w:rFonts w:hint="eastAsia" w:ascii="宋体" w:hAnsi="宋体" w:cs="宋体"/>
                <w:sz w:val="21"/>
                <w:szCs w:val="21"/>
              </w:rPr>
              <w:t>5月22-25日重点工作事项：职工教育经费账务处理；在建工程；金融资产；</w:t>
            </w:r>
          </w:p>
          <w:p>
            <w:pPr>
              <w:spacing w:line="360" w:lineRule="auto"/>
              <w:ind w:left="420"/>
              <w:rPr>
                <w:rFonts w:ascii="宋体" w:hAnsi="宋体" w:cs="宋体"/>
                <w:sz w:val="21"/>
                <w:szCs w:val="21"/>
              </w:rPr>
            </w:pPr>
            <w:r>
              <w:rPr>
                <w:rFonts w:hint="eastAsia" w:ascii="宋体" w:hAnsi="宋体" w:cs="宋体"/>
                <w:sz w:val="21"/>
                <w:szCs w:val="21"/>
              </w:rPr>
              <w:t>5月26-29日重点工作事项：销售退货；职工教育经费账务处理；材料领用成本汇总</w:t>
            </w:r>
          </w:p>
          <w:p>
            <w:pPr>
              <w:spacing w:line="360" w:lineRule="auto"/>
              <w:ind w:left="420"/>
              <w:rPr>
                <w:rFonts w:ascii="宋体" w:hAnsi="宋体" w:cs="宋体"/>
                <w:sz w:val="21"/>
                <w:szCs w:val="21"/>
              </w:rPr>
            </w:pPr>
            <w:r>
              <w:rPr>
                <w:rFonts w:hint="eastAsia" w:ascii="宋体" w:hAnsi="宋体" w:cs="宋体"/>
                <w:sz w:val="21"/>
                <w:szCs w:val="21"/>
              </w:rPr>
              <w:t>5月30-31日重点工作事项：工会经费账务处理；捐赠业务；职工教育经费账务处理；投资性房地产；工资、社保及公积金、房产税、土地使用税计提；成本差异率计算；成本差异结转；交互分配法的运用；制造费用结转；资产盘点及账务处理；约当产量法的运用；完工产品成本计算；资产盘点及账务处理；月末一次加权平均法的运用；销售成本结转；坏账准备计算与账务处理；应交增值税的计算；附加税的计提；企业所得税计提；月末结账；</w:t>
            </w:r>
          </w:p>
          <w:p>
            <w:pPr>
              <w:spacing w:line="360" w:lineRule="auto"/>
              <w:ind w:left="420"/>
              <w:rPr>
                <w:rFonts w:ascii="宋体" w:hAnsi="宋体" w:cs="宋体"/>
                <w:sz w:val="21"/>
                <w:szCs w:val="21"/>
              </w:rPr>
            </w:pPr>
            <w:r>
              <w:rPr>
                <w:rFonts w:hint="eastAsia" w:ascii="宋体" w:hAnsi="宋体" w:cs="宋体"/>
                <w:sz w:val="21"/>
                <w:szCs w:val="21"/>
              </w:rPr>
              <w:t>6月1-8日重点工作事项：销售商品；材料入库；废品损失；提取备用金；</w:t>
            </w:r>
          </w:p>
          <w:p>
            <w:pPr>
              <w:spacing w:line="360" w:lineRule="auto"/>
              <w:ind w:left="420"/>
              <w:rPr>
                <w:rFonts w:ascii="宋体" w:hAnsi="宋体" w:cs="宋体"/>
                <w:sz w:val="21"/>
                <w:szCs w:val="21"/>
              </w:rPr>
            </w:pPr>
            <w:r>
              <w:rPr>
                <w:rFonts w:hint="eastAsia" w:ascii="宋体" w:hAnsi="宋体" w:cs="宋体"/>
                <w:sz w:val="21"/>
                <w:szCs w:val="21"/>
              </w:rPr>
              <w:t>6月9-12日重点工作事项：票据贴现；材料领用成本汇总；印花税、个税、房产税、增值税、附加税申报填写；工会经费账务处理；</w:t>
            </w:r>
          </w:p>
          <w:p>
            <w:pPr>
              <w:spacing w:line="360" w:lineRule="auto"/>
              <w:ind w:left="420"/>
              <w:rPr>
                <w:rFonts w:ascii="宋体" w:hAnsi="宋体" w:cs="宋体"/>
                <w:sz w:val="21"/>
                <w:szCs w:val="21"/>
              </w:rPr>
            </w:pPr>
            <w:r>
              <w:rPr>
                <w:rFonts w:hint="eastAsia" w:ascii="宋体" w:hAnsi="宋体" w:cs="宋体"/>
                <w:sz w:val="21"/>
                <w:szCs w:val="21"/>
              </w:rPr>
              <w:t>6月13-17日重点工作事项：销售退货；在建工程；材料领用成本汇总</w:t>
            </w:r>
          </w:p>
          <w:p>
            <w:pPr>
              <w:spacing w:line="360" w:lineRule="auto"/>
              <w:ind w:left="420"/>
              <w:rPr>
                <w:rFonts w:ascii="宋体" w:hAnsi="宋体" w:cs="宋体"/>
                <w:sz w:val="21"/>
                <w:szCs w:val="21"/>
              </w:rPr>
            </w:pPr>
            <w:r>
              <w:rPr>
                <w:rFonts w:hint="eastAsia" w:ascii="宋体" w:hAnsi="宋体" w:cs="宋体"/>
                <w:sz w:val="21"/>
                <w:szCs w:val="21"/>
              </w:rPr>
              <w:t>6月18-21日重点工作事项：金融资产、发放工资的账务处理；材料领用成本汇总</w:t>
            </w:r>
          </w:p>
          <w:p>
            <w:pPr>
              <w:spacing w:line="360" w:lineRule="auto"/>
              <w:ind w:left="420"/>
              <w:rPr>
                <w:rFonts w:ascii="宋体" w:hAnsi="宋体" w:cs="宋体"/>
                <w:sz w:val="21"/>
                <w:szCs w:val="21"/>
              </w:rPr>
            </w:pPr>
            <w:r>
              <w:rPr>
                <w:rFonts w:hint="eastAsia" w:ascii="宋体" w:hAnsi="宋体" w:cs="宋体"/>
                <w:sz w:val="21"/>
                <w:szCs w:val="21"/>
              </w:rPr>
              <w:t>6月22-25日重点工作事项：在建工程；职工教育经费账务处理；工会经费账务处理；票据到期；投资性房地产；</w:t>
            </w:r>
          </w:p>
          <w:p>
            <w:pPr>
              <w:spacing w:line="360" w:lineRule="auto"/>
              <w:ind w:left="420"/>
              <w:rPr>
                <w:rFonts w:ascii="宋体" w:hAnsi="宋体" w:cs="宋体"/>
                <w:sz w:val="21"/>
                <w:szCs w:val="21"/>
              </w:rPr>
            </w:pPr>
            <w:r>
              <w:rPr>
                <w:rFonts w:hint="eastAsia" w:ascii="宋体" w:hAnsi="宋体" w:cs="宋体"/>
                <w:sz w:val="21"/>
                <w:szCs w:val="21"/>
              </w:rPr>
              <w:t>6月26-30日重点工作事项；销售折让；材料领用汇总；销售折让；发行债券；职工教育经费；工会经费账务处理；房产税、土地使用税计提；捐赠业务；公允价值变动；工资、社保及公积金计提的账务处理；成本差异率计算；成本差异结转；交互分配法的运用；制造费用结转；资产盘点及账务处理；约当产量法的运用；完工产品成本计算；资产盘点及账务处理；月末一次加权平均法的运用；销售成本结转；资产盘点及账务处理；应交增值税的计算；附加税的计算；企业所得税计算；月末结账；</w:t>
            </w:r>
          </w:p>
          <w:p>
            <w:pPr>
              <w:spacing w:line="360" w:lineRule="auto"/>
              <w:ind w:left="420"/>
              <w:rPr>
                <w:rFonts w:ascii="宋体" w:hAnsi="宋体" w:cs="宋体"/>
                <w:sz w:val="21"/>
                <w:szCs w:val="21"/>
              </w:rPr>
            </w:pPr>
            <w:r>
              <w:rPr>
                <w:rFonts w:hint="eastAsia" w:ascii="宋体" w:hAnsi="宋体" w:cs="宋体"/>
                <w:sz w:val="21"/>
                <w:szCs w:val="21"/>
              </w:rPr>
              <w:t>7月1-6日重点工作事项：票据到期付款；债券；金融资产；在建工程</w:t>
            </w:r>
          </w:p>
          <w:p>
            <w:pPr>
              <w:spacing w:line="360" w:lineRule="auto"/>
              <w:ind w:left="420"/>
              <w:rPr>
                <w:rFonts w:ascii="宋体" w:hAnsi="宋体" w:cs="宋体"/>
                <w:sz w:val="21"/>
                <w:szCs w:val="21"/>
              </w:rPr>
            </w:pPr>
            <w:r>
              <w:rPr>
                <w:rFonts w:hint="eastAsia" w:ascii="宋体" w:hAnsi="宋体" w:cs="宋体"/>
                <w:sz w:val="21"/>
                <w:szCs w:val="21"/>
              </w:rPr>
              <w:t>7月7-12日重点工作事项：材料领用成本汇总；材料入库：增值税、附加税、印花税、个税、房产税、土地使用税申报填写；工会经费账务处理；企业所得税季度申报；</w:t>
            </w:r>
          </w:p>
          <w:p>
            <w:pPr>
              <w:spacing w:line="360" w:lineRule="auto"/>
              <w:ind w:left="420"/>
              <w:rPr>
                <w:rFonts w:ascii="宋体" w:hAnsi="宋体" w:cs="宋体"/>
                <w:sz w:val="21"/>
                <w:szCs w:val="21"/>
              </w:rPr>
            </w:pPr>
            <w:r>
              <w:rPr>
                <w:rFonts w:hint="eastAsia" w:ascii="宋体" w:hAnsi="宋体" w:cs="宋体"/>
                <w:sz w:val="21"/>
                <w:szCs w:val="21"/>
              </w:rPr>
              <w:t>7月13-17日重点工作事项：材料领用成本汇总；职工教育经费账务处理；政府补助；</w:t>
            </w:r>
          </w:p>
          <w:p>
            <w:pPr>
              <w:spacing w:line="360" w:lineRule="auto"/>
              <w:ind w:left="420"/>
              <w:rPr>
                <w:rFonts w:ascii="宋体" w:hAnsi="宋体" w:cs="宋体"/>
                <w:sz w:val="21"/>
                <w:szCs w:val="21"/>
              </w:rPr>
            </w:pPr>
            <w:r>
              <w:rPr>
                <w:rFonts w:hint="eastAsia" w:ascii="宋体" w:hAnsi="宋体" w:cs="宋体"/>
                <w:sz w:val="21"/>
                <w:szCs w:val="21"/>
              </w:rPr>
              <w:t>7月18-23日重点工作事项：发放工资的账务处理；材料领用成本汇总；债务重组；工会经费账务处理；</w:t>
            </w:r>
          </w:p>
          <w:p>
            <w:pPr>
              <w:spacing w:line="360" w:lineRule="auto"/>
              <w:ind w:left="420"/>
              <w:rPr>
                <w:rFonts w:ascii="宋体" w:hAnsi="宋体" w:cs="宋体"/>
                <w:sz w:val="21"/>
                <w:szCs w:val="21"/>
              </w:rPr>
            </w:pPr>
            <w:r>
              <w:rPr>
                <w:rFonts w:hint="eastAsia" w:ascii="宋体" w:hAnsi="宋体" w:cs="宋体"/>
                <w:sz w:val="21"/>
                <w:szCs w:val="21"/>
              </w:rPr>
              <w:t>7月24-29日重点工作事项：销售退货；材料领用成本汇总；</w:t>
            </w:r>
          </w:p>
          <w:p>
            <w:pPr>
              <w:spacing w:line="360" w:lineRule="auto"/>
              <w:ind w:left="420"/>
              <w:rPr>
                <w:rFonts w:ascii="宋体" w:hAnsi="宋体" w:cs="宋体"/>
                <w:sz w:val="21"/>
                <w:szCs w:val="21"/>
              </w:rPr>
            </w:pPr>
            <w:r>
              <w:rPr>
                <w:rFonts w:hint="eastAsia" w:ascii="宋体" w:hAnsi="宋体" w:cs="宋体"/>
                <w:sz w:val="21"/>
                <w:szCs w:val="21"/>
              </w:rPr>
              <w:t>7月30-31日重点工作事项：工会经费账务处理；材料领用成本汇总；职工教育经费账务处理；房产税计提；土地使用税计提；公允价值变动；资产盘点及账务处理；工资、社保及公积金计提的账务处理；成本差异率计算；成本差异结转；交互分配法的运用；制造费用结转；约当产量法的运用；完工产品成本计算；月末一次加权平均法的运用；销售成本结转；资产盘点及账务处理；坏账准备计算与账务处理；应交增值税的计算；附加税的计提；所得税计提；月末结账；</w:t>
            </w:r>
          </w:p>
          <w:p>
            <w:pPr>
              <w:spacing w:line="360" w:lineRule="auto"/>
              <w:ind w:left="420"/>
              <w:rPr>
                <w:rFonts w:ascii="宋体" w:hAnsi="宋体" w:cs="宋体"/>
                <w:sz w:val="21"/>
                <w:szCs w:val="21"/>
              </w:rPr>
            </w:pPr>
            <w:r>
              <w:rPr>
                <w:rFonts w:hint="eastAsia" w:ascii="宋体" w:hAnsi="宋体" w:cs="宋体"/>
                <w:sz w:val="21"/>
                <w:szCs w:val="21"/>
              </w:rPr>
              <w:t>8月1-8日重点工作事项：材料入库；采购材料；销售商品；</w:t>
            </w:r>
          </w:p>
          <w:p>
            <w:pPr>
              <w:spacing w:line="360" w:lineRule="auto"/>
              <w:ind w:left="420"/>
              <w:rPr>
                <w:rFonts w:ascii="宋体" w:hAnsi="宋体" w:cs="宋体"/>
                <w:sz w:val="21"/>
                <w:szCs w:val="21"/>
              </w:rPr>
            </w:pPr>
            <w:r>
              <w:rPr>
                <w:rFonts w:hint="eastAsia" w:ascii="宋体" w:hAnsi="宋体" w:cs="宋体"/>
                <w:sz w:val="21"/>
                <w:szCs w:val="21"/>
              </w:rPr>
              <w:t>8月9-15日重点工作事项：材料领用成本汇总；长期股权投资；增值税、附加税、印花税申报填写；个人所得税、房产税申报填写；工会经费账务处理；材料领用成本汇总；</w:t>
            </w:r>
          </w:p>
          <w:p>
            <w:pPr>
              <w:spacing w:line="360" w:lineRule="auto"/>
              <w:ind w:left="420"/>
              <w:rPr>
                <w:rFonts w:ascii="宋体" w:hAnsi="宋体" w:cs="宋体"/>
                <w:sz w:val="21"/>
                <w:szCs w:val="21"/>
              </w:rPr>
            </w:pPr>
            <w:r>
              <w:rPr>
                <w:rFonts w:hint="eastAsia" w:ascii="宋体" w:hAnsi="宋体" w:cs="宋体"/>
                <w:sz w:val="21"/>
                <w:szCs w:val="21"/>
              </w:rPr>
              <w:t>8月16-24日重点工作事项：票据到期收款；发放工资的账务处理；材料领用成本汇总；工会经费、职工教育经费、票据贴现的账务处理；</w:t>
            </w:r>
          </w:p>
          <w:p>
            <w:pPr>
              <w:spacing w:line="360" w:lineRule="auto"/>
              <w:ind w:left="420"/>
              <w:rPr>
                <w:rFonts w:ascii="宋体" w:hAnsi="宋体" w:cs="宋体"/>
                <w:sz w:val="21"/>
                <w:szCs w:val="21"/>
              </w:rPr>
            </w:pPr>
            <w:r>
              <w:rPr>
                <w:rFonts w:hint="eastAsia" w:ascii="宋体" w:hAnsi="宋体" w:cs="宋体"/>
                <w:sz w:val="21"/>
                <w:szCs w:val="21"/>
              </w:rPr>
              <w:t>8月25-28日重点工作事项：销售退货；材料领用成本汇总；</w:t>
            </w:r>
          </w:p>
          <w:p>
            <w:pPr>
              <w:spacing w:line="360" w:lineRule="auto"/>
              <w:ind w:left="420"/>
              <w:rPr>
                <w:rFonts w:ascii="宋体" w:hAnsi="宋体" w:cs="宋体"/>
                <w:sz w:val="21"/>
                <w:szCs w:val="21"/>
              </w:rPr>
            </w:pPr>
            <w:r>
              <w:rPr>
                <w:rFonts w:hint="eastAsia" w:ascii="宋体" w:hAnsi="宋体" w:cs="宋体"/>
                <w:sz w:val="21"/>
                <w:szCs w:val="21"/>
              </w:rPr>
              <w:t>8月29-31日工作事项：工会经费账务处理；捐赠业务、材料领用成本汇总；公允价值变动；房产税计提；土地使用税计提；职工教育经费账务处理；政府补助；工资、社保及公积金计提的账务处理；公允价值变动；成本差异率计算；成本差异结转；交互分配法的运用；制造费用结转；约当产量法的运用、完工产品成本计算；资产盘点及账务处理；月末一次加权平均法的运用；销售成本结转；资产盘点及账务处理；应交增值税的计算；附加税、企业所得税计算；月末结账；</w:t>
            </w:r>
          </w:p>
          <w:p>
            <w:pPr>
              <w:spacing w:line="360" w:lineRule="auto"/>
              <w:ind w:left="420"/>
              <w:rPr>
                <w:rFonts w:ascii="宋体" w:hAnsi="宋体" w:cs="宋体"/>
                <w:sz w:val="21"/>
                <w:szCs w:val="21"/>
              </w:rPr>
            </w:pPr>
            <w:r>
              <w:rPr>
                <w:rFonts w:hint="eastAsia" w:ascii="宋体" w:hAnsi="宋体" w:cs="宋体"/>
                <w:sz w:val="21"/>
                <w:szCs w:val="21"/>
              </w:rPr>
              <w:t>9月1-7日重点工作事项：材料入库；采购材料；销售商品；</w:t>
            </w:r>
          </w:p>
          <w:p>
            <w:pPr>
              <w:spacing w:line="360" w:lineRule="auto"/>
              <w:ind w:left="420"/>
              <w:rPr>
                <w:rFonts w:ascii="宋体" w:hAnsi="宋体" w:cs="宋体"/>
                <w:sz w:val="21"/>
                <w:szCs w:val="21"/>
              </w:rPr>
            </w:pPr>
            <w:r>
              <w:rPr>
                <w:rFonts w:hint="eastAsia" w:ascii="宋体" w:hAnsi="宋体" w:cs="宋体"/>
                <w:sz w:val="21"/>
                <w:szCs w:val="21"/>
              </w:rPr>
              <w:t>9月8-18日重点工作事项：增值税申报填写；签发票据；材料领用成本汇总；附加税、印花税、个税、房产税申报填写；工会经费账务处理；非货币性福利；材料领用成本汇总；职工教育经费账务处理；金融资产；发放工资的账务处理；</w:t>
            </w:r>
          </w:p>
          <w:p>
            <w:pPr>
              <w:spacing w:line="360" w:lineRule="auto"/>
              <w:ind w:left="420"/>
              <w:rPr>
                <w:rFonts w:ascii="宋体" w:hAnsi="宋体" w:cs="宋体"/>
                <w:sz w:val="21"/>
                <w:szCs w:val="21"/>
              </w:rPr>
            </w:pPr>
            <w:r>
              <w:rPr>
                <w:rFonts w:hint="eastAsia" w:ascii="宋体" w:hAnsi="宋体" w:cs="宋体"/>
                <w:sz w:val="21"/>
                <w:szCs w:val="21"/>
              </w:rPr>
              <w:t>9月19-23日重点工作事项：材料领用成本汇总；工会经费账务处理；</w:t>
            </w:r>
          </w:p>
          <w:p>
            <w:pPr>
              <w:spacing w:line="360" w:lineRule="auto"/>
              <w:ind w:left="420"/>
              <w:rPr>
                <w:rFonts w:ascii="宋体" w:hAnsi="宋体" w:cs="宋体"/>
                <w:sz w:val="21"/>
                <w:szCs w:val="21"/>
              </w:rPr>
            </w:pPr>
            <w:r>
              <w:rPr>
                <w:rFonts w:hint="eastAsia" w:ascii="宋体" w:hAnsi="宋体" w:cs="宋体"/>
                <w:sz w:val="21"/>
                <w:szCs w:val="21"/>
              </w:rPr>
              <w:t>9月24-28日重点工作事项：销售退货；股权变动；材料领用成本汇总；</w:t>
            </w:r>
          </w:p>
          <w:p>
            <w:pPr>
              <w:spacing w:line="360" w:lineRule="auto"/>
              <w:ind w:left="420"/>
              <w:rPr>
                <w:rFonts w:ascii="宋体" w:hAnsi="宋体" w:cs="宋体"/>
                <w:sz w:val="21"/>
                <w:szCs w:val="21"/>
              </w:rPr>
            </w:pPr>
            <w:r>
              <w:rPr>
                <w:rFonts w:hint="eastAsia" w:ascii="宋体" w:hAnsi="宋体" w:cs="宋体"/>
                <w:sz w:val="21"/>
                <w:szCs w:val="21"/>
              </w:rPr>
              <w:t>9月29-30日工作事项：材料领用成本汇总；职工教育经费、工会经费的账务处理；投资性房；地产工资、社保及公积金计提的账务处理；公允价值变动；政府补助；房产税计提；土地税用税计提；公允价值变动；非货币性福利；成本差异率计算；成本差异结转；交互分配法的运用；制造费用结转；资产盘点及账务处理；月末一次加权平均法的运用；销售成本结转；资产盘点及账务处理；应交增值税的计算；附加税的计算；企业所得税计算；月末结账；</w:t>
            </w:r>
          </w:p>
          <w:p>
            <w:pPr>
              <w:spacing w:line="360" w:lineRule="auto"/>
              <w:ind w:left="420"/>
              <w:rPr>
                <w:rFonts w:ascii="宋体" w:hAnsi="宋体" w:cs="宋体"/>
                <w:sz w:val="21"/>
                <w:szCs w:val="21"/>
              </w:rPr>
            </w:pPr>
            <w:r>
              <w:rPr>
                <w:rFonts w:hint="eastAsia" w:ascii="宋体" w:hAnsi="宋体" w:cs="宋体"/>
                <w:sz w:val="21"/>
                <w:szCs w:val="21"/>
              </w:rPr>
              <w:t>10月3-7日重点工作事项：收欠款、支付欠款；采购材料；销售商品；材料入库；</w:t>
            </w:r>
          </w:p>
          <w:p>
            <w:pPr>
              <w:spacing w:line="360" w:lineRule="auto"/>
              <w:ind w:left="420"/>
              <w:rPr>
                <w:rFonts w:ascii="宋体" w:hAnsi="宋体" w:cs="宋体"/>
                <w:sz w:val="21"/>
                <w:szCs w:val="21"/>
              </w:rPr>
            </w:pPr>
            <w:r>
              <w:rPr>
                <w:rFonts w:hint="eastAsia" w:ascii="宋体" w:hAnsi="宋体" w:cs="宋体"/>
                <w:sz w:val="21"/>
                <w:szCs w:val="21"/>
              </w:rPr>
              <w:t>10月8-19日重点工作事项：材料领用成本汇总；增值税申报填写；附加税、印花税、个税、房产税申报填写；工会经费账务处理；企业所得税季度申报；材料领用成本汇总；发放工资的账务处理；</w:t>
            </w:r>
          </w:p>
          <w:p>
            <w:pPr>
              <w:spacing w:line="360" w:lineRule="auto"/>
              <w:ind w:left="420"/>
              <w:rPr>
                <w:rFonts w:ascii="宋体" w:hAnsi="宋体" w:cs="宋体"/>
                <w:sz w:val="21"/>
                <w:szCs w:val="21"/>
              </w:rPr>
            </w:pPr>
            <w:r>
              <w:rPr>
                <w:rFonts w:hint="eastAsia" w:ascii="宋体" w:hAnsi="宋体" w:cs="宋体"/>
                <w:sz w:val="21"/>
                <w:szCs w:val="21"/>
              </w:rPr>
              <w:t>10月20-25日重点工作事项：材料领用成本汇总；工会经费账务处理；票据背书；职工教育经费账务处理；</w:t>
            </w:r>
          </w:p>
          <w:p>
            <w:pPr>
              <w:spacing w:line="360" w:lineRule="auto"/>
              <w:ind w:left="420"/>
              <w:rPr>
                <w:rFonts w:ascii="宋体" w:hAnsi="宋体" w:cs="宋体"/>
                <w:sz w:val="21"/>
                <w:szCs w:val="21"/>
              </w:rPr>
            </w:pPr>
            <w:r>
              <w:rPr>
                <w:rFonts w:hint="eastAsia" w:ascii="宋体" w:hAnsi="宋体" w:cs="宋体"/>
                <w:sz w:val="21"/>
                <w:szCs w:val="21"/>
              </w:rPr>
              <w:t>10月26-30日重点工作事项：其他货币资金；销售折让；材料领用成本汇总；职工教育经费账务处理；工会经费账务处理；公允价值变动；材料领用成本汇总；政府补助、工资、社保、公积金的计提及账务处理；房产税计提、土地使用税计提；成本差异率计算；成本差异结转；交互分配法的运用；制造费用结转；资产盘点及账务处理；约当产量法的运用；完工产品成本计算；资产盘点及账务处理；月末一次加权平均法的运用；销售成本结转；资产盘点及账务处理；应交增值税的计算；附加税的计算；企业所得税计算；月末结账；</w:t>
            </w:r>
          </w:p>
          <w:p>
            <w:pPr>
              <w:spacing w:line="360" w:lineRule="auto"/>
              <w:ind w:left="420"/>
              <w:rPr>
                <w:rFonts w:ascii="宋体" w:hAnsi="宋体" w:cs="宋体"/>
                <w:sz w:val="21"/>
                <w:szCs w:val="21"/>
              </w:rPr>
            </w:pPr>
            <w:r>
              <w:rPr>
                <w:rFonts w:hint="eastAsia" w:ascii="宋体" w:hAnsi="宋体" w:cs="宋体"/>
                <w:sz w:val="21"/>
                <w:szCs w:val="21"/>
              </w:rPr>
              <w:t>11月1-5日重点工作事项：债券；坏账准备计算与账务处理；完成11月5日4-5笔工作事项；材料领用成本汇总；材料入库；采购材料；</w:t>
            </w:r>
          </w:p>
          <w:p>
            <w:pPr>
              <w:spacing w:line="360" w:lineRule="auto"/>
              <w:ind w:left="420"/>
              <w:rPr>
                <w:rFonts w:ascii="宋体" w:hAnsi="宋体" w:cs="宋体"/>
                <w:sz w:val="21"/>
                <w:szCs w:val="21"/>
              </w:rPr>
            </w:pPr>
            <w:r>
              <w:rPr>
                <w:rFonts w:hint="eastAsia" w:ascii="宋体" w:hAnsi="宋体" w:cs="宋体"/>
                <w:sz w:val="21"/>
                <w:szCs w:val="21"/>
              </w:rPr>
              <w:t>11月12-13日重点工作事项：增值税、印花税、附加税、个税、房产税申报填写；工会经费账务处理；</w:t>
            </w:r>
          </w:p>
          <w:p>
            <w:pPr>
              <w:spacing w:line="360" w:lineRule="auto"/>
              <w:ind w:left="420"/>
              <w:rPr>
                <w:rFonts w:ascii="宋体" w:hAnsi="宋体" w:cs="宋体"/>
                <w:sz w:val="21"/>
                <w:szCs w:val="21"/>
              </w:rPr>
            </w:pPr>
            <w:r>
              <w:rPr>
                <w:rFonts w:hint="eastAsia" w:ascii="宋体" w:hAnsi="宋体" w:cs="宋体"/>
                <w:sz w:val="21"/>
                <w:szCs w:val="21"/>
              </w:rPr>
              <w:t>11月14-18日重点工作事项：材料领用成本汇总；投资性房地产；职工教育经费账务处理；发放工资的账务处理；</w:t>
            </w:r>
          </w:p>
          <w:p>
            <w:pPr>
              <w:spacing w:line="360" w:lineRule="auto"/>
              <w:ind w:left="420"/>
              <w:rPr>
                <w:rFonts w:ascii="宋体" w:hAnsi="宋体" w:cs="宋体"/>
                <w:sz w:val="21"/>
                <w:szCs w:val="21"/>
              </w:rPr>
            </w:pPr>
            <w:r>
              <w:rPr>
                <w:rFonts w:hint="eastAsia" w:ascii="宋体" w:hAnsi="宋体" w:cs="宋体"/>
                <w:sz w:val="21"/>
                <w:szCs w:val="21"/>
              </w:rPr>
              <w:t>11月19-25日重点工作事项：材料领用成本汇总；票据贴现；票据到期付款；</w:t>
            </w:r>
          </w:p>
          <w:p>
            <w:pPr>
              <w:spacing w:line="360" w:lineRule="auto"/>
              <w:ind w:left="420"/>
              <w:rPr>
                <w:rFonts w:ascii="宋体" w:hAnsi="宋体" w:cs="宋体"/>
                <w:sz w:val="21"/>
                <w:szCs w:val="21"/>
              </w:rPr>
            </w:pPr>
            <w:r>
              <w:rPr>
                <w:rFonts w:hint="eastAsia" w:ascii="宋体" w:hAnsi="宋体" w:cs="宋体"/>
                <w:sz w:val="21"/>
                <w:szCs w:val="21"/>
              </w:rPr>
              <w:t>11月26-29日重点工作事项：销售退货；材料领用成本汇总；职工教育经费账务处理；捐赠业务；</w:t>
            </w:r>
          </w:p>
          <w:p>
            <w:pPr>
              <w:spacing w:line="360" w:lineRule="auto"/>
              <w:ind w:left="420"/>
              <w:rPr>
                <w:rFonts w:ascii="宋体" w:hAnsi="宋体" w:cs="宋体"/>
                <w:sz w:val="21"/>
                <w:szCs w:val="21"/>
              </w:rPr>
            </w:pPr>
            <w:r>
              <w:rPr>
                <w:rFonts w:hint="eastAsia" w:ascii="宋体" w:hAnsi="宋体" w:cs="宋体"/>
                <w:sz w:val="21"/>
                <w:szCs w:val="21"/>
              </w:rPr>
              <w:t>1月30日重点工作事项：工会经费账务处理；债券减值准备；工资、社保及公积金计提的账务处理；政府补助；房产税、土地使用税计提；公允价值变动；成本差异率计算；成本差异结转；交互分配法的运用；制造费用结转；约当产量法的运用；完工产品成本计算；月末一次加权平均法的运用；销售成本结转；资产盘点及账务处理；坏账准备计算与账务处理；应交增值税的计算；附加税、企业所得税计提；月末结账；</w:t>
            </w:r>
          </w:p>
          <w:p>
            <w:pPr>
              <w:spacing w:line="360" w:lineRule="auto"/>
              <w:ind w:left="420"/>
              <w:rPr>
                <w:rFonts w:ascii="宋体" w:hAnsi="宋体" w:cs="宋体"/>
                <w:sz w:val="21"/>
                <w:szCs w:val="21"/>
              </w:rPr>
            </w:pPr>
            <w:r>
              <w:rPr>
                <w:rFonts w:hint="eastAsia" w:ascii="宋体" w:hAnsi="宋体" w:cs="宋体"/>
                <w:sz w:val="21"/>
                <w:szCs w:val="21"/>
              </w:rPr>
              <w:t>12月3-10日重点工作事项：材料领用成本汇总；材料入库；采购材料；</w:t>
            </w:r>
          </w:p>
          <w:p>
            <w:pPr>
              <w:spacing w:line="360" w:lineRule="auto"/>
              <w:ind w:left="420"/>
              <w:rPr>
                <w:rFonts w:ascii="宋体" w:hAnsi="宋体" w:cs="宋体"/>
                <w:sz w:val="21"/>
                <w:szCs w:val="21"/>
              </w:rPr>
            </w:pPr>
            <w:r>
              <w:rPr>
                <w:rFonts w:hint="eastAsia" w:ascii="宋体" w:hAnsi="宋体" w:cs="宋体"/>
                <w:sz w:val="21"/>
                <w:szCs w:val="21"/>
              </w:rPr>
              <w:t>12月11-12日重点工作事项：增值税、附加税、印花税、个税、房产税申报；</w:t>
            </w:r>
          </w:p>
          <w:p>
            <w:pPr>
              <w:spacing w:line="360" w:lineRule="auto"/>
              <w:ind w:left="420"/>
              <w:rPr>
                <w:rFonts w:ascii="宋体" w:hAnsi="宋体" w:cs="宋体"/>
                <w:sz w:val="21"/>
                <w:szCs w:val="21"/>
              </w:rPr>
            </w:pPr>
            <w:r>
              <w:rPr>
                <w:rFonts w:hint="eastAsia" w:ascii="宋体" w:hAnsi="宋体" w:cs="宋体"/>
                <w:sz w:val="21"/>
                <w:szCs w:val="21"/>
              </w:rPr>
              <w:t>12月13-16日重点工作事项：工会经费账务处理；材料领用成本汇总；职工教育经费账务处理；</w:t>
            </w:r>
          </w:p>
          <w:p>
            <w:pPr>
              <w:spacing w:line="360" w:lineRule="auto"/>
              <w:ind w:left="420"/>
              <w:rPr>
                <w:rFonts w:ascii="宋体" w:hAnsi="宋体" w:cs="宋体"/>
                <w:sz w:val="21"/>
                <w:szCs w:val="21"/>
              </w:rPr>
            </w:pPr>
            <w:r>
              <w:rPr>
                <w:rFonts w:hint="eastAsia" w:ascii="宋体" w:hAnsi="宋体" w:cs="宋体"/>
                <w:sz w:val="21"/>
                <w:szCs w:val="21"/>
              </w:rPr>
              <w:t>12月17-22日重点工作事项：发放工资的账务处理；材料领用成本汇总；</w:t>
            </w:r>
          </w:p>
          <w:p>
            <w:pPr>
              <w:spacing w:line="360" w:lineRule="auto"/>
              <w:ind w:left="420"/>
              <w:rPr>
                <w:rFonts w:ascii="宋体" w:hAnsi="宋体" w:cs="宋体"/>
                <w:sz w:val="21"/>
                <w:szCs w:val="21"/>
              </w:rPr>
            </w:pPr>
            <w:r>
              <w:rPr>
                <w:rFonts w:hint="eastAsia" w:ascii="宋体" w:hAnsi="宋体" w:cs="宋体"/>
                <w:sz w:val="21"/>
                <w:szCs w:val="21"/>
              </w:rPr>
              <w:t>12月23-26日重点工作事项：销售退货；非货币性福利；固定资产清理</w:t>
            </w:r>
          </w:p>
          <w:p>
            <w:pPr>
              <w:spacing w:line="360" w:lineRule="auto"/>
              <w:rPr>
                <w:b/>
                <w:bCs/>
                <w:sz w:val="21"/>
                <w:szCs w:val="21"/>
              </w:rPr>
            </w:pPr>
            <w:r>
              <w:rPr>
                <w:rFonts w:hint="eastAsia"/>
                <w:b/>
                <w:bCs/>
                <w:sz w:val="21"/>
                <w:szCs w:val="21"/>
              </w:rPr>
              <w:t>（三）在线实习参数</w:t>
            </w:r>
            <w:r>
              <w:rPr>
                <w:rFonts w:hint="eastAsia" w:ascii="宋体" w:hAnsi="宋体" w:cs="仿宋"/>
                <w:bCs/>
                <w:sz w:val="21"/>
                <w:szCs w:val="21"/>
              </w:rPr>
              <w:t>（</w:t>
            </w:r>
            <w:r>
              <w:rPr>
                <w:rFonts w:ascii="宋体" w:hAnsi="宋体" w:cs="仿宋"/>
                <w:bCs/>
                <w:sz w:val="21"/>
                <w:szCs w:val="21"/>
              </w:rPr>
              <w:t>配套</w:t>
            </w:r>
            <w:r>
              <w:rPr>
                <w:rFonts w:hint="eastAsia" w:ascii="宋体" w:hAnsi="宋体" w:cs="仿宋"/>
                <w:bCs/>
                <w:sz w:val="21"/>
                <w:szCs w:val="21"/>
              </w:rPr>
              <w:t>60个为期6个月</w:t>
            </w:r>
            <w:r>
              <w:rPr>
                <w:rFonts w:ascii="宋体" w:hAnsi="宋体" w:cs="仿宋"/>
                <w:bCs/>
                <w:sz w:val="21"/>
                <w:szCs w:val="21"/>
              </w:rPr>
              <w:t>在线实习</w:t>
            </w:r>
            <w:r>
              <w:rPr>
                <w:rFonts w:hint="eastAsia" w:ascii="宋体" w:hAnsi="宋体" w:cs="仿宋"/>
                <w:bCs/>
                <w:sz w:val="21"/>
                <w:szCs w:val="21"/>
              </w:rPr>
              <w:t>账号）</w:t>
            </w:r>
          </w:p>
          <w:p>
            <w:pPr>
              <w:numPr>
                <w:ilvl w:val="0"/>
                <w:numId w:val="8"/>
              </w:numPr>
              <w:spacing w:line="360" w:lineRule="auto"/>
              <w:jc w:val="left"/>
              <w:rPr>
                <w:rFonts w:ascii="宋体" w:hAnsi="宋体" w:cs="仿宋"/>
                <w:b/>
                <w:sz w:val="21"/>
                <w:szCs w:val="21"/>
              </w:rPr>
            </w:pPr>
            <w:r>
              <w:rPr>
                <w:rFonts w:hint="eastAsia" w:ascii="宋体" w:hAnsi="宋体" w:cs="仿宋"/>
                <w:b/>
                <w:sz w:val="21"/>
                <w:szCs w:val="21"/>
              </w:rPr>
              <w:t>在线云学堂：</w:t>
            </w:r>
          </w:p>
          <w:p>
            <w:pPr>
              <w:spacing w:line="360" w:lineRule="auto"/>
              <w:ind w:left="360"/>
              <w:rPr>
                <w:rFonts w:ascii="宋体" w:hAnsi="宋体" w:cs="仿宋"/>
                <w:bCs/>
                <w:sz w:val="21"/>
                <w:szCs w:val="21"/>
              </w:rPr>
            </w:pPr>
            <w:r>
              <w:rPr>
                <w:rFonts w:hint="eastAsia" w:ascii="宋体" w:hAnsi="宋体" w:cs="仿宋"/>
                <w:bCs/>
                <w:sz w:val="21"/>
                <w:szCs w:val="21"/>
              </w:rPr>
              <w:t>提供工业企业会计（1个月业务）模拟实操系统，包括信息中心系统、业务协同系统、出纳账系统、仓储系统、网上银行系统、会计信息化系统、保险柜系统、增值税防伪税控开票系统、网上税务局系统（网上办税模块、网上认证模块）、自然人税收管理系统、网上认证系统、财务分析系统、计算机审计系统、帮助系统、评价系统十四个模块。系统配套30个课时真人讲师出境讲解实操课程，每课时要求30分钟以上。学生可通过手机号在相关微信公众号平台上以手机验证码形式自行注册，实习结束后由在线实习平台和代理记账机构开具实习证明。</w:t>
            </w:r>
          </w:p>
          <w:p>
            <w:pPr>
              <w:numPr>
                <w:ilvl w:val="0"/>
                <w:numId w:val="8"/>
              </w:numPr>
              <w:spacing w:line="360" w:lineRule="auto"/>
              <w:jc w:val="left"/>
              <w:rPr>
                <w:rFonts w:ascii="宋体" w:hAnsi="宋体" w:cs="仿宋"/>
                <w:b/>
                <w:sz w:val="21"/>
                <w:szCs w:val="21"/>
              </w:rPr>
            </w:pPr>
            <w:r>
              <w:rPr>
                <w:rFonts w:hint="eastAsia" w:ascii="宋体" w:hAnsi="宋体" w:cs="仿宋"/>
                <w:b/>
                <w:sz w:val="21"/>
                <w:szCs w:val="21"/>
              </w:rPr>
              <w:t>在线流水记账平台：</w:t>
            </w:r>
          </w:p>
          <w:p>
            <w:pPr>
              <w:spacing w:line="360" w:lineRule="auto"/>
              <w:ind w:left="360"/>
              <w:rPr>
                <w:rFonts w:ascii="宋体" w:hAnsi="宋体" w:cs="仿宋"/>
                <w:bCs/>
                <w:sz w:val="21"/>
                <w:szCs w:val="21"/>
              </w:rPr>
            </w:pPr>
            <w:r>
              <w:rPr>
                <w:rFonts w:hint="eastAsia" w:ascii="宋体" w:hAnsi="宋体" w:cs="仿宋"/>
                <w:bCs/>
                <w:sz w:val="21"/>
                <w:szCs w:val="21"/>
              </w:rPr>
              <w:t>2.1平台能够支持电脑、手机使用，支持电脑上使用扫码登录；日记账可按任意时间区间查询，可查询任意项目收入；平台可共享给其他学生使用，具有简单易用的客户管理模块。</w:t>
            </w:r>
          </w:p>
          <w:p>
            <w:pPr>
              <w:spacing w:line="360" w:lineRule="auto"/>
              <w:ind w:left="360"/>
              <w:rPr>
                <w:rFonts w:ascii="宋体" w:hAnsi="宋体" w:cs="仿宋"/>
                <w:bCs/>
                <w:sz w:val="21"/>
                <w:szCs w:val="21"/>
              </w:rPr>
            </w:pPr>
            <w:r>
              <w:rPr>
                <w:rFonts w:hint="eastAsia" w:ascii="宋体" w:hAnsi="宋体" w:cs="仿宋"/>
                <w:bCs/>
                <w:sz w:val="21"/>
                <w:szCs w:val="21"/>
              </w:rPr>
              <w:t>2.2功能如下：</w:t>
            </w:r>
          </w:p>
          <w:p>
            <w:pPr>
              <w:spacing w:line="360" w:lineRule="auto"/>
              <w:ind w:left="675"/>
              <w:rPr>
                <w:rFonts w:ascii="宋体" w:hAnsi="宋体" w:cs="仿宋"/>
                <w:bCs/>
                <w:sz w:val="21"/>
                <w:szCs w:val="21"/>
              </w:rPr>
            </w:pPr>
            <w:r>
              <w:rPr>
                <w:rFonts w:hint="eastAsia" w:ascii="宋体" w:hAnsi="宋体" w:cs="仿宋"/>
                <w:bCs/>
                <w:sz w:val="21"/>
                <w:szCs w:val="21"/>
              </w:rPr>
              <w:t>2.2.1日记账：提供日常现金流水账管理；</w:t>
            </w:r>
          </w:p>
          <w:p>
            <w:pPr>
              <w:spacing w:line="360" w:lineRule="auto"/>
              <w:ind w:left="675"/>
              <w:rPr>
                <w:rFonts w:ascii="宋体" w:hAnsi="宋体" w:cs="仿宋"/>
                <w:bCs/>
                <w:sz w:val="21"/>
                <w:szCs w:val="21"/>
              </w:rPr>
            </w:pPr>
            <w:r>
              <w:rPr>
                <w:rFonts w:hint="eastAsia" w:ascii="宋体" w:hAnsi="宋体" w:cs="仿宋"/>
                <w:bCs/>
                <w:sz w:val="21"/>
                <w:szCs w:val="21"/>
              </w:rPr>
              <w:t>2.2.2应收应付：提供记录应收账款或应付账款功能，具有记应收，修改，删除，收款功能，具备记应付，修改，删除，付款功能；</w:t>
            </w:r>
          </w:p>
          <w:p>
            <w:pPr>
              <w:spacing w:line="360" w:lineRule="auto"/>
              <w:ind w:left="675"/>
              <w:rPr>
                <w:rFonts w:ascii="宋体" w:hAnsi="宋体" w:cs="仿宋"/>
                <w:bCs/>
                <w:sz w:val="21"/>
                <w:szCs w:val="21"/>
              </w:rPr>
            </w:pPr>
            <w:r>
              <w:rPr>
                <w:rFonts w:hint="eastAsia" w:ascii="宋体" w:hAnsi="宋体" w:cs="仿宋"/>
                <w:bCs/>
                <w:sz w:val="21"/>
                <w:szCs w:val="21"/>
              </w:rPr>
              <w:t>2.2.3报表：提供报表统计分析功能，按月统计收入、支出、收到/归还贷款额，纯利润，月末账面余额信息，同时提供柱状图表显示收入、支出、利润、月末账面余额；</w:t>
            </w:r>
          </w:p>
          <w:p>
            <w:pPr>
              <w:spacing w:line="360" w:lineRule="auto"/>
              <w:ind w:left="675"/>
              <w:rPr>
                <w:rFonts w:ascii="宋体" w:hAnsi="宋体" w:cs="仿宋"/>
                <w:bCs/>
                <w:sz w:val="21"/>
                <w:szCs w:val="21"/>
              </w:rPr>
            </w:pPr>
            <w:r>
              <w:rPr>
                <w:rFonts w:hint="eastAsia" w:ascii="宋体" w:hAnsi="宋体" w:cs="仿宋"/>
                <w:bCs/>
                <w:sz w:val="21"/>
                <w:szCs w:val="21"/>
              </w:rPr>
              <w:t>2.2.4物品管理：实现库存物品的管理，具有入库、领用、查询、统计功能。</w:t>
            </w:r>
          </w:p>
          <w:p>
            <w:pPr>
              <w:spacing w:line="360" w:lineRule="auto"/>
              <w:ind w:left="675"/>
              <w:rPr>
                <w:rFonts w:ascii="宋体" w:hAnsi="宋体" w:cs="仿宋"/>
                <w:bCs/>
                <w:sz w:val="21"/>
                <w:szCs w:val="21"/>
              </w:rPr>
            </w:pPr>
            <w:r>
              <w:rPr>
                <w:rFonts w:hint="eastAsia" w:ascii="宋体" w:hAnsi="宋体" w:cs="仿宋"/>
                <w:bCs/>
                <w:sz w:val="21"/>
                <w:szCs w:val="21"/>
              </w:rPr>
              <w:t>2.2.5固定资产：具有登记，领用、归还功能；</w:t>
            </w:r>
          </w:p>
          <w:p>
            <w:pPr>
              <w:spacing w:line="360" w:lineRule="auto"/>
              <w:ind w:left="675"/>
              <w:rPr>
                <w:rFonts w:ascii="宋体" w:hAnsi="宋体" w:cs="仿宋"/>
                <w:bCs/>
                <w:sz w:val="21"/>
                <w:szCs w:val="21"/>
              </w:rPr>
            </w:pPr>
            <w:r>
              <w:rPr>
                <w:rFonts w:hint="eastAsia" w:ascii="宋体" w:hAnsi="宋体" w:cs="仿宋"/>
                <w:bCs/>
                <w:sz w:val="21"/>
                <w:szCs w:val="21"/>
              </w:rPr>
              <w:t>2.2.6客户管理：提供客户管理功能；</w:t>
            </w:r>
          </w:p>
          <w:p>
            <w:pPr>
              <w:spacing w:line="360" w:lineRule="auto"/>
              <w:ind w:left="675"/>
              <w:rPr>
                <w:rFonts w:ascii="宋体" w:hAnsi="宋体" w:cs="仿宋"/>
                <w:bCs/>
                <w:sz w:val="21"/>
                <w:szCs w:val="21"/>
              </w:rPr>
            </w:pPr>
            <w:r>
              <w:rPr>
                <w:rFonts w:hint="eastAsia" w:ascii="宋体" w:hAnsi="宋体" w:cs="仿宋"/>
                <w:bCs/>
                <w:sz w:val="21"/>
                <w:szCs w:val="21"/>
              </w:rPr>
              <w:t>2.2.7项目管理：包括项目开始结束日期，项目类别、项目金额、应付金额、应收金额，自动关联日记账数据，自动计算出已付金额、应付余额或已收金额、应收余额；</w:t>
            </w:r>
          </w:p>
          <w:p>
            <w:pPr>
              <w:spacing w:line="360" w:lineRule="auto"/>
              <w:ind w:left="675"/>
              <w:rPr>
                <w:rFonts w:hint="eastAsia" w:ascii="宋体" w:hAnsi="宋体" w:cs="宋体"/>
                <w:sz w:val="21"/>
                <w:szCs w:val="21"/>
              </w:rPr>
            </w:pPr>
            <w:r>
              <w:rPr>
                <w:rFonts w:hint="eastAsia" w:ascii="宋体" w:hAnsi="宋体" w:cs="仿宋"/>
                <w:bCs/>
                <w:sz w:val="21"/>
                <w:szCs w:val="21"/>
              </w:rPr>
              <w:t>2.2.8外部报表：供上传税务账报表功能，可接受多种格式excel税务账报表，包括资产负债表，利润表、科目余额表等，上传的表格可设置分栏显示，包括分栏列头，方便在移动设备上查看报表；</w:t>
            </w:r>
          </w:p>
          <w:p>
            <w:pPr>
              <w:tabs>
                <w:tab w:val="left" w:pos="425"/>
              </w:tabs>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cs="仿宋"/>
                <w:bCs/>
                <w:sz w:val="21"/>
                <w:szCs w:val="21"/>
              </w:rPr>
              <w:t>配套硬件：本次采购产品要求支持终端载体单机版的模块需统一集成安装在终端载体单机版上，提供终端载体单机版教师终端5台。</w:t>
            </w:r>
          </w:p>
        </w:tc>
        <w:tc>
          <w:tcPr>
            <w:tcW w:w="790"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bCs/>
                <w:sz w:val="21"/>
                <w:szCs w:val="21"/>
              </w:rPr>
            </w:pPr>
            <w:r>
              <w:rPr>
                <w:rFonts w:hint="eastAsia" w:ascii="宋体" w:hAnsi="宋体"/>
                <w:bCs/>
                <w:sz w:val="21"/>
                <w:szCs w:val="21"/>
              </w:rPr>
              <w:t>1</w:t>
            </w:r>
          </w:p>
        </w:tc>
        <w:tc>
          <w:tcPr>
            <w:tcW w:w="718" w:type="dxa"/>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bCs/>
                <w:sz w:val="21"/>
                <w:szCs w:val="21"/>
              </w:rPr>
            </w:pPr>
            <w:r>
              <w:rPr>
                <w:rFonts w:hint="eastAsia" w:ascii="宋体" w:hAnsi="宋体"/>
                <w:bCs/>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 w:hRule="atLeast"/>
          <w:jc w:val="center"/>
        </w:trPr>
        <w:tc>
          <w:tcPr>
            <w:tcW w:w="10288" w:type="dxa"/>
            <w:gridSpan w:val="6"/>
            <w:tcBorders>
              <w:tl2br w:val="nil"/>
              <w:tr2bl w:val="nil"/>
            </w:tcBorders>
            <w:vAlign w:val="center"/>
          </w:tcPr>
          <w:p>
            <w:pPr>
              <w:widowControl/>
              <w:adjustRightInd w:val="0"/>
              <w:snapToGrid w:val="0"/>
              <w:spacing w:before="156" w:beforeLines="50" w:after="156" w:afterLines="50"/>
              <w:jc w:val="center"/>
              <w:textAlignment w:val="bottom"/>
              <w:rPr>
                <w:rFonts w:ascii="宋体" w:hAnsi="宋体"/>
                <w:bCs/>
                <w:sz w:val="21"/>
                <w:szCs w:val="21"/>
              </w:rPr>
            </w:pPr>
            <w:r>
              <w:rPr>
                <w:rFonts w:hint="eastAsia" w:ascii="宋体" w:hAnsi="宋体"/>
                <w:b/>
                <w:bCs/>
                <w:sz w:val="21"/>
                <w:szCs w:val="21"/>
              </w:rPr>
              <w:t>24.会计模拟分岗位竞赛软件更新</w:t>
            </w:r>
          </w:p>
          <w:p>
            <w:pPr>
              <w:widowControl/>
              <w:adjustRightInd w:val="0"/>
              <w:snapToGrid w:val="0"/>
              <w:spacing w:before="156" w:beforeLines="50" w:after="156" w:afterLines="50"/>
              <w:jc w:val="center"/>
              <w:textAlignment w:val="bottom"/>
              <w:rPr>
                <w:rFonts w:ascii="宋体" w:hAnsi="宋体"/>
                <w:bCs/>
                <w:sz w:val="21"/>
                <w:szCs w:val="21"/>
              </w:rPr>
            </w:pPr>
            <w:r>
              <w:rPr>
                <w:rFonts w:hint="eastAsia" w:ascii="宋体" w:hAnsi="宋体"/>
                <w:bCs/>
                <w:sz w:val="21"/>
                <w:szCs w:val="21"/>
              </w:rPr>
              <w:t>软件模拟现实会计业务处理流程，具备业务实时传递功能；满足一人一岗及一人多岗实训。支持个人赛和小组赛。软件所有功能全部采用B/S架构实现，不需安装客户端，方便维护和升级。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 w:hRule="atLeast"/>
          <w:jc w:val="center"/>
        </w:trPr>
        <w:tc>
          <w:tcPr>
            <w:tcW w:w="778" w:type="dxa"/>
            <w:vMerge w:val="restart"/>
            <w:tcBorders>
              <w:tl2br w:val="nil"/>
              <w:tr2bl w:val="nil"/>
            </w:tcBorders>
            <w:vAlign w:val="center"/>
          </w:tcPr>
          <w:p>
            <w:pPr>
              <w:widowControl/>
              <w:adjustRightInd w:val="0"/>
              <w:snapToGrid w:val="0"/>
              <w:spacing w:before="156" w:beforeLines="50" w:after="156" w:afterLines="50"/>
              <w:jc w:val="center"/>
              <w:textAlignment w:val="bottom"/>
              <w:rPr>
                <w:rFonts w:hint="default" w:ascii="宋体" w:hAnsi="宋体" w:eastAsia="宋体" w:cs="宋体"/>
                <w:b/>
                <w:bCs/>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17</w:t>
            </w:r>
          </w:p>
        </w:tc>
        <w:tc>
          <w:tcPr>
            <w:tcW w:w="915" w:type="dxa"/>
            <w:vMerge w:val="restart"/>
            <w:tcBorders>
              <w:tl2br w:val="nil"/>
              <w:tr2bl w:val="nil"/>
            </w:tcBorders>
            <w:vAlign w:val="center"/>
          </w:tcPr>
          <w:p>
            <w:pPr>
              <w:autoSpaceDE w:val="0"/>
              <w:autoSpaceDN w:val="0"/>
              <w:adjustRightInd w:val="0"/>
              <w:jc w:val="center"/>
              <w:rPr>
                <w:rFonts w:ascii="宋体" w:hAnsi="宋体" w:cs="宋体"/>
                <w:b/>
                <w:bCs/>
                <w:color w:val="000000" w:themeColor="text1"/>
                <w:kern w:val="0"/>
                <w:sz w:val="21"/>
                <w:szCs w:val="21"/>
                <w:lang w:bidi="ar"/>
                <w14:textFill>
                  <w14:solidFill>
                    <w14:schemeClr w14:val="tx1"/>
                  </w14:solidFill>
                </w14:textFill>
              </w:rPr>
            </w:pPr>
            <w:r>
              <w:rPr>
                <w:rFonts w:hint="eastAsia" w:ascii="宋体" w:hAnsi="宋体"/>
                <w:b/>
                <w:bCs/>
                <w:sz w:val="21"/>
                <w:szCs w:val="21"/>
              </w:rPr>
              <w:t>会计模拟分岗位竞赛软件更新</w:t>
            </w:r>
          </w:p>
        </w:tc>
        <w:tc>
          <w:tcPr>
            <w:tcW w:w="812" w:type="dxa"/>
            <w:tcBorders>
              <w:tl2br w:val="nil"/>
              <w:tr2bl w:val="nil"/>
            </w:tcBorders>
            <w:vAlign w:val="center"/>
          </w:tcPr>
          <w:p>
            <w:pPr>
              <w:widowControl/>
              <w:rPr>
                <w:rFonts w:ascii="宋体" w:hAnsi="宋体"/>
                <w:bCs/>
                <w:sz w:val="21"/>
                <w:szCs w:val="21"/>
              </w:rPr>
            </w:pPr>
            <w:r>
              <w:rPr>
                <w:rFonts w:hint="eastAsia" w:ascii="宋体" w:hAnsi="宋体"/>
                <w:bCs/>
                <w:sz w:val="21"/>
                <w:szCs w:val="21"/>
              </w:rPr>
              <w:t>1.用户/权限设置</w:t>
            </w:r>
          </w:p>
        </w:tc>
        <w:tc>
          <w:tcPr>
            <w:tcW w:w="6275" w:type="dxa"/>
            <w:tcBorders>
              <w:tl2br w:val="nil"/>
              <w:tr2bl w:val="nil"/>
            </w:tcBorders>
            <w:vAlign w:val="center"/>
          </w:tcPr>
          <w:p>
            <w:pPr>
              <w:numPr>
                <w:ilvl w:val="0"/>
                <w:numId w:val="9"/>
              </w:numPr>
              <w:spacing w:line="300" w:lineRule="auto"/>
              <w:rPr>
                <w:rFonts w:ascii="宋体" w:hAnsi="宋体"/>
                <w:bCs/>
                <w:sz w:val="21"/>
                <w:szCs w:val="21"/>
              </w:rPr>
            </w:pPr>
            <w:r>
              <w:rPr>
                <w:rFonts w:hint="eastAsia" w:ascii="宋体" w:hAnsi="宋体"/>
                <w:bCs/>
                <w:sz w:val="21"/>
                <w:szCs w:val="21"/>
              </w:rPr>
              <w:t>教师管理，具备管理教师账号，设置教师权限，设置教师任教课程。</w:t>
            </w:r>
          </w:p>
          <w:p>
            <w:pPr>
              <w:numPr>
                <w:ilvl w:val="0"/>
                <w:numId w:val="9"/>
              </w:numPr>
              <w:spacing w:line="300" w:lineRule="auto"/>
              <w:rPr>
                <w:rFonts w:ascii="宋体" w:hAnsi="宋体"/>
                <w:bCs/>
                <w:sz w:val="21"/>
                <w:szCs w:val="21"/>
              </w:rPr>
            </w:pPr>
            <w:r>
              <w:rPr>
                <w:rFonts w:hint="eastAsia" w:ascii="宋体" w:hAnsi="宋体"/>
                <w:bCs/>
                <w:sz w:val="21"/>
                <w:szCs w:val="21"/>
              </w:rPr>
              <w:t>学员管理，具备管理学员账号、导入学员信息、导出学员信息。</w:t>
            </w:r>
          </w:p>
          <w:p>
            <w:pPr>
              <w:numPr>
                <w:ilvl w:val="0"/>
                <w:numId w:val="9"/>
              </w:numPr>
              <w:spacing w:line="300" w:lineRule="auto"/>
              <w:rPr>
                <w:rFonts w:ascii="宋体" w:hAnsi="宋体"/>
                <w:bCs/>
                <w:sz w:val="21"/>
                <w:szCs w:val="21"/>
              </w:rPr>
            </w:pPr>
            <w:r>
              <w:rPr>
                <w:rFonts w:hint="eastAsia" w:ascii="宋体" w:hAnsi="宋体"/>
                <w:bCs/>
                <w:sz w:val="21"/>
                <w:szCs w:val="21"/>
              </w:rPr>
              <w:t>操作日志，具备账号操作记录查询功能。</w:t>
            </w:r>
          </w:p>
          <w:p>
            <w:pPr>
              <w:numPr>
                <w:ilvl w:val="0"/>
                <w:numId w:val="9"/>
              </w:numPr>
              <w:spacing w:line="300" w:lineRule="auto"/>
              <w:rPr>
                <w:rFonts w:ascii="宋体" w:hAnsi="宋体"/>
                <w:bCs/>
                <w:sz w:val="21"/>
                <w:szCs w:val="21"/>
              </w:rPr>
            </w:pPr>
            <w:r>
              <w:rPr>
                <w:rFonts w:hint="eastAsia" w:ascii="宋体" w:hAnsi="宋体"/>
                <w:bCs/>
                <w:sz w:val="21"/>
                <w:szCs w:val="21"/>
              </w:rPr>
              <w:t>登录用户管理，可查询当前在线的学员信息。</w:t>
            </w:r>
          </w:p>
        </w:tc>
        <w:tc>
          <w:tcPr>
            <w:tcW w:w="790" w:type="dxa"/>
            <w:vMerge w:val="restart"/>
            <w:tcBorders>
              <w:tl2br w:val="nil"/>
              <w:tr2bl w:val="nil"/>
            </w:tcBorders>
            <w:vAlign w:val="center"/>
          </w:tcPr>
          <w:p>
            <w:pPr>
              <w:spacing w:line="300" w:lineRule="auto"/>
              <w:ind w:left="360"/>
              <w:rPr>
                <w:rFonts w:ascii="宋体" w:hAnsi="宋体"/>
                <w:bCs/>
                <w:sz w:val="21"/>
                <w:szCs w:val="21"/>
              </w:rPr>
            </w:pPr>
            <w:r>
              <w:rPr>
                <w:rFonts w:hint="eastAsia" w:ascii="宋体" w:hAnsi="宋体"/>
                <w:bCs/>
                <w:sz w:val="21"/>
                <w:szCs w:val="21"/>
              </w:rPr>
              <w:t>1</w:t>
            </w:r>
          </w:p>
        </w:tc>
        <w:tc>
          <w:tcPr>
            <w:tcW w:w="718" w:type="dxa"/>
            <w:vMerge w:val="restart"/>
            <w:tcBorders>
              <w:tl2br w:val="nil"/>
              <w:tr2bl w:val="nil"/>
            </w:tcBorders>
            <w:vAlign w:val="center"/>
          </w:tcPr>
          <w:p>
            <w:pPr>
              <w:spacing w:line="300" w:lineRule="auto"/>
              <w:ind w:left="360"/>
              <w:rPr>
                <w:rFonts w:ascii="宋体" w:hAnsi="宋体"/>
                <w:bCs/>
                <w:sz w:val="21"/>
                <w:szCs w:val="21"/>
              </w:rPr>
            </w:pPr>
            <w:r>
              <w:rPr>
                <w:rFonts w:hint="eastAsia" w:ascii="宋体" w:hAnsi="宋体"/>
                <w:bCs/>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 w:hRule="atLeast"/>
          <w:jc w:val="center"/>
        </w:trPr>
        <w:tc>
          <w:tcPr>
            <w:tcW w:w="778" w:type="dxa"/>
            <w:vMerge w:val="continue"/>
            <w:tcBorders>
              <w:tl2br w:val="nil"/>
              <w:tr2bl w:val="nil"/>
            </w:tcBorders>
            <w:vAlign w:val="center"/>
          </w:tcPr>
          <w:p>
            <w:pPr>
              <w:rPr>
                <w:sz w:val="21"/>
                <w:szCs w:val="21"/>
              </w:rPr>
            </w:pPr>
          </w:p>
        </w:tc>
        <w:tc>
          <w:tcPr>
            <w:tcW w:w="915" w:type="dxa"/>
            <w:vMerge w:val="continue"/>
            <w:tcBorders>
              <w:tl2br w:val="nil"/>
              <w:tr2bl w:val="nil"/>
            </w:tcBorders>
            <w:vAlign w:val="center"/>
          </w:tcPr>
          <w:p>
            <w:pPr>
              <w:rPr>
                <w:sz w:val="21"/>
                <w:szCs w:val="21"/>
              </w:rPr>
            </w:pPr>
          </w:p>
        </w:tc>
        <w:tc>
          <w:tcPr>
            <w:tcW w:w="812" w:type="dxa"/>
            <w:tcBorders>
              <w:tl2br w:val="nil"/>
              <w:tr2bl w:val="nil"/>
            </w:tcBorders>
            <w:vAlign w:val="center"/>
          </w:tcPr>
          <w:p>
            <w:pPr>
              <w:widowControl/>
              <w:rPr>
                <w:rFonts w:ascii="宋体" w:hAnsi="宋体"/>
                <w:bCs/>
                <w:sz w:val="21"/>
                <w:szCs w:val="21"/>
              </w:rPr>
            </w:pPr>
            <w:r>
              <w:rPr>
                <w:rFonts w:hint="eastAsia" w:ascii="宋体" w:hAnsi="宋体"/>
                <w:bCs/>
                <w:sz w:val="21"/>
                <w:szCs w:val="21"/>
              </w:rPr>
              <w:t>2.理论题项目管理</w:t>
            </w:r>
          </w:p>
        </w:tc>
        <w:tc>
          <w:tcPr>
            <w:tcW w:w="6275" w:type="dxa"/>
            <w:tcBorders>
              <w:tl2br w:val="nil"/>
              <w:tr2bl w:val="nil"/>
            </w:tcBorders>
            <w:vAlign w:val="center"/>
          </w:tcPr>
          <w:p>
            <w:pPr>
              <w:numPr>
                <w:ilvl w:val="0"/>
                <w:numId w:val="9"/>
              </w:numPr>
              <w:spacing w:line="300" w:lineRule="auto"/>
              <w:rPr>
                <w:rFonts w:ascii="宋体" w:hAnsi="宋体"/>
                <w:bCs/>
                <w:sz w:val="21"/>
                <w:szCs w:val="21"/>
              </w:rPr>
            </w:pPr>
            <w:r>
              <w:rPr>
                <w:rFonts w:hint="eastAsia" w:ascii="宋体" w:hAnsi="宋体"/>
                <w:bCs/>
                <w:sz w:val="21"/>
                <w:szCs w:val="21"/>
              </w:rPr>
              <w:t>具备理论题所属章节名称管理。</w:t>
            </w:r>
          </w:p>
        </w:tc>
        <w:tc>
          <w:tcPr>
            <w:tcW w:w="790" w:type="dxa"/>
            <w:vMerge w:val="continue"/>
            <w:tcBorders>
              <w:tl2br w:val="nil"/>
              <w:tr2bl w:val="nil"/>
            </w:tcBorders>
            <w:vAlign w:val="center"/>
          </w:tcPr>
          <w:p>
            <w:pPr>
              <w:numPr>
                <w:ilvl w:val="0"/>
                <w:numId w:val="9"/>
              </w:numPr>
              <w:spacing w:line="300" w:lineRule="auto"/>
              <w:rPr>
                <w:rFonts w:ascii="宋体" w:hAnsi="宋体"/>
                <w:bCs/>
                <w:sz w:val="21"/>
                <w:szCs w:val="21"/>
              </w:rPr>
            </w:pPr>
          </w:p>
        </w:tc>
        <w:tc>
          <w:tcPr>
            <w:tcW w:w="718" w:type="dxa"/>
            <w:vMerge w:val="continue"/>
            <w:tcBorders>
              <w:tl2br w:val="nil"/>
              <w:tr2bl w:val="nil"/>
            </w:tcBorders>
            <w:vAlign w:val="center"/>
          </w:tcPr>
          <w:p>
            <w:pPr>
              <w:numPr>
                <w:ilvl w:val="0"/>
                <w:numId w:val="9"/>
              </w:numPr>
              <w:spacing w:line="300" w:lineRule="auto"/>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21"/>
                <w:szCs w:val="21"/>
              </w:rPr>
            </w:pPr>
            <w:r>
              <w:rPr>
                <w:rFonts w:hint="eastAsia" w:ascii="宋体" w:hAnsi="宋体"/>
                <w:bCs/>
                <w:sz w:val="21"/>
                <w:szCs w:val="21"/>
              </w:rPr>
              <w:t>3.理论题题库管理</w:t>
            </w:r>
          </w:p>
        </w:tc>
        <w:tc>
          <w:tcPr>
            <w:tcW w:w="6275" w:type="dxa"/>
            <w:tcBorders>
              <w:tl2br w:val="nil"/>
              <w:tr2bl w:val="nil"/>
            </w:tcBorders>
            <w:vAlign w:val="center"/>
          </w:tcPr>
          <w:p>
            <w:pPr>
              <w:numPr>
                <w:ilvl w:val="0"/>
                <w:numId w:val="9"/>
              </w:numPr>
              <w:spacing w:line="300" w:lineRule="auto"/>
              <w:rPr>
                <w:rFonts w:ascii="宋体" w:hAnsi="宋体"/>
                <w:bCs/>
                <w:sz w:val="21"/>
                <w:szCs w:val="21"/>
              </w:rPr>
            </w:pPr>
            <w:r>
              <w:rPr>
                <w:rFonts w:hint="eastAsia" w:ascii="宋体" w:hAnsi="宋体"/>
                <w:bCs/>
                <w:sz w:val="21"/>
                <w:szCs w:val="21"/>
              </w:rPr>
              <w:t>题库中的试题题型有判断题，填空题，单选题，多选题，不定项题，简答题。</w:t>
            </w:r>
          </w:p>
          <w:p>
            <w:pPr>
              <w:numPr>
                <w:ilvl w:val="0"/>
                <w:numId w:val="9"/>
              </w:numPr>
              <w:spacing w:line="300" w:lineRule="auto"/>
              <w:rPr>
                <w:rFonts w:ascii="宋体" w:hAnsi="宋体"/>
                <w:bCs/>
                <w:sz w:val="21"/>
                <w:szCs w:val="21"/>
              </w:rPr>
            </w:pPr>
            <w:r>
              <w:rPr>
                <w:rFonts w:hint="eastAsia" w:ascii="宋体" w:hAnsi="宋体"/>
                <w:bCs/>
                <w:sz w:val="21"/>
                <w:szCs w:val="21"/>
              </w:rPr>
              <w:t>题库具备智能Excel、Word试题导入导出功能，无需下载模版即可导入Excel、Word的试题内容到题库中形成试题。</w:t>
            </w:r>
          </w:p>
          <w:p>
            <w:pPr>
              <w:numPr>
                <w:ilvl w:val="0"/>
                <w:numId w:val="9"/>
              </w:numPr>
              <w:spacing w:line="300" w:lineRule="auto"/>
              <w:rPr>
                <w:rFonts w:ascii="宋体" w:hAnsi="宋体"/>
                <w:bCs/>
                <w:sz w:val="21"/>
                <w:szCs w:val="21"/>
              </w:rPr>
            </w:pPr>
            <w:r>
              <w:rPr>
                <w:rFonts w:hint="eastAsia" w:ascii="宋体" w:hAnsi="宋体"/>
                <w:bCs/>
                <w:sz w:val="21"/>
                <w:szCs w:val="21"/>
              </w:rPr>
              <w:t>软件可以实现对题库、知识点、难度等多层级管理。</w:t>
            </w:r>
          </w:p>
        </w:tc>
        <w:tc>
          <w:tcPr>
            <w:tcW w:w="790" w:type="dxa"/>
            <w:vMerge w:val="continue"/>
            <w:tcBorders>
              <w:tl2br w:val="nil"/>
              <w:tr2bl w:val="nil"/>
            </w:tcBorders>
            <w:vAlign w:val="center"/>
          </w:tcPr>
          <w:p>
            <w:pPr>
              <w:numPr>
                <w:ilvl w:val="0"/>
                <w:numId w:val="9"/>
              </w:numPr>
              <w:spacing w:line="300" w:lineRule="auto"/>
              <w:rPr>
                <w:rFonts w:ascii="宋体" w:hAnsi="宋体"/>
                <w:bCs/>
                <w:sz w:val="21"/>
                <w:szCs w:val="21"/>
              </w:rPr>
            </w:pPr>
          </w:p>
        </w:tc>
        <w:tc>
          <w:tcPr>
            <w:tcW w:w="718" w:type="dxa"/>
            <w:vMerge w:val="continue"/>
            <w:tcBorders>
              <w:tl2br w:val="nil"/>
              <w:tr2bl w:val="nil"/>
            </w:tcBorders>
            <w:vAlign w:val="center"/>
          </w:tcPr>
          <w:p>
            <w:pPr>
              <w:numPr>
                <w:ilvl w:val="0"/>
                <w:numId w:val="9"/>
              </w:numPr>
              <w:spacing w:line="300" w:lineRule="auto"/>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21"/>
                <w:szCs w:val="21"/>
              </w:rPr>
            </w:pPr>
            <w:r>
              <w:rPr>
                <w:rFonts w:hint="eastAsia" w:ascii="宋体" w:hAnsi="宋体"/>
                <w:bCs/>
                <w:sz w:val="21"/>
                <w:szCs w:val="21"/>
              </w:rPr>
              <w:t>4.理论题试卷管理</w:t>
            </w:r>
          </w:p>
        </w:tc>
        <w:tc>
          <w:tcPr>
            <w:tcW w:w="6275" w:type="dxa"/>
            <w:tcBorders>
              <w:tl2br w:val="nil"/>
              <w:tr2bl w:val="nil"/>
            </w:tcBorders>
            <w:vAlign w:val="center"/>
          </w:tcPr>
          <w:p>
            <w:pPr>
              <w:numPr>
                <w:ilvl w:val="0"/>
                <w:numId w:val="9"/>
              </w:numPr>
              <w:spacing w:line="300" w:lineRule="auto"/>
              <w:rPr>
                <w:rFonts w:ascii="宋体" w:hAnsi="宋体"/>
                <w:bCs/>
                <w:sz w:val="21"/>
                <w:szCs w:val="21"/>
              </w:rPr>
            </w:pPr>
            <w:r>
              <w:rPr>
                <w:rFonts w:hint="eastAsia" w:ascii="宋体" w:hAnsi="宋体"/>
                <w:bCs/>
                <w:sz w:val="21"/>
                <w:szCs w:val="21"/>
              </w:rPr>
              <w:t>可在题库中任意抽取试题组成试卷，具备随机抽题自动组卷，手工选题组卷等多种组卷模式。</w:t>
            </w:r>
          </w:p>
        </w:tc>
        <w:tc>
          <w:tcPr>
            <w:tcW w:w="790"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21"/>
                <w:szCs w:val="21"/>
              </w:rPr>
            </w:pPr>
            <w:r>
              <w:rPr>
                <w:rFonts w:hint="eastAsia" w:ascii="宋体" w:hAnsi="宋体"/>
                <w:bCs/>
                <w:sz w:val="21"/>
                <w:szCs w:val="21"/>
              </w:rPr>
              <w:t>5.理论题考试管理</w:t>
            </w:r>
          </w:p>
        </w:tc>
        <w:tc>
          <w:tcPr>
            <w:tcW w:w="6275" w:type="dxa"/>
            <w:tcBorders>
              <w:tl2br w:val="nil"/>
              <w:tr2bl w:val="nil"/>
            </w:tcBorders>
            <w:vAlign w:val="center"/>
          </w:tcPr>
          <w:p>
            <w:pPr>
              <w:numPr>
                <w:ilvl w:val="0"/>
                <w:numId w:val="9"/>
              </w:numPr>
              <w:spacing w:line="300" w:lineRule="auto"/>
              <w:rPr>
                <w:rFonts w:ascii="宋体" w:hAnsi="宋体"/>
                <w:bCs/>
                <w:sz w:val="21"/>
                <w:szCs w:val="21"/>
              </w:rPr>
            </w:pPr>
            <w:r>
              <w:rPr>
                <w:rFonts w:hint="eastAsia" w:ascii="宋体" w:hAnsi="宋体"/>
                <w:bCs/>
                <w:sz w:val="21"/>
                <w:szCs w:val="21"/>
              </w:rPr>
              <w:t>可以设定AB卷考试，指定考试时间和各题型权值。</w:t>
            </w:r>
          </w:p>
          <w:p>
            <w:pPr>
              <w:numPr>
                <w:ilvl w:val="0"/>
                <w:numId w:val="9"/>
              </w:numPr>
              <w:spacing w:line="300" w:lineRule="auto"/>
              <w:rPr>
                <w:rFonts w:ascii="宋体" w:hAnsi="宋体"/>
                <w:bCs/>
                <w:sz w:val="21"/>
                <w:szCs w:val="21"/>
              </w:rPr>
            </w:pPr>
            <w:r>
              <w:rPr>
                <w:rFonts w:hint="eastAsia" w:ascii="宋体" w:hAnsi="宋体"/>
                <w:bCs/>
                <w:sz w:val="21"/>
                <w:szCs w:val="21"/>
              </w:rPr>
              <w:t>具备考试题目、分值调整和修改功能，可生成word试卷。</w:t>
            </w:r>
          </w:p>
          <w:p>
            <w:pPr>
              <w:numPr>
                <w:ilvl w:val="0"/>
                <w:numId w:val="9"/>
              </w:numPr>
              <w:spacing w:line="300" w:lineRule="auto"/>
              <w:rPr>
                <w:rFonts w:ascii="宋体" w:hAnsi="宋体"/>
                <w:bCs/>
                <w:sz w:val="21"/>
                <w:szCs w:val="21"/>
              </w:rPr>
            </w:pPr>
            <w:r>
              <w:rPr>
                <w:rFonts w:hint="eastAsia" w:ascii="宋体" w:hAnsi="宋体"/>
                <w:bCs/>
                <w:sz w:val="21"/>
                <w:szCs w:val="21"/>
              </w:rPr>
              <w:t>具备考试试卷自动阅卷和手工阅卷功能。重新安排学员考试功能。</w:t>
            </w:r>
          </w:p>
        </w:tc>
        <w:tc>
          <w:tcPr>
            <w:tcW w:w="790"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21"/>
                <w:szCs w:val="21"/>
              </w:rPr>
            </w:pPr>
            <w:r>
              <w:rPr>
                <w:rFonts w:hint="eastAsia" w:ascii="宋体" w:hAnsi="宋体"/>
                <w:bCs/>
                <w:sz w:val="21"/>
                <w:szCs w:val="21"/>
              </w:rPr>
              <w:t>6.理论题成绩管理</w:t>
            </w:r>
          </w:p>
        </w:tc>
        <w:tc>
          <w:tcPr>
            <w:tcW w:w="6275" w:type="dxa"/>
            <w:tcBorders>
              <w:tl2br w:val="nil"/>
              <w:tr2bl w:val="nil"/>
            </w:tcBorders>
            <w:vAlign w:val="center"/>
          </w:tcPr>
          <w:p>
            <w:pPr>
              <w:numPr>
                <w:ilvl w:val="0"/>
                <w:numId w:val="9"/>
              </w:numPr>
              <w:spacing w:line="300" w:lineRule="auto"/>
              <w:rPr>
                <w:rFonts w:ascii="宋体" w:hAnsi="宋体"/>
                <w:bCs/>
                <w:sz w:val="21"/>
                <w:szCs w:val="21"/>
              </w:rPr>
            </w:pPr>
            <w:r>
              <w:rPr>
                <w:rFonts w:hint="eastAsia" w:ascii="宋体" w:hAnsi="宋体"/>
                <w:bCs/>
                <w:sz w:val="21"/>
                <w:szCs w:val="21"/>
              </w:rPr>
              <w:t>具备考试全程监管功能，对考试流程进行管理，考生状态查询、删除考试记录的功能。</w:t>
            </w:r>
          </w:p>
        </w:tc>
        <w:tc>
          <w:tcPr>
            <w:tcW w:w="790"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21"/>
                <w:szCs w:val="21"/>
              </w:rPr>
            </w:pPr>
            <w:r>
              <w:rPr>
                <w:rFonts w:hint="eastAsia" w:ascii="宋体" w:hAnsi="宋体"/>
                <w:bCs/>
                <w:sz w:val="21"/>
                <w:szCs w:val="21"/>
              </w:rPr>
              <w:t>7.单据模板设定</w:t>
            </w:r>
          </w:p>
        </w:tc>
        <w:tc>
          <w:tcPr>
            <w:tcW w:w="6275" w:type="dxa"/>
            <w:tcBorders>
              <w:tl2br w:val="nil"/>
              <w:tr2bl w:val="nil"/>
            </w:tcBorders>
            <w:vAlign w:val="center"/>
          </w:tcPr>
          <w:p>
            <w:pPr>
              <w:numPr>
                <w:ilvl w:val="0"/>
                <w:numId w:val="9"/>
              </w:numPr>
              <w:spacing w:line="300" w:lineRule="auto"/>
              <w:rPr>
                <w:rFonts w:ascii="宋体" w:hAnsi="宋体"/>
                <w:bCs/>
                <w:sz w:val="21"/>
                <w:szCs w:val="21"/>
              </w:rPr>
            </w:pPr>
            <w:r>
              <w:rPr>
                <w:rFonts w:hint="eastAsia" w:ascii="宋体" w:hAnsi="宋体"/>
                <w:bCs/>
                <w:sz w:val="21"/>
                <w:szCs w:val="21"/>
              </w:rPr>
              <w:t>软件具备智能自定义单据模块功能，教师通过此模块可自定义任何单据。</w:t>
            </w:r>
          </w:p>
          <w:p>
            <w:pPr>
              <w:numPr>
                <w:ilvl w:val="0"/>
                <w:numId w:val="9"/>
              </w:numPr>
              <w:spacing w:line="300" w:lineRule="auto"/>
              <w:rPr>
                <w:rFonts w:ascii="宋体" w:hAnsi="宋体"/>
                <w:bCs/>
                <w:sz w:val="21"/>
                <w:szCs w:val="21"/>
              </w:rPr>
            </w:pPr>
            <w:r>
              <w:rPr>
                <w:rFonts w:hint="eastAsia" w:ascii="宋体" w:hAnsi="宋体"/>
                <w:bCs/>
                <w:sz w:val="21"/>
                <w:szCs w:val="21"/>
              </w:rPr>
              <w:t>智能自定义单据应能自定义表单的行数和列数、能根据需要合并、拆分单元格。</w:t>
            </w:r>
          </w:p>
          <w:p>
            <w:pPr>
              <w:numPr>
                <w:ilvl w:val="0"/>
                <w:numId w:val="9"/>
              </w:numPr>
              <w:spacing w:line="300" w:lineRule="auto"/>
              <w:rPr>
                <w:rFonts w:ascii="宋体" w:hAnsi="宋体"/>
                <w:bCs/>
                <w:sz w:val="21"/>
                <w:szCs w:val="21"/>
              </w:rPr>
            </w:pPr>
            <w:r>
              <w:rPr>
                <w:rFonts w:hint="eastAsia" w:ascii="宋体" w:hAnsi="宋体"/>
                <w:bCs/>
                <w:sz w:val="21"/>
                <w:szCs w:val="21"/>
              </w:rPr>
              <w:t>智能自定义单据应可以进行所见即所得的可视化方式设计单据，单据中的控件可任意摆放位置。</w:t>
            </w:r>
          </w:p>
          <w:p>
            <w:pPr>
              <w:numPr>
                <w:ilvl w:val="0"/>
                <w:numId w:val="9"/>
              </w:numPr>
              <w:spacing w:line="300" w:lineRule="auto"/>
              <w:rPr>
                <w:rFonts w:ascii="宋体" w:hAnsi="宋体"/>
                <w:bCs/>
                <w:sz w:val="21"/>
                <w:szCs w:val="21"/>
              </w:rPr>
            </w:pPr>
            <w:r>
              <w:rPr>
                <w:rFonts w:hint="eastAsia" w:ascii="宋体" w:hAnsi="宋体"/>
                <w:bCs/>
                <w:sz w:val="21"/>
                <w:szCs w:val="21"/>
              </w:rPr>
              <w:t>智能自定义单据应有盖章、划线、划叉、划人民币符号等功能。</w:t>
            </w:r>
          </w:p>
          <w:p>
            <w:pPr>
              <w:numPr>
                <w:ilvl w:val="0"/>
                <w:numId w:val="9"/>
              </w:numPr>
              <w:spacing w:line="300" w:lineRule="auto"/>
              <w:rPr>
                <w:rFonts w:ascii="宋体" w:hAnsi="宋体"/>
                <w:bCs/>
                <w:sz w:val="21"/>
                <w:szCs w:val="21"/>
              </w:rPr>
            </w:pPr>
            <w:r>
              <w:rPr>
                <w:rFonts w:hint="eastAsia" w:ascii="宋体" w:hAnsi="宋体"/>
                <w:bCs/>
                <w:sz w:val="21"/>
                <w:szCs w:val="21"/>
              </w:rPr>
              <w:t>智能自定义单据可以设置多联次单据。</w:t>
            </w:r>
          </w:p>
          <w:p>
            <w:pPr>
              <w:numPr>
                <w:ilvl w:val="0"/>
                <w:numId w:val="9"/>
              </w:numPr>
              <w:spacing w:line="300" w:lineRule="auto"/>
              <w:rPr>
                <w:rFonts w:ascii="宋体" w:hAnsi="宋体"/>
                <w:bCs/>
                <w:sz w:val="21"/>
                <w:szCs w:val="21"/>
              </w:rPr>
            </w:pPr>
            <w:r>
              <w:rPr>
                <w:rFonts w:hint="eastAsia" w:ascii="宋体" w:hAnsi="宋体"/>
                <w:bCs/>
                <w:sz w:val="21"/>
                <w:szCs w:val="21"/>
              </w:rPr>
              <w:t>智能自定义单据可以设置单据可填项的权值。</w:t>
            </w:r>
          </w:p>
          <w:p>
            <w:pPr>
              <w:numPr>
                <w:ilvl w:val="0"/>
                <w:numId w:val="9"/>
              </w:numPr>
              <w:spacing w:line="300" w:lineRule="auto"/>
              <w:rPr>
                <w:rFonts w:ascii="宋体" w:hAnsi="宋体"/>
                <w:bCs/>
                <w:sz w:val="21"/>
                <w:szCs w:val="21"/>
              </w:rPr>
            </w:pPr>
            <w:r>
              <w:rPr>
                <w:rFonts w:hint="eastAsia" w:ascii="宋体" w:hAnsi="宋体"/>
                <w:bCs/>
                <w:sz w:val="21"/>
                <w:szCs w:val="21"/>
              </w:rPr>
              <w:t>提供常用250张以上的自定义单据模版。软件业务中的单据使用此处定义的单据模板。</w:t>
            </w:r>
          </w:p>
        </w:tc>
        <w:tc>
          <w:tcPr>
            <w:tcW w:w="790"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19"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21"/>
                <w:szCs w:val="21"/>
              </w:rPr>
            </w:pPr>
            <w:r>
              <w:rPr>
                <w:rFonts w:hint="eastAsia" w:ascii="宋体" w:hAnsi="宋体"/>
                <w:bCs/>
                <w:sz w:val="21"/>
                <w:szCs w:val="21"/>
              </w:rPr>
              <w:t>8.单据模板管理</w:t>
            </w:r>
          </w:p>
        </w:tc>
        <w:tc>
          <w:tcPr>
            <w:tcW w:w="6275" w:type="dxa"/>
            <w:tcBorders>
              <w:tl2br w:val="nil"/>
              <w:tr2bl w:val="nil"/>
            </w:tcBorders>
            <w:vAlign w:val="center"/>
          </w:tcPr>
          <w:p>
            <w:pPr>
              <w:numPr>
                <w:ilvl w:val="0"/>
                <w:numId w:val="9"/>
              </w:numPr>
              <w:spacing w:line="300" w:lineRule="auto"/>
              <w:rPr>
                <w:rFonts w:ascii="宋体" w:hAnsi="宋体"/>
                <w:bCs/>
                <w:sz w:val="21"/>
                <w:szCs w:val="21"/>
              </w:rPr>
            </w:pPr>
            <w:r>
              <w:rPr>
                <w:rFonts w:hint="eastAsia" w:ascii="宋体" w:hAnsi="宋体"/>
                <w:bCs/>
                <w:sz w:val="21"/>
                <w:szCs w:val="21"/>
              </w:rPr>
              <w:t>可对引入系统的单据模板进行管理，设定每个单据中每个需要填写项目的分值。设定单据在业务中是否具有画线、画人民币符号、盖章、画叉、审核功能。</w:t>
            </w:r>
          </w:p>
        </w:tc>
        <w:tc>
          <w:tcPr>
            <w:tcW w:w="790"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21"/>
                <w:szCs w:val="21"/>
              </w:rPr>
            </w:pPr>
            <w:r>
              <w:rPr>
                <w:rFonts w:hint="eastAsia" w:ascii="宋体" w:hAnsi="宋体"/>
                <w:bCs/>
                <w:sz w:val="21"/>
                <w:szCs w:val="21"/>
              </w:rPr>
              <w:t>9.分岗协作题库</w:t>
            </w:r>
          </w:p>
        </w:tc>
        <w:tc>
          <w:tcPr>
            <w:tcW w:w="6275" w:type="dxa"/>
            <w:tcBorders>
              <w:tl2br w:val="nil"/>
              <w:tr2bl w:val="nil"/>
            </w:tcBorders>
            <w:vAlign w:val="center"/>
          </w:tcPr>
          <w:p>
            <w:pPr>
              <w:numPr>
                <w:ilvl w:val="0"/>
                <w:numId w:val="9"/>
              </w:numPr>
              <w:spacing w:line="300" w:lineRule="auto"/>
              <w:rPr>
                <w:rFonts w:ascii="宋体" w:hAnsi="宋体"/>
                <w:bCs/>
                <w:sz w:val="21"/>
                <w:szCs w:val="21"/>
              </w:rPr>
            </w:pPr>
            <w:r>
              <w:rPr>
                <w:rFonts w:hint="eastAsia" w:ascii="宋体" w:hAnsi="宋体"/>
                <w:bCs/>
                <w:sz w:val="21"/>
                <w:szCs w:val="21"/>
              </w:rPr>
              <w:t>可以增加、修改和删除案例，用户可以添加、删除、修改明细科目，设置会计岗位，添加期初数据，包括科目余额表、资产负债表年初数录入、利润表上期数录入，业务添加、修改和删除，对每个业务的资料、答案和帮助进行管理，定义多栏账、资产负债表、利润表。</w:t>
            </w:r>
          </w:p>
          <w:p>
            <w:pPr>
              <w:numPr>
                <w:ilvl w:val="0"/>
                <w:numId w:val="9"/>
              </w:numPr>
              <w:spacing w:line="300" w:lineRule="auto"/>
              <w:rPr>
                <w:rFonts w:ascii="宋体" w:hAnsi="宋体"/>
                <w:bCs/>
                <w:sz w:val="21"/>
                <w:szCs w:val="21"/>
              </w:rPr>
            </w:pPr>
            <w:r>
              <w:rPr>
                <w:rFonts w:hint="eastAsia" w:ascii="宋体" w:hAnsi="宋体"/>
                <w:bCs/>
                <w:sz w:val="21"/>
                <w:szCs w:val="21"/>
              </w:rPr>
              <w:t xml:space="preserve">案例具备多个连续月份的数据设置。 </w:t>
            </w:r>
          </w:p>
          <w:p>
            <w:pPr>
              <w:numPr>
                <w:ilvl w:val="0"/>
                <w:numId w:val="9"/>
              </w:numPr>
              <w:spacing w:line="300" w:lineRule="auto"/>
              <w:rPr>
                <w:rFonts w:ascii="宋体" w:hAnsi="宋体"/>
                <w:bCs/>
                <w:sz w:val="21"/>
                <w:szCs w:val="21"/>
              </w:rPr>
            </w:pPr>
            <w:r>
              <w:rPr>
                <w:rFonts w:hint="eastAsia" w:ascii="宋体" w:hAnsi="宋体"/>
                <w:bCs/>
                <w:sz w:val="21"/>
                <w:szCs w:val="21"/>
              </w:rPr>
              <w:t>软件案例数据前后保持关联，后期业务可调用前期业务资料。</w:t>
            </w:r>
          </w:p>
          <w:p>
            <w:pPr>
              <w:numPr>
                <w:ilvl w:val="0"/>
                <w:numId w:val="9"/>
              </w:numPr>
              <w:spacing w:line="300" w:lineRule="auto"/>
              <w:rPr>
                <w:rFonts w:ascii="宋体" w:hAnsi="宋体"/>
                <w:bCs/>
                <w:sz w:val="21"/>
                <w:szCs w:val="21"/>
              </w:rPr>
            </w:pPr>
            <w:r>
              <w:rPr>
                <w:rFonts w:hint="eastAsia" w:ascii="宋体" w:hAnsi="宋体"/>
                <w:bCs/>
                <w:sz w:val="21"/>
                <w:szCs w:val="21"/>
              </w:rPr>
              <w:t>具备账薄内容自定义功能，并且可选择科目汇总表或记账凭证方式登记总账。</w:t>
            </w:r>
          </w:p>
          <w:p>
            <w:pPr>
              <w:numPr>
                <w:ilvl w:val="0"/>
                <w:numId w:val="9"/>
              </w:numPr>
              <w:spacing w:line="300" w:lineRule="auto"/>
              <w:rPr>
                <w:rFonts w:ascii="宋体" w:hAnsi="宋体"/>
                <w:bCs/>
                <w:sz w:val="21"/>
                <w:szCs w:val="21"/>
              </w:rPr>
            </w:pPr>
            <w:r>
              <w:rPr>
                <w:rFonts w:hint="eastAsia" w:ascii="宋体" w:hAnsi="宋体"/>
                <w:bCs/>
                <w:sz w:val="21"/>
                <w:szCs w:val="21"/>
              </w:rPr>
              <w:t>软件具备教师端所有凭证的数据能够任意复制、粘帖的功能。</w:t>
            </w:r>
          </w:p>
          <w:p>
            <w:pPr>
              <w:numPr>
                <w:ilvl w:val="0"/>
                <w:numId w:val="9"/>
              </w:numPr>
              <w:spacing w:line="300" w:lineRule="auto"/>
              <w:rPr>
                <w:rFonts w:ascii="宋体" w:hAnsi="宋体"/>
                <w:bCs/>
                <w:sz w:val="21"/>
                <w:szCs w:val="21"/>
              </w:rPr>
            </w:pPr>
            <w:r>
              <w:rPr>
                <w:rFonts w:hint="eastAsia" w:ascii="宋体" w:hAnsi="宋体"/>
                <w:bCs/>
                <w:sz w:val="21"/>
                <w:szCs w:val="21"/>
              </w:rPr>
              <w:t>可以对案例进行导入导出。可以导出.xml文件对案例数据进行保存。</w:t>
            </w:r>
          </w:p>
        </w:tc>
        <w:tc>
          <w:tcPr>
            <w:tcW w:w="790"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21"/>
                <w:szCs w:val="21"/>
              </w:rPr>
            </w:pPr>
            <w:r>
              <w:rPr>
                <w:rFonts w:hint="eastAsia" w:ascii="宋体" w:hAnsi="宋体"/>
                <w:bCs/>
                <w:sz w:val="21"/>
                <w:szCs w:val="21"/>
              </w:rPr>
              <w:t>10.单项题库</w:t>
            </w:r>
          </w:p>
        </w:tc>
        <w:tc>
          <w:tcPr>
            <w:tcW w:w="6275" w:type="dxa"/>
            <w:tcBorders>
              <w:tl2br w:val="nil"/>
              <w:tr2bl w:val="nil"/>
            </w:tcBorders>
            <w:vAlign w:val="center"/>
          </w:tcPr>
          <w:p>
            <w:pPr>
              <w:numPr>
                <w:ilvl w:val="0"/>
                <w:numId w:val="9"/>
              </w:numPr>
              <w:spacing w:line="300" w:lineRule="auto"/>
              <w:rPr>
                <w:rFonts w:ascii="宋体" w:hAnsi="宋体"/>
                <w:bCs/>
                <w:sz w:val="21"/>
                <w:szCs w:val="21"/>
              </w:rPr>
            </w:pPr>
            <w:r>
              <w:rPr>
                <w:rFonts w:hint="eastAsia" w:ascii="宋体" w:hAnsi="宋体"/>
                <w:bCs/>
                <w:sz w:val="21"/>
                <w:szCs w:val="21"/>
              </w:rPr>
              <w:t>可以设定业务之间没有关系的案例。支持针对各类凭证进行实训。</w:t>
            </w:r>
          </w:p>
        </w:tc>
        <w:tc>
          <w:tcPr>
            <w:tcW w:w="790"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21"/>
                <w:szCs w:val="21"/>
              </w:rPr>
            </w:pPr>
            <w:r>
              <w:rPr>
                <w:rFonts w:hint="eastAsia" w:ascii="宋体" w:hAnsi="宋体"/>
                <w:bCs/>
                <w:sz w:val="21"/>
                <w:szCs w:val="21"/>
              </w:rPr>
              <w:t>11.业务试卷管理</w:t>
            </w:r>
          </w:p>
        </w:tc>
        <w:tc>
          <w:tcPr>
            <w:tcW w:w="6275" w:type="dxa"/>
            <w:tcBorders>
              <w:tl2br w:val="nil"/>
              <w:tr2bl w:val="nil"/>
            </w:tcBorders>
            <w:vAlign w:val="center"/>
          </w:tcPr>
          <w:p>
            <w:pPr>
              <w:numPr>
                <w:ilvl w:val="0"/>
                <w:numId w:val="9"/>
              </w:numPr>
              <w:spacing w:line="300" w:lineRule="auto"/>
              <w:rPr>
                <w:rFonts w:ascii="宋体" w:hAnsi="宋体"/>
                <w:bCs/>
                <w:sz w:val="21"/>
                <w:szCs w:val="21"/>
              </w:rPr>
            </w:pPr>
            <w:r>
              <w:rPr>
                <w:rFonts w:hint="eastAsia" w:ascii="宋体" w:hAnsi="宋体"/>
                <w:bCs/>
                <w:sz w:val="21"/>
                <w:szCs w:val="21"/>
              </w:rPr>
              <w:t>软件具备随意抽取案例业务，根据抽取的业务自动生成账薄、报表数据。生成一个完整的电算化账套。</w:t>
            </w:r>
          </w:p>
          <w:p>
            <w:pPr>
              <w:numPr>
                <w:ilvl w:val="0"/>
                <w:numId w:val="9"/>
              </w:numPr>
              <w:spacing w:line="300" w:lineRule="auto"/>
              <w:rPr>
                <w:rFonts w:ascii="宋体" w:hAnsi="宋体"/>
                <w:bCs/>
                <w:sz w:val="21"/>
                <w:szCs w:val="21"/>
              </w:rPr>
            </w:pPr>
            <w:r>
              <w:rPr>
                <w:rFonts w:hint="eastAsia" w:ascii="宋体" w:hAnsi="宋体"/>
                <w:bCs/>
                <w:sz w:val="21"/>
                <w:szCs w:val="21"/>
              </w:rPr>
              <w:t>可以指定一个月份或多个连续月份的业务数据进行实训。可以对企业的银行预留章进行设定。</w:t>
            </w:r>
          </w:p>
        </w:tc>
        <w:tc>
          <w:tcPr>
            <w:tcW w:w="790"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21"/>
                <w:szCs w:val="21"/>
              </w:rPr>
            </w:pPr>
            <w:r>
              <w:rPr>
                <w:rFonts w:hint="eastAsia" w:ascii="宋体" w:hAnsi="宋体"/>
                <w:bCs/>
                <w:sz w:val="21"/>
                <w:szCs w:val="21"/>
              </w:rPr>
              <w:t>12.练习设置管理</w:t>
            </w:r>
          </w:p>
        </w:tc>
        <w:tc>
          <w:tcPr>
            <w:tcW w:w="6275" w:type="dxa"/>
            <w:tcBorders>
              <w:tl2br w:val="nil"/>
              <w:tr2bl w:val="nil"/>
            </w:tcBorders>
            <w:vAlign w:val="center"/>
          </w:tcPr>
          <w:p>
            <w:pPr>
              <w:numPr>
                <w:ilvl w:val="0"/>
                <w:numId w:val="9"/>
              </w:numPr>
              <w:spacing w:line="300" w:lineRule="auto"/>
              <w:rPr>
                <w:rFonts w:ascii="宋体" w:hAnsi="宋体"/>
                <w:bCs/>
                <w:sz w:val="21"/>
                <w:szCs w:val="21"/>
              </w:rPr>
            </w:pPr>
            <w:r>
              <w:rPr>
                <w:rFonts w:hint="eastAsia" w:ascii="宋体" w:hAnsi="宋体"/>
                <w:bCs/>
                <w:sz w:val="21"/>
                <w:szCs w:val="21"/>
              </w:rPr>
              <w:t>对练习模式的实训学员进行设置，练习模式提供参考答案和错误率提示。</w:t>
            </w:r>
          </w:p>
          <w:p>
            <w:pPr>
              <w:numPr>
                <w:ilvl w:val="0"/>
                <w:numId w:val="9"/>
              </w:numPr>
              <w:spacing w:line="300" w:lineRule="auto"/>
              <w:rPr>
                <w:rFonts w:ascii="宋体" w:hAnsi="宋体"/>
                <w:bCs/>
                <w:sz w:val="21"/>
                <w:szCs w:val="21"/>
              </w:rPr>
            </w:pPr>
            <w:r>
              <w:rPr>
                <w:rFonts w:hint="eastAsia" w:ascii="宋体" w:hAnsi="宋体"/>
                <w:bCs/>
                <w:sz w:val="21"/>
                <w:szCs w:val="21"/>
              </w:rPr>
              <w:t>分组：</w:t>
            </w:r>
          </w:p>
          <w:p>
            <w:pPr>
              <w:spacing w:line="300" w:lineRule="auto"/>
              <w:ind w:left="360"/>
              <w:rPr>
                <w:rFonts w:ascii="宋体" w:hAnsi="宋体"/>
                <w:bCs/>
                <w:sz w:val="21"/>
                <w:szCs w:val="21"/>
              </w:rPr>
            </w:pPr>
            <w:r>
              <w:rPr>
                <w:rFonts w:hint="eastAsia" w:ascii="宋体" w:hAnsi="宋体"/>
                <w:bCs/>
                <w:sz w:val="21"/>
                <w:szCs w:val="21"/>
              </w:rPr>
              <w:t>1)可以对学员进行分组，设定是一人一岗还是一人多岗实训，设定学员是一个人完成所有业务，还是由一个小组内不同成员担任不同职位共同完成业务。</w:t>
            </w:r>
          </w:p>
          <w:p>
            <w:pPr>
              <w:spacing w:line="300" w:lineRule="auto"/>
              <w:ind w:left="360"/>
              <w:rPr>
                <w:rFonts w:ascii="宋体" w:hAnsi="宋体"/>
                <w:bCs/>
                <w:sz w:val="21"/>
                <w:szCs w:val="21"/>
              </w:rPr>
            </w:pPr>
            <w:r>
              <w:rPr>
                <w:rFonts w:hint="eastAsia" w:ascii="宋体" w:hAnsi="宋体"/>
                <w:bCs/>
                <w:sz w:val="21"/>
                <w:szCs w:val="21"/>
              </w:rPr>
              <w:t>2) 职位数可以由用户指定。根据用户指定的职位，自动均衡的将业务分配到各个岗位。同时支持用户自定义调整职位要做的业务内容。</w:t>
            </w:r>
          </w:p>
          <w:p>
            <w:pPr>
              <w:numPr>
                <w:ilvl w:val="0"/>
                <w:numId w:val="9"/>
              </w:numPr>
              <w:spacing w:line="300" w:lineRule="auto"/>
              <w:rPr>
                <w:rFonts w:ascii="宋体" w:hAnsi="宋体"/>
                <w:bCs/>
                <w:sz w:val="21"/>
                <w:szCs w:val="21"/>
              </w:rPr>
            </w:pPr>
            <w:r>
              <w:rPr>
                <w:rFonts w:hint="eastAsia" w:ascii="宋体" w:hAnsi="宋体"/>
                <w:bCs/>
                <w:sz w:val="21"/>
                <w:szCs w:val="21"/>
              </w:rPr>
              <w:t>软件可任意设定每场考试的总分，时长。设定评分规则。设置凭证分录计分规则是按照总账科目+明细科目+借贷方向+金额还是按照总账科目+借贷方向+金额。</w:t>
            </w:r>
          </w:p>
        </w:tc>
        <w:tc>
          <w:tcPr>
            <w:tcW w:w="790"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21"/>
                <w:szCs w:val="21"/>
              </w:rPr>
            </w:pPr>
            <w:r>
              <w:rPr>
                <w:rFonts w:hint="eastAsia" w:ascii="宋体" w:hAnsi="宋体"/>
                <w:bCs/>
                <w:sz w:val="21"/>
                <w:szCs w:val="21"/>
              </w:rPr>
              <w:t>13.竞赛设置管理</w:t>
            </w:r>
          </w:p>
        </w:tc>
        <w:tc>
          <w:tcPr>
            <w:tcW w:w="6275" w:type="dxa"/>
            <w:tcBorders>
              <w:tl2br w:val="nil"/>
              <w:tr2bl w:val="nil"/>
            </w:tcBorders>
            <w:vAlign w:val="center"/>
          </w:tcPr>
          <w:p>
            <w:pPr>
              <w:numPr>
                <w:ilvl w:val="0"/>
                <w:numId w:val="9"/>
              </w:numPr>
              <w:spacing w:line="300" w:lineRule="auto"/>
              <w:rPr>
                <w:rFonts w:ascii="宋体" w:hAnsi="宋体"/>
                <w:bCs/>
                <w:sz w:val="21"/>
                <w:szCs w:val="21"/>
              </w:rPr>
            </w:pPr>
            <w:r>
              <w:rPr>
                <w:rFonts w:hint="eastAsia" w:ascii="宋体" w:hAnsi="宋体"/>
                <w:bCs/>
                <w:sz w:val="21"/>
                <w:szCs w:val="21"/>
              </w:rPr>
              <w:t>对竞赛模式的实训学员进行设置，支持凭证，科汇表、日记账、总账、明细账、报表的权值设置，竞赛模式提供业务仿真的工作环境。</w:t>
            </w:r>
          </w:p>
          <w:p>
            <w:pPr>
              <w:numPr>
                <w:ilvl w:val="0"/>
                <w:numId w:val="9"/>
              </w:numPr>
              <w:spacing w:line="300" w:lineRule="auto"/>
              <w:rPr>
                <w:rFonts w:ascii="宋体" w:hAnsi="宋体"/>
                <w:bCs/>
                <w:sz w:val="21"/>
                <w:szCs w:val="21"/>
              </w:rPr>
            </w:pPr>
            <w:r>
              <w:rPr>
                <w:rFonts w:hint="eastAsia" w:ascii="宋体" w:hAnsi="宋体"/>
                <w:bCs/>
                <w:sz w:val="21"/>
                <w:szCs w:val="21"/>
              </w:rPr>
              <w:t>分组：</w:t>
            </w:r>
          </w:p>
          <w:p>
            <w:pPr>
              <w:spacing w:line="300" w:lineRule="auto"/>
              <w:ind w:left="360"/>
              <w:rPr>
                <w:rFonts w:ascii="宋体" w:hAnsi="宋体"/>
                <w:bCs/>
                <w:sz w:val="21"/>
                <w:szCs w:val="21"/>
              </w:rPr>
            </w:pPr>
            <w:r>
              <w:rPr>
                <w:rFonts w:hint="eastAsia" w:ascii="宋体" w:hAnsi="宋体"/>
                <w:bCs/>
                <w:sz w:val="21"/>
                <w:szCs w:val="21"/>
              </w:rPr>
              <w:t>1)可以对学员进行分组，设定是一人一岗还是一人多岗实训，设定学员是一个人完成所有业务，还是由一个小组内不同成员担任不同职位共同完成业务。</w:t>
            </w:r>
          </w:p>
          <w:p>
            <w:pPr>
              <w:spacing w:line="300" w:lineRule="auto"/>
              <w:ind w:left="360"/>
              <w:rPr>
                <w:rFonts w:ascii="宋体" w:hAnsi="宋体"/>
                <w:bCs/>
                <w:sz w:val="21"/>
                <w:szCs w:val="21"/>
              </w:rPr>
            </w:pPr>
            <w:r>
              <w:rPr>
                <w:rFonts w:hint="eastAsia" w:ascii="宋体" w:hAnsi="宋体"/>
                <w:bCs/>
                <w:sz w:val="21"/>
                <w:szCs w:val="21"/>
              </w:rPr>
              <w:t>2) 职位数可以由用户指定。根据用户指定的职位，自动均衡的将业务分配到各个岗位。同时支持用户自定义调整职位要做的业务内容。</w:t>
            </w:r>
          </w:p>
          <w:p>
            <w:pPr>
              <w:widowControl/>
              <w:ind w:left="360" w:hanging="360"/>
              <w:rPr>
                <w:rFonts w:ascii="宋体" w:hAnsi="宋体"/>
                <w:bCs/>
                <w:sz w:val="21"/>
                <w:szCs w:val="21"/>
              </w:rPr>
            </w:pPr>
            <w:r>
              <w:rPr>
                <w:rFonts w:hint="eastAsia" w:ascii="宋体" w:hAnsi="宋体"/>
                <w:bCs/>
                <w:sz w:val="21"/>
                <w:szCs w:val="21"/>
              </w:rPr>
              <w:t>软件可任意设定每场考试的总分，时长。设定评分规则。设置分录计分规则是按照总账科目+明细科目+借贷方向+金额还是按照总账科目+借贷方向+金额。</w:t>
            </w:r>
          </w:p>
          <w:p>
            <w:pPr>
              <w:widowControl/>
              <w:ind w:left="360" w:hanging="360"/>
              <w:rPr>
                <w:rFonts w:ascii="宋体" w:hAnsi="宋体"/>
                <w:bCs/>
                <w:sz w:val="21"/>
                <w:szCs w:val="21"/>
              </w:rPr>
            </w:pPr>
            <w:r>
              <w:rPr>
                <w:rFonts w:hint="eastAsia" w:ascii="宋体" w:hAnsi="宋体"/>
                <w:bCs/>
                <w:sz w:val="21"/>
                <w:szCs w:val="21"/>
              </w:rPr>
              <w:t xml:space="preserve">    3）支持分组信息导入导出。</w:t>
            </w:r>
          </w:p>
        </w:tc>
        <w:tc>
          <w:tcPr>
            <w:tcW w:w="790"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21"/>
                <w:szCs w:val="21"/>
              </w:rPr>
            </w:pPr>
            <w:r>
              <w:rPr>
                <w:rFonts w:hint="eastAsia" w:ascii="宋体" w:hAnsi="宋体"/>
                <w:bCs/>
                <w:sz w:val="21"/>
                <w:szCs w:val="21"/>
              </w:rPr>
              <w:t xml:space="preserve">14.练习数据管理 </w:t>
            </w:r>
          </w:p>
        </w:tc>
        <w:tc>
          <w:tcPr>
            <w:tcW w:w="6275" w:type="dxa"/>
            <w:tcBorders>
              <w:tl2br w:val="nil"/>
              <w:tr2bl w:val="nil"/>
            </w:tcBorders>
            <w:vAlign w:val="center"/>
          </w:tcPr>
          <w:p>
            <w:pPr>
              <w:numPr>
                <w:ilvl w:val="0"/>
                <w:numId w:val="9"/>
              </w:numPr>
              <w:spacing w:line="300" w:lineRule="auto"/>
              <w:rPr>
                <w:rFonts w:ascii="宋体" w:hAnsi="宋体"/>
                <w:bCs/>
                <w:sz w:val="21"/>
                <w:szCs w:val="21"/>
              </w:rPr>
            </w:pPr>
            <w:r>
              <w:rPr>
                <w:rFonts w:hint="eastAsia" w:ascii="宋体" w:hAnsi="宋体"/>
                <w:bCs/>
                <w:sz w:val="21"/>
                <w:szCs w:val="21"/>
              </w:rPr>
              <w:t>提供对练习模式学员成绩查看，支持成绩中各项明细内容查看，支持成绩导出。</w:t>
            </w:r>
          </w:p>
        </w:tc>
        <w:tc>
          <w:tcPr>
            <w:tcW w:w="790"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1"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21"/>
                <w:szCs w:val="21"/>
              </w:rPr>
            </w:pPr>
            <w:r>
              <w:rPr>
                <w:rFonts w:hint="eastAsia" w:ascii="宋体" w:hAnsi="宋体"/>
                <w:bCs/>
                <w:sz w:val="21"/>
                <w:szCs w:val="21"/>
              </w:rPr>
              <w:t>15.竞赛数据管理</w:t>
            </w:r>
          </w:p>
        </w:tc>
        <w:tc>
          <w:tcPr>
            <w:tcW w:w="6275" w:type="dxa"/>
            <w:tcBorders>
              <w:tl2br w:val="nil"/>
              <w:tr2bl w:val="nil"/>
            </w:tcBorders>
            <w:vAlign w:val="center"/>
          </w:tcPr>
          <w:p>
            <w:pPr>
              <w:numPr>
                <w:ilvl w:val="0"/>
                <w:numId w:val="9"/>
              </w:numPr>
              <w:spacing w:line="300" w:lineRule="auto"/>
              <w:rPr>
                <w:rFonts w:ascii="宋体" w:hAnsi="宋体"/>
                <w:bCs/>
                <w:sz w:val="21"/>
                <w:szCs w:val="21"/>
              </w:rPr>
            </w:pPr>
            <w:r>
              <w:rPr>
                <w:rFonts w:hint="eastAsia" w:ascii="宋体" w:hAnsi="宋体"/>
                <w:bCs/>
                <w:sz w:val="21"/>
                <w:szCs w:val="21"/>
              </w:rPr>
              <w:t>提供对竞赛模式学员成绩查看，支持成绩中各项明细内容查看，支持成绩导出。可按小组进行成绩排名，支持学员排名和按职位排名。</w:t>
            </w:r>
          </w:p>
        </w:tc>
        <w:tc>
          <w:tcPr>
            <w:tcW w:w="790"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1" w:hRule="atLeast"/>
          <w:jc w:val="center"/>
        </w:trPr>
        <w:tc>
          <w:tcPr>
            <w:tcW w:w="778" w:type="dxa"/>
            <w:vMerge w:val="continue"/>
            <w:tcBorders>
              <w:tl2br w:val="nil"/>
              <w:tr2bl w:val="nil"/>
            </w:tcBorders>
            <w:vAlign w:val="center"/>
          </w:tcPr>
          <w:p>
            <w:pPr>
              <w:rPr>
                <w:sz w:val="21"/>
                <w:szCs w:val="21"/>
              </w:rPr>
            </w:pPr>
          </w:p>
        </w:tc>
        <w:tc>
          <w:tcPr>
            <w:tcW w:w="915" w:type="dxa"/>
            <w:vMerge w:val="continue"/>
            <w:tcBorders>
              <w:tl2br w:val="nil"/>
              <w:tr2bl w:val="nil"/>
            </w:tcBorders>
            <w:vAlign w:val="center"/>
          </w:tcPr>
          <w:p>
            <w:pPr>
              <w:rPr>
                <w:sz w:val="21"/>
                <w:szCs w:val="21"/>
              </w:rPr>
            </w:pPr>
          </w:p>
        </w:tc>
        <w:tc>
          <w:tcPr>
            <w:tcW w:w="812" w:type="dxa"/>
            <w:tcBorders>
              <w:tl2br w:val="nil"/>
              <w:tr2bl w:val="nil"/>
            </w:tcBorders>
            <w:vAlign w:val="center"/>
          </w:tcPr>
          <w:p>
            <w:pPr>
              <w:widowControl/>
              <w:rPr>
                <w:rFonts w:ascii="宋体" w:hAnsi="宋体"/>
                <w:bCs/>
                <w:sz w:val="21"/>
                <w:szCs w:val="21"/>
              </w:rPr>
            </w:pPr>
            <w:r>
              <w:rPr>
                <w:rFonts w:hint="eastAsia" w:ascii="宋体" w:hAnsi="宋体"/>
                <w:bCs/>
                <w:sz w:val="21"/>
                <w:szCs w:val="21"/>
              </w:rPr>
              <w:t>16.学生端-理论题</w:t>
            </w:r>
          </w:p>
        </w:tc>
        <w:tc>
          <w:tcPr>
            <w:tcW w:w="6275" w:type="dxa"/>
            <w:tcBorders>
              <w:tl2br w:val="nil"/>
              <w:tr2bl w:val="nil"/>
            </w:tcBorders>
            <w:vAlign w:val="center"/>
          </w:tcPr>
          <w:p>
            <w:pPr>
              <w:numPr>
                <w:ilvl w:val="0"/>
                <w:numId w:val="9"/>
              </w:numPr>
              <w:spacing w:line="300" w:lineRule="auto"/>
              <w:rPr>
                <w:rFonts w:ascii="宋体" w:hAnsi="宋体"/>
                <w:bCs/>
                <w:sz w:val="21"/>
                <w:szCs w:val="21"/>
              </w:rPr>
            </w:pPr>
            <w:r>
              <w:rPr>
                <w:rFonts w:hint="eastAsia" w:ascii="宋体" w:hAnsi="宋体"/>
                <w:bCs/>
                <w:sz w:val="21"/>
                <w:szCs w:val="21"/>
              </w:rPr>
              <w:t>软件具备答卷自动保存、页面缓存、XML容错交卷功能。</w:t>
            </w:r>
          </w:p>
          <w:p>
            <w:pPr>
              <w:numPr>
                <w:ilvl w:val="0"/>
                <w:numId w:val="9"/>
              </w:numPr>
              <w:spacing w:line="300" w:lineRule="auto"/>
              <w:rPr>
                <w:rFonts w:ascii="宋体" w:hAnsi="宋体"/>
                <w:bCs/>
                <w:sz w:val="21"/>
                <w:szCs w:val="21"/>
              </w:rPr>
            </w:pPr>
            <w:r>
              <w:rPr>
                <w:rFonts w:hint="eastAsia" w:ascii="宋体" w:hAnsi="宋体"/>
                <w:bCs/>
                <w:sz w:val="21"/>
                <w:szCs w:val="21"/>
              </w:rPr>
              <w:t>软件具备打乱题目顺序和设定考试顺序的防舞弊功能。</w:t>
            </w:r>
          </w:p>
          <w:p>
            <w:pPr>
              <w:numPr>
                <w:ilvl w:val="0"/>
                <w:numId w:val="9"/>
              </w:numPr>
              <w:spacing w:line="300" w:lineRule="auto"/>
              <w:rPr>
                <w:rFonts w:ascii="宋体" w:hAnsi="宋体"/>
                <w:bCs/>
                <w:sz w:val="21"/>
                <w:szCs w:val="21"/>
              </w:rPr>
            </w:pPr>
            <w:r>
              <w:rPr>
                <w:rFonts w:hint="eastAsia" w:ascii="宋体" w:hAnsi="宋体"/>
                <w:bCs/>
                <w:sz w:val="21"/>
                <w:szCs w:val="21"/>
              </w:rPr>
              <w:t>支持对已做题进行标记。</w:t>
            </w:r>
          </w:p>
          <w:p>
            <w:pPr>
              <w:numPr>
                <w:ilvl w:val="0"/>
                <w:numId w:val="9"/>
              </w:numPr>
              <w:spacing w:line="300" w:lineRule="auto"/>
              <w:rPr>
                <w:rFonts w:ascii="宋体" w:hAnsi="宋体"/>
                <w:bCs/>
                <w:sz w:val="21"/>
                <w:szCs w:val="21"/>
              </w:rPr>
            </w:pPr>
            <w:r>
              <w:rPr>
                <w:rFonts w:hint="eastAsia" w:ascii="宋体" w:hAnsi="宋体"/>
                <w:bCs/>
                <w:sz w:val="21"/>
                <w:szCs w:val="21"/>
              </w:rPr>
              <w:t>支持自动计时、倒计时提醒、到时交卷并强制退出功能。</w:t>
            </w:r>
          </w:p>
        </w:tc>
        <w:tc>
          <w:tcPr>
            <w:tcW w:w="790"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1"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21"/>
                <w:szCs w:val="21"/>
              </w:rPr>
            </w:pPr>
            <w:r>
              <w:rPr>
                <w:rFonts w:hint="eastAsia" w:ascii="宋体" w:hAnsi="宋体"/>
                <w:bCs/>
                <w:sz w:val="21"/>
                <w:szCs w:val="21"/>
              </w:rPr>
              <w:t>17.学生端-实操题</w:t>
            </w:r>
          </w:p>
        </w:tc>
        <w:tc>
          <w:tcPr>
            <w:tcW w:w="6275" w:type="dxa"/>
            <w:tcBorders>
              <w:tl2br w:val="nil"/>
              <w:tr2bl w:val="nil"/>
            </w:tcBorders>
            <w:vAlign w:val="center"/>
          </w:tcPr>
          <w:p>
            <w:pPr>
              <w:numPr>
                <w:ilvl w:val="0"/>
                <w:numId w:val="9"/>
              </w:numPr>
              <w:spacing w:line="300" w:lineRule="auto"/>
              <w:rPr>
                <w:rFonts w:ascii="宋体" w:hAnsi="宋体"/>
                <w:bCs/>
                <w:sz w:val="21"/>
                <w:szCs w:val="21"/>
              </w:rPr>
            </w:pPr>
            <w:r>
              <w:rPr>
                <w:rFonts w:hint="eastAsia" w:ascii="宋体" w:hAnsi="宋体"/>
                <w:bCs/>
                <w:sz w:val="21"/>
                <w:szCs w:val="21"/>
              </w:rPr>
              <w:t>提供模拟企业资料，职务说明，操作流程图，会计人员基本的素质说明。</w:t>
            </w:r>
          </w:p>
          <w:p>
            <w:pPr>
              <w:numPr>
                <w:ilvl w:val="0"/>
                <w:numId w:val="9"/>
              </w:numPr>
              <w:spacing w:line="300" w:lineRule="auto"/>
              <w:rPr>
                <w:rFonts w:ascii="宋体" w:hAnsi="宋体"/>
                <w:bCs/>
                <w:sz w:val="21"/>
                <w:szCs w:val="21"/>
              </w:rPr>
            </w:pPr>
            <w:r>
              <w:rPr>
                <w:rFonts w:hint="eastAsia" w:ascii="宋体" w:hAnsi="宋体"/>
                <w:bCs/>
                <w:sz w:val="21"/>
                <w:szCs w:val="21"/>
              </w:rPr>
              <w:t>支持职位选择，支持一个人担任所有职位角色，分别以不同角色实训。</w:t>
            </w:r>
          </w:p>
          <w:p>
            <w:pPr>
              <w:numPr>
                <w:ilvl w:val="0"/>
                <w:numId w:val="9"/>
              </w:numPr>
              <w:spacing w:line="300" w:lineRule="auto"/>
              <w:rPr>
                <w:rFonts w:ascii="宋体" w:hAnsi="宋体"/>
                <w:bCs/>
                <w:sz w:val="21"/>
                <w:szCs w:val="21"/>
              </w:rPr>
            </w:pPr>
            <w:r>
              <w:rPr>
                <w:rFonts w:hint="eastAsia" w:ascii="宋体" w:hAnsi="宋体"/>
                <w:bCs/>
                <w:sz w:val="21"/>
                <w:szCs w:val="21"/>
              </w:rPr>
              <w:t>软件具备自动计时、倒计时提醒、到时交卷并强制退出功能。</w:t>
            </w:r>
          </w:p>
          <w:p>
            <w:pPr>
              <w:numPr>
                <w:ilvl w:val="0"/>
                <w:numId w:val="9"/>
              </w:numPr>
              <w:spacing w:line="300" w:lineRule="auto"/>
              <w:rPr>
                <w:rFonts w:ascii="宋体" w:hAnsi="宋体"/>
                <w:bCs/>
                <w:sz w:val="21"/>
                <w:szCs w:val="21"/>
              </w:rPr>
            </w:pPr>
            <w:r>
              <w:rPr>
                <w:rFonts w:hint="eastAsia" w:ascii="宋体" w:hAnsi="宋体"/>
                <w:bCs/>
                <w:sz w:val="21"/>
                <w:szCs w:val="21"/>
              </w:rPr>
              <w:t>盖章：软件具备仿真印章制作工具，盖章位置智能识别，印章可在页面自动拖动。</w:t>
            </w:r>
          </w:p>
          <w:p>
            <w:pPr>
              <w:numPr>
                <w:ilvl w:val="0"/>
                <w:numId w:val="9"/>
              </w:numPr>
              <w:spacing w:line="300" w:lineRule="auto"/>
              <w:rPr>
                <w:rFonts w:ascii="宋体" w:hAnsi="宋体"/>
                <w:bCs/>
                <w:sz w:val="21"/>
                <w:szCs w:val="21"/>
              </w:rPr>
            </w:pPr>
            <w:r>
              <w:rPr>
                <w:rFonts w:hint="eastAsia" w:ascii="宋体" w:hAnsi="宋体"/>
                <w:bCs/>
                <w:sz w:val="21"/>
                <w:szCs w:val="21"/>
              </w:rPr>
              <w:t>划线：支持在原始凭证中划线，可以划在原始凭证中的任意位置。</w:t>
            </w:r>
          </w:p>
          <w:p>
            <w:pPr>
              <w:numPr>
                <w:ilvl w:val="0"/>
                <w:numId w:val="9"/>
              </w:numPr>
              <w:spacing w:line="300" w:lineRule="auto"/>
              <w:rPr>
                <w:rFonts w:ascii="宋体" w:hAnsi="宋体"/>
                <w:bCs/>
                <w:sz w:val="21"/>
                <w:szCs w:val="21"/>
              </w:rPr>
            </w:pPr>
            <w:r>
              <w:rPr>
                <w:rFonts w:hint="eastAsia" w:ascii="宋体" w:hAnsi="宋体"/>
                <w:bCs/>
                <w:sz w:val="21"/>
                <w:szCs w:val="21"/>
              </w:rPr>
              <w:t>软件具备学生端所有原始凭证的数据能够任意复制、粘帖的功能。</w:t>
            </w:r>
          </w:p>
          <w:p>
            <w:pPr>
              <w:numPr>
                <w:ilvl w:val="0"/>
                <w:numId w:val="9"/>
              </w:numPr>
              <w:spacing w:line="300" w:lineRule="auto"/>
              <w:rPr>
                <w:rFonts w:ascii="宋体" w:hAnsi="宋体"/>
                <w:bCs/>
                <w:sz w:val="21"/>
                <w:szCs w:val="21"/>
              </w:rPr>
            </w:pPr>
            <w:r>
              <w:rPr>
                <w:rFonts w:hint="eastAsia" w:ascii="宋体" w:hAnsi="宋体"/>
                <w:bCs/>
                <w:sz w:val="21"/>
                <w:szCs w:val="21"/>
              </w:rPr>
              <w:t>具备当前岗位只能看到本岗位需要处理的业务，与实际工作的业务完全一致。</w:t>
            </w:r>
          </w:p>
          <w:p>
            <w:pPr>
              <w:numPr>
                <w:ilvl w:val="0"/>
                <w:numId w:val="9"/>
              </w:numPr>
              <w:spacing w:line="300" w:lineRule="auto"/>
              <w:rPr>
                <w:rFonts w:ascii="宋体" w:hAnsi="宋体"/>
                <w:bCs/>
                <w:sz w:val="21"/>
                <w:szCs w:val="21"/>
              </w:rPr>
            </w:pPr>
            <w:r>
              <w:rPr>
                <w:rFonts w:hint="eastAsia" w:ascii="宋体" w:hAnsi="宋体"/>
                <w:bCs/>
                <w:sz w:val="21"/>
                <w:szCs w:val="21"/>
              </w:rPr>
              <w:t>软件具备学生端每笔业务的分值在试题列表中显示的功能。</w:t>
            </w:r>
          </w:p>
          <w:p>
            <w:pPr>
              <w:numPr>
                <w:ilvl w:val="0"/>
                <w:numId w:val="9"/>
              </w:numPr>
              <w:spacing w:line="300" w:lineRule="auto"/>
              <w:rPr>
                <w:rFonts w:ascii="宋体" w:hAnsi="宋体"/>
                <w:bCs/>
                <w:sz w:val="21"/>
                <w:szCs w:val="21"/>
              </w:rPr>
            </w:pPr>
            <w:r>
              <w:rPr>
                <w:rFonts w:hint="eastAsia" w:ascii="宋体" w:hAnsi="宋体"/>
                <w:bCs/>
                <w:sz w:val="21"/>
                <w:szCs w:val="21"/>
              </w:rPr>
              <w:t>软件具备根据学生所填写的凭证数据，能自动生成相对应的账薄、报表数据，作为下期的期初数据。生成的数据能在资料查看中进行显示。在竞赛时，账薄和报表的标准答案将以生成的数据作为新的评分依据。</w:t>
            </w:r>
          </w:p>
          <w:p>
            <w:pPr>
              <w:numPr>
                <w:ilvl w:val="0"/>
                <w:numId w:val="9"/>
              </w:numPr>
              <w:spacing w:line="300" w:lineRule="auto"/>
              <w:rPr>
                <w:rFonts w:ascii="宋体" w:hAnsi="宋体"/>
                <w:bCs/>
                <w:sz w:val="21"/>
                <w:szCs w:val="21"/>
              </w:rPr>
            </w:pPr>
            <w:r>
              <w:rPr>
                <w:rFonts w:hint="eastAsia" w:ascii="宋体" w:hAnsi="宋体"/>
                <w:bCs/>
                <w:sz w:val="21"/>
                <w:szCs w:val="21"/>
              </w:rPr>
              <w:t>软件具备业务单据批量选择、传递，并有详细的信息提示功能。</w:t>
            </w:r>
          </w:p>
          <w:p>
            <w:pPr>
              <w:numPr>
                <w:ilvl w:val="0"/>
                <w:numId w:val="9"/>
              </w:numPr>
              <w:spacing w:line="300" w:lineRule="auto"/>
              <w:rPr>
                <w:rFonts w:ascii="宋体" w:hAnsi="宋体"/>
                <w:bCs/>
                <w:sz w:val="21"/>
                <w:szCs w:val="21"/>
              </w:rPr>
            </w:pPr>
            <w:r>
              <w:rPr>
                <w:rFonts w:hint="eastAsia" w:ascii="宋体" w:hAnsi="宋体"/>
                <w:bCs/>
                <w:sz w:val="21"/>
                <w:szCs w:val="21"/>
              </w:rPr>
              <w:t>软件具备单据的审核、反审核、审核盖章和退回功能。</w:t>
            </w:r>
          </w:p>
          <w:p>
            <w:pPr>
              <w:numPr>
                <w:ilvl w:val="0"/>
                <w:numId w:val="9"/>
              </w:numPr>
              <w:spacing w:line="300" w:lineRule="auto"/>
              <w:rPr>
                <w:rFonts w:ascii="宋体" w:hAnsi="宋体"/>
                <w:bCs/>
                <w:sz w:val="21"/>
                <w:szCs w:val="21"/>
              </w:rPr>
            </w:pPr>
            <w:r>
              <w:rPr>
                <w:rFonts w:hint="eastAsia" w:ascii="宋体" w:hAnsi="宋体"/>
                <w:bCs/>
                <w:sz w:val="21"/>
                <w:szCs w:val="21"/>
              </w:rPr>
              <w:t>软件具备良好的数据安全性，页面参数与关键信息经加密处理。</w:t>
            </w:r>
          </w:p>
          <w:p>
            <w:pPr>
              <w:numPr>
                <w:ilvl w:val="0"/>
                <w:numId w:val="9"/>
              </w:numPr>
              <w:spacing w:line="300" w:lineRule="auto"/>
              <w:rPr>
                <w:rFonts w:ascii="宋体" w:hAnsi="宋体"/>
                <w:bCs/>
                <w:sz w:val="21"/>
                <w:szCs w:val="21"/>
              </w:rPr>
            </w:pPr>
            <w:r>
              <w:rPr>
                <w:rFonts w:hint="eastAsia" w:ascii="宋体" w:hAnsi="宋体"/>
                <w:bCs/>
                <w:sz w:val="21"/>
                <w:szCs w:val="21"/>
              </w:rPr>
              <w:t>软件具备用户单点登录功能，首次登录后，无需再登录就可以使用各系统。</w:t>
            </w:r>
          </w:p>
          <w:p>
            <w:pPr>
              <w:numPr>
                <w:ilvl w:val="0"/>
                <w:numId w:val="9"/>
              </w:numPr>
              <w:spacing w:line="300" w:lineRule="auto"/>
              <w:rPr>
                <w:rFonts w:hint="eastAsia" w:ascii="宋体" w:hAnsi="宋体"/>
                <w:bCs/>
                <w:sz w:val="21"/>
                <w:szCs w:val="21"/>
              </w:rPr>
            </w:pPr>
            <w:r>
              <w:rPr>
                <w:rFonts w:hint="eastAsia" w:ascii="宋体" w:hAnsi="宋体"/>
                <w:bCs/>
                <w:sz w:val="21"/>
                <w:szCs w:val="21"/>
              </w:rPr>
              <w:t>软件模拟现实会计业务处理流程，具备业务实时传递功能； 出纳岗位提交一笔业务，该笔业务下一个步骤是会计，则在会计岗位中能够实时显示出来。</w:t>
            </w:r>
          </w:p>
          <w:p>
            <w:pPr>
              <w:numPr>
                <w:ilvl w:val="0"/>
                <w:numId w:val="9"/>
              </w:numPr>
              <w:spacing w:line="300" w:lineRule="auto"/>
              <w:rPr>
                <w:rFonts w:ascii="宋体" w:hAnsi="宋体"/>
                <w:bCs/>
                <w:sz w:val="21"/>
                <w:szCs w:val="21"/>
              </w:rPr>
            </w:pPr>
            <w:r>
              <w:rPr>
                <w:rFonts w:hint="eastAsia" w:ascii="宋体" w:hAnsi="宋体"/>
                <w:bCs/>
                <w:sz w:val="21"/>
                <w:szCs w:val="21"/>
              </w:rPr>
              <w:t>做题情况：能显示每笔业务的做题情况，方便学员。做题情况的状态有：未做，未做完，已做。</w:t>
            </w:r>
          </w:p>
        </w:tc>
        <w:tc>
          <w:tcPr>
            <w:tcW w:w="790"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1" w:hRule="atLeast"/>
          <w:jc w:val="center"/>
        </w:trPr>
        <w:tc>
          <w:tcPr>
            <w:tcW w:w="77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915"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812" w:type="dxa"/>
            <w:tcBorders>
              <w:tl2br w:val="nil"/>
              <w:tr2bl w:val="nil"/>
            </w:tcBorders>
            <w:vAlign w:val="center"/>
          </w:tcPr>
          <w:p>
            <w:pPr>
              <w:widowControl/>
              <w:rPr>
                <w:rFonts w:ascii="宋体" w:hAnsi="宋体"/>
                <w:bCs/>
                <w:sz w:val="21"/>
                <w:szCs w:val="21"/>
              </w:rPr>
            </w:pPr>
            <w:r>
              <w:rPr>
                <w:rFonts w:hint="eastAsia" w:ascii="宋体" w:hAnsi="宋体"/>
                <w:bCs/>
                <w:sz w:val="21"/>
                <w:szCs w:val="21"/>
              </w:rPr>
              <w:t>18.</w:t>
            </w:r>
          </w:p>
        </w:tc>
        <w:tc>
          <w:tcPr>
            <w:tcW w:w="6275" w:type="dxa"/>
            <w:tcBorders>
              <w:tl2br w:val="nil"/>
              <w:tr2bl w:val="nil"/>
            </w:tcBorders>
            <w:vAlign w:val="center"/>
          </w:tcPr>
          <w:p>
            <w:pPr>
              <w:numPr>
                <w:ilvl w:val="0"/>
                <w:numId w:val="9"/>
              </w:numPr>
              <w:spacing w:line="300" w:lineRule="auto"/>
              <w:rPr>
                <w:rFonts w:ascii="宋体" w:hAnsi="宋体"/>
                <w:bCs/>
                <w:sz w:val="21"/>
                <w:szCs w:val="21"/>
              </w:rPr>
            </w:pPr>
            <w:r>
              <w:rPr>
                <w:rFonts w:hint="eastAsia" w:ascii="宋体" w:hAnsi="宋体"/>
                <w:bCs/>
                <w:sz w:val="21"/>
                <w:szCs w:val="21"/>
              </w:rPr>
              <w:t>软件满足2019年河南省中等职业教育技能大赛财经商贸类会计技能支持平台。</w:t>
            </w:r>
          </w:p>
        </w:tc>
        <w:tc>
          <w:tcPr>
            <w:tcW w:w="790"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c>
          <w:tcPr>
            <w:tcW w:w="718" w:type="dxa"/>
            <w:vMerge w:val="continue"/>
            <w:tcBorders>
              <w:tl2br w:val="nil"/>
              <w:tr2bl w:val="nil"/>
            </w:tcBorders>
            <w:vAlign w:val="center"/>
          </w:tcPr>
          <w:p>
            <w:pPr>
              <w:rPr>
                <w:rFonts w:ascii="宋体" w:hAnsi="宋体" w:cs="宋体"/>
                <w:b/>
                <w:bCs/>
                <w:color w:val="000000" w:themeColor="text1"/>
                <w:kern w:val="0"/>
                <w:sz w:val="21"/>
                <w:szCs w:val="21"/>
                <w:lang w:bidi="ar"/>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电脑为核心产品，核心产品提供相同品牌产品且通过资格审查、符合性审查的不同供应商参加同一合同项下投标的，按一家供应商计算，评审后得分最高的同品牌供应商获得中标人推荐资格；评审得分相同的，同品牌投标价格最低的获得中标人推荐资格，其他同品牌供应商不作为中标候</w:t>
      </w:r>
      <w:r>
        <w:rPr>
          <w:rFonts w:hint="eastAsia" w:ascii="Times New Roman" w:hAnsi="Times New Roman" w:cs="Times New Roman"/>
          <w:sz w:val="24"/>
          <w:szCs w:val="24"/>
          <w:highlight w:val="none"/>
          <w:lang w:val="en-US" w:eastAsia="zh-CN"/>
        </w:rPr>
        <w:t>选人</w:t>
      </w:r>
      <w:r>
        <w:rPr>
          <w:rFonts w:hint="eastAsia" w:ascii="Times New Roman" w:hAnsi="Times New Roman" w:cs="Times New Roman"/>
          <w:sz w:val="24"/>
          <w:szCs w:val="24"/>
          <w:highlight w:val="none"/>
          <w:shd w:val="clear"/>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ascii="宋体" w:hAnsi="宋体" w:eastAsia="宋体" w:cs="宋体"/>
          <w:b/>
          <w:bCs/>
          <w:sz w:val="24"/>
          <w:szCs w:val="24"/>
        </w:rPr>
        <w:t>其他要求</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本项目投标报价为总包价，包含货物采购、包装、运输、装卸、备品备件、质保、第三方验收、税金等一切费用，如有招标文件中没有明确，而本项目必须的各种材料，均应包括在本项目中，采购人不再另行进行支付有关款项。</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招标文件中所列产品参数为最低要求,投标产品不得低于最低要求，否则为无效投标。</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付款方式（不响应者为无效投标）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经验收合格付合同总价款的90%，剩余10%满一年无质量问题一次付清。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宋体" w:asciiTheme="majorEastAsia" w:hAnsiTheme="majorEastAsia" w:eastAsiaTheme="majorEastAsia"/>
          <w:b/>
          <w:kern w:val="0"/>
          <w:sz w:val="36"/>
          <w:szCs w:val="36"/>
        </w:rPr>
      </w:pPr>
      <w:r>
        <w:rPr>
          <w:rFonts w:hint="eastAsia" w:cs="Times New Roman"/>
          <w:sz w:val="24"/>
          <w:szCs w:val="24"/>
          <w:lang w:val="en-US" w:eastAsia="zh-CN"/>
        </w:rPr>
        <w:t>4</w:t>
      </w:r>
      <w:r>
        <w:rPr>
          <w:rFonts w:hint="eastAsia" w:ascii="Times New Roman" w:hAnsi="Times New Roman" w:cs="Times New Roman"/>
          <w:sz w:val="24"/>
          <w:szCs w:val="24"/>
          <w:lang w:val="en-US" w:eastAsia="zh-CN"/>
        </w:rPr>
        <w:t>、所有货物售后免费服务和保修期为三年，投标时需提供厂家售后服务承诺函。未提供的按照无效投标处理</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pStyle w:val="3"/>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项目名称：许昌技术经济学校财税综合实训中心设备项目（二次） </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项目编号：长招采公字【2019】079号</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项目内容：财税综合实训中心设备及财会职业能力养成平台软件采购，详细参数见采购文件。</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lang w:val="en-US" w:eastAsia="zh-CN"/>
              </w:rPr>
              <w:t>项目地址：许昌技术经济学校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color w:val="000000"/>
                <w:sz w:val="21"/>
                <w:szCs w:val="21"/>
                <w:shd w:val="clear" w:color="auto" w:fill="FFFFFF"/>
                <w:lang w:val="en-US" w:eastAsia="zh-CN"/>
              </w:rPr>
            </w:pPr>
            <w:r>
              <w:rPr>
                <w:rFonts w:hint="eastAsia" w:cs="仿宋_GB2312" w:asciiTheme="minorEastAsia" w:hAnsiTheme="minorEastAsia"/>
                <w:color w:val="000000"/>
                <w:sz w:val="21"/>
                <w:szCs w:val="21"/>
                <w:shd w:val="clear" w:color="auto" w:fill="FFFFFF"/>
                <w:lang w:val="en-US" w:eastAsia="zh-CN"/>
              </w:rPr>
              <w:t>采购人：许昌技术经济学校</w:t>
            </w:r>
          </w:p>
          <w:p>
            <w:pPr>
              <w:autoSpaceDE w:val="0"/>
              <w:autoSpaceDN w:val="0"/>
              <w:adjustRightInd w:val="0"/>
              <w:spacing w:line="360" w:lineRule="auto"/>
              <w:jc w:val="left"/>
              <w:rPr>
                <w:rFonts w:hint="eastAsia" w:cs="仿宋_GB2312" w:asciiTheme="minorEastAsia" w:hAnsiTheme="minorEastAsia"/>
                <w:color w:val="000000"/>
                <w:sz w:val="21"/>
                <w:szCs w:val="21"/>
                <w:shd w:val="clear" w:color="auto" w:fill="FFFFFF"/>
                <w:lang w:val="en-US" w:eastAsia="zh-CN"/>
              </w:rPr>
            </w:pPr>
            <w:r>
              <w:rPr>
                <w:rFonts w:hint="eastAsia" w:cs="仿宋_GB2312" w:asciiTheme="minorEastAsia" w:hAnsiTheme="minorEastAsia"/>
                <w:color w:val="000000"/>
                <w:sz w:val="21"/>
                <w:szCs w:val="21"/>
                <w:shd w:val="clear" w:color="auto" w:fill="FFFFFF"/>
                <w:lang w:val="en-US" w:eastAsia="zh-CN"/>
              </w:rPr>
              <w:t xml:space="preserve">联系人：高科长                      </w:t>
            </w:r>
          </w:p>
          <w:p>
            <w:pPr>
              <w:autoSpaceDE w:val="0"/>
              <w:autoSpaceDN w:val="0"/>
              <w:adjustRightInd w:val="0"/>
              <w:spacing w:line="360" w:lineRule="auto"/>
              <w:jc w:val="left"/>
              <w:rPr>
                <w:rFonts w:hint="eastAsia" w:cs="仿宋_GB2312" w:asciiTheme="minorEastAsia" w:hAnsiTheme="minorEastAsia"/>
                <w:color w:val="000000"/>
                <w:sz w:val="21"/>
                <w:szCs w:val="21"/>
                <w:shd w:val="clear" w:color="auto" w:fill="FFFFFF"/>
                <w:lang w:val="en-US" w:eastAsia="zh-CN"/>
              </w:rPr>
            </w:pPr>
            <w:r>
              <w:rPr>
                <w:rFonts w:hint="eastAsia" w:cs="仿宋_GB2312" w:asciiTheme="minorEastAsia" w:hAnsiTheme="minorEastAsia"/>
                <w:color w:val="000000"/>
                <w:sz w:val="21"/>
                <w:szCs w:val="21"/>
                <w:shd w:val="clear" w:color="auto" w:fill="FFFFFF"/>
                <w:lang w:val="en-US" w:eastAsia="zh-CN"/>
              </w:rPr>
              <w:t>联系电话：03746170603</w:t>
            </w:r>
          </w:p>
          <w:p>
            <w:pPr>
              <w:autoSpaceDE w:val="0"/>
              <w:autoSpaceDN w:val="0"/>
              <w:adjustRightInd w:val="0"/>
              <w:spacing w:line="360" w:lineRule="auto"/>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color w:val="000000"/>
                <w:sz w:val="21"/>
                <w:szCs w:val="21"/>
                <w:shd w:val="clear" w:color="auto" w:fill="FFFFFF"/>
                <w:lang w:val="en-US" w:eastAsia="zh-CN"/>
              </w:rPr>
              <w:t>地址：长葛市建设路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 xml:space="preserve">代理机构：山西文昌工程咨询有限公司 </w:t>
            </w:r>
          </w:p>
          <w:p>
            <w:pPr>
              <w:autoSpaceDE w:val="0"/>
              <w:autoSpaceDN w:val="0"/>
              <w:adjustRightInd w:val="0"/>
              <w:spacing w:line="360" w:lineRule="auto"/>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代理机构联系方式：张先生  13271279113</w:t>
            </w:r>
          </w:p>
          <w:p>
            <w:pPr>
              <w:autoSpaceDE w:val="0"/>
              <w:autoSpaceDN w:val="0"/>
              <w:adjustRightInd w:val="0"/>
              <w:spacing w:line="360" w:lineRule="auto"/>
              <w:jc w:val="left"/>
              <w:rPr>
                <w:rFonts w:hint="default"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代理机构地址：郑州市高新区冬青街7号B座1606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lang w:val="zh-CN"/>
              </w:rPr>
              <w:t>4、个体工</w:t>
            </w:r>
            <w:r>
              <w:rPr>
                <w:rFonts w:hint="eastAsia" w:cs="宋体" w:asciiTheme="minorEastAsia" w:hAnsiTheme="minorEastAsia"/>
                <w:bCs/>
                <w:szCs w:val="21"/>
                <w:highlight w:val="none"/>
                <w:lang w:val="zh-CN"/>
              </w:rPr>
              <w:t>商户营业执照。（个体工商户投标提供）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highlight w:val="none"/>
              </w:rPr>
            </w:pPr>
            <w:r>
              <w:rPr>
                <w:rFonts w:hint="eastAsia" w:cs="仿宋_GB2312" w:asciiTheme="minorEastAsia" w:hAnsiTheme="minorEastAsia"/>
                <w:b/>
                <w:szCs w:val="21"/>
                <w:highlight w:val="none"/>
              </w:rPr>
              <w:t>二、财务状况报告相关材料</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（1）投标人是法人（法人包括企业法人、机关法人、事业单位法人和社会团体法人），提供本单位：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w:t>
            </w:r>
            <w:r>
              <w:rPr>
                <w:rFonts w:hint="eastAsia" w:asciiTheme="minorEastAsia" w:hAnsiTheme="minorEastAsia"/>
                <w:bCs/>
                <w:szCs w:val="21"/>
                <w:highlight w:val="none"/>
                <w:lang w:val="en-US" w:eastAsia="zh-CN"/>
              </w:rPr>
              <w:t>2016年度、2017年度、</w:t>
            </w:r>
            <w:r>
              <w:rPr>
                <w:rFonts w:hint="eastAsia" w:asciiTheme="minorEastAsia" w:hAnsiTheme="minorEastAsia"/>
                <w:bCs/>
                <w:szCs w:val="21"/>
                <w:highlight w:val="none"/>
              </w:rPr>
              <w:t>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②基本开户银行出具的资信证明；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spacing w:line="360" w:lineRule="auto"/>
              <w:rPr>
                <w:rFonts w:asciiTheme="minorEastAsia" w:hAnsiTheme="minorEastAsia"/>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（2）投标人（其他组织和自然人）提供本单位：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w:t>
            </w:r>
            <w:r>
              <w:rPr>
                <w:rFonts w:hint="eastAsia" w:asciiTheme="minorEastAsia" w:hAnsiTheme="minorEastAsia"/>
                <w:bCs/>
                <w:szCs w:val="21"/>
                <w:highlight w:val="none"/>
                <w:lang w:val="en-US" w:eastAsia="zh-CN"/>
              </w:rPr>
              <w:t>2016年度、2017年度、</w:t>
            </w:r>
            <w:r>
              <w:rPr>
                <w:rFonts w:hint="eastAsia" w:asciiTheme="minorEastAsia" w:hAnsiTheme="minorEastAsia"/>
                <w:bCs/>
                <w:szCs w:val="21"/>
                <w:highlight w:val="none"/>
              </w:rPr>
              <w:t>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②银行出具的资信证明；</w:t>
            </w:r>
          </w:p>
          <w:p>
            <w:pPr>
              <w:spacing w:line="360" w:lineRule="auto"/>
              <w:rPr>
                <w:rFonts w:hint="eastAsia"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pStyle w:val="3"/>
            </w:pPr>
            <w:r>
              <w:rPr>
                <w:rFonts w:hint="eastAsia" w:ascii="Times New Roman" w:hAnsi="Times New Roman" w:cs="宋体"/>
                <w:szCs w:val="21"/>
                <w:lang w:bidi="ar"/>
              </w:rPr>
              <w:t>（新注册公司从注册交纳起计算，不足的视为满足</w:t>
            </w:r>
            <w:r>
              <w:rPr>
                <w:rFonts w:hint="eastAsia" w:ascii="Times New Roman" w:hAnsi="Times New Roman" w:cs="宋体"/>
                <w:szCs w:val="21"/>
                <w:lang w:val="en-US" w:eastAsia="zh-CN" w:bidi="ar"/>
              </w:rPr>
              <w:t>)</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仿宋_GB2312" w:asciiTheme="minorEastAsia" w:hAnsiTheme="minorEastAsia"/>
                <w:b/>
                <w:szCs w:val="21"/>
                <w:highlight w:val="none"/>
              </w:rPr>
              <w:t>三、依法缴纳税收相关材料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hint="eastAsia"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bCs/>
                <w:szCs w:val="21"/>
                <w:highlight w:val="none"/>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①相关设备的购置发票、专业技术人员职称证书、用工合同等；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kern w:val="0"/>
                <w:szCs w:val="21"/>
                <w:highlight w:val="none"/>
              </w:rPr>
              <w:t>六、</w:t>
            </w:r>
            <w:r>
              <w:rPr>
                <w:rFonts w:cs="宋体" w:asciiTheme="minorEastAsia" w:hAnsiTheme="minorEastAsia"/>
                <w:b/>
                <w:bCs/>
                <w:szCs w:val="21"/>
                <w:highlight w:val="none"/>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highlight w:val="none"/>
                <w:lang w:val="zh-CN"/>
              </w:rPr>
              <w:t>投标人“</w:t>
            </w:r>
            <w:r>
              <w:rPr>
                <w:rFonts w:cs="宋体" w:asciiTheme="minorEastAsia" w:hAnsiTheme="minorEastAsia"/>
                <w:bCs/>
                <w:szCs w:val="21"/>
                <w:highlight w:val="none"/>
                <w:lang w:val="zh-CN"/>
              </w:rPr>
              <w:t>参加政府采购活动前3年内在经营活动中没有重大违</w:t>
            </w:r>
            <w:r>
              <w:rPr>
                <w:rFonts w:cs="宋体" w:asciiTheme="minorEastAsia" w:hAnsiTheme="minorEastAsia"/>
                <w:bCs/>
                <w:szCs w:val="21"/>
                <w:lang w:val="zh-CN"/>
              </w:rPr>
              <w:t>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auto"/>
              <w:ind w:right="0"/>
              <w:jc w:val="left"/>
              <w:textAlignment w:val="auto"/>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cs="仿宋_GB2312" w:asciiTheme="minorEastAsia" w:hAnsiTheme="minorEastAsia"/>
                <w:b/>
                <w:color w:val="000000"/>
                <w:szCs w:val="21"/>
                <w:shd w:val="clear" w:color="auto" w:fill="FFFFFF"/>
                <w:lang w:val="en-US" w:eastAsia="zh-CN"/>
              </w:rPr>
              <w:t>；“中国社会组织公共服务平台”网站（</w:t>
            </w:r>
            <w:r>
              <w:rPr>
                <w:rFonts w:hint="eastAsia" w:cs="仿宋_GB2312" w:asciiTheme="minorEastAsia" w:hAnsiTheme="minorEastAsia"/>
                <w:b/>
                <w:color w:val="000000"/>
                <w:szCs w:val="21"/>
                <w:shd w:val="clear" w:color="auto" w:fill="FFFFFF"/>
                <w:lang w:val="en-US" w:eastAsia="zh-CN"/>
              </w:rPr>
              <w:t>www.chinanpo.gov.cn）严重违法失信</w:t>
            </w:r>
            <w:r>
              <w:rPr>
                <w:rFonts w:hint="eastAsia" w:ascii="宋体" w:hAnsi="宋体"/>
                <w:b/>
                <w:bCs/>
                <w:szCs w:val="21"/>
              </w:rPr>
              <w:t>社会组织</w:t>
            </w:r>
            <w:r>
              <w:rPr>
                <w:rFonts w:hint="eastAsia" w:ascii="宋体" w:hAnsi="宋体"/>
                <w:b/>
                <w:bCs/>
                <w:szCs w:val="21"/>
                <w:lang w:val="en-US" w:eastAsia="zh-CN"/>
              </w:rPr>
              <w:t>的投标人</w:t>
            </w:r>
            <w:r>
              <w:rPr>
                <w:rFonts w:hint="eastAsia" w:cs="仿宋_GB2312" w:asciiTheme="minorEastAsia" w:hAnsiTheme="minorEastAsia"/>
                <w:b/>
                <w:color w:val="000000"/>
                <w:szCs w:val="21"/>
                <w:shd w:val="clear" w:color="auto" w:fill="FFFFFF"/>
                <w:lang w:val="en-US" w:eastAsia="zh-CN"/>
              </w:rPr>
              <w:t>。</w:t>
            </w:r>
          </w:p>
          <w:p>
            <w:pPr>
              <w:autoSpaceDE w:val="0"/>
              <w:autoSpaceDN w:val="0"/>
              <w:spacing w:line="360" w:lineRule="auto"/>
              <w:contextualSpacing/>
              <w:jc w:val="left"/>
              <w:rPr>
                <w:rFonts w:cs="宋体" w:asciiTheme="minorEastAsia" w:hAnsiTheme="minorEastAsia"/>
                <w:kern w:val="0"/>
                <w:szCs w:val="21"/>
                <w:highlight w:val="none"/>
              </w:rPr>
            </w:pPr>
            <w:r>
              <w:rPr>
                <w:rFonts w:hint="eastAsia" w:cs="仿宋_GB2312" w:asciiTheme="minorEastAsia" w:hAnsiTheme="minorEastAsia"/>
                <w:b/>
                <w:color w:val="000000"/>
                <w:szCs w:val="21"/>
                <w:highlight w:val="none"/>
                <w:shd w:val="clear" w:color="auto" w:fill="FFFFFF"/>
              </w:rPr>
              <w:t>（</w:t>
            </w:r>
            <w:r>
              <w:rPr>
                <w:rFonts w:hint="eastAsia" w:cs="宋体" w:asciiTheme="minorEastAsia" w:hAnsiTheme="minorEastAsia"/>
                <w:kern w:val="0"/>
                <w:szCs w:val="21"/>
                <w:highlight w:val="none"/>
              </w:rPr>
              <w:t>联合体形式投标的，联合体成员存在不良信用记录，视同联合体存在不良信用记录）。</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1、查询渠道：</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cs="宋体"/>
                <w:kern w:val="0"/>
                <w:highlight w:val="none"/>
              </w:rPr>
              <w:t>www.creditchina.gov.cn</w:t>
            </w:r>
            <w:r>
              <w:rPr>
                <w:rFonts w:hint="eastAsia"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hint="eastAsia" w:cs="宋体" w:asciiTheme="minorEastAsia" w:hAnsiTheme="minorEastAsia"/>
                <w:kern w:val="0"/>
                <w:szCs w:val="21"/>
                <w:highlight w:val="none"/>
              </w:rPr>
            </w:pPr>
            <w:r>
              <w:rPr>
                <w:rFonts w:hint="eastAsia" w:cs="宋体" w:asciiTheme="minorEastAsia" w:hAnsiTheme="minorEastAsia"/>
                <w:kern w:val="0"/>
                <w:szCs w:val="21"/>
                <w:highlight w:val="none"/>
              </w:rPr>
              <w:t>②“中国政府采购网”（www.ccgp.gov.cn）</w:t>
            </w:r>
          </w:p>
          <w:p>
            <w:pPr>
              <w:spacing w:line="360" w:lineRule="auto"/>
              <w:rPr>
                <w:rFonts w:hint="eastAsia" w:cs="宋体" w:asciiTheme="minorEastAsia" w:hAnsiTheme="minorEastAsia" w:eastAsiaTheme="minorEastAsia"/>
                <w:kern w:val="0"/>
                <w:szCs w:val="21"/>
                <w:highlight w:val="none"/>
                <w:lang w:eastAsia="zh-CN"/>
              </w:rPr>
            </w:pPr>
            <w:r>
              <w:rPr>
                <w:rFonts w:hint="default" w:cs="宋体" w:asciiTheme="minorEastAsia" w:hAnsiTheme="minorEastAsia"/>
                <w:kern w:val="0"/>
                <w:szCs w:val="21"/>
                <w:highlight w:val="none"/>
                <w:lang w:val="en-US" w:eastAsia="zh-CN"/>
              </w:rPr>
              <w:t>③</w:t>
            </w:r>
            <w:r>
              <w:rPr>
                <w:rFonts w:hint="eastAsia" w:cs="宋体" w:asciiTheme="minorEastAsia" w:hAnsiTheme="minorEastAsia"/>
                <w:kern w:val="0"/>
                <w:szCs w:val="21"/>
                <w:highlight w:val="none"/>
                <w:lang w:val="en-US" w:eastAsia="zh-CN"/>
              </w:rPr>
              <w:t>“中国社会组织公共服务平台”（www.chinanpo.gov.cn）</w:t>
            </w:r>
            <w:r>
              <w:rPr>
                <w:rFonts w:hint="eastAsia" w:cs="宋体" w:asciiTheme="minorEastAsia" w:hAnsiTheme="minorEastAsia"/>
                <w:kern w:val="0"/>
                <w:szCs w:val="21"/>
              </w:rPr>
              <w:t>（仅查询社会组织）</w:t>
            </w:r>
            <w:r>
              <w:rPr>
                <w:rFonts w:hint="eastAsia" w:cs="宋体" w:asciiTheme="minorEastAsia" w:hAnsiTheme="minorEastAsia"/>
                <w:kern w:val="0"/>
                <w:szCs w:val="21"/>
                <w:lang w:eastAsia="zh-CN"/>
              </w:rPr>
              <w:t>。</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2、截止时间：同投标截止时间；</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rPr>
              <w:t>3、信用信息查询记录和证据留存具体方式：经采购人确认的查询结果网页截图作为查询记录和证据，与其他采</w:t>
            </w:r>
            <w:r>
              <w:rPr>
                <w:rFonts w:hint="eastAsia" w:cs="宋体" w:asciiTheme="minorEastAsia" w:hAnsiTheme="minorEastAsia"/>
                <w:kern w:val="0"/>
                <w:szCs w:val="21"/>
                <w:highlight w:val="none"/>
              </w:rPr>
              <w:t>购文件一并保存；</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4、信用信息的使用原则：经采购人认定的被列入失信被执行人、重大税收违法案件当事人名单、政府采购严重违法失信行为记录名单</w:t>
            </w:r>
            <w:r>
              <w:rPr>
                <w:rFonts w:hint="eastAsia" w:cs="宋体" w:asciiTheme="minorEastAsia" w:hAnsiTheme="minorEastAsia"/>
                <w:kern w:val="0"/>
                <w:szCs w:val="21"/>
                <w:highlight w:val="none"/>
                <w:lang w:eastAsia="zh-CN"/>
              </w:rPr>
              <w:t>、</w:t>
            </w:r>
            <w:r>
              <w:rPr>
                <w:rFonts w:hint="eastAsia" w:cs="宋体" w:asciiTheme="minorEastAsia" w:hAnsiTheme="minorEastAsia"/>
                <w:kern w:val="0"/>
                <w:szCs w:val="21"/>
                <w:highlight w:val="none"/>
                <w:lang w:val="en-US" w:eastAsia="zh-CN"/>
              </w:rPr>
              <w:t>严重违法失信</w:t>
            </w:r>
            <w:r>
              <w:rPr>
                <w:rFonts w:hint="eastAsia" w:cs="宋体" w:asciiTheme="minorEastAsia" w:hAnsiTheme="minorEastAsia"/>
                <w:kern w:val="0"/>
                <w:szCs w:val="21"/>
                <w:highlight w:val="none"/>
              </w:rPr>
              <w:t>社会组织</w:t>
            </w:r>
            <w:r>
              <w:rPr>
                <w:rFonts w:hint="eastAsia" w:cs="宋体" w:asciiTheme="minorEastAsia" w:hAnsiTheme="minorEastAsia"/>
                <w:kern w:val="0"/>
                <w:szCs w:val="21"/>
                <w:highlight w:val="none"/>
                <w:lang w:val="en-US" w:eastAsia="zh-CN"/>
              </w:rPr>
              <w:t>的投标人</w:t>
            </w:r>
            <w:r>
              <w:rPr>
                <w:rFonts w:hint="eastAsia" w:cs="宋体" w:asciiTheme="minorEastAsia" w:hAnsiTheme="minorEastAsia"/>
                <w:kern w:val="0"/>
                <w:szCs w:val="21"/>
                <w:highlight w:val="none"/>
              </w:rPr>
              <w:t>，将拒绝其参与本次政府采购活动。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highlight w:val="none"/>
              </w:rPr>
              <w:t>5、</w:t>
            </w:r>
            <w:r>
              <w:rPr>
                <w:rFonts w:hint="eastAsia" w:ascii="Calibri" w:hAnsi="Calibri" w:eastAsia="宋体" w:cs="Times New Roman"/>
                <w:sz w:val="21"/>
                <w:szCs w:val="22"/>
              </w:rPr>
              <w:t>供应商无须提供信用记录查询结果网页截屏，投标人不良信用记录以采购人在开标现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jc w:val="left"/>
              <w:rPr>
                <w:rFonts w:cs="宋体" w:asciiTheme="minorEastAsia" w:hAnsiTheme="minorEastAsia"/>
                <w:bCs/>
                <w:sz w:val="24"/>
                <w:szCs w:val="24"/>
                <w:lang w:val="zh-CN"/>
              </w:rPr>
            </w:pPr>
            <w:r>
              <w:rPr>
                <w:rFonts w:hint="eastAsia" w:cs="宋体" w:asciiTheme="minorEastAsia" w:hAnsiTheme="minorEastAsia" w:eastAsiaTheme="minorEastAsia"/>
                <w:b/>
                <w:bCs w:val="0"/>
                <w:kern w:val="2"/>
                <w:sz w:val="24"/>
                <w:szCs w:val="24"/>
                <w:lang w:val="en-US" w:eastAsia="zh-CN" w:bidi="ar-SA"/>
              </w:rPr>
              <w:t>1217430</w:t>
            </w:r>
            <w:r>
              <w:rPr>
                <w:rFonts w:hint="eastAsia" w:cs="宋体" w:asciiTheme="minorEastAsia" w:hAnsiTheme="minorEastAsia" w:eastAsiaTheme="minorEastAsia"/>
                <w:b/>
                <w:bCs w:val="0"/>
                <w:kern w:val="2"/>
                <w:sz w:val="24"/>
                <w:szCs w:val="24"/>
                <w:lang w:val="zh-CN" w:eastAsia="zh-CN" w:bidi="ar-SA"/>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 w:val="13"/>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ascii="宋体" w:hAnsi="宋体" w:eastAsia="宋体" w:cs="仿宋_GB2312"/>
                <w:kern w:val="2"/>
                <w:sz w:val="24"/>
                <w:szCs w:val="24"/>
                <w:lang w:val="en-US" w:eastAsia="zh-CN" w:bidi="ar-SA"/>
              </w:rPr>
              <w:t>2020</w:t>
            </w:r>
            <w:r>
              <w:rPr>
                <w:rFonts w:hint="eastAsia" w:ascii="宋体" w:hAnsi="宋体" w:eastAsia="宋体" w:cs="仿宋_GB2312"/>
                <w:kern w:val="2"/>
                <w:sz w:val="24"/>
                <w:szCs w:val="24"/>
                <w:lang w:val="zh-CN" w:eastAsia="zh-CN" w:bidi="ar-SA"/>
              </w:rPr>
              <w:t>年</w:t>
            </w:r>
            <w:r>
              <w:rPr>
                <w:rFonts w:hint="eastAsia" w:ascii="宋体" w:hAnsi="宋体" w:eastAsia="宋体" w:cs="仿宋_GB2312"/>
                <w:kern w:val="2"/>
                <w:sz w:val="24"/>
                <w:szCs w:val="24"/>
                <w:lang w:val="en-US" w:eastAsia="zh-CN" w:bidi="ar-SA"/>
              </w:rPr>
              <w:t>4</w:t>
            </w:r>
            <w:r>
              <w:rPr>
                <w:rFonts w:hint="eastAsia" w:ascii="宋体" w:hAnsi="宋体" w:eastAsia="宋体" w:cs="仿宋_GB2312"/>
                <w:kern w:val="2"/>
                <w:sz w:val="24"/>
                <w:szCs w:val="24"/>
                <w:lang w:val="zh-CN" w:eastAsia="zh-CN" w:bidi="ar-SA"/>
              </w:rPr>
              <w:t>月</w:t>
            </w:r>
            <w:r>
              <w:rPr>
                <w:rFonts w:hint="eastAsia" w:ascii="宋体" w:hAnsi="宋体" w:eastAsia="宋体" w:cs="仿宋_GB2312"/>
                <w:kern w:val="2"/>
                <w:sz w:val="24"/>
                <w:szCs w:val="24"/>
                <w:lang w:val="en-US" w:eastAsia="zh-CN" w:bidi="ar-SA"/>
              </w:rPr>
              <w:t>2</w:t>
            </w:r>
            <w:r>
              <w:rPr>
                <w:rFonts w:hint="eastAsia" w:ascii="宋体" w:hAnsi="宋体" w:eastAsia="宋体" w:cs="仿宋_GB2312"/>
                <w:kern w:val="2"/>
                <w:sz w:val="24"/>
                <w:szCs w:val="24"/>
                <w:lang w:val="zh-CN" w:eastAsia="zh-CN" w:bidi="ar-SA"/>
              </w:rPr>
              <w:t>日</w:t>
            </w:r>
            <w:r>
              <w:rPr>
                <w:rFonts w:hint="eastAsia" w:ascii="宋体" w:hAnsi="宋体" w:eastAsia="宋体" w:cs="仿宋_GB2312"/>
                <w:kern w:val="2"/>
                <w:sz w:val="24"/>
                <w:szCs w:val="24"/>
                <w:lang w:val="en-US" w:eastAsia="zh-CN" w:bidi="ar-SA"/>
              </w:rPr>
              <w:t>09</w:t>
            </w:r>
            <w:r>
              <w:rPr>
                <w:rFonts w:hint="eastAsia" w:ascii="宋体" w:hAnsi="宋体" w:eastAsia="宋体" w:cs="仿宋_GB2312"/>
                <w:kern w:val="2"/>
                <w:sz w:val="24"/>
                <w:szCs w:val="24"/>
                <w:lang w:val="zh-CN" w:eastAsia="zh-CN" w:bidi="ar-SA"/>
              </w:rPr>
              <w:t>时</w:t>
            </w:r>
            <w:r>
              <w:rPr>
                <w:rFonts w:hint="eastAsia" w:ascii="宋体" w:hAnsi="宋体" w:eastAsia="宋体" w:cs="仿宋_GB2312"/>
                <w:kern w:val="2"/>
                <w:sz w:val="24"/>
                <w:szCs w:val="24"/>
                <w:lang w:val="en-US" w:eastAsia="zh-CN" w:bidi="ar-SA"/>
              </w:rPr>
              <w:t>00</w:t>
            </w:r>
            <w:r>
              <w:rPr>
                <w:rFonts w:hint="eastAsia" w:ascii="宋体" w:hAnsi="宋体" w:eastAsia="宋体" w:cs="仿宋_GB2312"/>
                <w:kern w:val="2"/>
                <w:sz w:val="24"/>
                <w:szCs w:val="24"/>
                <w:lang w:val="zh-CN" w:eastAsia="zh-CN" w:bidi="ar-SA"/>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pStyle w:val="21"/>
              <w:widowControl/>
              <w:shd w:val="clear" w:color="auto" w:fill="FFFFFF"/>
              <w:spacing w:line="360" w:lineRule="auto"/>
              <w:contextualSpacing/>
              <w:jc w:val="left"/>
              <w:rPr>
                <w:rFonts w:cs="宋体" w:asciiTheme="minorEastAsia" w:hAnsiTheme="minorEastAsia"/>
                <w:bCs/>
                <w:szCs w:val="21"/>
                <w:lang w:val="zh-CN"/>
              </w:rPr>
            </w:pPr>
            <w:r>
              <w:rPr>
                <w:rFonts w:hint="eastAsia" w:cs="仿宋_GB2312" w:asciiTheme="minorEastAsia" w:hAnsiTheme="minorEastAsia" w:eastAsiaTheme="minorEastAsia"/>
                <w:kern w:val="2"/>
                <w:sz w:val="21"/>
                <w:szCs w:val="21"/>
                <w:lang w:val="zh-CN" w:eastAsia="zh-CN" w:bidi="ar-SA"/>
              </w:rPr>
              <w:t>长葛市公共资源交易中心开标</w:t>
            </w:r>
            <w:r>
              <w:rPr>
                <w:rFonts w:hint="eastAsia" w:cs="仿宋_GB2312" w:asciiTheme="minorEastAsia" w:hAnsiTheme="minorEastAsia" w:eastAsiaTheme="minorEastAsia"/>
                <w:kern w:val="2"/>
                <w:sz w:val="21"/>
                <w:szCs w:val="21"/>
                <w:lang w:val="en-US" w:eastAsia="zh-CN" w:bidi="ar-SA"/>
              </w:rPr>
              <w:t>二</w:t>
            </w:r>
            <w:r>
              <w:rPr>
                <w:rFonts w:hint="eastAsia" w:cs="仿宋_GB2312" w:asciiTheme="minorEastAsia" w:hAnsiTheme="minorEastAsia" w:eastAsiaTheme="minorEastAsia"/>
                <w:kern w:val="2"/>
                <w:sz w:val="21"/>
                <w:szCs w:val="21"/>
                <w:lang w:val="zh-CN" w:eastAsia="zh-CN" w:bidi="ar-SA"/>
              </w:rPr>
              <w:t>室</w:t>
            </w:r>
            <w:r>
              <w:rPr>
                <w:rFonts w:hint="eastAsia" w:cs="仿宋_GB2312" w:asciiTheme="minorEastAsia" w:hAnsiTheme="minorEastAsia" w:eastAsiaTheme="minorEastAsia"/>
                <w:kern w:val="2"/>
                <w:sz w:val="21"/>
                <w:szCs w:val="21"/>
                <w:lang w:val="en-US" w:eastAsia="zh-CN" w:bidi="ar-SA"/>
              </w:rPr>
              <w:t>（长葛市葛天大道东段商务区6#楼  4楼409室）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rPr>
                <w:rFonts w:hint="eastAsia" w:cs="仿宋_GB2312" w:asciiTheme="minorEastAsia" w:hAnsiTheme="minorEastAsia" w:eastAsiaTheme="minorEastAsia"/>
                <w:szCs w:val="21"/>
                <w:lang w:val="zh-CN" w:eastAsia="zh-CN"/>
              </w:rPr>
            </w:pPr>
            <w:r>
              <w:rPr>
                <w:rFonts w:hint="eastAsia" w:cs="仿宋_GB2312" w:asciiTheme="minorEastAsia" w:hAnsiTheme="minorEastAsia"/>
                <w:szCs w:val="21"/>
                <w:lang w:eastAsia="zh-CN"/>
              </w:rPr>
              <w:t>按照河南省《</w:t>
            </w:r>
            <w:r>
              <w:rPr>
                <w:rFonts w:hint="eastAsia" w:cs="仿宋_GB2312" w:asciiTheme="minorEastAsia" w:hAnsiTheme="minorEastAsia"/>
                <w:szCs w:val="21"/>
              </w:rPr>
              <w:t>关于优化政府采购营商环境有关问题的通知</w:t>
            </w:r>
            <w:r>
              <w:rPr>
                <w:rFonts w:hint="eastAsia" w:cs="仿宋_GB2312" w:asciiTheme="minorEastAsia" w:hAnsiTheme="minorEastAsia"/>
                <w:szCs w:val="21"/>
                <w:lang w:eastAsia="zh-CN"/>
              </w:rPr>
              <w:t>》（豫财购（</w:t>
            </w:r>
            <w:r>
              <w:rPr>
                <w:rFonts w:hint="eastAsia" w:cs="仿宋_GB2312" w:asciiTheme="minorEastAsia" w:hAnsiTheme="minorEastAsia"/>
                <w:szCs w:val="21"/>
                <w:lang w:val="en-US" w:eastAsia="zh-CN"/>
              </w:rPr>
              <w:t>2019</w:t>
            </w:r>
            <w:r>
              <w:rPr>
                <w:rFonts w:hint="eastAsia" w:cs="仿宋_GB2312" w:asciiTheme="minorEastAsia" w:hAnsiTheme="minorEastAsia"/>
                <w:szCs w:val="21"/>
                <w:lang w:eastAsia="zh-CN"/>
              </w:rPr>
              <w:t>）</w:t>
            </w:r>
            <w:r>
              <w:rPr>
                <w:rFonts w:hint="eastAsia" w:cs="仿宋_GB2312" w:asciiTheme="minorEastAsia" w:hAnsiTheme="minorEastAsia"/>
                <w:szCs w:val="21"/>
                <w:lang w:val="en-US" w:eastAsia="zh-CN"/>
              </w:rPr>
              <w:t>4号文</w:t>
            </w:r>
            <w:r>
              <w:rPr>
                <w:rFonts w:hint="eastAsia" w:cs="仿宋_GB2312" w:asciiTheme="minorEastAsia" w:hAnsiTheme="minorEastAsia"/>
                <w:szCs w:val="21"/>
                <w:lang w:eastAsia="zh-CN"/>
              </w:rPr>
              <w:t>）的要求，不收取保证金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招标公告、中标公告、变更（更正）公告、现场勘察答复等相关信息同时在以下网站发布：《河南省政府采购网》、《全国公共资源交易平台（河南省·许昌市）》、《</w:t>
            </w:r>
            <w:r>
              <w:rPr>
                <w:rFonts w:hint="eastAsia" w:ascii="宋体" w:hAnsi="宋体" w:cs="宋体"/>
                <w:color w:val="000000"/>
                <w:szCs w:val="21"/>
              </w:rPr>
              <w:t>长葛市人民政府门户网站</w:t>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cs="仿宋_GB2312" w:asciiTheme="minorEastAsia" w:hAnsiTheme="minorEastAsia"/>
                <w:szCs w:val="21"/>
                <w:u w:val="none"/>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纸质投标文件：投标文件封面加盖投标人公章（投标文件是指投标人电子投标文件制作完成后生成的后缀名为</w:t>
            </w:r>
            <w:r>
              <w:rPr>
                <w:rFonts w:hint="eastAsia" w:hAnsi="宋体"/>
                <w:color w:val="000000"/>
                <w:szCs w:val="21"/>
                <w:highlight w:val="none"/>
              </w:rPr>
              <w:t>“.PDF”的文件</w:t>
            </w:r>
            <w:r>
              <w:rPr>
                <w:rFonts w:hint="eastAsia" w:ascii="新宋体" w:hAnsi="新宋体" w:eastAsia="新宋体"/>
                <w:szCs w:val="21"/>
                <w:highlight w:val="none"/>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highlight w:val="none"/>
                <w:lang w:val="zh-CN"/>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cs="仿宋_GB2312" w:asciiTheme="minorEastAsia" w:hAnsiTheme="minorEastAsia"/>
                <w:szCs w:val="21"/>
                <w:highlight w:val="none"/>
                <w:lang w:val="zh-CN"/>
              </w:rPr>
              <w:t>由采购人代表</w:t>
            </w:r>
            <w:r>
              <w:rPr>
                <w:rFonts w:hint="eastAsia" w:cs="仿宋_GB2312" w:asciiTheme="minorEastAsia" w:hAnsiTheme="minorEastAsia"/>
                <w:szCs w:val="21"/>
                <w:highlight w:val="none"/>
                <w:lang w:val="en-US" w:eastAsia="zh-CN"/>
              </w:rPr>
              <w:t>1人</w:t>
            </w:r>
            <w:r>
              <w:rPr>
                <w:rFonts w:hint="eastAsia" w:cs="仿宋_GB2312" w:asciiTheme="minorEastAsia" w:hAnsiTheme="minorEastAsia"/>
                <w:szCs w:val="21"/>
                <w:highlight w:val="none"/>
                <w:lang w:val="zh-CN"/>
              </w:rPr>
              <w:t>和评审专家</w:t>
            </w:r>
            <w:r>
              <w:rPr>
                <w:rFonts w:hint="eastAsia" w:cs="仿宋_GB2312" w:asciiTheme="minorEastAsia" w:hAnsiTheme="minorEastAsia"/>
                <w:szCs w:val="21"/>
                <w:highlight w:val="none"/>
                <w:lang w:val="en-US" w:eastAsia="zh-CN"/>
              </w:rPr>
              <w:t>4人</w:t>
            </w:r>
            <w:r>
              <w:rPr>
                <w:rFonts w:hint="eastAsia" w:cs="仿宋_GB2312" w:asciiTheme="minorEastAsia" w:hAnsiTheme="minorEastAsia"/>
                <w:szCs w:val="21"/>
                <w:highlight w:val="none"/>
                <w:lang w:val="zh-CN"/>
              </w:rPr>
              <w:t>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highlight w:val="none"/>
                <w:lang w:val="zh-CN"/>
              </w:rPr>
            </w:pPr>
            <w:r>
              <w:rPr>
                <w:rFonts w:hint="eastAsia" w:cs="仿宋_GB2312" w:asciiTheme="minorEastAsia" w:hAnsiTheme="minorEastAsia"/>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招标人代表及监督人员出席开标会议</w:t>
            </w:r>
          </w:p>
        </w:tc>
        <w:tc>
          <w:tcPr>
            <w:tcW w:w="6813" w:type="dxa"/>
            <w:vAlign w:val="center"/>
          </w:tcPr>
          <w:p>
            <w:pPr>
              <w:autoSpaceDE w:val="0"/>
              <w:autoSpaceDN w:val="0"/>
              <w:adjustRightInd w:val="0"/>
              <w:spacing w:line="360" w:lineRule="auto"/>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360" w:lineRule="auto"/>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履约担保</w:t>
            </w:r>
          </w:p>
        </w:tc>
        <w:tc>
          <w:tcPr>
            <w:tcW w:w="6813" w:type="dxa"/>
            <w:vAlign w:val="center"/>
          </w:tcPr>
          <w:p>
            <w:pPr>
              <w:autoSpaceDE w:val="0"/>
              <w:autoSpaceDN w:val="0"/>
              <w:spacing w:line="360" w:lineRule="auto"/>
              <w:contextualSpacing/>
              <w:rPr>
                <w:rFonts w:ascii="宋体" w:hAnsi="宋体" w:eastAsia="宋体" w:cs="宋体"/>
                <w:lang w:val="zh-CN"/>
              </w:rPr>
            </w:pPr>
            <w:r>
              <w:rPr>
                <w:rFonts w:hint="eastAsia" w:ascii="宋体" w:hAnsi="宋体" w:eastAsia="宋体" w:cs="宋体"/>
                <w:lang w:val="zh-CN"/>
              </w:rPr>
              <w:t>开户行：河南长葛农村商业银行股份有限公司营业部</w:t>
            </w:r>
          </w:p>
          <w:p>
            <w:pPr>
              <w:autoSpaceDE w:val="0"/>
              <w:autoSpaceDN w:val="0"/>
              <w:spacing w:line="360" w:lineRule="auto"/>
              <w:contextualSpacing/>
              <w:rPr>
                <w:rFonts w:ascii="宋体" w:hAnsi="宋体" w:eastAsia="宋体" w:cs="宋体"/>
                <w:lang w:val="zh-CN"/>
              </w:rPr>
            </w:pPr>
            <w:r>
              <w:rPr>
                <w:rFonts w:hint="eastAsia" w:ascii="宋体" w:hAnsi="宋体" w:eastAsia="宋体" w:cs="宋体"/>
                <w:lang w:val="zh-CN"/>
              </w:rPr>
              <w:t>户  名：长葛市公共资源交易中心</w:t>
            </w:r>
          </w:p>
          <w:p>
            <w:pPr>
              <w:autoSpaceDE w:val="0"/>
              <w:autoSpaceDN w:val="0"/>
              <w:spacing w:line="360" w:lineRule="auto"/>
              <w:contextualSpacing/>
              <w:rPr>
                <w:rFonts w:ascii="宋体" w:hAnsi="宋体" w:eastAsia="宋体" w:cs="宋体"/>
                <w:lang w:val="zh-CN"/>
              </w:rPr>
            </w:pPr>
            <w:r>
              <w:rPr>
                <w:rFonts w:hint="eastAsia" w:ascii="宋体" w:hAnsi="宋体" w:eastAsia="宋体" w:cs="宋体"/>
                <w:lang w:val="zh-CN"/>
              </w:rPr>
              <w:t>账  号：13201001800000552</w:t>
            </w:r>
          </w:p>
          <w:p>
            <w:pPr>
              <w:autoSpaceDE w:val="0"/>
              <w:autoSpaceDN w:val="0"/>
              <w:adjustRightInd w:val="0"/>
              <w:spacing w:line="360" w:lineRule="auto"/>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履约</w:t>
            </w:r>
            <w:r>
              <w:rPr>
                <w:rFonts w:hint="eastAsia" w:cs="宋体" w:asciiTheme="minorEastAsia" w:hAnsiTheme="minorEastAsia"/>
                <w:bCs/>
                <w:szCs w:val="21"/>
                <w:highlight w:val="none"/>
                <w:lang w:val="zh-CN" w:eastAsia="zh-CN"/>
              </w:rPr>
              <w:t>担保</w:t>
            </w:r>
            <w:r>
              <w:rPr>
                <w:rFonts w:hint="eastAsia" w:cs="宋体" w:asciiTheme="minorEastAsia" w:hAnsiTheme="minorEastAsia"/>
                <w:bCs/>
                <w:szCs w:val="21"/>
                <w:highlight w:val="none"/>
                <w:lang w:val="zh-CN"/>
              </w:rPr>
              <w:t>的金额：中标金额的10%。</w:t>
            </w:r>
          </w:p>
          <w:p>
            <w:pPr>
              <w:autoSpaceDE w:val="0"/>
              <w:autoSpaceDN w:val="0"/>
              <w:adjustRightInd w:val="0"/>
              <w:spacing w:line="360" w:lineRule="auto"/>
              <w:rPr>
                <w:rFonts w:hint="eastAsia"/>
                <w:lang w:eastAsia="zh-CN"/>
              </w:rPr>
            </w:pPr>
            <w:r>
              <w:rPr>
                <w:rFonts w:hint="eastAsia" w:cs="宋体" w:asciiTheme="minorEastAsia" w:hAnsiTheme="minorEastAsia"/>
                <w:bCs/>
                <w:szCs w:val="21"/>
                <w:highlight w:val="none"/>
                <w:lang w:val="zh-CN" w:eastAsia="zh-CN"/>
              </w:rPr>
              <w:t>供应商在汇款时备注部分说明，此为</w:t>
            </w:r>
            <w:r>
              <w:rPr>
                <w:rFonts w:hint="eastAsia" w:cs="宋体" w:asciiTheme="minorEastAsia" w:hAnsiTheme="minorEastAsia"/>
                <w:bCs/>
                <w:szCs w:val="21"/>
                <w:highlight w:val="none"/>
                <w:lang w:val="zh-CN"/>
              </w:rPr>
              <w:t>项目</w:t>
            </w:r>
            <w:r>
              <w:rPr>
                <w:rFonts w:hint="eastAsia"/>
              </w:rPr>
              <w:t>编号</w:t>
            </w:r>
            <w:r>
              <w:rPr>
                <w:rFonts w:hint="eastAsia"/>
                <w:u w:val="single"/>
              </w:rPr>
              <w:t>：</w:t>
            </w:r>
            <w:r>
              <w:rPr>
                <w:rFonts w:hint="eastAsia" w:cs="仿宋_GB2312" w:asciiTheme="minorEastAsia" w:hAnsiTheme="minorEastAsia"/>
                <w:szCs w:val="21"/>
                <w:lang w:val="en-US" w:eastAsia="zh-CN"/>
              </w:rPr>
              <w:t>长招采公字【2019】079号</w:t>
            </w:r>
            <w:r>
              <w:rPr>
                <w:rFonts w:hint="eastAsia"/>
                <w:lang w:eastAsia="zh-CN"/>
              </w:rPr>
              <w:t>项目的履约担保。</w:t>
            </w:r>
          </w:p>
          <w:p>
            <w:pPr>
              <w:pStyle w:val="2"/>
              <w:ind w:left="0" w:leftChars="0" w:firstLine="0" w:firstLineChars="0"/>
              <w:rPr>
                <w:rFonts w:hint="eastAsia"/>
                <w:lang w:val="zh-CN" w:eastAsia="zh-CN"/>
              </w:rPr>
            </w:pPr>
            <w:r>
              <w:rPr>
                <w:rFonts w:hint="eastAsia" w:asciiTheme="minorHAnsi" w:hAnsiTheme="minorHAnsi" w:eastAsiaTheme="minorEastAsia" w:cstheme="minorBidi"/>
                <w:kern w:val="2"/>
                <w:sz w:val="21"/>
                <w:szCs w:val="22"/>
                <w:lang w:val="en-US" w:eastAsia="zh-CN" w:bidi="ar-SA"/>
              </w:rPr>
              <w:t>中标供应商无正当理由不与招标人订立合同，在签订合同时向招标人提出附加条件或者不按照招标文件要求提交履约担保的，取消其中标资格。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ascii="宋体" w:hAnsi="宋体" w:eastAsia="宋体" w:cs="宋体"/>
                <w:lang w:val="zh-CN" w:bidi="ar-SA"/>
              </w:rPr>
              <w:t>代理服务费由中标供应商支付，按照中标价格标准</w:t>
            </w:r>
            <w:r>
              <w:rPr>
                <w:rFonts w:hint="eastAsia" w:ascii="新宋体" w:hAnsi="新宋体" w:eastAsia="新宋体"/>
                <w:szCs w:val="21"/>
              </w:rPr>
              <w:t>100万× 1.5 %+（500万-100万）×</w:t>
            </w:r>
            <w:r>
              <w:rPr>
                <w:rFonts w:hint="eastAsia" w:ascii="新宋体" w:hAnsi="新宋体" w:eastAsia="新宋体"/>
                <w:szCs w:val="21"/>
                <w:lang w:val="en-US" w:eastAsia="zh-CN"/>
              </w:rPr>
              <w:t>1.1</w:t>
            </w:r>
            <w:r>
              <w:rPr>
                <w:rFonts w:hint="eastAsia" w:ascii="新宋体" w:hAnsi="新宋体" w:eastAsia="新宋体"/>
                <w:szCs w:val="21"/>
              </w:rPr>
              <w:t>%</w:t>
            </w:r>
            <w:r>
              <w:rPr>
                <w:rFonts w:hint="eastAsia" w:ascii="宋体" w:hAnsi="宋体" w:eastAsia="宋体" w:cs="宋体"/>
                <w:lang w:val="zh-CN" w:bidi="ar-SA"/>
              </w:rPr>
              <w:t>。中标通知书发出前，以现金或转账形式交纳。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中标人在接到中标通知时，须</w:t>
            </w:r>
            <w:r>
              <w:rPr>
                <w:rFonts w:hint="eastAsia" w:ascii="新宋体" w:hAnsi="新宋体" w:eastAsia="新宋体"/>
                <w:szCs w:val="21"/>
                <w:highlight w:val="none"/>
              </w:rPr>
              <w:t>向</w:t>
            </w:r>
            <w:r>
              <w:rPr>
                <w:rFonts w:hint="eastAsia" w:ascii="新宋体" w:hAnsi="新宋体" w:eastAsia="新宋体"/>
                <w:szCs w:val="21"/>
                <w:highlight w:val="none"/>
                <w:lang w:eastAsia="zh-CN"/>
              </w:rPr>
              <w:t>代理机构</w:t>
            </w:r>
            <w:r>
              <w:rPr>
                <w:rFonts w:hint="eastAsia" w:ascii="新宋体" w:hAnsi="新宋体" w:eastAsia="新宋体"/>
                <w:szCs w:val="21"/>
                <w:highlight w:val="none"/>
              </w:rPr>
              <w:t>发</w:t>
            </w:r>
            <w:r>
              <w:rPr>
                <w:rFonts w:hint="eastAsia" w:cs="宋体" w:asciiTheme="minorEastAsia" w:hAnsiTheme="minorEastAsia"/>
                <w:bCs/>
                <w:szCs w:val="21"/>
                <w:highlight w:val="none"/>
                <w:lang w:val="zh-CN"/>
              </w:rPr>
              <w:t>送投标报价及分项报价一览表（包含主要中标标的的名称、规格型号、数量、单价、服务要求等）电子文档，并同时通知代理机构。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不同供应商电子投标文件制作硬件特征码（网卡MAC地址、CPU序号、硬盘序列号等）</w:t>
            </w:r>
            <w:r>
              <w:rPr>
                <w:rFonts w:hint="eastAsia" w:ascii="ˎ̥" w:hAnsi="ˎ̥"/>
                <w:highlight w:val="none"/>
                <w:lang w:eastAsia="zh-CN"/>
              </w:rPr>
              <w:t>均一致</w:t>
            </w:r>
            <w:r>
              <w:rPr>
                <w:rFonts w:hint="eastAsia" w:ascii="ˎ̥" w:hAnsi="ˎ̥"/>
                <w:highlight w:val="none"/>
              </w:rPr>
              <w:t>时，视为‘</w:t>
            </w:r>
            <w:r>
              <w:rPr>
                <w:rFonts w:ascii="ˎ̥" w:hAnsi="ˎ̥"/>
                <w:highlight w:val="none"/>
              </w:rPr>
              <w:t>不同</w:t>
            </w:r>
            <w:r>
              <w:rPr>
                <w:rFonts w:hint="eastAsia" w:ascii="ˎ̥" w:hAnsi="ˎ̥"/>
                <w:highlight w:val="none"/>
              </w:rPr>
              <w:t>投标人的投标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highlight w:val="none"/>
              </w:rPr>
              <w:t>评审专家应严格按照要求查看“硬件特征码” 相关信息并进行评审，在评审报告中显示“不同投标人电子投标文件制作硬件特征码”是否</w:t>
            </w:r>
            <w:r>
              <w:rPr>
                <w:rFonts w:hint="eastAsia" w:ascii="ˎ̥" w:hAnsi="ˎ̥"/>
                <w:highlight w:val="none"/>
                <w:lang w:eastAsia="zh-CN"/>
              </w:rPr>
              <w:t>均一致</w:t>
            </w:r>
            <w:r>
              <w:rPr>
                <w:rFonts w:hint="eastAsia" w:ascii="ˎ̥" w:hAnsi="ˎ̥"/>
                <w:highlight w:val="none"/>
              </w:rPr>
              <w:t>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9"/>
        <w:numPr>
          <w:ilvl w:val="0"/>
          <w:numId w:val="0"/>
        </w:numPr>
        <w:autoSpaceDE w:val="0"/>
        <w:autoSpaceDN w:val="0"/>
        <w:spacing w:line="360" w:lineRule="auto"/>
        <w:ind w:left="420" w:leftChars="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3.3  </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政府采购活动中查询及使用投标人信用记录的具体要求为：投标人未被列入失信被执行人、重大税收违法案件当事人名单、政府采购严重违法失信行为记录名单</w:t>
      </w:r>
      <w:r>
        <w:rPr>
          <w:rFonts w:hint="eastAsia" w:cs="宋体" w:asciiTheme="minorEastAsia" w:hAnsiTheme="minorEastAsia"/>
          <w:kern w:val="0"/>
          <w:szCs w:val="21"/>
          <w:lang w:eastAsia="zh-CN"/>
        </w:rPr>
        <w:t>、</w:t>
      </w:r>
      <w:r>
        <w:rPr>
          <w:rFonts w:hint="eastAsia" w:cs="宋体" w:asciiTheme="minorEastAsia" w:hAnsiTheme="minorEastAsia"/>
          <w:kern w:val="0"/>
          <w:szCs w:val="21"/>
          <w:lang w:val="en-US" w:eastAsia="zh-CN"/>
        </w:rPr>
        <w:t>严重违法失信</w:t>
      </w:r>
      <w:r>
        <w:rPr>
          <w:rFonts w:hint="eastAsia" w:ascii="宋体" w:hAnsi="宋体"/>
          <w:bCs/>
          <w:szCs w:val="21"/>
        </w:rPr>
        <w:t>社会组织名单的</w:t>
      </w:r>
      <w:r>
        <w:rPr>
          <w:rFonts w:hint="eastAsia" w:ascii="宋体" w:hAnsi="宋体"/>
          <w:bCs/>
          <w:szCs w:val="21"/>
          <w:lang w:val="en-US" w:eastAsia="zh-CN"/>
        </w:rPr>
        <w:t>投标人</w:t>
      </w:r>
      <w:r>
        <w:rPr>
          <w:rFonts w:hint="eastAsia" w:cs="宋体" w:asciiTheme="minorEastAsia" w:hAnsiTheme="minorEastAsia"/>
          <w:kern w:val="0"/>
          <w:szCs w:val="21"/>
          <w:lang w:val="en-US" w:eastAsia="zh-CN"/>
        </w:rPr>
        <w:t>。</w:t>
      </w:r>
      <w:r>
        <w:rPr>
          <w:rFonts w:hint="eastAsia" w:cs="宋体" w:asciiTheme="minorEastAsia" w:hAnsiTheme="minorEastAsia"/>
          <w:kern w:val="0"/>
          <w:szCs w:val="21"/>
        </w:rPr>
        <w:t>（联合体形式投标的，联合体成员存在不良信用记录，视同联合体存在不良信用记录）。</w:t>
      </w:r>
    </w:p>
    <w:p>
      <w:pPr>
        <w:pStyle w:val="39"/>
        <w:numPr>
          <w:ilvl w:val="0"/>
          <w:numId w:val="0"/>
        </w:numPr>
        <w:autoSpaceDE w:val="0"/>
        <w:autoSpaceDN w:val="0"/>
        <w:spacing w:line="360" w:lineRule="auto"/>
        <w:ind w:left="42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  （1）查询渠道：“信用中国”网站（www.creditchina.gov.cn）、“中国政府采购网”（www.ccgp.gov.cn）、；“中国社会组织公共服务平台”网站（www.chinanpo.gov.cn）。</w:t>
      </w:r>
      <w:r>
        <w:rPr>
          <w:rFonts w:hint="eastAsia" w:cs="宋体" w:asciiTheme="minorEastAsia" w:hAnsiTheme="minorEastAsia"/>
          <w:kern w:val="0"/>
          <w:szCs w:val="21"/>
        </w:rPr>
        <w:t>；</w:t>
      </w:r>
    </w:p>
    <w:p>
      <w:pPr>
        <w:pStyle w:val="39"/>
        <w:numPr>
          <w:ilvl w:val="0"/>
          <w:numId w:val="0"/>
        </w:numPr>
        <w:autoSpaceDE w:val="0"/>
        <w:autoSpaceDN w:val="0"/>
        <w:spacing w:line="360" w:lineRule="auto"/>
        <w:ind w:left="420" w:leftChars="0" w:firstLine="630" w:firstLineChars="300"/>
        <w:contextualSpacing/>
        <w:rPr>
          <w:rFonts w:hint="eastAsia" w:cs="宋体" w:asciiTheme="minorEastAsia" w:hAnsiTheme="minorEastAsia"/>
          <w:kern w:val="0"/>
          <w:szCs w:val="21"/>
        </w:rPr>
      </w:pPr>
      <w:r>
        <w:rPr>
          <w:rFonts w:hint="eastAsia" w:cs="宋体" w:asciiTheme="minorEastAsia" w:hAnsiTheme="minorEastAsia"/>
          <w:kern w:val="0"/>
          <w:szCs w:val="21"/>
        </w:rPr>
        <w:t>（2）截止时间：同投标截止时间；</w:t>
      </w:r>
    </w:p>
    <w:p>
      <w:pPr>
        <w:pStyle w:val="39"/>
        <w:numPr>
          <w:ilvl w:val="0"/>
          <w:numId w:val="0"/>
        </w:numPr>
        <w:autoSpaceDE w:val="0"/>
        <w:autoSpaceDN w:val="0"/>
        <w:spacing w:line="360" w:lineRule="auto"/>
        <w:ind w:left="420" w:leftChars="0" w:firstLine="630" w:firstLineChars="300"/>
        <w:contextualSpacing/>
        <w:rPr>
          <w:rFonts w:hint="eastAsia"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pStyle w:val="39"/>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w:t>
      </w:r>
      <w:r>
        <w:rPr>
          <w:rFonts w:hint="eastAsia" w:cs="宋体" w:asciiTheme="minorEastAsia" w:hAnsiTheme="minorEastAsia"/>
          <w:kern w:val="0"/>
          <w:szCs w:val="21"/>
          <w:lang w:eastAsia="zh-CN"/>
        </w:rPr>
        <w:t>、</w:t>
      </w:r>
      <w:r>
        <w:rPr>
          <w:rFonts w:hint="eastAsia" w:cs="宋体" w:asciiTheme="minorEastAsia" w:hAnsiTheme="minorEastAsia"/>
          <w:kern w:val="0"/>
          <w:szCs w:val="21"/>
          <w:lang w:val="en-US" w:eastAsia="zh-CN"/>
        </w:rPr>
        <w:t>严重违法失信</w:t>
      </w:r>
      <w:r>
        <w:rPr>
          <w:rFonts w:hint="eastAsia" w:ascii="宋体" w:hAnsi="宋体"/>
          <w:bCs/>
          <w:szCs w:val="21"/>
        </w:rPr>
        <w:t>社会组织名单的</w:t>
      </w:r>
      <w:r>
        <w:rPr>
          <w:rFonts w:hint="eastAsia" w:ascii="宋体" w:hAnsi="宋体"/>
          <w:bCs/>
          <w:szCs w:val="21"/>
          <w:lang w:val="en-US" w:eastAsia="zh-CN"/>
        </w:rPr>
        <w:t>投标人</w:t>
      </w:r>
      <w:r>
        <w:rPr>
          <w:rFonts w:hint="eastAsia" w:cs="宋体" w:asciiTheme="minorEastAsia" w:hAnsiTheme="minorEastAsia"/>
          <w:kern w:val="0"/>
          <w:szCs w:val="21"/>
        </w:rPr>
        <w:t>的投标人，将拒绝其参与本次政府采购活动。</w:t>
      </w:r>
    </w:p>
    <w:p>
      <w:pPr>
        <w:pStyle w:val="39"/>
        <w:autoSpaceDE w:val="0"/>
        <w:autoSpaceDN w:val="0"/>
        <w:spacing w:line="360" w:lineRule="auto"/>
        <w:ind w:left="850" w:leftChars="405" w:firstLine="0"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（5）</w:t>
      </w:r>
      <w:r>
        <w:rPr>
          <w:rFonts w:hint="eastAsia" w:ascii="Calibri" w:hAnsi="Calibri" w:eastAsia="宋体" w:cs="Times New Roman"/>
          <w:sz w:val="21"/>
          <w:szCs w:val="22"/>
        </w:rPr>
        <w:t>供应商无须提供信用记录查询结果网页截屏，投标人不良信用记录以采购人在开标现场查询结果为准，采购人查询之后，网站信息发生的任何变更不再作为评审依据，投标人自行提供的与网站信息不一致的其他证明材料亦不作为评审依据。</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单位负责人为同一人或者存在直接控股、管理关系的不同供应商，不得同时参加本项目投标。违反规定的，相关投标均无效。</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为采购项目提供整体设计、规范编制或者项目管理、监理、检测等服务的供应商，不得再参加该采购项目的其他采购活动。</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“投标邀请”和“投标人须知前附表”规定接受联合体投标的，除应符合本章第</w:t>
      </w:r>
      <w:r>
        <w:rPr>
          <w:rFonts w:cs="宋体" w:asciiTheme="minorEastAsia" w:hAnsiTheme="minorEastAsia"/>
          <w:kern w:val="0"/>
          <w:szCs w:val="21"/>
          <w:highlight w:val="none"/>
        </w:rPr>
        <w:t>3.1</w:t>
      </w:r>
      <w:r>
        <w:rPr>
          <w:rFonts w:hint="eastAsia" w:cs="宋体" w:asciiTheme="minorEastAsia" w:hAnsiTheme="minorEastAsia"/>
          <w:kern w:val="0"/>
          <w:szCs w:val="21"/>
          <w:highlight w:val="none"/>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河南省政府采购网》、《全国公共资源交易平台（河南省·许昌市）》、《长葛市人民政府门户网站》公开发布。投标人在参与本采购项目招投标活动期</w:t>
      </w:r>
      <w:r>
        <w:rPr>
          <w:rFonts w:hint="eastAsia" w:cs="宋体" w:asciiTheme="minorEastAsia" w:hAnsiTheme="minorEastAsia"/>
          <w:kern w:val="0"/>
          <w:szCs w:val="21"/>
          <w:highlight w:val="none"/>
        </w:rPr>
        <w:t>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highlight w:val="none"/>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采购代理机构代理费用收取标准和方式</w:t>
      </w:r>
    </w:p>
    <w:p>
      <w:pPr>
        <w:pStyle w:val="39"/>
        <w:numPr>
          <w:ilvl w:val="0"/>
          <w:numId w:val="13"/>
        </w:numPr>
        <w:autoSpaceDE w:val="0"/>
        <w:autoSpaceDN w:val="0"/>
        <w:spacing w:line="360" w:lineRule="auto"/>
        <w:ind w:firstLineChars="0"/>
        <w:contextualSpacing/>
        <w:rPr>
          <w:rFonts w:ascii="宋体" w:hAnsi="宋体" w:cs="宋体"/>
          <w:kern w:val="0"/>
          <w:szCs w:val="21"/>
          <w:highlight w:val="none"/>
        </w:rPr>
      </w:pPr>
      <w:r>
        <w:rPr>
          <w:rFonts w:hint="eastAsia" w:ascii="宋体" w:hAnsi="宋体" w:cs="宋体"/>
          <w:kern w:val="0"/>
          <w:szCs w:val="21"/>
          <w:highlight w:val="none"/>
        </w:rPr>
        <w:t>收取标准：收取。详见投标人须知前附表。</w:t>
      </w:r>
    </w:p>
    <w:p>
      <w:pPr>
        <w:pStyle w:val="39"/>
        <w:numPr>
          <w:ilvl w:val="1"/>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highlight w:val="none"/>
        </w:rPr>
        <w:t>收取方式：</w:t>
      </w:r>
      <w:r>
        <w:rPr>
          <w:rFonts w:hint="eastAsia" w:ascii="宋体" w:hAnsi="宋体" w:cs="宋体"/>
          <w:kern w:val="0"/>
          <w:szCs w:val="21"/>
          <w:highlight w:val="none"/>
          <w:lang w:val="zh-CN"/>
        </w:rPr>
        <w:t>中标通知书发出前，以现金或转账形式交纳</w:t>
      </w:r>
      <w:r>
        <w:rPr>
          <w:rFonts w:hint="eastAsia" w:ascii="宋体" w:hAnsi="宋体" w:cs="宋体"/>
          <w:kern w:val="0"/>
          <w:szCs w:val="21"/>
          <w:highlight w:val="none"/>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w:t>
      </w:r>
      <w:r>
        <w:rPr>
          <w:rFonts w:hint="eastAsia" w:cs="宋体" w:asciiTheme="minorEastAsia" w:hAnsiTheme="minorEastAsia"/>
          <w:kern w:val="0"/>
          <w:szCs w:val="21"/>
          <w:lang w:eastAsia="zh-CN"/>
        </w:rPr>
        <w:t>投标人将承担相应责任</w:t>
      </w:r>
      <w:r>
        <w:rPr>
          <w:rFonts w:hint="eastAsia" w:cs="宋体" w:asciiTheme="minorEastAsia" w:hAnsiTheme="minorEastAsia"/>
          <w:kern w:val="0"/>
          <w:szCs w:val="21"/>
        </w:rPr>
        <w:t>。</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投标人根据招标文件的规定和采购项目的实际情</w:t>
      </w:r>
      <w:r>
        <w:rPr>
          <w:rFonts w:hint="eastAsia" w:cs="宋体" w:asciiTheme="minorEastAsia" w:hAnsiTheme="minorEastAsia"/>
          <w:kern w:val="0"/>
          <w:szCs w:val="21"/>
          <w:highlight w:val="none"/>
        </w:rPr>
        <w:t>况，拟在中标后将中标项目的非主体、非关键性工作分包的，应当在投标文件中载明分包承担主体，分包承担主体应当具备相应资质条件且不得再次分包。</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highlight w:val="none"/>
        </w:rPr>
        <w:t>.file</w:t>
      </w:r>
      <w:r>
        <w:rPr>
          <w:rFonts w:hint="eastAsia" w:cs="宋体" w:asciiTheme="minorEastAsia" w:hAnsiTheme="minorEastAsia"/>
          <w:kern w:val="0"/>
          <w:szCs w:val="21"/>
          <w:highlight w:val="none"/>
        </w:rPr>
        <w:t>”的文件用于电子投标使用，后缀名为“.PDF”的文件用于打印纸质投</w:t>
      </w:r>
      <w:r>
        <w:rPr>
          <w:rFonts w:hint="eastAsia" w:cs="宋体" w:asciiTheme="minorEastAsia" w:hAnsiTheme="minorEastAsia"/>
          <w:kern w:val="0"/>
          <w:szCs w:val="21"/>
        </w:rPr>
        <w:t>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9"/>
        <w:numPr>
          <w:ilvl w:val="0"/>
          <w:numId w:val="0"/>
        </w:numPr>
        <w:autoSpaceDE w:val="0"/>
        <w:autoSpaceDN w:val="0"/>
        <w:spacing w:line="360" w:lineRule="auto"/>
        <w:ind w:left="420" w:leftChars="0"/>
        <w:contextualSpacing/>
        <w:rPr>
          <w:rFonts w:hint="eastAsia" w:cs="宋体" w:asciiTheme="minorEastAsia" w:hAnsiTheme="minorEastAsia"/>
          <w:kern w:val="0"/>
          <w:szCs w:val="21"/>
        </w:rPr>
      </w:pPr>
      <w:r>
        <w:rPr>
          <w:rFonts w:hint="eastAsia" w:cs="宋体" w:asciiTheme="minorEastAsia" w:hAnsiTheme="minorEastAsia"/>
          <w:kern w:val="0"/>
          <w:szCs w:val="21"/>
          <w:lang w:eastAsia="zh-CN"/>
        </w:rPr>
        <w:t>不收取</w:t>
      </w: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w:t>
      </w:r>
      <w:r>
        <w:rPr>
          <w:rFonts w:hint="eastAsia" w:cs="宋体" w:asciiTheme="minorEastAsia" w:hAnsiTheme="minorEastAsia"/>
          <w:kern w:val="0"/>
          <w:szCs w:val="21"/>
          <w:lang w:eastAsia="zh-CN"/>
        </w:rPr>
        <w:t>投标人将承担相应责任</w:t>
      </w:r>
      <w:r>
        <w:rPr>
          <w:rFonts w:hint="eastAsia" w:cs="宋体" w:asciiTheme="minorEastAsia" w:hAnsiTheme="minorEastAsia"/>
          <w:kern w:val="0"/>
          <w:szCs w:val="21"/>
        </w:rPr>
        <w:t>。</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w:t>
      </w:r>
      <w:r>
        <w:rPr>
          <w:rFonts w:hint="eastAsia" w:cs="宋体" w:asciiTheme="minorEastAsia" w:hAnsiTheme="minorEastAsia"/>
          <w:kern w:val="0"/>
          <w:szCs w:val="21"/>
          <w:lang w:eastAsia="zh-CN"/>
        </w:rPr>
        <w:t>代表</w:t>
      </w:r>
      <w:r>
        <w:rPr>
          <w:rFonts w:hint="eastAsia" w:cs="宋体" w:asciiTheme="minorEastAsia" w:hAnsiTheme="minorEastAsia"/>
          <w:kern w:val="0"/>
          <w:szCs w:val="21"/>
          <w:lang w:val="en-US" w:eastAsia="zh-CN"/>
        </w:rPr>
        <w:t>1人</w:t>
      </w:r>
      <w:r>
        <w:rPr>
          <w:rFonts w:hint="eastAsia" w:cs="宋体" w:asciiTheme="minorEastAsia" w:hAnsiTheme="minorEastAsia"/>
          <w:kern w:val="0"/>
          <w:szCs w:val="21"/>
        </w:rPr>
        <w:t>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rPr>
        <w:t>评标委员会的组成</w:t>
      </w:r>
    </w:p>
    <w:p>
      <w:pPr>
        <w:pStyle w:val="39"/>
        <w:numPr>
          <w:ilvl w:val="0"/>
          <w:numId w:val="19"/>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招标人将依法组建评标委员会，评标委员会由采购人代表</w:t>
      </w:r>
      <w:r>
        <w:rPr>
          <w:rFonts w:hint="eastAsia" w:cs="宋体" w:asciiTheme="minorEastAsia" w:hAnsiTheme="minorEastAsia"/>
          <w:kern w:val="0"/>
          <w:szCs w:val="21"/>
          <w:highlight w:val="none"/>
          <w:lang w:val="en-US" w:eastAsia="zh-CN"/>
        </w:rPr>
        <w:t>1人</w:t>
      </w:r>
      <w:r>
        <w:rPr>
          <w:rFonts w:hint="eastAsia" w:cs="宋体" w:asciiTheme="minorEastAsia" w:hAnsiTheme="minorEastAsia"/>
          <w:kern w:val="0"/>
          <w:szCs w:val="21"/>
          <w:highlight w:val="none"/>
        </w:rPr>
        <w:t>和评审专家</w:t>
      </w:r>
      <w:r>
        <w:rPr>
          <w:rFonts w:hint="eastAsia" w:cs="宋体" w:asciiTheme="minorEastAsia" w:hAnsiTheme="minorEastAsia"/>
          <w:kern w:val="0"/>
          <w:szCs w:val="21"/>
          <w:highlight w:val="none"/>
          <w:lang w:val="en-US" w:eastAsia="zh-CN"/>
        </w:rPr>
        <w:t>4人</w:t>
      </w:r>
      <w:r>
        <w:rPr>
          <w:rFonts w:hint="eastAsia" w:cs="宋体" w:asciiTheme="minorEastAsia" w:hAnsiTheme="minorEastAsia"/>
          <w:kern w:val="0"/>
          <w:szCs w:val="21"/>
          <w:highlight w:val="none"/>
        </w:rPr>
        <w:t>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26.1.2  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（1）采购预算金额在1000万元以上；</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9"/>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9"/>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9"/>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w:t>
      </w: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w:t>
      </w:r>
      <w:r>
        <w:rPr>
          <w:rFonts w:hint="eastAsia" w:cs="宋体" w:asciiTheme="minorEastAsia" w:hAnsiTheme="minorEastAsia"/>
          <w:kern w:val="0"/>
          <w:szCs w:val="21"/>
          <w:lang w:val="en-US" w:eastAsia="zh-CN"/>
        </w:rPr>
        <w:t>2</w:t>
      </w:r>
      <w:r>
        <w:rPr>
          <w:rFonts w:hint="eastAsia" w:cs="宋体" w:asciiTheme="minorEastAsia" w:hAnsiTheme="minorEastAsia"/>
          <w:kern w:val="0"/>
          <w:szCs w:val="21"/>
        </w:rPr>
        <w:t>）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w:t>
      </w: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按照《关于推进全流程电子化交易和在线监管工作有关问题的通知》（许公管办[2019]3号）规定，不同投标人电子投标文件制作硬件特征码（网卡MAC地址、CPU序号、硬盘序列号等）雷同时，视为‘</w:t>
      </w:r>
      <w:r>
        <w:rPr>
          <w:rFonts w:ascii="ˎ̥" w:hAnsi="ˎ̥"/>
          <w:highlight w:val="none"/>
        </w:rPr>
        <w:t>不同</w:t>
      </w:r>
      <w:r>
        <w:rPr>
          <w:rFonts w:hint="eastAsia" w:ascii="ˎ̥" w:hAnsi="ˎ̥"/>
          <w:highlight w:val="none"/>
        </w:rPr>
        <w:t>投标人</w:t>
      </w:r>
      <w:r>
        <w:rPr>
          <w:rFonts w:ascii="ˎ̥" w:hAnsi="ˎ̥"/>
          <w:highlight w:val="none"/>
        </w:rPr>
        <w:t>的</w:t>
      </w:r>
      <w:r>
        <w:rPr>
          <w:rFonts w:hint="eastAsia" w:ascii="ˎ̥" w:hAnsi="ˎ̥"/>
          <w:highlight w:val="none"/>
        </w:rPr>
        <w:t>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highlight w:val="none"/>
        </w:rPr>
      </w:pPr>
      <w:r>
        <w:rPr>
          <w:rFonts w:cs="宋体" w:asciiTheme="minorEastAsia" w:hAnsiTheme="minorEastAsia"/>
          <w:kern w:val="0"/>
          <w:szCs w:val="21"/>
          <w:highlight w:val="none"/>
        </w:rPr>
        <w:t>法律、法规和招标文件规定的其他无效情形。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9"/>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w:t>
      </w:r>
      <w:r>
        <w:rPr>
          <w:rFonts w:hint="eastAsia" w:cs="宋体" w:asciiTheme="minorEastAsia" w:hAnsiTheme="minorEastAsia"/>
          <w:kern w:val="0"/>
          <w:szCs w:val="21"/>
          <w:lang w:eastAsia="zh-CN"/>
        </w:rPr>
        <w:t>核心产品</w:t>
      </w:r>
      <w:r>
        <w:rPr>
          <w:rFonts w:hint="eastAsia" w:cs="宋体" w:asciiTheme="minorEastAsia" w:hAnsiTheme="minorEastAsia"/>
          <w:kern w:val="0"/>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9"/>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9"/>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9"/>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9"/>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9"/>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9"/>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9"/>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w:t>
      </w:r>
      <w:r>
        <w:rPr>
          <w:rFonts w:hint="eastAsia" w:cs="宋体" w:asciiTheme="minorEastAsia" w:hAnsiTheme="minorEastAsia"/>
          <w:b/>
          <w:kern w:val="0"/>
          <w:szCs w:val="21"/>
          <w:lang w:eastAsia="zh-CN"/>
        </w:rPr>
        <w:t>担保</w:t>
      </w:r>
    </w:p>
    <w:p>
      <w:pPr>
        <w:spacing w:line="400" w:lineRule="exact"/>
        <w:ind w:firstLine="840" w:firstLineChars="400"/>
        <w:rPr>
          <w:rFonts w:hint="eastAsia" w:ascii="宋体" w:hAnsi="宋体"/>
          <w:szCs w:val="21"/>
        </w:rPr>
      </w:pPr>
      <w:r>
        <w:rPr>
          <w:rFonts w:hint="eastAsia" w:ascii="宋体" w:hAnsi="宋体"/>
          <w:szCs w:val="21"/>
        </w:rPr>
        <w:t>在签订合同前，中标人应按供应商“ 投标人须知前附表”提交履约</w:t>
      </w:r>
      <w:r>
        <w:rPr>
          <w:rFonts w:hint="eastAsia" w:ascii="宋体" w:hAnsi="宋体"/>
          <w:szCs w:val="21"/>
          <w:lang w:eastAsia="zh-CN"/>
        </w:rPr>
        <w:t>担保</w:t>
      </w:r>
      <w:r>
        <w:rPr>
          <w:rFonts w:hint="eastAsia" w:ascii="宋体" w:hAnsi="宋体"/>
          <w:szCs w:val="21"/>
        </w:rPr>
        <w:t>。</w:t>
      </w:r>
    </w:p>
    <w:p>
      <w:pPr>
        <w:spacing w:line="400" w:lineRule="exact"/>
        <w:rPr>
          <w:rFonts w:hint="eastAsia"/>
          <w:szCs w:val="21"/>
        </w:rPr>
      </w:pPr>
      <w:r>
        <w:rPr>
          <w:rFonts w:hint="eastAsia" w:ascii="宋体" w:hAnsi="宋体"/>
          <w:szCs w:val="21"/>
          <w:lang w:val="en-US" w:eastAsia="zh-CN"/>
        </w:rPr>
        <w:t xml:space="preserve">        </w:t>
      </w:r>
      <w:r>
        <w:rPr>
          <w:rFonts w:hint="eastAsia" w:ascii="宋体" w:hAnsi="宋体"/>
          <w:szCs w:val="21"/>
        </w:rPr>
        <w:t>中标人不能</w:t>
      </w:r>
      <w:r>
        <w:rPr>
          <w:rFonts w:hint="eastAsia" w:ascii="宋体" w:hAnsi="宋体"/>
          <w:szCs w:val="21"/>
          <w:lang w:eastAsia="zh-CN"/>
        </w:rPr>
        <w:t>按照</w:t>
      </w:r>
      <w:r>
        <w:rPr>
          <w:rFonts w:hint="eastAsia" w:ascii="宋体" w:hAnsi="宋体"/>
          <w:szCs w:val="21"/>
        </w:rPr>
        <w:t>“ 投标人须知前附表”提交履约</w:t>
      </w:r>
      <w:r>
        <w:rPr>
          <w:rFonts w:hint="eastAsia" w:ascii="宋体" w:hAnsi="宋体"/>
          <w:szCs w:val="21"/>
          <w:lang w:eastAsia="zh-CN"/>
        </w:rPr>
        <w:t>担保</w:t>
      </w:r>
      <w:r>
        <w:rPr>
          <w:rFonts w:hint="eastAsia" w:ascii="宋体" w:hAnsi="宋体"/>
          <w:szCs w:val="21"/>
        </w:rPr>
        <w:t>的，视为放弃中标，给采购人造成的损失的，中标人还应当予以赔偿。</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ascii="宋体" w:cs="宋体"/>
          <w:b/>
          <w:kern w:val="0"/>
          <w:sz w:val="32"/>
          <w:szCs w:val="32"/>
        </w:rPr>
      </w:pPr>
      <w:r>
        <w:rPr>
          <w:rFonts w:hint="eastAsia" w:ascii="宋体" w:hAnsi="宋体" w:cs="宋体"/>
          <w:b/>
          <w:kern w:val="0"/>
          <w:sz w:val="32"/>
          <w:szCs w:val="32"/>
        </w:rPr>
        <w:t>第五章</w:t>
      </w:r>
      <w:r>
        <w:rPr>
          <w:rFonts w:ascii="宋体" w:hAnsi="宋体" w:cs="宋体"/>
          <w:b/>
          <w:kern w:val="0"/>
          <w:sz w:val="32"/>
          <w:szCs w:val="32"/>
        </w:rPr>
        <w:t xml:space="preserve"> </w:t>
      </w:r>
      <w:r>
        <w:rPr>
          <w:rFonts w:hint="eastAsia" w:ascii="宋体" w:hAnsi="宋体" w:cs="宋体"/>
          <w:b/>
          <w:kern w:val="0"/>
          <w:sz w:val="32"/>
          <w:szCs w:val="32"/>
        </w:rPr>
        <w:t>政府采购政策功能</w:t>
      </w:r>
    </w:p>
    <w:p>
      <w:pPr>
        <w:jc w:val="center"/>
        <w:rPr>
          <w:rFonts w:ascii="宋体" w:cs="宋体"/>
          <w:b/>
          <w:kern w:val="0"/>
          <w:sz w:val="36"/>
          <w:szCs w:val="36"/>
        </w:rPr>
      </w:pPr>
    </w:p>
    <w:p>
      <w:pPr>
        <w:pStyle w:val="14"/>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4"/>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一、节能能源、保护环境</w:t>
      </w:r>
    </w:p>
    <w:p>
      <w:pPr>
        <w:pStyle w:val="14"/>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按照《财政部、发展改革委、生态环境部、市场监管总局关于调整优化节能产品、环境标志产品政府采购执行机制的通知》（财库〔</w:t>
      </w:r>
      <w:r>
        <w:rPr>
          <w:rFonts w:ascii="宋体" w:hAnsi="宋体" w:cs="仿宋_GB2312"/>
          <w:sz w:val="21"/>
          <w:szCs w:val="21"/>
          <w:lang w:val="zh-CN"/>
        </w:rPr>
        <w:t>2019</w:t>
      </w:r>
      <w:r>
        <w:rPr>
          <w:rFonts w:hint="eastAsia" w:ascii="宋体" w:hAnsi="宋体" w:cs="仿宋_GB2312"/>
          <w:sz w:val="21"/>
          <w:szCs w:val="21"/>
          <w:lang w:val="zh-CN"/>
        </w:rPr>
        <w:t>〕</w:t>
      </w:r>
      <w:r>
        <w:rPr>
          <w:rFonts w:ascii="宋体" w:hAnsi="宋体" w:cs="仿宋_GB2312"/>
          <w:sz w:val="21"/>
          <w:szCs w:val="21"/>
          <w:lang w:val="zh-CN"/>
        </w:rPr>
        <w:t>9</w:t>
      </w:r>
      <w:r>
        <w:rPr>
          <w:rFonts w:hint="eastAsia" w:ascii="宋体" w:hAnsi="宋体" w:cs="仿宋_GB2312"/>
          <w:sz w:val="21"/>
          <w:szCs w:val="21"/>
          <w:lang w:val="zh-CN"/>
        </w:rPr>
        <w:t>号）和</w:t>
      </w:r>
      <w:r>
        <w:rPr>
          <w:rFonts w:hint="eastAsia" w:ascii="宋体" w:hAnsi="宋体" w:cs="仿宋_GB2312"/>
          <w:sz w:val="21"/>
          <w:szCs w:val="21"/>
        </w:rPr>
        <w:t>财政部、生态环境部</w:t>
      </w:r>
      <w:r>
        <w:rPr>
          <w:rFonts w:hint="eastAsia" w:ascii="宋体" w:hAnsi="宋体" w:cs="仿宋_GB2312"/>
          <w:sz w:val="21"/>
          <w:szCs w:val="21"/>
          <w:lang w:val="zh-CN"/>
        </w:rPr>
        <w:t>《关于印发环境标志产品政府采购品目清单的通知》</w:t>
      </w:r>
      <w:r>
        <w:rPr>
          <w:rFonts w:hint="eastAsia" w:ascii="宋体" w:hAnsi="宋体" w:cs="仿宋_GB2312"/>
          <w:sz w:val="21"/>
          <w:szCs w:val="21"/>
        </w:rPr>
        <w:t>（财库</w:t>
      </w:r>
      <w:r>
        <w:rPr>
          <w:rFonts w:ascii="宋体" w:hAnsi="宋体" w:cs="仿宋_GB2312"/>
          <w:sz w:val="21"/>
          <w:szCs w:val="21"/>
        </w:rPr>
        <w:t>[2019]18</w:t>
      </w:r>
      <w:r>
        <w:rPr>
          <w:rFonts w:hint="eastAsia" w:ascii="宋体" w:hAnsi="宋体" w:cs="仿宋_GB2312"/>
          <w:sz w:val="21"/>
          <w:szCs w:val="21"/>
        </w:rPr>
        <w:t>号）以及</w:t>
      </w:r>
      <w:r>
        <w:rPr>
          <w:rFonts w:hint="eastAsia" w:ascii="宋体" w:hAnsi="宋体" w:cs="仿宋_GB2312"/>
          <w:sz w:val="21"/>
          <w:szCs w:val="21"/>
          <w:lang w:val="zh-CN"/>
        </w:rPr>
        <w:t>财政部、发展改革委</w:t>
      </w:r>
      <w:r>
        <w:rPr>
          <w:rFonts w:hint="eastAsia" w:ascii="宋体" w:hAnsi="宋体" w:cs="仿宋_GB2312"/>
          <w:sz w:val="21"/>
          <w:szCs w:val="21"/>
        </w:rPr>
        <w:t>《关于印发节能产品政府采购品目清单的通知》（财库</w:t>
      </w:r>
      <w:r>
        <w:rPr>
          <w:rFonts w:ascii="宋体" w:hAnsi="宋体" w:cs="仿宋_GB2312"/>
          <w:sz w:val="21"/>
          <w:szCs w:val="21"/>
        </w:rPr>
        <w:t>[2019]19</w:t>
      </w:r>
      <w:r>
        <w:rPr>
          <w:rFonts w:hint="eastAsia" w:ascii="宋体" w:hAnsi="宋体" w:cs="仿宋_GB2312"/>
          <w:sz w:val="21"/>
          <w:szCs w:val="21"/>
        </w:rPr>
        <w:t>号）</w:t>
      </w:r>
      <w:r>
        <w:rPr>
          <w:rFonts w:hint="eastAsia" w:ascii="宋体" w:hAnsi="宋体" w:cs="仿宋_GB2312"/>
          <w:sz w:val="21"/>
          <w:szCs w:val="21"/>
          <w:lang w:val="zh-CN"/>
        </w:rPr>
        <w:t>，</w:t>
      </w:r>
      <w:r>
        <w:rPr>
          <w:rFonts w:hint="eastAsia" w:ascii="宋体" w:hAnsi="宋体" w:cs="仿宋_GB2312"/>
          <w:sz w:val="21"/>
          <w:szCs w:val="21"/>
        </w:rPr>
        <w:t>采购属于政府强</w:t>
      </w:r>
      <w:r>
        <w:rPr>
          <w:rFonts w:hint="eastAsia" w:ascii="宋体" w:hAnsi="宋体" w:cs="仿宋_GB2312"/>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二、促进中小企业发展（不含民办非企业）</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、根据财政部、工业和信息化部发布的《政府采购促进中小企业发展暂行办法》（财库</w:t>
      </w:r>
      <w:r>
        <w:rPr>
          <w:rFonts w:ascii="宋体" w:hAnsi="宋体" w:cs="仿宋_GB2312"/>
          <w:szCs w:val="21"/>
          <w:lang w:val="zh-CN"/>
        </w:rPr>
        <w:t>[2011]181</w:t>
      </w:r>
      <w:r>
        <w:rPr>
          <w:rFonts w:hint="eastAsia" w:ascii="宋体" w:hAnsi="宋体" w:cs="仿宋_GB2312"/>
          <w:szCs w:val="21"/>
          <w:lang w:val="zh-CN"/>
        </w:rPr>
        <w:t>号）规定，本项目为非专门面向中小企业采购的项目，对小型和微型企业产品的价格给予</w:t>
      </w:r>
      <w:r>
        <w:rPr>
          <w:rFonts w:ascii="宋体" w:hAnsi="宋体" w:cs="仿宋_GB2312"/>
          <w:szCs w:val="21"/>
          <w:lang w:val="zh-CN"/>
        </w:rPr>
        <w:t>6%-10%</w:t>
      </w:r>
      <w:r>
        <w:rPr>
          <w:rFonts w:hint="eastAsia" w:ascii="宋体" w:hAnsi="宋体" w:cs="仿宋_GB2312"/>
          <w:szCs w:val="21"/>
          <w:lang w:val="zh-CN"/>
        </w:rPr>
        <w:t>的扣除，用扣除后的价格参与评审。</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、如果本项目为非专门面向中小企业采购且接受联合体投标，联合协议中约定小型或微型企业的协议合同金额占到联合体协议合同总金额</w:t>
      </w:r>
      <w:r>
        <w:rPr>
          <w:rFonts w:ascii="宋体" w:hAnsi="宋体" w:cs="仿宋_GB2312"/>
          <w:szCs w:val="21"/>
          <w:lang w:val="zh-CN"/>
        </w:rPr>
        <w:t>30%</w:t>
      </w:r>
      <w:r>
        <w:rPr>
          <w:rFonts w:hint="eastAsia" w:ascii="宋体" w:hAnsi="宋体" w:cs="仿宋_GB2312"/>
          <w:szCs w:val="21"/>
          <w:lang w:val="zh-CN"/>
        </w:rPr>
        <w:t>以上的，给予联合体</w:t>
      </w:r>
      <w:r>
        <w:rPr>
          <w:rFonts w:ascii="宋体" w:hAnsi="宋体" w:cs="仿宋_GB2312"/>
          <w:szCs w:val="21"/>
          <w:lang w:val="zh-CN"/>
        </w:rPr>
        <w:t>2%-3%</w:t>
      </w:r>
      <w:r>
        <w:rPr>
          <w:rFonts w:hint="eastAsia" w:ascii="宋体" w:hAnsi="宋体" w:cs="仿宋_GB2312"/>
          <w:szCs w:val="21"/>
          <w:lang w:val="zh-CN"/>
        </w:rPr>
        <w:t>的价格扣除，用扣除后的价格参与评审。</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三、支持监狱企业发展</w:t>
      </w:r>
    </w:p>
    <w:p>
      <w:pPr>
        <w:spacing w:line="360" w:lineRule="auto"/>
        <w:ind w:firstLine="420" w:firstLineChars="200"/>
        <w:contextualSpacing/>
        <w:rPr>
          <w:rFonts w:ascii="宋体" w:cs="仿宋_GB2312"/>
          <w:szCs w:val="21"/>
          <w:lang w:val="zh-CN"/>
        </w:rPr>
      </w:pPr>
      <w:r>
        <w:rPr>
          <w:rFonts w:hint="eastAsia" w:ascii="宋体" w:hAnsi="宋体" w:cs="仿宋_GB2312"/>
          <w:szCs w:val="21"/>
          <w:lang w:val="zh-CN"/>
        </w:rPr>
        <w:t>按照财政部、司法部发布的《关于政府采购支持监狱企业发展有关问题的通知》（</w:t>
      </w:r>
      <w:bookmarkStart w:id="3" w:name="OLE_LINK6"/>
      <w:r>
        <w:rPr>
          <w:rFonts w:hint="eastAsia" w:ascii="宋体" w:hAnsi="宋体" w:cs="仿宋_GB2312"/>
          <w:szCs w:val="21"/>
          <w:lang w:val="zh-CN"/>
        </w:rPr>
        <w:t>财库</w:t>
      </w:r>
      <w:r>
        <w:rPr>
          <w:rFonts w:ascii="宋体" w:hAnsi="宋体" w:cs="仿宋_GB2312"/>
          <w:szCs w:val="21"/>
          <w:lang w:val="zh-CN"/>
        </w:rPr>
        <w:t>[2014]68</w:t>
      </w:r>
      <w:r>
        <w:rPr>
          <w:rFonts w:hint="eastAsia" w:ascii="宋体" w:hAnsi="宋体" w:cs="仿宋_GB2312"/>
          <w:szCs w:val="21"/>
          <w:lang w:val="zh-CN"/>
        </w:rPr>
        <w:t>号</w:t>
      </w:r>
      <w:bookmarkEnd w:id="3"/>
      <w:r>
        <w:rPr>
          <w:rFonts w:hint="eastAsia" w:ascii="宋体" w:hAnsi="宋体" w:cs="仿宋_GB2312"/>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szCs w:val="21"/>
          <w:lang w:val="zh-CN"/>
        </w:rPr>
        <w:t>(</w:t>
      </w:r>
      <w:r>
        <w:rPr>
          <w:rFonts w:hint="eastAsia" w:ascii="宋体" w:hAnsi="宋体" w:cs="仿宋_GB2312"/>
          <w:szCs w:val="21"/>
          <w:lang w:val="zh-CN"/>
        </w:rPr>
        <w:t>含新疆生产建设兵团</w:t>
      </w:r>
      <w:r>
        <w:rPr>
          <w:rFonts w:ascii="宋体" w:hAnsi="宋体" w:cs="仿宋_GB2312"/>
          <w:szCs w:val="21"/>
          <w:lang w:val="zh-CN"/>
        </w:rPr>
        <w:t>)</w:t>
      </w:r>
      <w:r>
        <w:rPr>
          <w:rFonts w:hint="eastAsia" w:ascii="宋体" w:hAnsi="宋体" w:cs="仿宋_GB2312"/>
          <w:szCs w:val="21"/>
          <w:lang w:val="zh-CN"/>
        </w:rPr>
        <w:t>出具的属于监狱企业的证明文件。</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四、促进残疾人就业</w:t>
      </w:r>
    </w:p>
    <w:p>
      <w:pPr>
        <w:pStyle w:val="14"/>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1</w:t>
      </w:r>
      <w:r>
        <w:rPr>
          <w:rFonts w:hint="eastAsia" w:ascii="宋体" w:hAnsi="宋体" w:cs="仿宋_GB2312"/>
          <w:sz w:val="21"/>
          <w:szCs w:val="21"/>
          <w:lang w:val="zh-CN"/>
        </w:rPr>
        <w:t>、按照财政部、民政部、中国残疾人联合会和残疾人发布的《三部门联合发布关于促进残疾人就业政府采购政策的通知》（财库</w:t>
      </w:r>
      <w:r>
        <w:rPr>
          <w:rFonts w:ascii="宋体" w:hAnsi="宋体" w:cs="仿宋_GB2312"/>
          <w:sz w:val="21"/>
          <w:szCs w:val="21"/>
          <w:lang w:val="zh-CN"/>
        </w:rPr>
        <w:t>[2017]141</w:t>
      </w:r>
      <w:r>
        <w:rPr>
          <w:rFonts w:hint="eastAsia" w:ascii="宋体" w:hAnsi="宋体" w:cs="仿宋_GB2312"/>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 w:val="21"/>
          <w:szCs w:val="21"/>
        </w:rPr>
        <w:t>残疾人福利性单位属于小型、微型企业的，不重复享受政策。</w:t>
      </w:r>
    </w:p>
    <w:p>
      <w:pPr>
        <w:pStyle w:val="14"/>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2</w:t>
      </w:r>
      <w:r>
        <w:rPr>
          <w:rFonts w:hint="eastAsia" w:ascii="宋体" w:hAnsi="宋体" w:cs="仿宋_GB2312"/>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ascii="宋体" w:cs="仿宋_GB2312"/>
          <w:szCs w:val="24"/>
          <w:lang w:val="zh-CN"/>
        </w:rPr>
      </w:pPr>
      <w:r>
        <w:rPr>
          <w:rFonts w:ascii="宋体" w:hAnsi="宋体" w:cs="仿宋_GB2312"/>
          <w:sz w:val="21"/>
          <w:szCs w:val="21"/>
          <w:lang w:val="zh-CN"/>
        </w:rPr>
        <w:t>3</w:t>
      </w:r>
      <w:r>
        <w:rPr>
          <w:rFonts w:hint="eastAsia" w:ascii="宋体" w:hAnsi="宋体" w:cs="仿宋_GB2312"/>
          <w:sz w:val="21"/>
          <w:szCs w:val="21"/>
          <w:lang w:val="zh-CN"/>
        </w:rPr>
        <w:t>、中标人为残疾人福利性单位的，招标人应当随中标结果同时公告其《残疾人福利性单位声明函》，接受社会监督。</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五、支持脱贫攻坚（物业服务采购）</w:t>
      </w:r>
    </w:p>
    <w:p>
      <w:pPr>
        <w:topLinePunct/>
        <w:spacing w:line="360" w:lineRule="auto"/>
        <w:ind w:firstLine="420" w:firstLineChars="200"/>
        <w:contextualSpacing/>
        <w:rPr>
          <w:rFonts w:hint="eastAsia" w:ascii="宋体" w:hAns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、根据《财政部国务院扶贫办关于运用政府采购政策支持脱贫攻坚的通知》财库〔</w:t>
      </w:r>
      <w:r>
        <w:rPr>
          <w:rFonts w:ascii="宋体" w:hAnsi="宋体" w:cs="仿宋_GB2312"/>
          <w:szCs w:val="21"/>
          <w:lang w:val="zh-CN"/>
        </w:rPr>
        <w:t>2019</w:t>
      </w:r>
      <w:r>
        <w:rPr>
          <w:rFonts w:hint="eastAsia" w:ascii="宋体" w:hAnsi="宋体" w:cs="仿宋_GB2312"/>
          <w:szCs w:val="21"/>
          <w:lang w:val="zh-CN"/>
        </w:rPr>
        <w:t>〕</w:t>
      </w:r>
      <w:r>
        <w:rPr>
          <w:rFonts w:ascii="宋体" w:hAnsi="宋体" w:cs="仿宋_GB2312"/>
          <w:szCs w:val="21"/>
          <w:lang w:val="zh-CN"/>
        </w:rPr>
        <w:t>27</w:t>
      </w:r>
      <w:r>
        <w:rPr>
          <w:rFonts w:hint="eastAsia" w:ascii="宋体" w:hAnsi="宋体" w:cs="仿宋_GB2312"/>
          <w:szCs w:val="21"/>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Cs w:val="21"/>
          <w:lang w:val="zh-CN"/>
        </w:rPr>
        <w:t>832</w:t>
      </w:r>
      <w:r>
        <w:rPr>
          <w:rFonts w:hint="eastAsia" w:ascii="宋体" w:hAnsi="宋体" w:cs="仿宋_GB2312"/>
          <w:szCs w:val="21"/>
          <w:lang w:val="zh-CN"/>
        </w:rPr>
        <w:t>个国家级贫困县域内，且聘用建档立卡贫困人员物业公司提供的物业服务。</w:t>
      </w:r>
    </w:p>
    <w:p>
      <w:pPr>
        <w:topLinePunct/>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4"/>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highlight w:val="none"/>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highlight w:val="none"/>
        </w:rPr>
      </w:pPr>
      <w:r>
        <w:rPr>
          <w:rFonts w:hint="eastAsia" w:asciiTheme="minorEastAsia" w:hAnsiTheme="minorEastAsia"/>
          <w:bCs/>
          <w:szCs w:val="21"/>
          <w:highlight w:val="none"/>
        </w:rPr>
        <w:t>（一）</w:t>
      </w:r>
      <w:r>
        <w:rPr>
          <w:rFonts w:asciiTheme="minorEastAsia" w:hAnsiTheme="minorEastAsia"/>
          <w:bCs/>
          <w:szCs w:val="21"/>
          <w:highlight w:val="none"/>
        </w:rPr>
        <w:t>开标结束后，</w:t>
      </w:r>
      <w:r>
        <w:rPr>
          <w:rFonts w:hint="eastAsia" w:asciiTheme="minorEastAsia" w:hAnsiTheme="minorEastAsia"/>
          <w:bCs/>
          <w:szCs w:val="21"/>
          <w:highlight w:val="none"/>
          <w:lang w:eastAsia="zh-CN"/>
        </w:rPr>
        <w:t>由</w:t>
      </w:r>
      <w:r>
        <w:rPr>
          <w:rFonts w:hint="eastAsia" w:asciiTheme="minorEastAsia" w:hAnsiTheme="minorEastAsia"/>
          <w:bCs/>
          <w:szCs w:val="21"/>
          <w:highlight w:val="none"/>
        </w:rPr>
        <w:t>采购人</w:t>
      </w:r>
      <w:r>
        <w:rPr>
          <w:rFonts w:hint="eastAsia" w:asciiTheme="minorEastAsia" w:hAnsiTheme="minorEastAsia"/>
          <w:bCs/>
          <w:szCs w:val="21"/>
          <w:highlight w:val="none"/>
          <w:lang w:eastAsia="zh-CN"/>
        </w:rPr>
        <w:t>代表</w:t>
      </w:r>
      <w:r>
        <w:rPr>
          <w:rFonts w:hint="eastAsia" w:asciiTheme="minorEastAsia" w:hAnsiTheme="minorEastAsia"/>
          <w:bCs/>
          <w:szCs w:val="21"/>
          <w:highlight w:val="none"/>
          <w:lang w:val="en-US" w:eastAsia="zh-CN"/>
        </w:rPr>
        <w:t>1人（需出具委托书）</w:t>
      </w:r>
      <w:r>
        <w:rPr>
          <w:rFonts w:hint="eastAsia" w:asciiTheme="minorEastAsia" w:hAnsiTheme="minorEastAsia"/>
          <w:bCs/>
          <w:szCs w:val="21"/>
          <w:highlight w:val="none"/>
        </w:rPr>
        <w:t>依法对投标人资格进行审查</w:t>
      </w:r>
      <w:r>
        <w:rPr>
          <w:rFonts w:asciiTheme="minorEastAsia" w:hAnsiTheme="minorEastAsia"/>
          <w:bCs/>
          <w:szCs w:val="21"/>
          <w:highlight w:val="none"/>
        </w:rPr>
        <w:t>。</w:t>
      </w:r>
      <w:r>
        <w:rPr>
          <w:rFonts w:hint="eastAsia" w:asciiTheme="minorEastAsia" w:hAnsiTheme="minorEastAsia"/>
          <w:bCs/>
          <w:szCs w:val="21"/>
          <w:highlight w:val="none"/>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2016年度、2017年度、</w:t>
            </w:r>
            <w:r>
              <w:rPr>
                <w:rFonts w:hint="eastAsia" w:asciiTheme="minorEastAsia" w:hAnsiTheme="minorEastAsia"/>
                <w:bCs/>
                <w:szCs w:val="21"/>
              </w:rPr>
              <w:t>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2016年度、2017年度、</w:t>
            </w:r>
            <w:r>
              <w:rPr>
                <w:rFonts w:hint="eastAsia" w:asciiTheme="minorEastAsia" w:hAnsiTheme="minorEastAsia"/>
                <w:bCs/>
                <w:szCs w:val="21"/>
              </w:rPr>
              <w:t>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hint="eastAsia"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Times New Roman" w:hAnsi="Times New Roman" w:cs="宋体"/>
                <w:szCs w:val="21"/>
                <w:lang w:bidi="ar"/>
              </w:rPr>
              <w:t>（新注册公司从注册交纳起计算，不足的视为满足</w:t>
            </w:r>
            <w:r>
              <w:rPr>
                <w:rFonts w:hint="eastAsia" w:ascii="Times New Roman" w:hAnsi="Times New Roman" w:cs="宋体"/>
                <w:szCs w:val="21"/>
                <w:lang w:eastAsia="zh-CN" w:bidi="ar"/>
              </w:rPr>
              <w:t>）</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①与本项目投标相关设备的购置发票、专业技术人员职称证书、用工合同等；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spacing w:line="360" w:lineRule="auto"/>
              <w:rPr>
                <w:rFonts w:asciiTheme="minorEastAsia" w:hAnsiTheme="minorEastAsia"/>
                <w:b/>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政府采购活动中查询及使用投标人信用记录的具体要求为：投标人未被列入</w:t>
            </w:r>
            <w:r>
              <w:rPr>
                <w:rFonts w:asciiTheme="minorEastAsia" w:hAnsiTheme="minorEastAsia"/>
                <w:bCs/>
                <w:szCs w:val="21"/>
                <w:highlight w:val="none"/>
              </w:rPr>
              <w:t>“信用中国”网站</w:t>
            </w:r>
            <w:r>
              <w:rPr>
                <w:rFonts w:hint="eastAsia" w:asciiTheme="minorEastAsia" w:hAnsiTheme="minorEastAsia"/>
                <w:bCs/>
                <w:szCs w:val="21"/>
                <w:highlight w:val="none"/>
              </w:rPr>
              <w:t>失信被执行人、重大税收违法案件当事人名单、“</w:t>
            </w:r>
            <w:r>
              <w:rPr>
                <w:rFonts w:asciiTheme="minorEastAsia" w:hAnsiTheme="minorEastAsia"/>
                <w:bCs/>
                <w:szCs w:val="21"/>
                <w:highlight w:val="none"/>
              </w:rPr>
              <w:t>中国政府采购网</w:t>
            </w:r>
            <w:r>
              <w:rPr>
                <w:rFonts w:hint="eastAsia" w:asciiTheme="minorEastAsia" w:hAnsiTheme="minorEastAsia"/>
                <w:bCs/>
                <w:szCs w:val="21"/>
                <w:highlight w:val="none"/>
              </w:rPr>
              <w:t>”政府采购严重违法失信行为记录名单</w:t>
            </w:r>
            <w:r>
              <w:rPr>
                <w:rFonts w:hint="eastAsia" w:asciiTheme="minorEastAsia" w:hAnsiTheme="minorEastAsia"/>
                <w:bCs/>
                <w:szCs w:val="21"/>
                <w:highlight w:val="none"/>
                <w:lang w:eastAsia="zh-CN"/>
              </w:rPr>
              <w:t>、</w:t>
            </w:r>
            <w:r>
              <w:rPr>
                <w:rFonts w:hint="eastAsia" w:asciiTheme="minorEastAsia" w:hAnsiTheme="minorEastAsia"/>
                <w:bCs/>
                <w:szCs w:val="21"/>
                <w:highlight w:val="none"/>
              </w:rPr>
              <w:t>“中国社会组织公共服务平台”网站（</w:t>
            </w:r>
            <w:r>
              <w:rPr>
                <w:rFonts w:asciiTheme="minorEastAsia" w:hAnsiTheme="minorEastAsia"/>
                <w:bCs/>
                <w:szCs w:val="21"/>
                <w:highlight w:val="none"/>
              </w:rPr>
              <w:t>www.chinanpo.gov.cn</w:t>
            </w:r>
            <w:r>
              <w:rPr>
                <w:rFonts w:hint="eastAsia" w:asciiTheme="minorEastAsia" w:hAnsiTheme="minorEastAsia"/>
                <w:bCs/>
                <w:szCs w:val="21"/>
                <w:highlight w:val="none"/>
              </w:rPr>
              <w:t>）严重违法失信社会组织名单的投标</w:t>
            </w:r>
            <w:r>
              <w:rPr>
                <w:rFonts w:hint="eastAsia" w:cs="仿宋_GB2312" w:asciiTheme="minorEastAsia" w:hAnsiTheme="minorEastAsia"/>
                <w:szCs w:val="21"/>
              </w:rPr>
              <w:t>人</w:t>
            </w:r>
            <w:r>
              <w:rPr>
                <w:rFonts w:hint="eastAsia" w:cs="仿宋_GB2312" w:asciiTheme="minorEastAsia" w:hAnsiTheme="minorEastAsia"/>
                <w:b/>
                <w:szCs w:val="21"/>
              </w:rPr>
              <w:t>；</w:t>
            </w:r>
            <w:r>
              <w:rPr>
                <w:rFonts w:hint="eastAsia" w:asciiTheme="minorEastAsia" w:hAnsiTheme="minorEastAsia"/>
                <w:bCs/>
                <w:szCs w:val="21"/>
                <w:highlight w:val="none"/>
              </w:rPr>
              <w:t>（联合体形式投标的，联合体成员存在不良信用记录，视同联合体存在不良信用记录）。</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（1）查询渠道：</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27"/>
                <w:rFonts w:hint="eastAsia" w:asciiTheme="minorEastAsia" w:hAnsiTheme="minorEastAsia"/>
                <w:bCs/>
                <w:szCs w:val="21"/>
                <w:highlight w:val="none"/>
              </w:rPr>
              <w:t>www.creditchina.gov.cn</w:t>
            </w:r>
            <w:r>
              <w:rPr>
                <w:rStyle w:val="27"/>
                <w:rFonts w:hint="eastAsia"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hint="eastAsia" w:asciiTheme="minorEastAsia" w:hAnsiTheme="minorEastAsia"/>
                <w:bCs/>
                <w:szCs w:val="21"/>
                <w:highlight w:val="none"/>
              </w:rPr>
            </w:pPr>
            <w:r>
              <w:rPr>
                <w:rFonts w:hint="eastAsia" w:asciiTheme="minorEastAsia" w:hAnsiTheme="minorEastAsia"/>
                <w:bCs/>
                <w:szCs w:val="21"/>
                <w:highlight w:val="none"/>
              </w:rPr>
              <w:t>②“中国政府采购网”（www.ccgp.gov.cn）</w:t>
            </w:r>
          </w:p>
          <w:p>
            <w:pPr>
              <w:spacing w:line="360" w:lineRule="auto"/>
            </w:pPr>
            <w:r>
              <w:rPr>
                <w:rFonts w:hint="eastAsia" w:asciiTheme="minorEastAsia" w:hAnsiTheme="minorEastAsia"/>
                <w:bCs/>
                <w:szCs w:val="21"/>
              </w:rPr>
              <w:t>③</w:t>
            </w:r>
            <w:r>
              <w:rPr>
                <w:rFonts w:hint="eastAsia" w:cs="仿宋_GB2312" w:asciiTheme="minorEastAsia" w:hAnsiTheme="minorEastAsia"/>
                <w:szCs w:val="21"/>
              </w:rPr>
              <w:t>“中国社会组织公共服务平台”网站（</w:t>
            </w:r>
            <w:r>
              <w:rPr>
                <w:rFonts w:cs="仿宋_GB2312" w:asciiTheme="minorEastAsia" w:hAnsiTheme="minorEastAsia"/>
                <w:szCs w:val="21"/>
              </w:rPr>
              <w:t>www.chinanpo.gov.cn</w:t>
            </w:r>
            <w:r>
              <w:rPr>
                <w:rFonts w:hint="eastAsia" w:cs="仿宋_GB2312" w:asciiTheme="minorEastAsia" w:hAnsiTheme="minorEastAsia"/>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（2）截止时间：同投标截止时间；</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（3）信用信息查询记录和证据留存具体方式：经采购人确认的查询结果网页截图作为查询记录和证据，与其他采购文件一并保存；</w:t>
            </w:r>
          </w:p>
          <w:p>
            <w:pPr>
              <w:spacing w:line="360" w:lineRule="auto"/>
              <w:rPr>
                <w:rFonts w:hint="eastAsia" w:asciiTheme="minorEastAsia" w:hAnsiTheme="minorEastAsia"/>
                <w:bCs/>
                <w:szCs w:val="21"/>
                <w:highlight w:val="none"/>
              </w:rPr>
            </w:pPr>
            <w:r>
              <w:rPr>
                <w:rFonts w:hint="eastAsia" w:asciiTheme="minorEastAsia" w:hAnsiTheme="minorEastAsia"/>
                <w:bCs/>
                <w:szCs w:val="21"/>
                <w:highlight w:val="none"/>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highlight w:val="none"/>
              </w:rPr>
              <w:t>严重违法失信社会组织</w:t>
            </w:r>
            <w:r>
              <w:rPr>
                <w:rFonts w:hint="eastAsia" w:asciiTheme="minorEastAsia" w:hAnsiTheme="minorEastAsia"/>
                <w:bCs/>
                <w:szCs w:val="21"/>
                <w:highlight w:val="none"/>
              </w:rPr>
              <w:t>的投标人，将拒绝其参与本次政府采购活动。</w:t>
            </w:r>
          </w:p>
          <w:p>
            <w:pPr>
              <w:spacing w:line="360" w:lineRule="auto"/>
              <w:rPr>
                <w:rFonts w:asciiTheme="minorEastAsia" w:hAnsiTheme="minorEastAsia"/>
                <w:b/>
                <w:bCs/>
                <w:szCs w:val="21"/>
                <w:highlight w:val="none"/>
              </w:rPr>
            </w:pPr>
            <w:r>
              <w:rPr>
                <w:rFonts w:hint="eastAsia" w:asciiTheme="minorEastAsia" w:hAnsiTheme="minorEastAsia"/>
                <w:bCs/>
                <w:szCs w:val="21"/>
                <w:highlight w:val="none"/>
                <w:lang w:val="en-US" w:eastAsia="zh-CN"/>
              </w:rPr>
              <w:t>(5)</w:t>
            </w:r>
            <w:r>
              <w:rPr>
                <w:rFonts w:hint="eastAsia" w:ascii="Calibri" w:hAnsi="Calibri" w:eastAsia="宋体" w:cs="Times New Roman"/>
                <w:sz w:val="21"/>
                <w:szCs w:val="22"/>
              </w:rPr>
              <w:t>供应商无须提供信用记录查询结果网页截屏，投标人不良信用记录以采购人在开标现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10</w:t>
            </w:r>
          </w:p>
        </w:tc>
        <w:tc>
          <w:tcPr>
            <w:tcW w:w="2410" w:type="dxa"/>
            <w:vAlign w:val="center"/>
          </w:tcPr>
          <w:p>
            <w:pPr>
              <w:spacing w:line="360" w:lineRule="auto"/>
              <w:rPr>
                <w:rFonts w:hint="eastAsia" w:asciiTheme="minorEastAsia" w:hAnsiTheme="minorEastAsia" w:eastAsiaTheme="minorEastAsia"/>
                <w:b/>
                <w:szCs w:val="21"/>
                <w:lang w:eastAsia="zh-CN"/>
              </w:rPr>
            </w:pPr>
            <w:r>
              <w:rPr>
                <w:rFonts w:hint="eastAsia" w:asciiTheme="minorEastAsia" w:hAnsiTheme="minorEastAsia"/>
                <w:b/>
                <w:szCs w:val="21"/>
              </w:rPr>
              <w:t>投标</w:t>
            </w:r>
            <w:r>
              <w:rPr>
                <w:rFonts w:hint="eastAsia" w:asciiTheme="minorEastAsia" w:hAnsiTheme="minorEastAsia"/>
                <w:b/>
                <w:szCs w:val="21"/>
                <w:lang w:eastAsia="zh-CN"/>
              </w:rPr>
              <w:t>承诺函</w:t>
            </w:r>
          </w:p>
        </w:tc>
        <w:tc>
          <w:tcPr>
            <w:tcW w:w="5954" w:type="dxa"/>
            <w:vAlign w:val="center"/>
          </w:tcPr>
          <w:p>
            <w:pPr>
              <w:spacing w:line="360" w:lineRule="auto"/>
              <w:rPr>
                <w:rFonts w:hint="eastAsia" w:asciiTheme="minorEastAsia" w:hAnsiTheme="minorEastAsia"/>
                <w:b/>
                <w:bCs/>
                <w:szCs w:val="21"/>
              </w:rPr>
            </w:pPr>
            <w:r>
              <w:rPr>
                <w:rFonts w:hint="eastAsia" w:cs="仿宋_GB2312" w:asciiTheme="minorEastAsia" w:hAnsiTheme="minorEastAsia"/>
                <w:szCs w:val="21"/>
                <w:lang w:val="zh-CN" w:eastAsia="zh-CN"/>
              </w:rPr>
              <w:t>由投标人参照</w:t>
            </w:r>
            <w:r>
              <w:rPr>
                <w:rFonts w:hint="eastAsia" w:cs="仿宋_GB2312" w:asciiTheme="minorEastAsia" w:hAnsiTheme="minorEastAsia"/>
                <w:szCs w:val="21"/>
                <w:lang w:val="zh-CN"/>
              </w:rPr>
              <w:t>采购文件第八章格式</w:t>
            </w:r>
            <w:r>
              <w:rPr>
                <w:rFonts w:hint="eastAsia" w:cs="仿宋_GB2312" w:asciiTheme="minorEastAsia" w:hAnsiTheme="minorEastAsia"/>
                <w:szCs w:val="21"/>
                <w:lang w:val="zh-CN" w:eastAsia="zh-CN"/>
              </w:rPr>
              <w:t>出具投标承诺函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rPr>
              <w:t>1</w:t>
            </w:r>
            <w:r>
              <w:rPr>
                <w:rFonts w:hint="eastAsia" w:asciiTheme="minorEastAsia" w:hAnsiTheme="minorEastAsia"/>
                <w:b/>
                <w:bCs/>
                <w:szCs w:val="21"/>
                <w:lang w:val="en-US" w:eastAsia="zh-CN"/>
              </w:rPr>
              <w:t>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hint="eastAsia"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小型和微型企业不包含民办非企业单位。</w:t>
      </w: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highlight w:val="none"/>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2)投标人所投产品如被列入</w:t>
      </w:r>
      <w:r>
        <w:rPr>
          <w:rFonts w:cs="宋体" w:asciiTheme="minorEastAsia" w:hAnsiTheme="minorEastAsia"/>
          <w:kern w:val="0"/>
          <w:szCs w:val="21"/>
          <w:highlight w:val="none"/>
        </w:rPr>
        <w:t>《信息安全产品强制性认证目录》，</w:t>
      </w:r>
      <w:r>
        <w:rPr>
          <w:rFonts w:hint="eastAsia" w:cs="仿宋_GB2312" w:asciiTheme="minorEastAsia" w:hAnsiTheme="minorEastAsia"/>
          <w:szCs w:val="21"/>
          <w:highlight w:val="none"/>
          <w:lang w:val="zh-CN"/>
        </w:rPr>
        <w:t>则投标文件中应根据本项目招标文件“第二章 项目需求”</w:t>
      </w:r>
      <w:r>
        <w:rPr>
          <w:rFonts w:cs="仿宋_GB2312" w:asciiTheme="minorEastAsia" w:hAnsiTheme="minorEastAsia"/>
          <w:szCs w:val="21"/>
          <w:highlight w:val="none"/>
          <w:lang w:val="zh-CN"/>
        </w:rPr>
        <w:t>提供</w:t>
      </w:r>
      <w:r>
        <w:rPr>
          <w:rFonts w:hint="eastAsia" w:cs="仿宋_GB2312" w:asciiTheme="minorEastAsia" w:hAnsiTheme="minorEastAsia"/>
          <w:szCs w:val="21"/>
          <w:highlight w:val="none"/>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①中国信息安全认证中心官网（</w:t>
      </w:r>
      <w:r>
        <w:rPr>
          <w:rFonts w:cs="宋体" w:asciiTheme="minorEastAsia" w:hAnsiTheme="minorEastAsia"/>
          <w:kern w:val="0"/>
          <w:szCs w:val="21"/>
          <w:highlight w:val="none"/>
        </w:rPr>
        <w:t>http://www.isccc.gov.cn/index.shtml</w:t>
      </w:r>
      <w:r>
        <w:rPr>
          <w:rFonts w:hint="eastAsia" w:cs="宋体" w:asciiTheme="minorEastAsia" w:hAnsiTheme="minorEastAsia"/>
          <w:kern w:val="0"/>
          <w:szCs w:val="21"/>
          <w:highlight w:val="none"/>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②中国信息安全认证中心</w:t>
      </w:r>
      <w:r>
        <w:rPr>
          <w:rFonts w:hint="eastAsia" w:cs="仿宋_GB2312" w:asciiTheme="minorEastAsia" w:hAnsiTheme="minorEastAsia"/>
          <w:szCs w:val="21"/>
          <w:highlight w:val="none"/>
          <w:lang w:val="zh-CN"/>
        </w:rPr>
        <w:t>颁发的《中国国家信息安全产品认证证书》加盖投标人公章的原件扫描件（或图片）。</w:t>
      </w:r>
    </w:p>
    <w:p>
      <w:pPr>
        <w:pStyle w:val="14"/>
        <w:spacing w:line="360" w:lineRule="auto"/>
        <w:ind w:firstLine="480" w:firstLineChars="200"/>
        <w:contextualSpacing/>
        <w:rPr>
          <w:rFonts w:hint="eastAsia" w:ascii="楷体" w:hAnsi="楷体" w:eastAsia="楷体"/>
          <w:color w:val="00000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pStyle w:val="14"/>
        <w:spacing w:line="360" w:lineRule="auto"/>
        <w:ind w:firstLine="482" w:firstLineChars="200"/>
        <w:contextualSpacing/>
        <w:rPr>
          <w:rFonts w:hint="eastAsia" w:ascii="宋体" w:hAnsi="宋体"/>
          <w:b/>
          <w:szCs w:val="24"/>
        </w:rPr>
      </w:pPr>
      <w:r>
        <w:rPr>
          <w:rFonts w:hint="eastAsia" w:ascii="宋体" w:hAnsi="宋体"/>
          <w:b/>
          <w:szCs w:val="24"/>
        </w:rPr>
        <w:t>（</w:t>
      </w:r>
      <w:r>
        <w:rPr>
          <w:rFonts w:hint="eastAsia" w:ascii="宋体" w:hAnsi="宋体"/>
          <w:b/>
          <w:szCs w:val="24"/>
          <w:lang w:val="en-US" w:eastAsia="zh-CN"/>
        </w:rPr>
        <w:t>4</w:t>
      </w:r>
      <w:r>
        <w:rPr>
          <w:rFonts w:hint="eastAsia" w:ascii="宋体" w:hAnsi="宋体"/>
          <w:b/>
          <w:szCs w:val="24"/>
        </w:rPr>
        <w:t>）强制采购节能产品和优先采购节能产品、优先采购环保产品</w:t>
      </w:r>
    </w:p>
    <w:p>
      <w:pPr>
        <w:pStyle w:val="14"/>
        <w:spacing w:line="360" w:lineRule="auto"/>
        <w:ind w:firstLine="420" w:firstLineChars="200"/>
        <w:contextualSpacing/>
        <w:rPr>
          <w:rFonts w:hint="eastAsia" w:ascii="宋体" w:hAnsi="宋体" w:cs="仿宋_GB2312" w:eastAsiaTheme="minorEastAsia"/>
          <w:kern w:val="2"/>
          <w:sz w:val="21"/>
          <w:szCs w:val="21"/>
          <w:lang w:val="zh-CN" w:eastAsia="zh-CN" w:bidi="ar-SA"/>
        </w:rPr>
      </w:pPr>
      <w:r>
        <w:rPr>
          <w:rFonts w:hint="eastAsia" w:ascii="宋体" w:hAnsi="宋体" w:cs="仿宋_GB2312" w:eastAsiaTheme="minorEastAsia"/>
          <w:kern w:val="2"/>
          <w:sz w:val="21"/>
          <w:szCs w:val="21"/>
          <w:lang w:val="zh-CN" w:eastAsia="zh-CN" w:bidi="ar-SA"/>
        </w:rPr>
        <w:t>1）根据《财政部 发展改革委 生态环境部 市场监管总局关于调整优化节能产品 环境标志产品政府采购执行机制的通知》（财库〔2019〕9号）规定， 采购人拟采购的产品属于节能产品政府采购品目清单中政府强制采购产品的，投标文件中</w:t>
      </w:r>
      <w:r>
        <w:rPr>
          <w:rFonts w:hint="eastAsia" w:ascii="宋体" w:hAnsi="宋体" w:cs="仿宋_GB2312" w:eastAsiaTheme="minorEastAsia"/>
          <w:kern w:val="2"/>
          <w:sz w:val="21"/>
          <w:szCs w:val="21"/>
          <w:lang w:val="en-US" w:eastAsia="zh-CN" w:bidi="ar-SA"/>
        </w:rPr>
        <w:t>需</w:t>
      </w:r>
      <w:r>
        <w:rPr>
          <w:rFonts w:hint="eastAsia" w:ascii="宋体" w:hAnsi="宋体" w:cs="仿宋_GB2312" w:eastAsiaTheme="minorEastAsia"/>
          <w:kern w:val="2"/>
          <w:sz w:val="21"/>
          <w:szCs w:val="21"/>
          <w:lang w:val="zh-CN" w:eastAsia="zh-CN" w:bidi="ar-SA"/>
        </w:rPr>
        <w:t>提供节能产品认证证书（有效期内）</w:t>
      </w:r>
      <w:r>
        <w:rPr>
          <w:rFonts w:hint="eastAsia" w:ascii="宋体" w:hAnsi="宋体" w:cs="仿宋_GB2312" w:eastAsiaTheme="minorEastAsia"/>
          <w:kern w:val="2"/>
          <w:sz w:val="21"/>
          <w:szCs w:val="21"/>
          <w:lang w:val="en-US" w:eastAsia="zh-CN" w:bidi="ar-SA"/>
        </w:rPr>
        <w:t>的</w:t>
      </w:r>
      <w:r>
        <w:rPr>
          <w:rFonts w:hint="eastAsia" w:ascii="宋体" w:hAnsi="宋体" w:cs="仿宋_GB2312" w:eastAsiaTheme="minorEastAsia"/>
          <w:kern w:val="2"/>
          <w:sz w:val="21"/>
          <w:szCs w:val="21"/>
          <w:lang w:val="zh-CN" w:eastAsia="zh-CN" w:bidi="ar-SA"/>
        </w:rPr>
        <w:t>扫描件，否则为无效投标。但品目清单中无对应细化分类或节能清单中的产品无法满足工作需要的，可在品目清单之外采购。</w:t>
      </w:r>
    </w:p>
    <w:p>
      <w:pPr>
        <w:spacing w:line="360" w:lineRule="auto"/>
        <w:ind w:firstLine="420" w:firstLineChars="200"/>
        <w:contextualSpacing/>
        <w:rPr>
          <w:rFonts w:hint="eastAsia" w:ascii="宋体" w:hAnsi="宋体" w:cs="仿宋_GB2312" w:eastAsiaTheme="minorEastAsia"/>
          <w:kern w:val="2"/>
          <w:sz w:val="21"/>
          <w:szCs w:val="21"/>
          <w:lang w:val="zh-CN" w:eastAsia="zh-CN" w:bidi="ar-SA"/>
        </w:rPr>
      </w:pPr>
      <w:r>
        <w:rPr>
          <w:rFonts w:hint="eastAsia" w:ascii="宋体" w:hAnsi="宋体" w:cs="仿宋_GB2312" w:eastAsiaTheme="minorEastAsia"/>
          <w:kern w:val="2"/>
          <w:sz w:val="21"/>
          <w:szCs w:val="21"/>
          <w:lang w:val="zh-CN" w:eastAsia="zh-CN" w:bidi="ar-SA"/>
        </w:rPr>
        <w:t>2）投标人所投其他产品若属于环境标志产品政府采购品目清单的，投标文件中</w:t>
      </w:r>
      <w:r>
        <w:rPr>
          <w:rFonts w:hint="eastAsia" w:ascii="宋体" w:hAnsi="宋体" w:cs="仿宋_GB2312" w:eastAsiaTheme="minorEastAsia"/>
          <w:kern w:val="2"/>
          <w:sz w:val="21"/>
          <w:szCs w:val="21"/>
          <w:lang w:val="en-US" w:eastAsia="zh-CN" w:bidi="ar-SA"/>
        </w:rPr>
        <w:t>需</w:t>
      </w:r>
      <w:r>
        <w:rPr>
          <w:rFonts w:hint="eastAsia" w:ascii="宋体" w:hAnsi="宋体" w:cs="仿宋_GB2312" w:eastAsiaTheme="minorEastAsia"/>
          <w:kern w:val="2"/>
          <w:sz w:val="21"/>
          <w:szCs w:val="21"/>
          <w:lang w:val="zh-CN" w:eastAsia="zh-CN" w:bidi="ar-SA"/>
        </w:rPr>
        <w:t>提供节能产品认证证书（有效期内）</w:t>
      </w:r>
      <w:r>
        <w:rPr>
          <w:rFonts w:hint="eastAsia" w:ascii="宋体" w:hAnsi="宋体" w:cs="仿宋_GB2312" w:eastAsiaTheme="minorEastAsia"/>
          <w:kern w:val="2"/>
          <w:sz w:val="21"/>
          <w:szCs w:val="21"/>
          <w:lang w:val="en-US" w:eastAsia="zh-CN" w:bidi="ar-SA"/>
        </w:rPr>
        <w:t>的</w:t>
      </w:r>
      <w:r>
        <w:rPr>
          <w:rFonts w:hint="eastAsia" w:ascii="宋体" w:hAnsi="宋体" w:cs="仿宋_GB2312" w:eastAsiaTheme="minorEastAsia"/>
          <w:kern w:val="2"/>
          <w:sz w:val="21"/>
          <w:szCs w:val="21"/>
          <w:lang w:val="zh-CN" w:eastAsia="zh-CN" w:bidi="ar-SA"/>
        </w:rPr>
        <w:t>扫描件，采购人将优先考虑采购。</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w:t>
      </w:r>
      <w:r>
        <w:rPr>
          <w:rFonts w:hint="eastAsia" w:ascii="宋体" w:hAnsi="宋体" w:cs="仿宋_GB2312"/>
          <w:b/>
          <w:szCs w:val="21"/>
          <w:lang w:val="en-US" w:eastAsia="zh-CN"/>
        </w:rPr>
        <w:t>4</w:t>
      </w:r>
      <w:r>
        <w:rPr>
          <w:rFonts w:hint="eastAsia" w:ascii="宋体" w:hAnsi="宋体" w:cs="仿宋_GB2312"/>
          <w:b/>
          <w:szCs w:val="21"/>
          <w:lang w:val="zh-CN"/>
        </w:rPr>
        <w:t>）支持脱贫攻坚（物业服务采购）</w:t>
      </w:r>
    </w:p>
    <w:p>
      <w:pPr>
        <w:tabs>
          <w:tab w:val="left" w:pos="1260"/>
        </w:tabs>
        <w:autoSpaceDE w:val="0"/>
        <w:autoSpaceDN w:val="0"/>
        <w:spacing w:line="360" w:lineRule="auto"/>
        <w:ind w:firstLine="420" w:firstLineChars="200"/>
        <w:contextualSpacing/>
        <w:rPr>
          <w:rFonts w:hint="eastAsia" w:ascii="宋体" w:hAnsi="宋体" w:cs="仿宋_GB2312" w:eastAsiaTheme="minorEastAsia"/>
          <w:szCs w:val="21"/>
          <w:lang w:val="en-US" w:eastAsia="zh-CN"/>
        </w:rPr>
      </w:pPr>
      <w:r>
        <w:rPr>
          <w:rFonts w:hint="eastAsia" w:ascii="宋体" w:hAnsi="宋体" w:cs="仿宋_GB2312"/>
          <w:szCs w:val="21"/>
          <w:lang w:val="zh-CN"/>
        </w:rPr>
        <w:t>在物业项目中，对注册地在</w:t>
      </w:r>
      <w:r>
        <w:rPr>
          <w:rFonts w:ascii="宋体" w:hAnsi="宋体" w:cs="仿宋_GB2312"/>
          <w:szCs w:val="21"/>
          <w:lang w:val="zh-CN"/>
        </w:rPr>
        <w:t>832</w:t>
      </w:r>
      <w:r>
        <w:rPr>
          <w:rFonts w:hint="eastAsia" w:ascii="宋体" w:hAnsi="宋体" w:cs="仿宋_GB2312"/>
          <w:szCs w:val="21"/>
          <w:lang w:val="zh-CN"/>
        </w:rPr>
        <w:t>个国家级贫困县域内且聘用建档立卡贫困人员的物业公司，提供注册地证明材料、贫困县扶贫部门出具的聘用建档立卡贫困人员身份证明及社保材料（开标前</w:t>
      </w:r>
      <w:r>
        <w:rPr>
          <w:rFonts w:ascii="宋体" w:hAnsi="宋体" w:cs="仿宋_GB2312"/>
          <w:szCs w:val="21"/>
          <w:lang w:val="zh-CN"/>
        </w:rPr>
        <w:t>12</w:t>
      </w:r>
      <w:r>
        <w:rPr>
          <w:rFonts w:hint="eastAsia" w:ascii="宋体" w:hAnsi="宋体" w:cs="仿宋_GB2312"/>
          <w:szCs w:val="21"/>
          <w:lang w:val="zh-CN"/>
        </w:rPr>
        <w:t>个月内至少连续</w:t>
      </w:r>
      <w:r>
        <w:rPr>
          <w:rFonts w:ascii="宋体" w:hAnsi="宋体" w:cs="仿宋_GB2312"/>
          <w:szCs w:val="21"/>
          <w:lang w:val="zh-CN"/>
        </w:rPr>
        <w:t>3</w:t>
      </w:r>
      <w:r>
        <w:rPr>
          <w:rFonts w:hint="eastAsia" w:ascii="宋体" w:hAnsi="宋体" w:cs="仿宋_GB2312"/>
          <w:szCs w:val="21"/>
          <w:lang w:val="zh-CN"/>
        </w:rPr>
        <w:t>个月）的有效证明后，评标委员会根据本项目评标标准予以判定并赋分</w:t>
      </w:r>
      <w:r>
        <w:rPr>
          <w:rFonts w:hint="eastAsia" w:ascii="宋体" w:hAnsi="宋体" w:cs="仿宋_GB2312"/>
          <w:szCs w:val="21"/>
          <w:lang w:val="en-US" w:eastAsia="zh-CN"/>
        </w:rPr>
        <w:t>.</w:t>
      </w:r>
    </w:p>
    <w:p>
      <w:pPr>
        <w:tabs>
          <w:tab w:val="left" w:pos="1260"/>
        </w:tabs>
        <w:autoSpaceDE w:val="0"/>
        <w:autoSpaceDN w:val="0"/>
        <w:spacing w:line="360" w:lineRule="auto"/>
        <w:ind w:firstLine="422" w:firstLineChars="200"/>
        <w:contextualSpacing/>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w:t>
      </w:r>
      <w:r>
        <w:rPr>
          <w:rFonts w:hint="eastAsia" w:cs="仿宋_GB2312" w:asciiTheme="minorEastAsia" w:hAnsiTheme="minorEastAsia"/>
          <w:b/>
          <w:szCs w:val="21"/>
          <w:highlight w:val="none"/>
          <w:lang w:val="en-US" w:eastAsia="zh-CN"/>
        </w:rPr>
        <w:t>5</w:t>
      </w:r>
      <w:r>
        <w:rPr>
          <w:rFonts w:hint="eastAsia" w:cs="仿宋_GB2312" w:asciiTheme="minorEastAsia" w:hAnsiTheme="minorEastAsia"/>
          <w:b/>
          <w:szCs w:val="21"/>
          <w:highlight w:val="none"/>
          <w:lang w:val="zh-CN"/>
        </w:rPr>
        <w:t>）投标无效情形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4"/>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2"/>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578"/>
        <w:gridCol w:w="6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2977" w:type="dxa"/>
            <w:gridSpan w:val="2"/>
            <w:noWrap w:val="0"/>
            <w:vAlign w:val="center"/>
          </w:tcPr>
          <w:p>
            <w:pPr>
              <w:spacing w:line="360" w:lineRule="auto"/>
              <w:jc w:val="center"/>
              <w:rPr>
                <w:rFonts w:ascii="宋体" w:hAnsi="宋体"/>
                <w:color w:val="auto"/>
                <w:szCs w:val="21"/>
              </w:rPr>
            </w:pPr>
            <w:r>
              <w:rPr>
                <w:rFonts w:hint="eastAsia" w:ascii="宋体" w:hAnsi="宋体"/>
                <w:color w:val="auto"/>
                <w:szCs w:val="21"/>
              </w:rPr>
              <w:t>分值构成</w:t>
            </w:r>
          </w:p>
          <w:p>
            <w:pPr>
              <w:snapToGrid w:val="0"/>
              <w:spacing w:beforeLines="50"/>
              <w:jc w:val="center"/>
              <w:rPr>
                <w:rFonts w:ascii="宋体" w:hAnsi="宋体" w:cs="宋体"/>
                <w:b/>
                <w:color w:val="auto"/>
                <w:szCs w:val="21"/>
              </w:rPr>
            </w:pPr>
            <w:r>
              <w:rPr>
                <w:rFonts w:hint="eastAsia" w:ascii="宋体" w:hAnsi="宋体"/>
                <w:color w:val="auto"/>
                <w:szCs w:val="21"/>
              </w:rPr>
              <w:t>(总分100分)</w:t>
            </w:r>
          </w:p>
        </w:tc>
        <w:tc>
          <w:tcPr>
            <w:tcW w:w="6163" w:type="dxa"/>
            <w:noWrap w:val="0"/>
            <w:vAlign w:val="center"/>
          </w:tcPr>
          <w:p>
            <w:pPr>
              <w:spacing w:line="360" w:lineRule="auto"/>
              <w:ind w:firstLine="420" w:firstLineChars="200"/>
              <w:rPr>
                <w:rFonts w:ascii="宋体" w:hAnsi="宋体"/>
                <w:color w:val="auto"/>
                <w:szCs w:val="21"/>
              </w:rPr>
            </w:pPr>
            <w:r>
              <w:rPr>
                <w:rFonts w:hint="eastAsia" w:ascii="宋体" w:hAnsi="宋体"/>
                <w:color w:val="auto"/>
                <w:szCs w:val="21"/>
              </w:rPr>
              <w:t>价格分值：</w:t>
            </w:r>
            <w:r>
              <w:rPr>
                <w:rFonts w:hint="eastAsia" w:ascii="宋体" w:hAnsi="宋体"/>
                <w:color w:val="auto"/>
                <w:szCs w:val="21"/>
                <w:u w:val="single"/>
                <w:lang w:val="en-US" w:eastAsia="zh-CN"/>
              </w:rPr>
              <w:t>40</w:t>
            </w:r>
            <w:r>
              <w:rPr>
                <w:rFonts w:hint="eastAsia" w:ascii="宋体" w:hAnsi="宋体"/>
                <w:color w:val="auto"/>
                <w:szCs w:val="21"/>
              </w:rPr>
              <w:t>分</w:t>
            </w:r>
          </w:p>
          <w:p>
            <w:pPr>
              <w:spacing w:line="360" w:lineRule="auto"/>
              <w:ind w:firstLine="420" w:firstLineChars="200"/>
              <w:rPr>
                <w:rFonts w:ascii="宋体" w:hAnsi="宋体"/>
                <w:color w:val="auto"/>
                <w:szCs w:val="21"/>
              </w:rPr>
            </w:pPr>
            <w:r>
              <w:rPr>
                <w:rFonts w:hint="eastAsia" w:ascii="宋体" w:hAnsi="宋体"/>
                <w:color w:val="auto"/>
                <w:szCs w:val="21"/>
              </w:rPr>
              <w:t>商务部分：</w:t>
            </w:r>
            <w:r>
              <w:rPr>
                <w:rFonts w:hint="eastAsia" w:ascii="宋体" w:hAnsi="宋体"/>
                <w:color w:val="auto"/>
                <w:szCs w:val="21"/>
                <w:u w:val="single"/>
                <w:lang w:val="en-US" w:eastAsia="zh-CN"/>
              </w:rPr>
              <w:t>45</w:t>
            </w:r>
            <w:r>
              <w:rPr>
                <w:rFonts w:hint="eastAsia" w:ascii="宋体" w:hAnsi="宋体"/>
                <w:color w:val="auto"/>
                <w:szCs w:val="21"/>
              </w:rPr>
              <w:t>分</w:t>
            </w:r>
          </w:p>
          <w:p>
            <w:pPr>
              <w:spacing w:beforeLines="50"/>
              <w:ind w:firstLine="420" w:firstLineChars="200"/>
              <w:rPr>
                <w:rFonts w:ascii="宋体" w:hAnsi="宋体" w:cs="宋体"/>
                <w:b/>
                <w:color w:val="auto"/>
                <w:szCs w:val="21"/>
              </w:rPr>
            </w:pPr>
            <w:r>
              <w:rPr>
                <w:rFonts w:hint="eastAsia" w:ascii="宋体" w:hAnsi="宋体"/>
                <w:color w:val="auto"/>
                <w:szCs w:val="21"/>
              </w:rPr>
              <w:t>技术部分：</w:t>
            </w:r>
            <w:r>
              <w:rPr>
                <w:rFonts w:hint="eastAsia" w:ascii="宋体" w:hAnsi="宋体"/>
                <w:color w:val="auto"/>
                <w:szCs w:val="21"/>
                <w:u w:val="single"/>
                <w:lang w:val="en-US" w:eastAsia="zh-CN"/>
              </w:rPr>
              <w:t>15</w:t>
            </w:r>
            <w:r>
              <w:rPr>
                <w:rFonts w:hint="eastAsia" w:ascii="宋体" w:hAnsi="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399" w:type="dxa"/>
            <w:noWrap w:val="0"/>
            <w:vAlign w:val="center"/>
          </w:tcPr>
          <w:p>
            <w:pPr>
              <w:snapToGrid w:val="0"/>
              <w:spacing w:beforeLines="50"/>
              <w:jc w:val="center"/>
              <w:rPr>
                <w:rFonts w:ascii="宋体" w:hAnsi="宋体" w:eastAsia="宋体" w:cs="宋体"/>
                <w:b/>
                <w:color w:val="auto"/>
                <w:szCs w:val="21"/>
              </w:rPr>
            </w:pPr>
            <w:r>
              <w:rPr>
                <w:rFonts w:hint="eastAsia" w:ascii="宋体" w:hAnsi="宋体" w:eastAsia="宋体" w:cs="宋体"/>
                <w:b/>
                <w:color w:val="auto"/>
                <w:szCs w:val="21"/>
              </w:rPr>
              <w:t>评审项</w:t>
            </w:r>
          </w:p>
        </w:tc>
        <w:tc>
          <w:tcPr>
            <w:tcW w:w="1578" w:type="dxa"/>
            <w:noWrap w:val="0"/>
            <w:vAlign w:val="center"/>
          </w:tcPr>
          <w:p>
            <w:pPr>
              <w:snapToGrid w:val="0"/>
              <w:spacing w:beforeLines="50"/>
              <w:jc w:val="center"/>
              <w:rPr>
                <w:rFonts w:ascii="宋体" w:hAnsi="宋体" w:eastAsia="宋体" w:cs="宋体"/>
                <w:b/>
                <w:color w:val="auto"/>
                <w:szCs w:val="21"/>
              </w:rPr>
            </w:pPr>
            <w:r>
              <w:rPr>
                <w:rFonts w:hint="eastAsia" w:ascii="宋体" w:hAnsi="宋体" w:eastAsia="宋体" w:cs="宋体"/>
                <w:b/>
                <w:color w:val="auto"/>
                <w:szCs w:val="21"/>
              </w:rPr>
              <w:t>评分因素</w:t>
            </w:r>
          </w:p>
        </w:tc>
        <w:tc>
          <w:tcPr>
            <w:tcW w:w="6163" w:type="dxa"/>
            <w:noWrap w:val="0"/>
            <w:vAlign w:val="center"/>
          </w:tcPr>
          <w:p>
            <w:pPr>
              <w:snapToGrid w:val="0"/>
              <w:spacing w:beforeLines="50"/>
              <w:jc w:val="center"/>
              <w:rPr>
                <w:rFonts w:ascii="宋体" w:hAnsi="宋体" w:eastAsia="宋体" w:cs="宋体"/>
                <w:b/>
                <w:color w:val="auto"/>
                <w:szCs w:val="21"/>
              </w:rPr>
            </w:pPr>
            <w:r>
              <w:rPr>
                <w:rFonts w:hint="eastAsia" w:ascii="宋体" w:hAnsi="宋体" w:eastAsia="宋体" w:cs="宋体"/>
                <w:b/>
                <w:color w:val="auto"/>
                <w:szCs w:val="21"/>
              </w:rPr>
              <w:t>评</w:t>
            </w:r>
            <w:r>
              <w:rPr>
                <w:rFonts w:hint="eastAsia" w:ascii="宋体" w:hAnsi="宋体" w:cs="宋体"/>
                <w:b/>
                <w:color w:val="auto"/>
                <w:szCs w:val="21"/>
              </w:rPr>
              <w:t>标</w:t>
            </w:r>
            <w:r>
              <w:rPr>
                <w:rFonts w:hint="eastAsia" w:ascii="宋体" w:hAnsi="宋体" w:eastAsia="宋体" w:cs="宋体"/>
                <w:b/>
                <w:color w:val="auto"/>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5" w:hRule="atLeast"/>
        </w:trPr>
        <w:tc>
          <w:tcPr>
            <w:tcW w:w="1399"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hanging="4" w:hangingChars="2"/>
              <w:jc w:val="center"/>
              <w:rPr>
                <w:b w:val="0"/>
                <w:i w:val="0"/>
                <w:color w:val="auto"/>
              </w:rPr>
            </w:pPr>
            <w:r>
              <w:rPr>
                <w:rFonts w:hint="eastAsia" w:ascii="宋体" w:hAnsi="宋体" w:eastAsia="宋体" w:cs="宋体"/>
                <w:b w:val="0"/>
                <w:i w:val="0"/>
                <w:color w:val="auto"/>
                <w:kern w:val="2"/>
                <w:sz w:val="21"/>
                <w:szCs w:val="21"/>
                <w:u w:val="none"/>
                <w:lang w:val="en-US" w:eastAsia="zh-CN" w:bidi="ar"/>
              </w:rPr>
              <w:t>报价部分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rightChars="0" w:hanging="4" w:hangingChars="2"/>
              <w:jc w:val="center"/>
              <w:rPr>
                <w:rFonts w:ascii="宋体" w:hAnsi="宋体" w:eastAsia="宋体" w:cs="宋体"/>
                <w:color w:val="auto"/>
                <w:szCs w:val="21"/>
              </w:rPr>
            </w:pPr>
            <w:r>
              <w:rPr>
                <w:rFonts w:hint="eastAsia" w:ascii="宋体" w:hAnsi="宋体" w:eastAsia="宋体" w:cs="宋体"/>
                <w:b w:val="0"/>
                <w:i w:val="0"/>
                <w:color w:val="auto"/>
                <w:kern w:val="2"/>
                <w:sz w:val="21"/>
                <w:szCs w:val="21"/>
                <w:u w:val="none"/>
                <w:lang w:val="en-US" w:eastAsia="zh-CN" w:bidi="ar"/>
              </w:rPr>
              <w:t>（</w:t>
            </w:r>
            <w:r>
              <w:rPr>
                <w:rFonts w:hint="eastAsia" w:ascii="宋体" w:hAnsi="宋体" w:eastAsia="宋体" w:cs="宋体"/>
                <w:b w:val="0"/>
                <w:i w:val="0"/>
                <w:color w:val="auto"/>
                <w:kern w:val="0"/>
                <w:sz w:val="21"/>
                <w:szCs w:val="21"/>
                <w:u w:val="single"/>
                <w:lang w:val="en-US" w:eastAsia="zh-CN" w:bidi="ar"/>
              </w:rPr>
              <w:t> </w:t>
            </w:r>
            <w:r>
              <w:rPr>
                <w:rFonts w:hint="eastAsia" w:ascii="宋体" w:hAnsi="宋体" w:cs="宋体"/>
                <w:b w:val="0"/>
                <w:i w:val="0"/>
                <w:color w:val="auto"/>
                <w:kern w:val="0"/>
                <w:sz w:val="21"/>
                <w:szCs w:val="21"/>
                <w:u w:val="single"/>
                <w:lang w:val="en-US" w:eastAsia="zh-CN" w:bidi="ar"/>
              </w:rPr>
              <w:t>40</w:t>
            </w:r>
            <w:r>
              <w:rPr>
                <w:rFonts w:hint="eastAsia" w:ascii="宋体" w:hAnsi="宋体" w:eastAsia="宋体" w:cs="宋体"/>
                <w:b w:val="0"/>
                <w:i w:val="0"/>
                <w:color w:val="auto"/>
                <w:kern w:val="0"/>
                <w:sz w:val="21"/>
                <w:szCs w:val="21"/>
                <w:u w:val="single"/>
                <w:lang w:val="en-US" w:eastAsia="zh-CN" w:bidi="ar"/>
              </w:rPr>
              <w:t> </w:t>
            </w:r>
            <w:r>
              <w:rPr>
                <w:rFonts w:hint="eastAsia" w:ascii="宋体" w:hAnsi="宋体" w:eastAsia="宋体" w:cs="宋体"/>
                <w:b w:val="0"/>
                <w:i w:val="0"/>
                <w:color w:val="auto"/>
                <w:kern w:val="2"/>
                <w:sz w:val="21"/>
                <w:szCs w:val="21"/>
                <w:u w:val="none"/>
                <w:lang w:val="en-US" w:eastAsia="zh-CN" w:bidi="ar"/>
              </w:rPr>
              <w:t>分）</w:t>
            </w:r>
          </w:p>
        </w:tc>
        <w:tc>
          <w:tcPr>
            <w:tcW w:w="1578"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b w:val="0"/>
                <w:i w:val="0"/>
                <w:color w:val="auto"/>
              </w:rPr>
            </w:pPr>
            <w:r>
              <w:rPr>
                <w:rFonts w:hint="eastAsia" w:ascii="宋体" w:hAnsi="宋体" w:eastAsia="宋体" w:cs="宋体"/>
                <w:b w:val="0"/>
                <w:i w:val="0"/>
                <w:color w:val="auto"/>
                <w:kern w:val="2"/>
                <w:sz w:val="21"/>
                <w:szCs w:val="21"/>
                <w:u w:val="none"/>
                <w:lang w:val="en-US" w:eastAsia="zh-CN" w:bidi="ar"/>
              </w:rPr>
              <w:t>报价</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ascii="宋体" w:hAnsi="宋体" w:eastAsia="宋体" w:cs="宋体"/>
                <w:color w:val="auto"/>
                <w:szCs w:val="21"/>
              </w:rPr>
            </w:pPr>
            <w:r>
              <w:rPr>
                <w:rFonts w:hint="eastAsia" w:ascii="宋体" w:hAnsi="宋体" w:eastAsia="宋体" w:cs="宋体"/>
                <w:b w:val="0"/>
                <w:i w:val="0"/>
                <w:color w:val="auto"/>
                <w:kern w:val="2"/>
                <w:sz w:val="21"/>
                <w:szCs w:val="21"/>
                <w:u w:val="none"/>
                <w:lang w:val="en-US" w:eastAsia="zh-CN" w:bidi="ar"/>
              </w:rPr>
              <w:t>（</w:t>
            </w:r>
            <w:r>
              <w:rPr>
                <w:rFonts w:hint="eastAsia" w:ascii="宋体" w:hAnsi="宋体" w:eastAsia="宋体" w:cs="宋体"/>
                <w:b w:val="0"/>
                <w:i w:val="0"/>
                <w:color w:val="auto"/>
                <w:kern w:val="0"/>
                <w:sz w:val="21"/>
                <w:szCs w:val="21"/>
                <w:u w:val="single"/>
                <w:lang w:val="en-US" w:eastAsia="zh-CN" w:bidi="ar"/>
              </w:rPr>
              <w:t> </w:t>
            </w:r>
            <w:r>
              <w:rPr>
                <w:rFonts w:hint="eastAsia" w:ascii="宋体" w:hAnsi="宋体" w:cs="宋体"/>
                <w:b w:val="0"/>
                <w:i w:val="0"/>
                <w:color w:val="auto"/>
                <w:kern w:val="0"/>
                <w:sz w:val="21"/>
                <w:szCs w:val="21"/>
                <w:u w:val="single"/>
                <w:lang w:val="en-US" w:eastAsia="zh-CN" w:bidi="ar"/>
              </w:rPr>
              <w:t>40</w:t>
            </w:r>
            <w:r>
              <w:rPr>
                <w:rFonts w:hint="eastAsia" w:ascii="宋体" w:hAnsi="宋体" w:eastAsia="宋体" w:cs="宋体"/>
                <w:b w:val="0"/>
                <w:i w:val="0"/>
                <w:color w:val="auto"/>
                <w:kern w:val="0"/>
                <w:sz w:val="21"/>
                <w:szCs w:val="21"/>
                <w:u w:val="single"/>
                <w:lang w:val="en-US" w:eastAsia="zh-CN" w:bidi="ar"/>
              </w:rPr>
              <w:t> </w:t>
            </w:r>
            <w:r>
              <w:rPr>
                <w:rFonts w:hint="eastAsia" w:ascii="宋体" w:hAnsi="宋体" w:eastAsia="宋体" w:cs="宋体"/>
                <w:b w:val="0"/>
                <w:i w:val="0"/>
                <w:color w:val="auto"/>
                <w:kern w:val="2"/>
                <w:sz w:val="21"/>
                <w:szCs w:val="21"/>
                <w:u w:val="none"/>
                <w:lang w:val="en-US" w:eastAsia="zh-CN" w:bidi="ar"/>
              </w:rPr>
              <w:t>分）</w:t>
            </w:r>
          </w:p>
        </w:tc>
        <w:tc>
          <w:tcPr>
            <w:tcW w:w="6163" w:type="dxa"/>
            <w:noWrap w:val="0"/>
            <w:vAlign w:val="center"/>
          </w:tcPr>
          <w:p>
            <w:pPr>
              <w:pStyle w:val="70"/>
              <w:spacing w:after="0"/>
              <w:rPr>
                <w:rFonts w:hint="eastAsia" w:ascii="宋体" w:hAnsi="宋体"/>
                <w:color w:val="auto"/>
              </w:rPr>
            </w:pPr>
            <w:r>
              <w:rPr>
                <w:rFonts w:hint="eastAsia" w:ascii="宋体" w:hAnsi="宋体"/>
                <w:color w:val="auto"/>
              </w:rPr>
              <w:t>有效供应商中投标价格最低的投标报价为评标基准价，其价格分为满分。</w:t>
            </w:r>
          </w:p>
          <w:p>
            <w:pPr>
              <w:pStyle w:val="70"/>
              <w:spacing w:after="0"/>
              <w:rPr>
                <w:rFonts w:hint="eastAsia" w:ascii="宋体" w:hAnsi="宋体"/>
                <w:color w:val="auto"/>
              </w:rPr>
            </w:pPr>
            <w:r>
              <w:rPr>
                <w:rFonts w:hint="eastAsia" w:ascii="宋体" w:hAnsi="宋体"/>
                <w:color w:val="auto"/>
              </w:rPr>
              <w:t>其他供应商的价格分统一按照下列公式计算：</w:t>
            </w:r>
          </w:p>
          <w:p>
            <w:pPr>
              <w:pStyle w:val="70"/>
              <w:spacing w:after="0"/>
              <w:rPr>
                <w:rFonts w:hint="eastAsia" w:ascii="宋体" w:hAnsi="宋体"/>
                <w:color w:val="auto"/>
              </w:rPr>
            </w:pPr>
            <w:r>
              <w:rPr>
                <w:rFonts w:hint="eastAsia" w:ascii="宋体" w:hAnsi="宋体"/>
                <w:color w:val="auto"/>
              </w:rPr>
              <w:t>投标报价得分=(评标基准价／投标报价)×</w:t>
            </w:r>
            <w:r>
              <w:rPr>
                <w:rFonts w:hint="eastAsia" w:ascii="宋体" w:hAnsi="宋体"/>
                <w:color w:val="auto"/>
                <w:lang w:val="en-US" w:eastAsia="zh-CN"/>
              </w:rPr>
              <w:t>4</w:t>
            </w:r>
            <w:r>
              <w:rPr>
                <w:rFonts w:hint="eastAsia" w:ascii="宋体" w:hAnsi="宋体"/>
                <w:color w:val="auto"/>
              </w:rPr>
              <w:t>0%×100。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ascii="宋体" w:hAnsi="宋体" w:eastAsia="宋体" w:cs="宋体"/>
                <w:color w:val="auto"/>
                <w:szCs w:val="21"/>
              </w:rPr>
            </w:pPr>
            <w:r>
              <w:rPr>
                <w:rFonts w:hint="eastAsia" w:ascii="宋体" w:hAnsi="宋体"/>
                <w:color w:val="auto"/>
              </w:rPr>
              <w:t>注：分值计算保留小数点后两位，小数点后第三位“四舍五入”。</w:t>
            </w:r>
            <w:r>
              <w:rPr>
                <w:rFonts w:hint="eastAsia" w:ascii="宋体" w:hAnsi="宋体"/>
                <w:color w:val="auto"/>
              </w:rPr>
              <w:br w:type="textWrapping"/>
            </w:r>
            <w:r>
              <w:rPr>
                <w:rFonts w:hint="eastAsia" w:ascii="宋体" w:hAnsi="宋体"/>
                <w:color w:val="auto"/>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1399" w:type="dxa"/>
            <w:vMerge w:val="restar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hanging="4" w:hangingChars="2"/>
              <w:jc w:val="center"/>
              <w:rPr>
                <w:b w:val="0"/>
                <w:i w:val="0"/>
                <w:color w:val="auto"/>
              </w:rPr>
            </w:pPr>
            <w:r>
              <w:rPr>
                <w:rFonts w:hint="eastAsia" w:ascii="宋体" w:hAnsi="宋体" w:eastAsia="宋体" w:cs="宋体"/>
                <w:b w:val="0"/>
                <w:i w:val="0"/>
                <w:color w:val="auto"/>
                <w:kern w:val="2"/>
                <w:sz w:val="21"/>
                <w:szCs w:val="21"/>
                <w:u w:val="none"/>
                <w:lang w:val="en-US" w:eastAsia="zh-CN" w:bidi="ar"/>
              </w:rPr>
              <w:t>商务部分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rightChars="0" w:hanging="4" w:hangingChars="2"/>
              <w:jc w:val="center"/>
              <w:rPr>
                <w:rFonts w:ascii="宋体" w:hAnsi="宋体" w:eastAsia="宋体" w:cs="宋体"/>
                <w:color w:val="auto"/>
                <w:szCs w:val="21"/>
              </w:rPr>
            </w:pPr>
            <w:r>
              <w:rPr>
                <w:rFonts w:hint="eastAsia" w:ascii="宋体" w:hAnsi="宋体" w:eastAsia="宋体" w:cs="宋体"/>
                <w:b w:val="0"/>
                <w:i w:val="0"/>
                <w:color w:val="auto"/>
                <w:kern w:val="2"/>
                <w:sz w:val="21"/>
                <w:szCs w:val="21"/>
                <w:u w:val="none"/>
                <w:lang w:val="en-US" w:eastAsia="zh-CN" w:bidi="ar"/>
              </w:rPr>
              <w:t>（</w:t>
            </w:r>
            <w:r>
              <w:rPr>
                <w:rFonts w:hint="eastAsia" w:ascii="宋体" w:hAnsi="宋体" w:eastAsia="宋体" w:cs="宋体"/>
                <w:b w:val="0"/>
                <w:i w:val="0"/>
                <w:color w:val="auto"/>
                <w:kern w:val="0"/>
                <w:sz w:val="21"/>
                <w:szCs w:val="21"/>
                <w:u w:val="single"/>
                <w:lang w:val="en-US" w:eastAsia="zh-CN" w:bidi="ar"/>
              </w:rPr>
              <w:t> </w:t>
            </w:r>
            <w:r>
              <w:rPr>
                <w:rFonts w:hint="eastAsia" w:ascii="宋体" w:hAnsi="宋体" w:cs="宋体"/>
                <w:b w:val="0"/>
                <w:i w:val="0"/>
                <w:color w:val="auto"/>
                <w:kern w:val="0"/>
                <w:sz w:val="21"/>
                <w:szCs w:val="21"/>
                <w:u w:val="single"/>
                <w:lang w:val="en-US" w:eastAsia="zh-CN" w:bidi="ar"/>
              </w:rPr>
              <w:t>45</w:t>
            </w:r>
            <w:r>
              <w:rPr>
                <w:rFonts w:hint="eastAsia" w:ascii="宋体" w:hAnsi="宋体" w:eastAsia="宋体" w:cs="宋体"/>
                <w:b w:val="0"/>
                <w:i w:val="0"/>
                <w:color w:val="auto"/>
                <w:kern w:val="0"/>
                <w:sz w:val="21"/>
                <w:szCs w:val="21"/>
                <w:u w:val="single"/>
                <w:lang w:val="en-US" w:eastAsia="zh-CN" w:bidi="ar"/>
              </w:rPr>
              <w:t> </w:t>
            </w:r>
            <w:r>
              <w:rPr>
                <w:rFonts w:hint="eastAsia" w:ascii="宋体" w:hAnsi="宋体" w:eastAsia="宋体" w:cs="宋体"/>
                <w:b w:val="0"/>
                <w:i w:val="0"/>
                <w:color w:val="auto"/>
                <w:kern w:val="2"/>
                <w:sz w:val="21"/>
                <w:szCs w:val="21"/>
                <w:u w:val="none"/>
                <w:lang w:val="en-US" w:eastAsia="zh-CN" w:bidi="ar"/>
              </w:rPr>
              <w:t>分）</w:t>
            </w:r>
          </w:p>
        </w:tc>
        <w:tc>
          <w:tcPr>
            <w:tcW w:w="1578"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b w:val="0"/>
                <w:i w:val="0"/>
                <w:color w:val="auto"/>
              </w:rPr>
            </w:pPr>
            <w:r>
              <w:rPr>
                <w:rFonts w:hint="eastAsia" w:ascii="宋体" w:hAnsi="宋体" w:eastAsia="宋体" w:cs="Times New Roman"/>
                <w:b w:val="0"/>
                <w:i w:val="0"/>
                <w:color w:val="auto"/>
                <w:kern w:val="2"/>
                <w:sz w:val="21"/>
                <w:szCs w:val="21"/>
                <w:u w:val="none"/>
                <w:lang w:val="en-US" w:eastAsia="zh-CN" w:bidi="ar"/>
              </w:rPr>
              <w:t>业绩</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ascii="宋体" w:hAnsi="宋体" w:eastAsia="宋体" w:cs="Times New Roman"/>
                <w:color w:val="auto"/>
                <w:szCs w:val="21"/>
              </w:rPr>
            </w:pPr>
            <w:r>
              <w:rPr>
                <w:rFonts w:hint="eastAsia" w:ascii="宋体" w:hAnsi="宋体" w:eastAsia="宋体" w:cs="Times New Roman"/>
                <w:b w:val="0"/>
                <w:i w:val="0"/>
                <w:color w:val="auto"/>
                <w:kern w:val="2"/>
                <w:sz w:val="21"/>
                <w:szCs w:val="21"/>
                <w:u w:val="none"/>
                <w:lang w:val="en-US" w:eastAsia="zh-CN" w:bidi="ar"/>
              </w:rPr>
              <w:t>（</w:t>
            </w:r>
            <w:r>
              <w:rPr>
                <w:rFonts w:hint="eastAsia" w:ascii="宋体" w:hAnsi="宋体" w:cs="宋体"/>
                <w:b w:val="0"/>
                <w:i w:val="0"/>
                <w:color w:val="auto"/>
                <w:kern w:val="0"/>
                <w:sz w:val="21"/>
                <w:szCs w:val="21"/>
                <w:u w:val="single"/>
                <w:lang w:val="en-US" w:eastAsia="zh-CN" w:bidi="ar"/>
              </w:rPr>
              <w:t>9</w:t>
            </w:r>
            <w:r>
              <w:rPr>
                <w:rFonts w:hint="eastAsia" w:ascii="宋体" w:hAnsi="宋体" w:eastAsia="宋体" w:cs="Times New Roman"/>
                <w:b w:val="0"/>
                <w:i w:val="0"/>
                <w:color w:val="auto"/>
                <w:kern w:val="2"/>
                <w:sz w:val="21"/>
                <w:szCs w:val="21"/>
                <w:u w:val="none"/>
                <w:lang w:val="en-US" w:eastAsia="zh-CN" w:bidi="ar"/>
              </w:rPr>
              <w:t>分）</w:t>
            </w:r>
          </w:p>
        </w:tc>
        <w:tc>
          <w:tcPr>
            <w:tcW w:w="6163"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Times New Roman"/>
                <w:b w:val="0"/>
                <w:i w:val="0"/>
                <w:color w:val="000000"/>
                <w:kern w:val="2"/>
                <w:sz w:val="21"/>
                <w:szCs w:val="21"/>
                <w:u w:val="none"/>
                <w:lang w:val="zh-CN" w:eastAsia="zh-CN" w:bidi="ar"/>
              </w:rPr>
            </w:pPr>
            <w:r>
              <w:rPr>
                <w:rFonts w:hint="eastAsia" w:ascii="宋体" w:hAnsi="宋体" w:cs="宋体"/>
                <w:szCs w:val="21"/>
              </w:rPr>
              <w:t>提供201</w:t>
            </w:r>
            <w:r>
              <w:rPr>
                <w:rFonts w:hint="eastAsia" w:ascii="宋体" w:hAnsi="宋体" w:cs="宋体"/>
                <w:szCs w:val="21"/>
                <w:lang w:val="en-US" w:eastAsia="zh-CN"/>
              </w:rPr>
              <w:t>7</w:t>
            </w:r>
            <w:r>
              <w:rPr>
                <w:rFonts w:hint="eastAsia" w:ascii="宋体" w:hAnsi="宋体" w:cs="宋体"/>
                <w:szCs w:val="21"/>
              </w:rPr>
              <w:t>年以来</w:t>
            </w:r>
            <w:r>
              <w:rPr>
                <w:rFonts w:hint="eastAsia" w:ascii="宋体" w:hAnsi="宋体" w:cs="宋体"/>
                <w:szCs w:val="21"/>
                <w:lang w:eastAsia="zh-CN"/>
              </w:rPr>
              <w:t>类似产品业绩</w:t>
            </w:r>
            <w:r>
              <w:rPr>
                <w:rFonts w:hint="eastAsia" w:ascii="宋体" w:hAnsi="宋体" w:cs="宋体"/>
                <w:szCs w:val="21"/>
                <w:lang w:val="en-US" w:eastAsia="zh-CN"/>
              </w:rPr>
              <w:t>业绩的每份</w:t>
            </w:r>
            <w:r>
              <w:rPr>
                <w:rFonts w:hint="default" w:ascii="宋体" w:hAnsi="宋体" w:cs="宋体"/>
                <w:szCs w:val="21"/>
                <w:lang w:val="en-US"/>
              </w:rPr>
              <w:t>得</w:t>
            </w:r>
            <w:r>
              <w:rPr>
                <w:rFonts w:hint="eastAsia" w:ascii="宋体" w:hAnsi="宋体" w:cs="宋体"/>
                <w:szCs w:val="21"/>
                <w:lang w:val="en-US" w:eastAsia="zh-CN"/>
              </w:rPr>
              <w:t>3</w:t>
            </w:r>
            <w:r>
              <w:rPr>
                <w:rFonts w:hint="default" w:ascii="宋体" w:hAnsi="宋体" w:cs="宋体"/>
                <w:szCs w:val="21"/>
                <w:lang w:val="en-US"/>
              </w:rPr>
              <w:t>分；</w:t>
            </w:r>
            <w:r>
              <w:rPr>
                <w:rFonts w:hint="eastAsia" w:ascii="宋体" w:hAnsi="宋体" w:cs="宋体"/>
                <w:szCs w:val="21"/>
                <w:lang w:val="en-US" w:eastAsia="zh-CN"/>
              </w:rPr>
              <w:t>最高</w:t>
            </w:r>
            <w:r>
              <w:rPr>
                <w:rFonts w:hint="default" w:ascii="宋体" w:hAnsi="宋体" w:cs="宋体"/>
                <w:szCs w:val="21"/>
                <w:lang w:val="en-US"/>
              </w:rPr>
              <w:t>得</w:t>
            </w:r>
            <w:r>
              <w:rPr>
                <w:rFonts w:hint="eastAsia" w:ascii="宋体" w:hAnsi="宋体" w:cs="宋体"/>
                <w:szCs w:val="21"/>
                <w:lang w:val="en-US" w:eastAsia="zh-CN"/>
              </w:rPr>
              <w:t>9</w:t>
            </w:r>
            <w:r>
              <w:rPr>
                <w:rFonts w:hint="default" w:ascii="宋体" w:hAnsi="宋体" w:cs="宋体"/>
                <w:szCs w:val="21"/>
                <w:lang w:val="en-US"/>
              </w:rPr>
              <w:t>分</w:t>
            </w:r>
            <w:r>
              <w:rPr>
                <w:rFonts w:hint="eastAsia" w:ascii="宋体" w:hAnsi="宋体" w:cs="宋体"/>
                <w:szCs w:val="21"/>
              </w:rPr>
              <w:t>（以合同签订时间为准）</w:t>
            </w:r>
            <w:r>
              <w:rPr>
                <w:rFonts w:hint="eastAsia" w:ascii="宋体" w:hAnsi="宋体" w:eastAsia="宋体" w:cs="宋体"/>
                <w:kern w:val="0"/>
                <w:sz w:val="21"/>
                <w:szCs w:val="21"/>
              </w:rPr>
              <w:t>（开标时提供法定媒介中标(成交)公示网页截图、合同、中标通知书</w:t>
            </w:r>
            <w:r>
              <w:rPr>
                <w:rFonts w:hint="eastAsia" w:ascii="Times New Roman" w:hAnsi="Times New Roman"/>
              </w:rPr>
              <w:t>扫描件</w:t>
            </w:r>
            <w:r>
              <w:rPr>
                <w:rFonts w:hint="eastAsia" w:ascii="宋体" w:hAnsi="宋体" w:cs="宋体"/>
              </w:rPr>
              <w:t>，三者缺一不计分</w:t>
            </w:r>
            <w:r>
              <w:rPr>
                <w:rFonts w:hint="eastAsia" w:ascii="宋体" w:hAnsi="宋体" w:eastAsia="宋体" w:cs="宋体"/>
                <w:kern w:val="0"/>
                <w:sz w:val="21"/>
                <w:szCs w:val="21"/>
                <w:lang w:eastAsia="zh-CN"/>
              </w:rPr>
              <w:t>）</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399" w:type="dxa"/>
            <w:vMerge w:val="continue"/>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rightChars="0" w:hanging="4" w:hangingChars="2"/>
              <w:jc w:val="center"/>
              <w:rPr>
                <w:rFonts w:hint="eastAsia" w:ascii="宋体" w:hAnsi="宋体" w:eastAsia="宋体" w:cs="宋体"/>
                <w:b w:val="0"/>
                <w:i w:val="0"/>
                <w:color w:val="auto"/>
                <w:kern w:val="2"/>
                <w:sz w:val="21"/>
                <w:szCs w:val="21"/>
                <w:u w:val="none"/>
                <w:lang w:val="en-US" w:eastAsia="zh-CN" w:bidi="ar"/>
              </w:rPr>
            </w:pPr>
          </w:p>
        </w:tc>
        <w:tc>
          <w:tcPr>
            <w:tcW w:w="1578"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hint="eastAsia"/>
                <w:color w:val="auto"/>
                <w:lang w:val="en-US" w:eastAsia="zh-CN"/>
              </w:rPr>
            </w:pPr>
            <w:r>
              <w:rPr>
                <w:rFonts w:hint="eastAsia"/>
                <w:color w:val="auto"/>
                <w:lang w:val="en-US" w:eastAsia="zh-CN"/>
              </w:rPr>
              <w:t>体系认证</w:t>
            </w:r>
          </w:p>
          <w:p>
            <w:pPr>
              <w:pStyle w:val="3"/>
              <w:ind w:firstLine="210" w:firstLineChars="100"/>
              <w:rPr>
                <w:rFonts w:hint="eastAsia"/>
                <w:color w:val="auto"/>
                <w:lang w:val="en-US" w:eastAsia="zh-CN"/>
              </w:rPr>
            </w:pPr>
            <w:r>
              <w:rPr>
                <w:rFonts w:hint="eastAsia" w:ascii="宋体" w:hAnsi="宋体" w:eastAsia="宋体" w:cs="Times New Roman"/>
                <w:b w:val="0"/>
                <w:i w:val="0"/>
                <w:color w:val="auto"/>
                <w:kern w:val="2"/>
                <w:sz w:val="21"/>
                <w:szCs w:val="21"/>
                <w:u w:val="none"/>
                <w:lang w:val="en-US" w:eastAsia="zh-CN" w:bidi="ar"/>
              </w:rPr>
              <w:t>（</w:t>
            </w:r>
            <w:r>
              <w:rPr>
                <w:rFonts w:hint="eastAsia" w:ascii="宋体" w:hAnsi="宋体" w:eastAsia="宋体" w:cs="Times New Roman"/>
                <w:b w:val="0"/>
                <w:i w:val="0"/>
                <w:color w:val="auto"/>
                <w:kern w:val="2"/>
                <w:sz w:val="21"/>
                <w:szCs w:val="21"/>
                <w:u w:val="single"/>
                <w:lang w:val="en-US" w:eastAsia="zh-CN" w:bidi="ar"/>
              </w:rPr>
              <w:t xml:space="preserve"> 3分</w:t>
            </w:r>
            <w:r>
              <w:rPr>
                <w:rFonts w:hint="eastAsia" w:ascii="宋体" w:hAnsi="宋体" w:eastAsia="宋体" w:cs="Times New Roman"/>
                <w:b w:val="0"/>
                <w:i w:val="0"/>
                <w:color w:val="auto"/>
                <w:kern w:val="2"/>
                <w:sz w:val="21"/>
                <w:szCs w:val="21"/>
                <w:u w:val="none"/>
                <w:lang w:val="en-US" w:eastAsia="zh-CN" w:bidi="ar"/>
              </w:rPr>
              <w:t>）</w:t>
            </w:r>
          </w:p>
        </w:tc>
        <w:tc>
          <w:tcPr>
            <w:tcW w:w="6163"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Cs w:val="21"/>
                <w:lang w:eastAsia="zh-CN"/>
              </w:rPr>
            </w:pPr>
            <w:r>
              <w:rPr>
                <w:rFonts w:hint="eastAsia" w:ascii="宋体" w:hAnsi="宋体" w:cs="宋体"/>
                <w:szCs w:val="21"/>
                <w:lang w:eastAsia="zh-CN"/>
              </w:rPr>
              <w:t>投标人</w:t>
            </w:r>
            <w:r>
              <w:rPr>
                <w:rFonts w:hint="eastAsia" w:ascii="宋体" w:hAnsi="宋体" w:cs="宋体"/>
                <w:szCs w:val="21"/>
              </w:rPr>
              <w:t>具有质量管理体系认证证书、环境管理体系认证证书、职业健康管理体系认证证书</w:t>
            </w:r>
            <w:r>
              <w:rPr>
                <w:rFonts w:hint="eastAsia" w:ascii="宋体" w:hAnsi="宋体" w:cs="宋体"/>
                <w:szCs w:val="21"/>
                <w:lang w:eastAsia="zh-CN"/>
              </w:rPr>
              <w:t>。</w:t>
            </w:r>
            <w:r>
              <w:rPr>
                <w:rFonts w:hint="eastAsia" w:ascii="宋体" w:hAnsi="宋体" w:cs="宋体"/>
                <w:szCs w:val="21"/>
              </w:rPr>
              <w:t>每项得</w:t>
            </w:r>
            <w:r>
              <w:rPr>
                <w:rFonts w:hint="eastAsia" w:ascii="宋体" w:hAnsi="宋体" w:cs="宋体"/>
                <w:szCs w:val="21"/>
                <w:lang w:val="en-US" w:eastAsia="zh-CN"/>
              </w:rPr>
              <w:t>1</w:t>
            </w:r>
            <w:r>
              <w:rPr>
                <w:rFonts w:hint="eastAsia" w:ascii="宋体" w:hAnsi="宋体" w:cs="宋体"/>
                <w:szCs w:val="21"/>
              </w:rPr>
              <w:t>分，共</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399" w:type="dxa"/>
            <w:vMerge w:val="continue"/>
            <w:noWrap w:val="0"/>
            <w:vAlign w:val="center"/>
          </w:tcPr>
          <w:p>
            <w:pPr>
              <w:rPr>
                <w:rFonts w:ascii="宋体" w:hAnsi="宋体" w:eastAsia="宋体" w:cs="宋体"/>
                <w:color w:val="auto"/>
                <w:szCs w:val="21"/>
              </w:rPr>
            </w:pPr>
          </w:p>
        </w:tc>
        <w:tc>
          <w:tcPr>
            <w:tcW w:w="1578"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hint="eastAsia" w:ascii="宋体" w:hAnsi="宋体" w:eastAsia="宋体" w:cs="Times New Roman"/>
                <w:b w:val="0"/>
                <w:i w:val="0"/>
                <w:color w:val="auto"/>
                <w:kern w:val="2"/>
                <w:sz w:val="21"/>
                <w:szCs w:val="21"/>
                <w:u w:val="none"/>
                <w:lang w:val="en-US" w:eastAsia="zh-CN" w:bidi="ar"/>
              </w:rPr>
            </w:pPr>
            <w:r>
              <w:rPr>
                <w:rFonts w:hint="eastAsia" w:ascii="宋体" w:hAnsi="宋体" w:eastAsia="宋体" w:cs="Times New Roman"/>
                <w:b w:val="0"/>
                <w:i w:val="0"/>
                <w:color w:val="auto"/>
                <w:kern w:val="2"/>
                <w:sz w:val="21"/>
                <w:szCs w:val="21"/>
                <w:u w:val="none"/>
                <w:lang w:val="en-US" w:eastAsia="zh-CN" w:bidi="ar"/>
              </w:rPr>
              <w:t>企业信用</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ascii="宋体" w:hAnsi="宋体" w:eastAsia="宋体" w:cs="Times New Roman"/>
                <w:color w:val="auto"/>
                <w:szCs w:val="21"/>
              </w:rPr>
            </w:pPr>
            <w:r>
              <w:rPr>
                <w:rFonts w:hint="eastAsia" w:ascii="宋体" w:hAnsi="宋体" w:eastAsia="宋体" w:cs="Times New Roman"/>
                <w:b w:val="0"/>
                <w:i w:val="0"/>
                <w:color w:val="auto"/>
                <w:kern w:val="2"/>
                <w:sz w:val="21"/>
                <w:szCs w:val="21"/>
                <w:u w:val="none"/>
                <w:lang w:val="en-US" w:eastAsia="zh-CN" w:bidi="ar"/>
              </w:rPr>
              <w:t>（</w:t>
            </w:r>
            <w:r>
              <w:rPr>
                <w:rFonts w:hint="eastAsia" w:ascii="宋体" w:hAnsi="宋体" w:eastAsia="宋体" w:cs="宋体"/>
                <w:b w:val="0"/>
                <w:i w:val="0"/>
                <w:color w:val="auto"/>
                <w:kern w:val="0"/>
                <w:sz w:val="21"/>
                <w:szCs w:val="21"/>
                <w:u w:val="single"/>
                <w:lang w:val="en-US" w:eastAsia="zh-CN" w:bidi="ar"/>
              </w:rPr>
              <w:t>3</w:t>
            </w:r>
            <w:r>
              <w:rPr>
                <w:rFonts w:hint="eastAsia" w:ascii="宋体" w:hAnsi="宋体" w:eastAsia="宋体" w:cs="Times New Roman"/>
                <w:b w:val="0"/>
                <w:i w:val="0"/>
                <w:color w:val="auto"/>
                <w:kern w:val="2"/>
                <w:sz w:val="21"/>
                <w:szCs w:val="21"/>
                <w:u w:val="none"/>
                <w:lang w:val="en-US" w:eastAsia="zh-CN" w:bidi="ar"/>
              </w:rPr>
              <w:t>分）</w:t>
            </w:r>
          </w:p>
        </w:tc>
        <w:tc>
          <w:tcPr>
            <w:tcW w:w="6163"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Times New Roman"/>
                <w:b w:val="0"/>
                <w:i w:val="0"/>
                <w:color w:val="000000"/>
                <w:kern w:val="2"/>
                <w:sz w:val="21"/>
                <w:szCs w:val="21"/>
                <w:u w:val="none"/>
                <w:lang w:val="zh-CN" w:eastAsia="zh-CN" w:bidi="ar"/>
              </w:rPr>
            </w:pPr>
            <w:r>
              <w:rPr>
                <w:rFonts w:hint="eastAsia" w:ascii="宋体" w:hAnsi="宋体" w:cs="宋体"/>
                <w:szCs w:val="21"/>
              </w:rPr>
              <w:t>投标人具有专业信用评估机构颁发的AAA级企业信用等级证书及企业信用报告</w:t>
            </w:r>
            <w:r>
              <w:rPr>
                <w:rFonts w:hint="eastAsia" w:ascii="宋体" w:hAnsi="宋体" w:cs="宋体"/>
                <w:szCs w:val="21"/>
                <w:lang w:eastAsia="zh-CN"/>
              </w:rPr>
              <w:t>的</w:t>
            </w:r>
            <w:r>
              <w:rPr>
                <w:rFonts w:hint="eastAsia" w:ascii="宋体" w:hAnsi="宋体" w:cs="宋体"/>
                <w:szCs w:val="21"/>
              </w:rPr>
              <w:t>得</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lang w:val="en-US" w:eastAsia="zh-CN"/>
              </w:rPr>
              <w:t>AA级的得2分</w:t>
            </w:r>
            <w:r>
              <w:rPr>
                <w:rFonts w:hint="eastAsia" w:ascii="宋体" w:hAnsi="宋体" w:cs="宋体"/>
                <w:szCs w:val="21"/>
              </w:rPr>
              <w:t>，</w:t>
            </w:r>
            <w:r>
              <w:rPr>
                <w:rFonts w:hint="eastAsia" w:ascii="宋体" w:hAnsi="宋体" w:cs="宋体"/>
                <w:szCs w:val="21"/>
                <w:lang w:val="en-US" w:eastAsia="zh-CN"/>
              </w:rPr>
              <w:t>A级的得1分</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399" w:type="dxa"/>
            <w:vMerge w:val="continue"/>
            <w:noWrap w:val="0"/>
            <w:vAlign w:val="center"/>
          </w:tcPr>
          <w:p>
            <w:pPr>
              <w:rPr>
                <w:rFonts w:ascii="宋体" w:hAnsi="宋体" w:eastAsia="宋体" w:cs="宋体"/>
                <w:color w:val="auto"/>
                <w:szCs w:val="21"/>
              </w:rPr>
            </w:pPr>
          </w:p>
        </w:tc>
        <w:tc>
          <w:tcPr>
            <w:tcW w:w="1578" w:type="dxa"/>
            <w:noWrap w:val="0"/>
            <w:vAlign w:val="center"/>
          </w:tcPr>
          <w:p>
            <w:pPr>
              <w:pStyle w:val="3"/>
              <w:ind w:firstLine="210" w:firstLineChars="100"/>
              <w:rPr>
                <w:rFonts w:hint="eastAsia" w:ascii="宋体" w:hAnsi="宋体" w:eastAsia="宋体" w:cs="宋体"/>
                <w:kern w:val="0"/>
                <w:szCs w:val="21"/>
                <w:lang w:val="en-US" w:eastAsia="zh-CN"/>
              </w:rPr>
            </w:pPr>
            <w:r>
              <w:rPr>
                <w:rFonts w:hint="eastAsia" w:ascii="宋体" w:hAnsi="宋体" w:cs="宋体"/>
                <w:kern w:val="0"/>
                <w:szCs w:val="21"/>
                <w:lang w:eastAsia="zh-CN"/>
              </w:rPr>
              <w:t>产品证书</w:t>
            </w:r>
          </w:p>
          <w:p>
            <w:pPr>
              <w:pStyle w:val="3"/>
              <w:ind w:left="420" w:leftChars="100" w:hanging="210" w:hangingChars="100"/>
              <w:rPr>
                <w:rFonts w:hint="eastAsia"/>
                <w:lang w:val="en-US" w:eastAsia="zh-CN"/>
              </w:rPr>
            </w:pPr>
            <w:r>
              <w:rPr>
                <w:rFonts w:hint="eastAsia" w:ascii="宋体" w:hAnsi="宋体" w:eastAsia="宋体" w:cs="Times New Roman"/>
                <w:b w:val="0"/>
                <w:i w:val="0"/>
                <w:color w:val="auto"/>
                <w:kern w:val="2"/>
                <w:sz w:val="21"/>
                <w:szCs w:val="21"/>
                <w:u w:val="none"/>
                <w:lang w:val="en-US" w:eastAsia="zh-CN" w:bidi="ar"/>
              </w:rPr>
              <w:t>（</w:t>
            </w:r>
            <w:r>
              <w:rPr>
                <w:rFonts w:hint="eastAsia" w:ascii="宋体" w:hAnsi="宋体" w:eastAsia="宋体" w:cs="Times New Roman"/>
                <w:b w:val="0"/>
                <w:i w:val="0"/>
                <w:color w:val="auto"/>
                <w:kern w:val="2"/>
                <w:sz w:val="21"/>
                <w:szCs w:val="21"/>
                <w:u w:val="single"/>
                <w:lang w:val="en-US" w:eastAsia="zh-CN" w:bidi="ar"/>
              </w:rPr>
              <w:t>19分</w:t>
            </w:r>
            <w:r>
              <w:rPr>
                <w:rFonts w:hint="eastAsia" w:ascii="宋体" w:hAnsi="宋体" w:eastAsia="宋体" w:cs="Times New Roman"/>
                <w:b w:val="0"/>
                <w:i w:val="0"/>
                <w:color w:val="auto"/>
                <w:kern w:val="2"/>
                <w:sz w:val="21"/>
                <w:szCs w:val="21"/>
                <w:u w:val="none"/>
                <w:lang w:val="en-US" w:eastAsia="zh-CN" w:bidi="ar"/>
              </w:rPr>
              <w:t>）</w:t>
            </w:r>
          </w:p>
        </w:tc>
        <w:tc>
          <w:tcPr>
            <w:tcW w:w="6163"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default" w:ascii="宋体" w:hAnsi="宋体" w:cs="宋体"/>
                <w:szCs w:val="21"/>
                <w:lang w:val="en-US" w:eastAsia="zh-CN"/>
              </w:rPr>
            </w:pPr>
            <w:r>
              <w:rPr>
                <w:rFonts w:hint="eastAsia" w:ascii="宋体" w:hAnsi="宋体" w:cs="宋体"/>
                <w:kern w:val="0"/>
                <w:szCs w:val="21"/>
                <w:lang w:eastAsia="zh-CN"/>
              </w:rPr>
              <w:t>教学平台</w:t>
            </w:r>
            <w:r>
              <w:rPr>
                <w:rFonts w:hint="eastAsia" w:ascii="宋体" w:hAnsi="宋体" w:cs="宋体"/>
                <w:szCs w:val="21"/>
                <w:lang w:val="en-US" w:eastAsia="zh-CN"/>
              </w:rPr>
              <w:t>提供有关产品省级以上测试中心的测试报告的提供一个的得2分，最高得4分。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cs="宋体"/>
                <w:szCs w:val="21"/>
                <w:lang w:val="en-US" w:eastAsia="zh-CN"/>
              </w:rPr>
            </w:pPr>
            <w:r>
              <w:rPr>
                <w:rFonts w:hint="eastAsia" w:ascii="宋体" w:hAnsi="宋体" w:cs="宋体"/>
                <w:szCs w:val="21"/>
                <w:lang w:val="en-US" w:eastAsia="zh-CN"/>
              </w:rPr>
              <w:t>软件厂商具有《高新技术企业认定证书》的得3分，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cs="宋体"/>
                <w:szCs w:val="21"/>
                <w:lang w:val="en-US" w:eastAsia="zh-CN"/>
              </w:rPr>
            </w:pPr>
            <w:r>
              <w:rPr>
                <w:rFonts w:hint="eastAsia" w:ascii="宋体" w:hAnsi="宋体" w:cs="宋体"/>
                <w:szCs w:val="21"/>
                <w:lang w:val="en-US" w:eastAsia="zh-CN"/>
              </w:rPr>
              <w:t>软件厂商具有《软件企业认定证书》得3分，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cs="宋体"/>
                <w:szCs w:val="21"/>
                <w:lang w:val="en-US" w:eastAsia="zh-CN"/>
              </w:rPr>
            </w:pPr>
            <w:r>
              <w:rPr>
                <w:rFonts w:hint="eastAsia" w:ascii="宋体" w:hAnsi="宋体" w:cs="宋体"/>
                <w:szCs w:val="21"/>
                <w:lang w:val="en-US" w:eastAsia="zh-CN"/>
              </w:rPr>
              <w:t>软件厂商获得过省级及以上软件比赛获奖证书的得3分，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cs="宋体"/>
                <w:szCs w:val="21"/>
                <w:lang w:val="en-US" w:eastAsia="zh-CN"/>
              </w:rPr>
            </w:pPr>
            <w:r>
              <w:rPr>
                <w:rFonts w:hint="eastAsia" w:ascii="宋体" w:hAnsi="宋体" w:cs="宋体"/>
                <w:szCs w:val="21"/>
                <w:lang w:val="en-US" w:eastAsia="zh-CN"/>
              </w:rPr>
              <w:t>软件厂商具备软件著作权登记证书的得3分，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cs="宋体"/>
                <w:szCs w:val="21"/>
              </w:rPr>
            </w:pPr>
            <w:r>
              <w:rPr>
                <w:rFonts w:hint="eastAsia" w:ascii="宋体" w:hAnsi="宋体" w:cs="宋体"/>
                <w:kern w:val="0"/>
                <w:szCs w:val="21"/>
                <w:lang w:val="en-US" w:eastAsia="zh-CN"/>
              </w:rPr>
              <w:t>软件厂商</w:t>
            </w:r>
            <w:r>
              <w:rPr>
                <w:rFonts w:hint="eastAsia" w:ascii="宋体" w:hAnsi="宋体" w:cs="宋体"/>
                <w:kern w:val="0"/>
                <w:szCs w:val="21"/>
                <w:lang w:eastAsia="zh-CN"/>
              </w:rPr>
              <w:t>获得过中国教育技术协会软件比赛奖项的得</w:t>
            </w:r>
            <w:r>
              <w:rPr>
                <w:rFonts w:hint="eastAsia" w:ascii="宋体" w:hAnsi="宋体" w:cs="宋体"/>
                <w:kern w:val="0"/>
                <w:szCs w:val="21"/>
                <w:lang w:val="en-US" w:eastAsia="zh-CN"/>
              </w:rPr>
              <w:t>3分。</w:t>
            </w:r>
            <w:r>
              <w:rPr>
                <w:rFonts w:hint="eastAsia" w:ascii="宋体" w:hAnsi="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399" w:type="dxa"/>
            <w:vMerge w:val="continue"/>
            <w:noWrap w:val="0"/>
            <w:vAlign w:val="center"/>
          </w:tcPr>
          <w:p>
            <w:pPr>
              <w:rPr>
                <w:rFonts w:ascii="宋体" w:hAnsi="宋体" w:eastAsia="宋体" w:cs="宋体"/>
                <w:color w:val="auto"/>
                <w:szCs w:val="21"/>
              </w:rPr>
            </w:pPr>
          </w:p>
        </w:tc>
        <w:tc>
          <w:tcPr>
            <w:tcW w:w="1578" w:type="dxa"/>
            <w:noWrap w:val="0"/>
            <w:vAlign w:val="center"/>
          </w:tcPr>
          <w:p>
            <w:pPr>
              <w:pStyle w:val="3"/>
              <w:ind w:left="420" w:leftChars="100" w:hanging="210" w:hangingChars="100"/>
              <w:rPr>
                <w:rFonts w:hint="eastAsia" w:ascii="宋体" w:hAnsi="宋体"/>
                <w:szCs w:val="21"/>
              </w:rPr>
            </w:pPr>
            <w:r>
              <w:rPr>
                <w:rFonts w:hint="eastAsia" w:ascii="宋体" w:hAnsi="宋体"/>
                <w:szCs w:val="21"/>
              </w:rPr>
              <w:t>项目人员</w:t>
            </w:r>
          </w:p>
          <w:p>
            <w:pPr>
              <w:pStyle w:val="3"/>
              <w:ind w:left="420" w:leftChars="100" w:hanging="210" w:hangingChars="100"/>
              <w:rPr>
                <w:rFonts w:hint="eastAsia" w:ascii="宋体" w:hAnsi="宋体" w:eastAsia="宋体"/>
                <w:szCs w:val="21"/>
                <w:lang w:val="en-US" w:eastAsia="zh-CN"/>
              </w:rPr>
            </w:pPr>
            <w:r>
              <w:rPr>
                <w:rFonts w:hint="eastAsia" w:ascii="宋体" w:hAnsi="宋体"/>
                <w:szCs w:val="21"/>
                <w:lang w:val="en-US" w:eastAsia="zh-CN"/>
              </w:rPr>
              <w:t>（3分）</w:t>
            </w:r>
          </w:p>
        </w:tc>
        <w:tc>
          <w:tcPr>
            <w:tcW w:w="6163"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cs="宋体"/>
                <w:szCs w:val="21"/>
                <w:lang w:val="en-US" w:eastAsia="zh-CN"/>
              </w:rPr>
            </w:pPr>
            <w:r>
              <w:rPr>
                <w:rFonts w:hint="eastAsia" w:ascii="宋体" w:hAnsi="宋体"/>
                <w:szCs w:val="21"/>
              </w:rPr>
              <w:t>投标人拟派本项目人员具有信息系统集成及服务项目管理人员证书</w:t>
            </w:r>
            <w:r>
              <w:rPr>
                <w:rFonts w:hint="eastAsia" w:ascii="宋体" w:hAnsi="宋体"/>
                <w:szCs w:val="21"/>
                <w:lang w:eastAsia="zh-CN"/>
              </w:rPr>
              <w:t>的</w:t>
            </w:r>
            <w:r>
              <w:rPr>
                <w:rFonts w:hint="eastAsia" w:ascii="宋体" w:hAnsi="宋体"/>
                <w:szCs w:val="21"/>
              </w:rPr>
              <w:t>每</w:t>
            </w:r>
            <w:r>
              <w:rPr>
                <w:rFonts w:hint="eastAsia" w:ascii="宋体" w:hAnsi="宋体"/>
                <w:szCs w:val="21"/>
                <w:lang w:eastAsia="zh-CN"/>
              </w:rPr>
              <w:t>有</w:t>
            </w:r>
            <w:r>
              <w:rPr>
                <w:rFonts w:hint="eastAsia" w:ascii="宋体" w:hAnsi="宋体"/>
                <w:szCs w:val="21"/>
              </w:rPr>
              <w:t>一人得1分，最多</w:t>
            </w:r>
            <w:r>
              <w:rPr>
                <w:rFonts w:hint="eastAsia" w:ascii="宋体" w:hAnsi="宋体"/>
                <w:szCs w:val="21"/>
                <w:lang w:eastAsia="zh-CN"/>
              </w:rPr>
              <w:t>得</w:t>
            </w:r>
            <w:r>
              <w:rPr>
                <w:rFonts w:hint="eastAsia" w:ascii="宋体" w:hAnsi="宋体"/>
                <w:szCs w:val="21"/>
                <w:lang w:val="en-US" w:eastAsia="zh-CN"/>
              </w:rPr>
              <w:t>3</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1399" w:type="dxa"/>
            <w:vMerge w:val="continue"/>
            <w:noWrap w:val="0"/>
            <w:vAlign w:val="center"/>
          </w:tcPr>
          <w:p>
            <w:pPr>
              <w:rPr>
                <w:rFonts w:ascii="宋体" w:hAnsi="宋体" w:eastAsia="宋体" w:cs="宋体"/>
                <w:color w:val="auto"/>
                <w:szCs w:val="21"/>
              </w:rPr>
            </w:pPr>
          </w:p>
        </w:tc>
        <w:tc>
          <w:tcPr>
            <w:tcW w:w="1578" w:type="dxa"/>
            <w:noWrap w:val="0"/>
            <w:vAlign w:val="center"/>
          </w:tcPr>
          <w:p>
            <w:pPr>
              <w:pStyle w:val="3"/>
              <w:ind w:left="420" w:leftChars="100" w:hanging="210" w:hangingChars="100"/>
              <w:rPr>
                <w:rFonts w:hint="eastAsia" w:ascii="宋体" w:hAnsi="宋体" w:eastAsia="宋体" w:cs="Times New Roman"/>
                <w:b w:val="0"/>
                <w:i w:val="0"/>
                <w:color w:val="auto"/>
                <w:kern w:val="2"/>
                <w:sz w:val="21"/>
                <w:szCs w:val="21"/>
                <w:u w:val="none"/>
                <w:lang w:val="en-US" w:eastAsia="zh-CN" w:bidi="ar"/>
              </w:rPr>
            </w:pPr>
            <w:r>
              <w:rPr>
                <w:rFonts w:hint="eastAsia" w:ascii="宋体" w:hAnsi="宋体"/>
                <w:kern w:val="0"/>
                <w:szCs w:val="21"/>
                <w:lang w:eastAsia="zh-CN"/>
              </w:rPr>
              <w:t>施工及售后（</w:t>
            </w:r>
            <w:r>
              <w:rPr>
                <w:rFonts w:hint="eastAsia" w:ascii="宋体" w:hAnsi="宋体"/>
                <w:kern w:val="0"/>
                <w:szCs w:val="21"/>
                <w:lang w:val="en-US" w:eastAsia="zh-CN"/>
              </w:rPr>
              <w:t>8分</w:t>
            </w:r>
            <w:r>
              <w:rPr>
                <w:rFonts w:hint="eastAsia" w:ascii="宋体" w:hAnsi="宋体"/>
                <w:kern w:val="0"/>
                <w:szCs w:val="21"/>
                <w:lang w:eastAsia="zh-CN"/>
              </w:rPr>
              <w:t>）</w:t>
            </w:r>
          </w:p>
        </w:tc>
        <w:tc>
          <w:tcPr>
            <w:tcW w:w="6163" w:type="dxa"/>
            <w:noWrap w:val="0"/>
            <w:vAlign w:val="center"/>
          </w:tcPr>
          <w:p>
            <w:pPr>
              <w:spacing w:line="360" w:lineRule="exact"/>
              <w:jc w:val="left"/>
              <w:rPr>
                <w:rFonts w:ascii="宋体" w:hAnsi="宋体"/>
                <w:szCs w:val="21"/>
              </w:rPr>
            </w:pPr>
            <w:r>
              <w:rPr>
                <w:rFonts w:hint="eastAsia" w:ascii="宋体" w:hAnsi="宋体"/>
                <w:szCs w:val="21"/>
              </w:rPr>
              <w:t>1、投标人针对本项目提供详细、合理的售后服务计划，包括备品备件、、问题响应时间、人员到达现场时间、解决问题时间。</w:t>
            </w:r>
            <w:r>
              <w:rPr>
                <w:rFonts w:hint="eastAsia" w:ascii="宋体" w:hAnsi="宋体"/>
                <w:kern w:val="0"/>
                <w:szCs w:val="21"/>
              </w:rPr>
              <w:t>（分为三档，一档</w:t>
            </w:r>
            <w:r>
              <w:rPr>
                <w:rFonts w:hint="eastAsia" w:ascii="宋体" w:hAnsi="宋体"/>
                <w:kern w:val="0"/>
                <w:szCs w:val="21"/>
                <w:lang w:val="en-US" w:eastAsia="zh-CN"/>
              </w:rPr>
              <w:t>3</w:t>
            </w:r>
            <w:r>
              <w:rPr>
                <w:rFonts w:hint="eastAsia" w:ascii="宋体" w:hAnsi="宋体"/>
                <w:kern w:val="0"/>
                <w:szCs w:val="21"/>
              </w:rPr>
              <w:t>分，二档</w:t>
            </w:r>
            <w:r>
              <w:rPr>
                <w:rFonts w:hint="eastAsia" w:ascii="宋体" w:hAnsi="宋体"/>
                <w:kern w:val="0"/>
                <w:szCs w:val="21"/>
                <w:lang w:val="en-US" w:eastAsia="zh-CN"/>
              </w:rPr>
              <w:t>2</w:t>
            </w:r>
            <w:r>
              <w:rPr>
                <w:rFonts w:hint="eastAsia" w:ascii="宋体" w:hAnsi="宋体"/>
                <w:kern w:val="0"/>
                <w:szCs w:val="21"/>
              </w:rPr>
              <w:t>分，三档</w:t>
            </w:r>
            <w:r>
              <w:rPr>
                <w:rFonts w:hint="eastAsia" w:ascii="宋体" w:hAnsi="宋体"/>
                <w:kern w:val="0"/>
                <w:szCs w:val="21"/>
                <w:lang w:val="en-US" w:eastAsia="zh-CN"/>
              </w:rPr>
              <w:t>1</w:t>
            </w:r>
            <w:r>
              <w:rPr>
                <w:rFonts w:hint="eastAsia" w:ascii="宋体" w:hAnsi="宋体"/>
                <w:kern w:val="0"/>
                <w:szCs w:val="21"/>
              </w:rPr>
              <w:t>分）</w:t>
            </w:r>
          </w:p>
          <w:p>
            <w:pPr>
              <w:spacing w:line="360" w:lineRule="exact"/>
              <w:jc w:val="left"/>
              <w:rPr>
                <w:rFonts w:ascii="宋体" w:hAnsi="宋体"/>
                <w:szCs w:val="21"/>
              </w:rPr>
            </w:pPr>
            <w:r>
              <w:rPr>
                <w:rFonts w:hint="eastAsia" w:ascii="宋体" w:hAnsi="宋体"/>
                <w:szCs w:val="21"/>
              </w:rPr>
              <w:t>2、投标人针对本项目提供详细、合理的人员培训计划，包括培训方式、培训内容、培训时间。</w:t>
            </w:r>
            <w:r>
              <w:rPr>
                <w:rFonts w:hint="eastAsia" w:ascii="宋体" w:hAnsi="宋体"/>
                <w:kern w:val="0"/>
                <w:szCs w:val="21"/>
              </w:rPr>
              <w:t>（分为三档，一档</w:t>
            </w:r>
            <w:r>
              <w:rPr>
                <w:rFonts w:hint="eastAsia" w:ascii="宋体" w:hAnsi="宋体"/>
                <w:kern w:val="0"/>
                <w:szCs w:val="21"/>
                <w:lang w:val="en-US" w:eastAsia="zh-CN"/>
              </w:rPr>
              <w:t>3</w:t>
            </w:r>
            <w:r>
              <w:rPr>
                <w:rFonts w:hint="eastAsia" w:ascii="宋体" w:hAnsi="宋体"/>
                <w:kern w:val="0"/>
                <w:szCs w:val="21"/>
              </w:rPr>
              <w:t>分，二档</w:t>
            </w:r>
            <w:r>
              <w:rPr>
                <w:rFonts w:hint="eastAsia" w:ascii="宋体" w:hAnsi="宋体"/>
                <w:kern w:val="0"/>
                <w:szCs w:val="21"/>
                <w:lang w:val="en-US" w:eastAsia="zh-CN"/>
              </w:rPr>
              <w:t>2</w:t>
            </w:r>
            <w:r>
              <w:rPr>
                <w:rFonts w:hint="eastAsia" w:ascii="宋体" w:hAnsi="宋体"/>
                <w:kern w:val="0"/>
                <w:szCs w:val="21"/>
              </w:rPr>
              <w:t>分，三档</w:t>
            </w:r>
            <w:r>
              <w:rPr>
                <w:rFonts w:hint="eastAsia" w:ascii="宋体" w:hAnsi="宋体"/>
                <w:kern w:val="0"/>
                <w:szCs w:val="21"/>
                <w:lang w:val="en-US" w:eastAsia="zh-CN"/>
              </w:rPr>
              <w:t>1</w:t>
            </w:r>
            <w:r>
              <w:rPr>
                <w:rFonts w:hint="eastAsia" w:ascii="宋体" w:hAnsi="宋体"/>
                <w:kern w:val="0"/>
                <w:szCs w:val="21"/>
              </w:rPr>
              <w:t>分打分，无培训计划不得分）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default" w:eastAsia="宋体"/>
                <w:lang w:val="en-US" w:eastAsia="zh-CN"/>
              </w:rPr>
            </w:pPr>
            <w:r>
              <w:rPr>
                <w:rFonts w:hint="eastAsia" w:ascii="宋体" w:hAnsi="宋体"/>
                <w:szCs w:val="21"/>
              </w:rPr>
              <w:t>3、投标人针对本项目</w:t>
            </w:r>
            <w:r>
              <w:rPr>
                <w:rFonts w:hint="eastAsia" w:ascii="宋体" w:hAnsi="宋体"/>
                <w:szCs w:val="21"/>
                <w:lang w:eastAsia="zh-CN"/>
              </w:rPr>
              <w:t>在满足最低</w:t>
            </w:r>
            <w:r>
              <w:rPr>
                <w:rFonts w:hint="eastAsia" w:ascii="宋体" w:hAnsi="宋体" w:cs="宋体"/>
                <w:color w:val="000000"/>
                <w:szCs w:val="21"/>
              </w:rPr>
              <w:t>质保期</w:t>
            </w:r>
            <w:r>
              <w:rPr>
                <w:rFonts w:hint="eastAsia" w:ascii="宋体" w:hAnsi="宋体" w:cs="宋体"/>
                <w:color w:val="000000"/>
                <w:szCs w:val="21"/>
                <w:lang w:eastAsia="zh-CN"/>
              </w:rPr>
              <w:t>的基础上，每增加一年免费质保期的加</w:t>
            </w:r>
            <w:r>
              <w:rPr>
                <w:rFonts w:hint="eastAsia" w:ascii="宋体" w:hAnsi="宋体" w:cs="宋体"/>
                <w:color w:val="000000"/>
                <w:szCs w:val="21"/>
                <w:lang w:val="en-US" w:eastAsia="zh-CN"/>
              </w:rPr>
              <w:t>1分，最高加2分。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399" w:type="dxa"/>
            <w:tcBorders>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b w:val="0"/>
                <w:i w:val="0"/>
              </w:rPr>
            </w:pPr>
            <w:bookmarkStart w:id="11" w:name="_GoBack" w:colFirst="0" w:colLast="2"/>
            <w:r>
              <w:rPr>
                <w:rFonts w:hint="eastAsia" w:ascii="宋体" w:hAnsi="宋体" w:eastAsia="宋体" w:cs="宋体"/>
                <w:b w:val="0"/>
                <w:i w:val="0"/>
                <w:color w:val="000000"/>
                <w:kern w:val="2"/>
                <w:sz w:val="21"/>
                <w:szCs w:val="21"/>
                <w:u w:val="none"/>
                <w:lang w:val="en-US" w:eastAsia="zh-CN" w:bidi="ar"/>
              </w:rPr>
              <w:t>技术部分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ascii="宋体" w:hAnsi="宋体" w:eastAsia="宋体" w:cs="宋体"/>
                <w:szCs w:val="21"/>
              </w:rPr>
            </w:pPr>
            <w:r>
              <w:rPr>
                <w:rFonts w:hint="eastAsia"/>
                <w:lang w:val="en-US" w:eastAsia="zh-CN"/>
              </w:rPr>
              <w:t>（15分）</w:t>
            </w:r>
          </w:p>
        </w:tc>
        <w:tc>
          <w:tcPr>
            <w:tcW w:w="7741" w:type="dxa"/>
            <w:gridSpan w:val="2"/>
            <w:tcBorders>
              <w:right w:val="single" w:color="auto" w:sz="4" w:space="0"/>
            </w:tcBorders>
            <w:noWrap w:val="0"/>
            <w:vAlign w:val="center"/>
          </w:tcPr>
          <w:p>
            <w:pPr>
              <w:pStyle w:val="70"/>
              <w:spacing w:after="0"/>
              <w:rPr>
                <w:rFonts w:hint="eastAsia"/>
                <w:lang w:val="en-US" w:eastAsia="zh-CN"/>
              </w:rPr>
            </w:pPr>
            <w:r>
              <w:rPr>
                <w:rFonts w:hint="eastAsia"/>
                <w:lang w:val="en-US" w:eastAsia="zh-CN"/>
              </w:rPr>
              <w:t>1、</w:t>
            </w:r>
            <w:r>
              <w:rPr>
                <w:rFonts w:hint="eastAsia"/>
              </w:rPr>
              <w:t>评委根据投标文件内容及所投产品打分。</w:t>
            </w:r>
            <w:r>
              <w:rPr>
                <w:rFonts w:hint="eastAsia"/>
                <w:lang w:eastAsia="zh-CN"/>
              </w:rPr>
              <w:t>供应商所投产品</w:t>
            </w:r>
            <w:r>
              <w:rPr>
                <w:rFonts w:hint="eastAsia"/>
              </w:rPr>
              <w:t>参数及功能要求</w:t>
            </w:r>
            <w:r>
              <w:rPr>
                <w:rFonts w:hint="eastAsia"/>
                <w:lang w:eastAsia="zh-CN"/>
              </w:rPr>
              <w:t>不得低于</w:t>
            </w:r>
            <w:r>
              <w:rPr>
                <w:rFonts w:hint="eastAsia"/>
              </w:rPr>
              <w:t>招标文件技术参数及功能要求</w:t>
            </w:r>
            <w:r>
              <w:rPr>
                <w:rFonts w:hint="eastAsia"/>
                <w:lang w:val="en-US" w:eastAsia="zh-CN"/>
              </w:rPr>
              <w:t>，</w:t>
            </w:r>
            <w:r>
              <w:rPr>
                <w:rFonts w:hint="eastAsia"/>
                <w:lang w:eastAsia="zh-CN"/>
              </w:rPr>
              <w:t>低于</w:t>
            </w:r>
            <w:r>
              <w:rPr>
                <w:rFonts w:hint="eastAsia"/>
              </w:rPr>
              <w:t>招标文要求</w:t>
            </w:r>
            <w:r>
              <w:rPr>
                <w:rFonts w:hint="eastAsia"/>
                <w:lang w:eastAsia="zh-CN"/>
              </w:rPr>
              <w:t>的按废标处理</w:t>
            </w:r>
            <w:r>
              <w:rPr>
                <w:rFonts w:hint="eastAsia"/>
                <w:lang w:val="en-US" w:eastAsia="zh-CN"/>
              </w:rPr>
              <w:t>。</w:t>
            </w:r>
          </w:p>
          <w:p>
            <w:pPr>
              <w:pStyle w:val="70"/>
              <w:spacing w:after="0"/>
              <w:rPr>
                <w:rFonts w:hint="eastAsia"/>
              </w:rPr>
            </w:pPr>
            <w:r>
              <w:rPr>
                <w:rFonts w:hint="eastAsia"/>
                <w:lang w:val="en-US" w:eastAsia="zh-CN"/>
              </w:rPr>
              <w:t>2、</w:t>
            </w:r>
            <w:r>
              <w:rPr>
                <w:rFonts w:hint="eastAsia"/>
                <w:lang w:eastAsia="zh-CN"/>
              </w:rPr>
              <w:t>供应商所投产品</w:t>
            </w:r>
            <w:r>
              <w:rPr>
                <w:rFonts w:hint="eastAsia"/>
              </w:rPr>
              <w:t>技术参数及功能要求</w:t>
            </w:r>
            <w:r>
              <w:rPr>
                <w:rFonts w:hint="eastAsia"/>
                <w:lang w:eastAsia="zh-CN"/>
              </w:rPr>
              <w:t>优于</w:t>
            </w:r>
            <w:r>
              <w:rPr>
                <w:rFonts w:hint="eastAsia"/>
              </w:rPr>
              <w:t>招标文</w:t>
            </w:r>
            <w:r>
              <w:rPr>
                <w:rFonts w:hint="eastAsia"/>
                <w:lang w:eastAsia="zh-CN"/>
              </w:rPr>
              <w:t>件</w:t>
            </w:r>
            <w:r>
              <w:rPr>
                <w:rFonts w:hint="eastAsia"/>
              </w:rPr>
              <w:t>要求</w:t>
            </w:r>
            <w:r>
              <w:rPr>
                <w:rFonts w:hint="eastAsia"/>
                <w:lang w:eastAsia="zh-CN"/>
              </w:rPr>
              <w:t>的</w:t>
            </w:r>
            <w:r>
              <w:rPr>
                <w:rFonts w:hint="eastAsia"/>
              </w:rPr>
              <w:t>一项加</w:t>
            </w:r>
            <w:r>
              <w:rPr>
                <w:rFonts w:hint="eastAsia"/>
                <w:lang w:val="en-US" w:eastAsia="zh-CN"/>
              </w:rPr>
              <w:t>1</w:t>
            </w:r>
            <w:r>
              <w:rPr>
                <w:rFonts w:hint="eastAsia"/>
              </w:rPr>
              <w:t>分，</w:t>
            </w:r>
            <w:r>
              <w:rPr>
                <w:rFonts w:hint="eastAsia"/>
                <w:lang w:eastAsia="zh-CN"/>
              </w:rPr>
              <w:t>最高加</w:t>
            </w:r>
            <w:r>
              <w:rPr>
                <w:rFonts w:hint="eastAsia"/>
                <w:lang w:val="en-US" w:eastAsia="zh-CN"/>
              </w:rPr>
              <w:t>4分</w:t>
            </w:r>
            <w:r>
              <w:rPr>
                <w:rFonts w:hint="eastAsia"/>
              </w:rPr>
              <w:t>。</w:t>
            </w:r>
          </w:p>
          <w:p>
            <w:pPr>
              <w:pStyle w:val="70"/>
              <w:spacing w:after="0"/>
              <w:rPr>
                <w:rFonts w:hint="eastAsia"/>
                <w:lang w:eastAsia="zh-CN"/>
              </w:rPr>
            </w:pPr>
            <w:r>
              <w:rPr>
                <w:rFonts w:hint="eastAsia"/>
                <w:lang w:val="en-US" w:eastAsia="zh-CN"/>
              </w:rPr>
              <w:t>3、</w:t>
            </w:r>
            <w:r>
              <w:rPr>
                <w:rFonts w:hint="eastAsia"/>
              </w:rPr>
              <w:t>所投</w:t>
            </w:r>
            <w:r>
              <w:rPr>
                <w:rFonts w:hint="eastAsia"/>
                <w:lang w:eastAsia="zh-CN"/>
              </w:rPr>
              <w:t>产品属于</w:t>
            </w:r>
            <w:r>
              <w:rPr>
                <w:rFonts w:hint="eastAsia"/>
              </w:rPr>
              <w:t>节</w:t>
            </w:r>
            <w:r>
              <w:rPr>
                <w:rFonts w:hint="eastAsia"/>
                <w:lang w:eastAsia="zh-CN"/>
              </w:rPr>
              <w:t>能产品非</w:t>
            </w:r>
            <w:r>
              <w:rPr>
                <w:rFonts w:hint="eastAsia"/>
              </w:rPr>
              <w:t>政府强制采购</w:t>
            </w:r>
            <w:r>
              <w:rPr>
                <w:rFonts w:hint="eastAsia"/>
                <w:lang w:eastAsia="zh-CN"/>
              </w:rPr>
              <w:t>品目清单的，</w:t>
            </w:r>
            <w:r>
              <w:rPr>
                <w:rFonts w:hint="eastAsia"/>
              </w:rPr>
              <w:t>每有一项加 1 分，最多加</w:t>
            </w:r>
            <w:r>
              <w:rPr>
                <w:rFonts w:hint="eastAsia"/>
                <w:lang w:val="en-US" w:eastAsia="zh-CN"/>
              </w:rPr>
              <w:t>2</w:t>
            </w:r>
            <w:r>
              <w:rPr>
                <w:rFonts w:hint="eastAsia"/>
              </w:rPr>
              <w:t>分</w:t>
            </w:r>
            <w:r>
              <w:rPr>
                <w:rFonts w:hint="eastAsia"/>
                <w:lang w:eastAsia="zh-CN"/>
              </w:rPr>
              <w:t>。（</w:t>
            </w:r>
            <w:r>
              <w:rPr>
                <w:rFonts w:hint="eastAsia"/>
                <w:lang w:val="en-US" w:eastAsia="zh-CN"/>
              </w:rPr>
              <w:t>开标时</w:t>
            </w:r>
            <w:r>
              <w:rPr>
                <w:rFonts w:hint="eastAsia"/>
                <w:lang w:eastAsia="zh-CN"/>
              </w:rPr>
              <w:t>提供</w:t>
            </w:r>
            <w:r>
              <w:rPr>
                <w:rFonts w:hint="eastAsia"/>
              </w:rPr>
              <w:t>节</w:t>
            </w:r>
            <w:r>
              <w:rPr>
                <w:rFonts w:hint="eastAsia"/>
                <w:lang w:eastAsia="zh-CN"/>
              </w:rPr>
              <w:t>能产品认证证书（有效期内）</w:t>
            </w:r>
            <w:r>
              <w:rPr>
                <w:rFonts w:hint="eastAsia"/>
                <w:lang w:val="en-US" w:eastAsia="zh-CN"/>
              </w:rPr>
              <w:t>的</w:t>
            </w:r>
            <w:r>
              <w:rPr>
                <w:rFonts w:hint="eastAsia"/>
                <w:lang w:eastAsia="zh-CN"/>
              </w:rPr>
              <w:t>扫描件，否则不得分。）</w:t>
            </w:r>
          </w:p>
          <w:p>
            <w:pPr>
              <w:pStyle w:val="70"/>
              <w:spacing w:after="0"/>
              <w:rPr>
                <w:rFonts w:hint="eastAsia"/>
                <w:lang w:val="en-US" w:eastAsia="zh-CN"/>
              </w:rPr>
            </w:pPr>
            <w:r>
              <w:rPr>
                <w:rFonts w:hint="eastAsia"/>
                <w:lang w:val="en-US" w:eastAsia="zh-CN"/>
              </w:rPr>
              <w:t>4、所投产品为环境标志产品政府采购清单内的产品，每有一项加 1 分，最多加2分。（开标时</w:t>
            </w:r>
            <w:r>
              <w:rPr>
                <w:rFonts w:hint="eastAsia"/>
                <w:lang w:eastAsia="zh-CN"/>
              </w:rPr>
              <w:t>提供</w:t>
            </w:r>
            <w:r>
              <w:rPr>
                <w:rFonts w:hint="eastAsia"/>
                <w:lang w:val="en-US" w:eastAsia="zh-CN"/>
              </w:rPr>
              <w:t>提供环境标志产品认证证书（有效期内）扫描件</w:t>
            </w:r>
            <w:r>
              <w:rPr>
                <w:rFonts w:hint="eastAsia"/>
                <w:lang w:eastAsia="zh-CN"/>
              </w:rPr>
              <w:t>，否则不得分。</w:t>
            </w:r>
            <w:r>
              <w:rPr>
                <w:rFonts w:hint="eastAsia"/>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Times New Roman"/>
                <w:b w:val="0"/>
                <w:i w:val="0"/>
                <w:color w:val="000000"/>
                <w:kern w:val="2"/>
                <w:sz w:val="21"/>
                <w:szCs w:val="21"/>
                <w:u w:val="none"/>
                <w:lang w:val="en-US" w:eastAsia="zh-CN" w:bidi="ar"/>
              </w:rPr>
            </w:pPr>
            <w:r>
              <w:rPr>
                <w:rFonts w:hint="eastAsia"/>
                <w:lang w:val="en-US" w:eastAsia="zh-CN"/>
              </w:rPr>
              <w:t>5、</w:t>
            </w:r>
            <w:r>
              <w:rPr>
                <w:rFonts w:hint="eastAsia"/>
              </w:rPr>
              <w:t>由评委综合比较各投标人投标产品的</w:t>
            </w:r>
            <w:r>
              <w:rPr>
                <w:rFonts w:hint="eastAsia"/>
                <w:lang w:eastAsia="zh-CN"/>
              </w:rPr>
              <w:t>成熟性、产品稳定性、可维修性、实用性、品牌知名度、</w:t>
            </w:r>
            <w:r>
              <w:rPr>
                <w:rFonts w:hint="eastAsia"/>
              </w:rPr>
              <w:t>质量等</w:t>
            </w:r>
            <w:r>
              <w:rPr>
                <w:rFonts w:hint="eastAsia"/>
                <w:lang w:eastAsia="zh-CN"/>
              </w:rPr>
              <w:t>因素</w:t>
            </w:r>
            <w:r>
              <w:rPr>
                <w:rFonts w:hint="eastAsia"/>
              </w:rPr>
              <w:t>进行综合评议分析比较内分</w:t>
            </w:r>
            <w:r>
              <w:rPr>
                <w:rFonts w:hint="eastAsia"/>
                <w:lang w:eastAsia="zh-CN"/>
              </w:rPr>
              <w:t>为三</w:t>
            </w:r>
            <w:r>
              <w:rPr>
                <w:rFonts w:hint="eastAsia"/>
              </w:rPr>
              <w:t>类</w:t>
            </w:r>
            <w:r>
              <w:rPr>
                <w:rFonts w:hint="eastAsia"/>
                <w:lang w:eastAsia="zh-CN"/>
              </w:rPr>
              <w:t>进行</w:t>
            </w:r>
            <w:r>
              <w:rPr>
                <w:rFonts w:hint="eastAsia"/>
              </w:rPr>
              <w:t>打分。</w:t>
            </w:r>
            <w:r>
              <w:rPr>
                <w:rFonts w:hint="eastAsia"/>
                <w:lang w:eastAsia="zh-CN"/>
              </w:rPr>
              <w:t>产品成熟、维修方便，实用性高，质量稳定的得</w:t>
            </w:r>
            <w:r>
              <w:rPr>
                <w:rFonts w:hint="eastAsia"/>
                <w:lang w:val="en-US" w:eastAsia="zh-CN"/>
              </w:rPr>
              <w:t>7分，</w:t>
            </w:r>
            <w:r>
              <w:rPr>
                <w:rFonts w:hint="eastAsia"/>
                <w:lang w:eastAsia="zh-CN"/>
              </w:rPr>
              <w:t>产品较成熟、维修较方便，实用性较高，质量较稳定的</w:t>
            </w:r>
            <w:r>
              <w:rPr>
                <w:rFonts w:hint="eastAsia"/>
                <w:lang w:val="en-US" w:eastAsia="zh-CN"/>
              </w:rPr>
              <w:t>得4分，</w:t>
            </w:r>
            <w:r>
              <w:rPr>
                <w:rFonts w:hint="eastAsia"/>
                <w:lang w:eastAsia="zh-CN"/>
              </w:rPr>
              <w:t>产品成熟性一般、实用性一般，质量稳定性不高的</w:t>
            </w:r>
            <w:r>
              <w:rPr>
                <w:rFonts w:hint="eastAsia"/>
                <w:lang w:val="en-US" w:eastAsia="zh-CN"/>
              </w:rPr>
              <w:t>得1分。</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140" w:type="dxa"/>
            <w:gridSpan w:val="3"/>
            <w:tcBorders>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lang w:val="en-US" w:eastAsia="zh-CN"/>
              </w:rPr>
            </w:pPr>
            <w:r>
              <w:rPr>
                <w:rFonts w:hint="eastAsia" w:ascii="宋体" w:hAnsi="宋体" w:cs="仿宋_GB2312"/>
                <w:sz w:val="21"/>
                <w:szCs w:val="21"/>
                <w:lang w:val="zh-CN"/>
              </w:rPr>
              <w:t>注：评标标准中所涉及到的证书及材料不需提供原件，均应在电子投标文件中提供原件扫描件（或图片）。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2977" w:type="dxa"/>
            <w:gridSpan w:val="2"/>
            <w:noWrap w:val="0"/>
            <w:vAlign w:val="center"/>
          </w:tcPr>
          <w:p>
            <w:pPr>
              <w:spacing w:line="360" w:lineRule="auto"/>
              <w:jc w:val="center"/>
              <w:rPr>
                <w:rFonts w:ascii="宋体" w:hAnsi="宋体"/>
                <w:color w:val="auto"/>
                <w:szCs w:val="21"/>
              </w:rPr>
            </w:pPr>
            <w:r>
              <w:rPr>
                <w:rFonts w:hint="eastAsia" w:ascii="宋体" w:hAnsi="宋体"/>
                <w:color w:val="auto"/>
                <w:szCs w:val="21"/>
              </w:rPr>
              <w:t>分值构成</w:t>
            </w:r>
          </w:p>
          <w:p>
            <w:pPr>
              <w:snapToGrid w:val="0"/>
              <w:spacing w:beforeLines="50"/>
              <w:jc w:val="center"/>
              <w:rPr>
                <w:rFonts w:ascii="宋体" w:hAnsi="宋体" w:cs="宋体"/>
                <w:b/>
                <w:color w:val="auto"/>
                <w:szCs w:val="21"/>
              </w:rPr>
            </w:pPr>
            <w:r>
              <w:rPr>
                <w:rFonts w:hint="eastAsia" w:ascii="宋体" w:hAnsi="宋体"/>
                <w:color w:val="auto"/>
                <w:szCs w:val="21"/>
              </w:rPr>
              <w:t>(总分100分)</w:t>
            </w:r>
          </w:p>
        </w:tc>
        <w:tc>
          <w:tcPr>
            <w:tcW w:w="6163" w:type="dxa"/>
            <w:noWrap w:val="0"/>
            <w:vAlign w:val="center"/>
          </w:tcPr>
          <w:p>
            <w:pPr>
              <w:spacing w:line="360" w:lineRule="auto"/>
              <w:ind w:firstLine="420" w:firstLineChars="200"/>
              <w:rPr>
                <w:rFonts w:ascii="宋体" w:hAnsi="宋体"/>
                <w:color w:val="auto"/>
                <w:szCs w:val="21"/>
              </w:rPr>
            </w:pPr>
            <w:r>
              <w:rPr>
                <w:rFonts w:hint="eastAsia" w:ascii="宋体" w:hAnsi="宋体"/>
                <w:color w:val="auto"/>
                <w:szCs w:val="21"/>
              </w:rPr>
              <w:t>价格分值：</w:t>
            </w:r>
            <w:r>
              <w:rPr>
                <w:rFonts w:hint="eastAsia" w:ascii="宋体" w:hAnsi="宋体"/>
                <w:color w:val="auto"/>
                <w:szCs w:val="21"/>
                <w:u w:val="single"/>
                <w:lang w:val="en-US" w:eastAsia="zh-CN"/>
              </w:rPr>
              <w:t>40</w:t>
            </w:r>
            <w:r>
              <w:rPr>
                <w:rFonts w:hint="eastAsia" w:ascii="宋体" w:hAnsi="宋体"/>
                <w:color w:val="auto"/>
                <w:szCs w:val="21"/>
              </w:rPr>
              <w:t>分</w:t>
            </w:r>
          </w:p>
          <w:p>
            <w:pPr>
              <w:spacing w:line="360" w:lineRule="auto"/>
              <w:ind w:firstLine="420" w:firstLineChars="200"/>
              <w:rPr>
                <w:rFonts w:ascii="宋体" w:hAnsi="宋体"/>
                <w:color w:val="auto"/>
                <w:szCs w:val="21"/>
              </w:rPr>
            </w:pPr>
            <w:r>
              <w:rPr>
                <w:rFonts w:hint="eastAsia" w:ascii="宋体" w:hAnsi="宋体"/>
                <w:color w:val="auto"/>
                <w:szCs w:val="21"/>
              </w:rPr>
              <w:t>商务部分：</w:t>
            </w:r>
            <w:r>
              <w:rPr>
                <w:rFonts w:hint="eastAsia" w:ascii="宋体" w:hAnsi="宋体"/>
                <w:color w:val="auto"/>
                <w:szCs w:val="21"/>
                <w:u w:val="single"/>
                <w:lang w:val="en-US" w:eastAsia="zh-CN"/>
              </w:rPr>
              <w:t>45</w:t>
            </w:r>
            <w:r>
              <w:rPr>
                <w:rFonts w:hint="eastAsia" w:ascii="宋体" w:hAnsi="宋体"/>
                <w:color w:val="auto"/>
                <w:szCs w:val="21"/>
              </w:rPr>
              <w:t>分</w:t>
            </w:r>
          </w:p>
          <w:p>
            <w:pPr>
              <w:spacing w:beforeLines="50"/>
              <w:ind w:firstLine="420" w:firstLineChars="200"/>
              <w:rPr>
                <w:rFonts w:ascii="宋体" w:hAnsi="宋体" w:cs="宋体"/>
                <w:b/>
                <w:color w:val="auto"/>
                <w:szCs w:val="21"/>
              </w:rPr>
            </w:pPr>
            <w:r>
              <w:rPr>
                <w:rFonts w:hint="eastAsia" w:ascii="宋体" w:hAnsi="宋体"/>
                <w:color w:val="auto"/>
                <w:szCs w:val="21"/>
              </w:rPr>
              <w:t>技术部分：</w:t>
            </w:r>
            <w:r>
              <w:rPr>
                <w:rFonts w:hint="eastAsia" w:ascii="宋体" w:hAnsi="宋体"/>
                <w:color w:val="auto"/>
                <w:szCs w:val="21"/>
                <w:u w:val="single"/>
                <w:lang w:val="en-US" w:eastAsia="zh-CN"/>
              </w:rPr>
              <w:t>15</w:t>
            </w:r>
            <w:r>
              <w:rPr>
                <w:rFonts w:hint="eastAsia" w:ascii="宋体" w:hAnsi="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140" w:type="dxa"/>
            <w:gridSpan w:val="3"/>
            <w:tcBorders>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lang w:val="en-US" w:eastAsia="zh-CN"/>
              </w:rPr>
            </w:pPr>
            <w:r>
              <w:rPr>
                <w:rFonts w:hint="eastAsia" w:ascii="宋体" w:hAnsi="宋体" w:cs="仿宋_GB2312"/>
                <w:sz w:val="21"/>
                <w:szCs w:val="21"/>
                <w:lang w:val="zh-CN"/>
              </w:rPr>
              <w:t>注：评标标准中所涉及到的证书及材料不需提供原件，均应在电子投标文件中提供原件扫描件（或图片）。</w:t>
            </w:r>
          </w:p>
        </w:tc>
      </w:tr>
    </w:tbl>
    <w:p>
      <w:pPr>
        <w:spacing w:line="360" w:lineRule="auto"/>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auto"/>
          <w:szCs w:val="21"/>
          <w:lang w:val="en-GB"/>
        </w:rPr>
      </w:pPr>
      <w:r>
        <w:rPr>
          <w:rFonts w:hint="eastAsia" w:ascii="宋体" w:hAnsi="宋体"/>
          <w:bCs/>
          <w:color w:val="auto"/>
          <w:szCs w:val="21"/>
          <w:lang w:val="en-GB"/>
        </w:rPr>
        <w:t>备注：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a、不接受联合体投标的项目，本表中第2项、第3项情形不适用。</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lang w:val="en-GB"/>
        </w:rPr>
        <w:t>b、小型</w:t>
      </w:r>
      <w:r>
        <w:rPr>
          <w:rFonts w:hint="eastAsia" w:ascii="宋体" w:hAnsi="宋体"/>
          <w:bCs/>
          <w:color w:val="auto"/>
          <w:szCs w:val="21"/>
          <w:highlight w:val="none"/>
          <w:lang w:val="en-GB"/>
        </w:rPr>
        <w:t>和微型企业产品包括货物及其提供的服务与工程。</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highlight w:val="none"/>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highlight w:val="none"/>
          <w:lang w:val="en-GB"/>
        </w:rPr>
        <w:t>d、残疾人福利性单位属于小型、微型企业的，不重复享受政策。</w:t>
      </w:r>
    </w:p>
    <w:p>
      <w:pPr>
        <w:spacing w:line="360" w:lineRule="auto"/>
        <w:ind w:firstLine="420" w:firstLineChars="200"/>
        <w:rPr>
          <w:rFonts w:ascii="宋体" w:hAnsi="宋体"/>
          <w:bCs/>
          <w:color w:val="auto"/>
          <w:szCs w:val="21"/>
          <w:highlight w:val="none"/>
          <w:lang w:val="en-GB"/>
        </w:rPr>
      </w:pPr>
      <w:r>
        <w:rPr>
          <w:rFonts w:ascii="宋体" w:hAnsi="宋体"/>
          <w:bCs/>
          <w:color w:val="auto"/>
          <w:szCs w:val="21"/>
          <w:highlight w:val="none"/>
          <w:lang w:val="en-GB"/>
        </w:rPr>
        <w:t>E</w:t>
      </w:r>
      <w:r>
        <w:rPr>
          <w:rFonts w:hint="eastAsia" w:ascii="宋体" w:hAnsi="宋体"/>
          <w:bCs/>
          <w:color w:val="auto"/>
          <w:szCs w:val="21"/>
          <w:highlight w:val="none"/>
          <w:lang w:val="en-GB"/>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cs="仿宋_GB2312" w:asciiTheme="minorEastAsia" w:hAnsiTheme="minorEastAsia"/>
          <w:szCs w:val="21"/>
          <w:lang w:val="zh-CN"/>
        </w:rPr>
        <w:t>投标人对本条第一款情形提出质疑的，采购人或者采购代理机构可以组织原评标委员会进行</w:t>
      </w:r>
      <w:r>
        <w:rPr>
          <w:rFonts w:cs="仿宋_GB2312" w:asciiTheme="minorEastAsia" w:hAnsiTheme="minorEastAsia"/>
          <w:szCs w:val="21"/>
          <w:highlight w:val="none"/>
          <w:lang w:val="zh-CN"/>
        </w:rPr>
        <w:t>重新评审，重新评审改变评标结果的，应当书面报告本级财政部门。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rPr>
        <w:t>分数汇总时，将各评委对某一投标人评分的算术平均值作为该投标人的最终得分。计分过程取至小数点后两位，最终得分按四舍五入取至小数点后两位。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得分、投标报价、投标文件得分都相同的由评标委员会集体商议决定排序。</w:t>
      </w:r>
    </w:p>
    <w:p>
      <w:pPr>
        <w:wordWrap w:val="0"/>
        <w:spacing w:line="360" w:lineRule="auto"/>
        <w:ind w:firstLine="422" w:firstLineChars="200"/>
        <w:contextualSpacing/>
        <w:rPr>
          <w:rFonts w:cs="仿宋_GB2312" w:asciiTheme="minorEastAsia" w:hAnsiTheme="minorEastAsia"/>
          <w:szCs w:val="21"/>
          <w:highlight w:val="none"/>
          <w:lang w:val="zh-CN"/>
        </w:rPr>
      </w:pPr>
      <w:r>
        <w:rPr>
          <w:rFonts w:hint="eastAsia" w:cs="仿宋_GB2312" w:asciiTheme="minorEastAsia" w:hAnsiTheme="minorEastAsia"/>
          <w:b/>
          <w:bCs/>
          <w:szCs w:val="21"/>
          <w:highlight w:val="none"/>
          <w:lang w:val="zh-CN"/>
        </w:rPr>
        <w:t>（8）按照《关于推进全流程电子化交易和在线监管工作有关问题的通知》（许公管办[2019]3号）规定：</w:t>
      </w:r>
      <w:r>
        <w:rPr>
          <w:rFonts w:hint="eastAsia" w:cs="仿宋_GB2312" w:asciiTheme="minorEastAsia" w:hAnsiTheme="minorEastAsia"/>
          <w:szCs w:val="21"/>
          <w:highlight w:val="none"/>
          <w:lang w:val="zh-CN"/>
        </w:rPr>
        <w:t>评标专家应严格按照要求查看“硬件特征码”相关信息并进行评审，在评审报告中显示“不同投标人电子投标文件制作硬件特征码”是否均一致的分析及判定结果。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w:t>
      </w:r>
      <w:r>
        <w:rPr>
          <w:rFonts w:hint="eastAsia" w:cs="仿宋_GB2312" w:asciiTheme="minorEastAsia" w:hAnsiTheme="minorEastAsia"/>
          <w:b/>
          <w:szCs w:val="21"/>
          <w:lang w:val="en-US" w:eastAsia="zh-CN"/>
        </w:rPr>
        <w:t>9</w:t>
      </w:r>
      <w:r>
        <w:rPr>
          <w:rFonts w:hint="eastAsia" w:cs="仿宋_GB2312" w:asciiTheme="minorEastAsia" w:hAnsiTheme="minorEastAsia"/>
          <w:b/>
          <w:szCs w:val="21"/>
          <w:lang w:val="zh-CN"/>
        </w:rPr>
        <w:t>）</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4"/>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1"/>
        <w:spacing w:before="75" w:after="75" w:line="360" w:lineRule="auto"/>
        <w:rPr>
          <w:rFonts w:hint="eastAsia" w:ascii="宋体" w:hAnsi="宋体" w:eastAsia="微软雅黑"/>
          <w:color w:val="000000"/>
          <w:highlight w:val="none"/>
          <w:u w:val="single"/>
        </w:rPr>
      </w:pP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1"/>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highlight w:val="none"/>
        </w:rPr>
      </w:pPr>
    </w:p>
    <w:p>
      <w:pPr>
        <w:pStyle w:val="14"/>
        <w:spacing w:line="360" w:lineRule="auto"/>
        <w:contextualSpacing/>
        <w:jc w:val="center"/>
        <w:rPr>
          <w:rFonts w:cs="宋体" w:asciiTheme="majorEastAsia" w:hAnsiTheme="majorEastAsia" w:eastAsiaTheme="majorEastAsia"/>
          <w:b/>
          <w:kern w:val="0"/>
          <w:sz w:val="36"/>
          <w:szCs w:val="36"/>
          <w:highlight w:val="none"/>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
        <w:numPr>
          <w:ilvl w:val="0"/>
          <w:numId w:val="0"/>
        </w:numPr>
        <w:ind w:left="288" w:leftChars="0"/>
        <w:rPr>
          <w:lang w:val="zh-CN"/>
        </w:rPr>
      </w:pPr>
    </w:p>
    <w:p>
      <w:pPr>
        <w:rPr>
          <w:lang w:val="zh-CN"/>
        </w:rPr>
      </w:pPr>
    </w:p>
    <w:p>
      <w:pPr>
        <w:pStyle w:val="3"/>
        <w:rPr>
          <w:rFonts w:cs="黑体" w:asciiTheme="minorEastAsia" w:hAnsiTheme="minorEastAsia"/>
          <w:b/>
          <w:bCs/>
          <w:sz w:val="44"/>
          <w:szCs w:val="44"/>
          <w:lang w:val="zh-CN"/>
        </w:rPr>
      </w:pPr>
    </w:p>
    <w:p>
      <w:pPr>
        <w:pStyle w:val="3"/>
        <w:rPr>
          <w:rFonts w:cs="黑体" w:asciiTheme="minorEastAsia" w:hAnsiTheme="minorEastAsia"/>
          <w:b/>
          <w:bCs/>
          <w:sz w:val="44"/>
          <w:szCs w:val="44"/>
          <w:lang w:val="zh-CN"/>
        </w:rPr>
      </w:pPr>
    </w:p>
    <w:p>
      <w:pPr>
        <w:pStyle w:val="50"/>
        <w:numPr>
          <w:ilvl w:val="0"/>
          <w:numId w:val="0"/>
        </w:numPr>
        <w:tabs>
          <w:tab w:val="left" w:pos="660"/>
        </w:tabs>
        <w:snapToGrid w:val="0"/>
        <w:spacing w:before="0" w:line="400" w:lineRule="exact"/>
        <w:rPr>
          <w:rFonts w:cs="黑体"/>
          <w:color w:val="auto"/>
          <w:kern w:val="2"/>
          <w:sz w:val="28"/>
          <w:szCs w:val="28"/>
          <w:lang w:val="zh-CN"/>
        </w:rPr>
      </w:pPr>
      <w:r>
        <w:rPr>
          <w:rFonts w:hint="eastAsia" w:cs="黑体"/>
          <w:color w:val="auto"/>
          <w:kern w:val="2"/>
          <w:sz w:val="28"/>
          <w:szCs w:val="28"/>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84"/>
        <w:gridCol w:w="1984"/>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noWrap w:val="0"/>
            <w:vAlign w:val="center"/>
          </w:tcPr>
          <w:p>
            <w:pPr>
              <w:pStyle w:val="14"/>
              <w:kinsoku w:val="0"/>
              <w:overflowPunct w:val="0"/>
              <w:autoSpaceDE w:val="0"/>
              <w:autoSpaceDN w:val="0"/>
              <w:spacing w:line="320" w:lineRule="exact"/>
              <w:rPr>
                <w:rFonts w:hAnsi="宋体" w:eastAsia="宋体" w:cs="微软雅黑"/>
                <w:b w:val="0"/>
                <w:bCs/>
                <w:sz w:val="21"/>
              </w:rPr>
            </w:pPr>
            <w:r>
              <w:rPr>
                <w:rFonts w:hint="eastAsia" w:hAnsi="宋体" w:eastAsia="宋体" w:cs="Courier New"/>
                <w:b w:val="0"/>
                <w:bCs/>
                <w:sz w:val="21"/>
              </w:rPr>
              <w:t>供应商应答索引表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noWrap w:val="0"/>
            <w:vAlign w:val="center"/>
          </w:tcPr>
          <w:p>
            <w:pPr>
              <w:pStyle w:val="14"/>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报价一览表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noWrap w:val="0"/>
            <w:vAlign w:val="center"/>
          </w:tcPr>
          <w:p>
            <w:pPr>
              <w:pStyle w:val="14"/>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投标函</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noWrap w:val="0"/>
            <w:vAlign w:val="center"/>
          </w:tcPr>
          <w:p>
            <w:pPr>
              <w:pStyle w:val="14"/>
              <w:kinsoku w:val="0"/>
              <w:overflowPunct w:val="0"/>
              <w:autoSpaceDE w:val="0"/>
              <w:autoSpaceDN w:val="0"/>
              <w:spacing w:line="320" w:lineRule="exact"/>
              <w:rPr>
                <w:rFonts w:hAnsi="宋体" w:eastAsia="宋体" w:cs="Courier New"/>
                <w:b w:val="0"/>
                <w:bCs/>
                <w:sz w:val="21"/>
              </w:rPr>
            </w:pPr>
            <w:r>
              <w:rPr>
                <w:rFonts w:hint="eastAsia" w:hAnsi="宋体" w:eastAsia="宋体" w:cs="宋体"/>
                <w:b w:val="0"/>
                <w:bCs/>
                <w:kern w:val="2"/>
                <w:sz w:val="21"/>
                <w:lang w:val="zh-CN"/>
              </w:rPr>
              <w:t>法定代表人（单位负责人）</w:t>
            </w:r>
            <w:r>
              <w:rPr>
                <w:rFonts w:hAnsi="宋体" w:eastAsia="宋体" w:cs="宋体"/>
                <w:b w:val="0"/>
                <w:bCs/>
                <w:kern w:val="2"/>
                <w:sz w:val="21"/>
                <w:lang w:val="zh-CN"/>
              </w:rPr>
              <w:t>资</w:t>
            </w:r>
            <w:r>
              <w:rPr>
                <w:rFonts w:hint="eastAsia" w:hAnsi="宋体" w:eastAsia="宋体" w:cs="宋体"/>
                <w:b w:val="0"/>
                <w:bCs/>
                <w:kern w:val="2"/>
                <w:sz w:val="21"/>
                <w:lang w:val="zh-CN"/>
              </w:rPr>
              <w:t>格</w:t>
            </w:r>
            <w:r>
              <w:rPr>
                <w:rFonts w:hAnsi="宋体" w:eastAsia="宋体" w:cs="宋体"/>
                <w:b w:val="0"/>
                <w:bCs/>
                <w:kern w:val="2"/>
                <w:sz w:val="21"/>
                <w:lang w:val="zh-CN"/>
              </w:rPr>
              <w:t>证</w:t>
            </w:r>
            <w:r>
              <w:rPr>
                <w:rFonts w:hint="eastAsia" w:hAnsi="宋体" w:eastAsia="宋体" w:cs="宋体"/>
                <w:b w:val="0"/>
                <w:bCs/>
                <w:kern w:val="2"/>
                <w:sz w:val="21"/>
                <w:lang w:val="zh-CN"/>
              </w:rPr>
              <w:t>明</w:t>
            </w:r>
            <w:r>
              <w:rPr>
                <w:rFonts w:hAnsi="宋体" w:eastAsia="宋体" w:cs="宋体"/>
                <w:b w:val="0"/>
                <w:bCs/>
                <w:kern w:val="2"/>
                <w:sz w:val="21"/>
                <w:lang w:val="zh-CN"/>
              </w:rPr>
              <w:t>书</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noWrap w:val="0"/>
            <w:vAlign w:val="center"/>
          </w:tcPr>
          <w:p>
            <w:pPr>
              <w:pStyle w:val="14"/>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法定代表人（单位负责人）授权书</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noWrap w:val="0"/>
            <w:vAlign w:val="center"/>
          </w:tcPr>
          <w:p>
            <w:pPr>
              <w:pStyle w:val="14"/>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营业执照等证明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noWrap w:val="0"/>
            <w:vAlign w:val="center"/>
          </w:tcPr>
          <w:p>
            <w:pPr>
              <w:pStyle w:val="14"/>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kern w:val="2"/>
                <w:sz w:val="21"/>
              </w:rPr>
              <w:t>依法纳税凭据复印件</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noWrap w:val="0"/>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noWrap w:val="0"/>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noWrap w:val="0"/>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noWrap w:val="0"/>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14"/>
              <w:kinsoku w:val="0"/>
              <w:overflowPunct w:val="0"/>
              <w:autoSpaceDE w:val="0"/>
              <w:autoSpaceDN w:val="0"/>
              <w:spacing w:line="320" w:lineRule="exact"/>
              <w:rPr>
                <w:rFonts w:hAnsi="宋体" w:cs="微软雅黑"/>
                <w:bCs/>
                <w:sz w:val="21"/>
              </w:rPr>
            </w:pPr>
          </w:p>
        </w:tc>
        <w:tc>
          <w:tcPr>
            <w:tcW w:w="709" w:type="dxa"/>
            <w:vMerge w:val="continue"/>
            <w:tcBorders>
              <w:left w:val="single" w:color="auto" w:sz="6" w:space="0"/>
              <w:right w:val="single" w:color="auto" w:sz="6" w:space="0"/>
            </w:tcBorders>
            <w:noWrap w:val="0"/>
            <w:vAlign w:val="center"/>
          </w:tcPr>
          <w:p>
            <w:pPr>
              <w:pStyle w:val="14"/>
              <w:kinsoku w:val="0"/>
              <w:overflowPunct w:val="0"/>
              <w:autoSpaceDE w:val="0"/>
              <w:autoSpaceDN w:val="0"/>
              <w:spacing w:line="320" w:lineRule="exact"/>
              <w:rPr>
                <w:rFonts w:hAnsi="宋体" w:cs="微软雅黑"/>
                <w:bCs/>
                <w:sz w:val="21"/>
              </w:rPr>
            </w:pPr>
          </w:p>
        </w:tc>
        <w:tc>
          <w:tcPr>
            <w:tcW w:w="2268" w:type="dxa"/>
            <w:gridSpan w:val="2"/>
            <w:tcBorders>
              <w:left w:val="single" w:color="auto" w:sz="6" w:space="0"/>
            </w:tcBorders>
            <w:noWrap w:val="0"/>
            <w:vAlign w:val="center"/>
          </w:tcPr>
          <w:p>
            <w:pPr>
              <w:pStyle w:val="14"/>
              <w:kinsoku w:val="0"/>
              <w:overflowPunct w:val="0"/>
              <w:autoSpaceDE w:val="0"/>
              <w:autoSpaceDN w:val="0"/>
              <w:spacing w:line="320" w:lineRule="exact"/>
              <w:rPr>
                <w:rFonts w:hAnsi="宋体" w:eastAsia="宋体" w:cs="微软雅黑"/>
                <w:b w:val="0"/>
                <w:sz w:val="21"/>
              </w:rPr>
            </w:pPr>
            <w:r>
              <w:rPr>
                <w:rFonts w:hint="eastAsia" w:hAnsi="宋体" w:eastAsia="宋体" w:cs="微软雅黑"/>
                <w:b w:val="0"/>
                <w:sz w:val="21"/>
              </w:rPr>
              <w:t>技术人员职称证书</w:t>
            </w:r>
          </w:p>
        </w:tc>
        <w:tc>
          <w:tcPr>
            <w:tcW w:w="1559" w:type="dxa"/>
            <w:noWrap w:val="0"/>
            <w:vAlign w:val="center"/>
          </w:tcPr>
          <w:p>
            <w:pPr>
              <w:pStyle w:val="14"/>
              <w:rPr>
                <w:rFonts w:cs="Courier New"/>
                <w:kern w:val="2"/>
                <w:sz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pStyle w:val="14"/>
              <w:kinsoku w:val="0"/>
              <w:overflowPunct w:val="0"/>
              <w:autoSpaceDE w:val="0"/>
              <w:autoSpaceDN w:val="0"/>
              <w:spacing w:line="320" w:lineRule="exact"/>
              <w:rPr>
                <w:rFonts w:hAnsi="宋体" w:cs="微软雅黑"/>
                <w:bCs/>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14"/>
              <w:kinsoku w:val="0"/>
              <w:overflowPunct w:val="0"/>
              <w:autoSpaceDE w:val="0"/>
              <w:autoSpaceDN w:val="0"/>
              <w:spacing w:line="320" w:lineRule="exact"/>
              <w:rPr>
                <w:rFonts w:hAnsi="宋体" w:cs="微软雅黑"/>
                <w:bCs/>
                <w:sz w:val="21"/>
              </w:rPr>
            </w:pPr>
          </w:p>
        </w:tc>
        <w:tc>
          <w:tcPr>
            <w:tcW w:w="709" w:type="dxa"/>
            <w:vMerge w:val="continue"/>
            <w:tcBorders>
              <w:left w:val="single" w:color="auto" w:sz="6" w:space="0"/>
              <w:right w:val="single" w:color="auto" w:sz="6" w:space="0"/>
            </w:tcBorders>
            <w:noWrap w:val="0"/>
            <w:vAlign w:val="center"/>
          </w:tcPr>
          <w:p>
            <w:pPr>
              <w:pStyle w:val="14"/>
              <w:kinsoku w:val="0"/>
              <w:overflowPunct w:val="0"/>
              <w:autoSpaceDE w:val="0"/>
              <w:autoSpaceDN w:val="0"/>
              <w:spacing w:line="320" w:lineRule="exact"/>
              <w:rPr>
                <w:rFonts w:hAnsi="宋体" w:cs="微软雅黑"/>
                <w:bCs/>
                <w:sz w:val="21"/>
              </w:rPr>
            </w:pPr>
          </w:p>
        </w:tc>
        <w:tc>
          <w:tcPr>
            <w:tcW w:w="2268" w:type="dxa"/>
            <w:gridSpan w:val="2"/>
            <w:tcBorders>
              <w:left w:val="single" w:color="auto" w:sz="6" w:space="0"/>
            </w:tcBorders>
            <w:noWrap w:val="0"/>
            <w:vAlign w:val="center"/>
          </w:tcPr>
          <w:p>
            <w:pPr>
              <w:pStyle w:val="14"/>
              <w:kinsoku w:val="0"/>
              <w:overflowPunct w:val="0"/>
              <w:autoSpaceDE w:val="0"/>
              <w:autoSpaceDN w:val="0"/>
              <w:spacing w:line="320" w:lineRule="exact"/>
              <w:rPr>
                <w:rFonts w:hAnsi="宋体" w:eastAsia="宋体" w:cs="微软雅黑"/>
                <w:b w:val="0"/>
                <w:sz w:val="21"/>
              </w:rPr>
            </w:pPr>
            <w:r>
              <w:rPr>
                <w:rFonts w:hint="eastAsia" w:hAnsi="宋体" w:eastAsia="宋体" w:cs="微软雅黑"/>
                <w:b w:val="0"/>
                <w:sz w:val="21"/>
              </w:rPr>
              <w:t>用工合同</w:t>
            </w:r>
          </w:p>
        </w:tc>
        <w:tc>
          <w:tcPr>
            <w:tcW w:w="1559" w:type="dxa"/>
            <w:noWrap w:val="0"/>
            <w:vAlign w:val="center"/>
          </w:tcPr>
          <w:p>
            <w:pPr>
              <w:pStyle w:val="14"/>
              <w:rPr>
                <w:rFonts w:cs="Courier New"/>
                <w:kern w:val="2"/>
                <w:sz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pStyle w:val="14"/>
              <w:kinsoku w:val="0"/>
              <w:overflowPunct w:val="0"/>
              <w:autoSpaceDE w:val="0"/>
              <w:autoSpaceDN w:val="0"/>
              <w:spacing w:line="320" w:lineRule="exact"/>
              <w:rPr>
                <w:rFonts w:hAnsi="宋体" w:cs="微软雅黑"/>
                <w:bCs/>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14"/>
              <w:kinsoku w:val="0"/>
              <w:overflowPunct w:val="0"/>
              <w:autoSpaceDE w:val="0"/>
              <w:autoSpaceDN w:val="0"/>
              <w:spacing w:line="320" w:lineRule="exact"/>
              <w:rPr>
                <w:rFonts w:hAnsi="宋体" w:cs="微软雅黑"/>
                <w:bCs/>
                <w:sz w:val="21"/>
              </w:rPr>
            </w:pPr>
          </w:p>
        </w:tc>
        <w:tc>
          <w:tcPr>
            <w:tcW w:w="2977" w:type="dxa"/>
            <w:gridSpan w:val="3"/>
            <w:tcBorders>
              <w:left w:val="single" w:color="auto" w:sz="6" w:space="0"/>
            </w:tcBorders>
            <w:noWrap w:val="0"/>
            <w:vAlign w:val="center"/>
          </w:tcPr>
          <w:p>
            <w:pPr>
              <w:pStyle w:val="14"/>
              <w:kinsoku w:val="0"/>
              <w:overflowPunct w:val="0"/>
              <w:autoSpaceDE w:val="0"/>
              <w:autoSpaceDN w:val="0"/>
              <w:spacing w:line="320" w:lineRule="exact"/>
              <w:rPr>
                <w:rFonts w:hAnsi="宋体" w:eastAsia="宋体" w:cs="微软雅黑"/>
                <w:b w:val="0"/>
                <w:sz w:val="21"/>
              </w:rPr>
            </w:pPr>
            <w:r>
              <w:rPr>
                <w:rFonts w:hint="eastAsia" w:hAnsi="宋体" w:eastAsia="宋体" w:cs="Courier New"/>
                <w:b w:val="0"/>
                <w:kern w:val="2"/>
                <w:sz w:val="21"/>
              </w:rPr>
              <w:t>供应商相关承诺函或声明</w:t>
            </w:r>
          </w:p>
        </w:tc>
        <w:tc>
          <w:tcPr>
            <w:tcW w:w="1559" w:type="dxa"/>
            <w:noWrap w:val="0"/>
            <w:vAlign w:val="center"/>
          </w:tcPr>
          <w:p>
            <w:pPr>
              <w:pStyle w:val="14"/>
              <w:rPr>
                <w:rFonts w:cs="Courier New"/>
                <w:kern w:val="2"/>
                <w:sz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noWrap w:val="0"/>
            <w:vAlign w:val="center"/>
          </w:tcPr>
          <w:p>
            <w:pPr>
              <w:pStyle w:val="14"/>
              <w:kinsoku w:val="0"/>
              <w:overflowPunct w:val="0"/>
              <w:autoSpaceDE w:val="0"/>
              <w:autoSpaceDN w:val="0"/>
              <w:spacing w:line="320" w:lineRule="exact"/>
              <w:rPr>
                <w:rFonts w:hAnsi="宋体" w:eastAsia="宋体" w:cs="微软雅黑"/>
                <w:b w:val="0"/>
                <w:sz w:val="21"/>
              </w:rPr>
            </w:pPr>
            <w:r>
              <w:rPr>
                <w:rFonts w:hint="eastAsia" w:hAnsi="宋体" w:eastAsia="宋体" w:cs="Courier New"/>
                <w:b w:val="0"/>
                <w:sz w:val="21"/>
              </w:rPr>
              <w:t>没有重大违法记录的声明</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noWrap w:val="0"/>
            <w:vAlign w:val="center"/>
          </w:tcPr>
          <w:p>
            <w:pPr>
              <w:pStyle w:val="14"/>
              <w:kinsoku w:val="0"/>
              <w:overflowPunct w:val="0"/>
              <w:autoSpaceDE w:val="0"/>
              <w:autoSpaceDN w:val="0"/>
              <w:spacing w:line="320" w:lineRule="exact"/>
              <w:rPr>
                <w:rFonts w:hAnsi="宋体" w:eastAsia="宋体" w:cs="Courier New"/>
                <w:b w:val="0"/>
                <w:sz w:val="21"/>
              </w:rPr>
            </w:pPr>
            <w:r>
              <w:rPr>
                <w:rFonts w:hint="eastAsia" w:hAnsi="宋体" w:eastAsia="宋体" w:cs="微软雅黑"/>
                <w:b w:val="0"/>
                <w:bCs/>
                <w:sz w:val="21"/>
              </w:rPr>
              <w:t>供应商须具备的特殊资质证书</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noWrap w:val="0"/>
            <w:vAlign w:val="center"/>
          </w:tcPr>
          <w:p>
            <w:pPr>
              <w:pStyle w:val="14"/>
              <w:kinsoku w:val="0"/>
              <w:overflowPunct w:val="0"/>
              <w:autoSpaceDE w:val="0"/>
              <w:autoSpaceDN w:val="0"/>
              <w:spacing w:line="320" w:lineRule="exact"/>
              <w:rPr>
                <w:rFonts w:hAnsi="宋体" w:eastAsia="宋体" w:cs="微软雅黑"/>
                <w:b w:val="0"/>
                <w:sz w:val="21"/>
              </w:rPr>
            </w:pPr>
            <w:r>
              <w:rPr>
                <w:rFonts w:hint="eastAsia" w:hAnsi="宋体" w:eastAsia="宋体" w:cs="宋体"/>
                <w:b w:val="0"/>
                <w:kern w:val="2"/>
                <w:sz w:val="21"/>
                <w:lang w:val="zh-CN"/>
              </w:rPr>
              <w:t>投标承诺函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联合体协议</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供应商与参加本项目投标的其他供应商之间，单位负责人不为同一人并且不存在直接控股、管理关系承诺函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16</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供应商未为本项目提供整体设计、规范编制或者项目管理、监理、检测等服务承诺函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投标分项报价表</w:t>
            </w:r>
          </w:p>
        </w:tc>
        <w:tc>
          <w:tcPr>
            <w:tcW w:w="1559" w:type="dxa"/>
            <w:tcBorders>
              <w:top w:val="double" w:color="auto" w:sz="4" w:space="0"/>
            </w:tcBorders>
            <w:noWrap w:val="0"/>
            <w:vAlign w:val="center"/>
          </w:tcPr>
          <w:p>
            <w:pPr>
              <w:jc w:val="center"/>
              <w:rPr>
                <w:szCs w:val="21"/>
              </w:rPr>
            </w:pPr>
          </w:p>
        </w:tc>
        <w:tc>
          <w:tcPr>
            <w:tcW w:w="1560" w:type="dxa"/>
            <w:tcBorders>
              <w:top w:val="double" w:color="auto" w:sz="4" w:space="0"/>
            </w:tcBorders>
            <w:noWrap w:val="0"/>
            <w:vAlign w:val="center"/>
          </w:tcPr>
          <w:p>
            <w:pPr>
              <w:snapToGrid w:val="0"/>
              <w:spacing w:line="400" w:lineRule="exact"/>
              <w:rPr>
                <w:rFonts w:ascii="宋体" w:hAnsi="宋体" w:cs="微软雅黑"/>
                <w:szCs w:val="21"/>
              </w:rPr>
            </w:pPr>
          </w:p>
        </w:tc>
        <w:tc>
          <w:tcPr>
            <w:tcW w:w="2018" w:type="dxa"/>
            <w:tcBorders>
              <w:top w:val="doub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技术规格偏离表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技术方案（演出方案）</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服务方案</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业绩情况表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政府强制采购节能产品品目清单情况</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优先采购节能产品政府采购品目清单情况</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优先采购环境标志产品政府采购品目清单情况</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25</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中小企业声明函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26</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残疾人福利性单位声明函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27</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监狱企业证明文件</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28</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CCC强制性产品认证</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767" w:type="dxa"/>
            <w:gridSpan w:val="3"/>
            <w:vMerge w:val="restart"/>
            <w:noWrap w:val="0"/>
            <w:vAlign w:val="center"/>
          </w:tcPr>
          <w:p>
            <w:pPr>
              <w:rPr>
                <w:rFonts w:hint="eastAsia"/>
              </w:rPr>
            </w:pPr>
            <w:r>
              <w:rPr>
                <w:rFonts w:ascii="宋体" w:hAnsi="宋体" w:cs="宋体"/>
                <w:kern w:val="0"/>
                <w:szCs w:val="21"/>
              </w:rPr>
              <w:t>信息安全产品强制性认证</w:t>
            </w:r>
          </w:p>
        </w:tc>
        <w:tc>
          <w:tcPr>
            <w:tcW w:w="1984" w:type="dxa"/>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认证机构颁发的认证证书</w:t>
            </w:r>
          </w:p>
        </w:tc>
        <w:tc>
          <w:tcPr>
            <w:tcW w:w="1559" w:type="dxa"/>
            <w:vMerge w:val="restart"/>
            <w:noWrap w:val="0"/>
            <w:vAlign w:val="center"/>
          </w:tcPr>
          <w:p>
            <w:pPr>
              <w:jc w:val="center"/>
              <w:rPr>
                <w:szCs w:val="21"/>
              </w:rPr>
            </w:pPr>
          </w:p>
        </w:tc>
        <w:tc>
          <w:tcPr>
            <w:tcW w:w="1560" w:type="dxa"/>
            <w:vMerge w:val="restart"/>
            <w:tcBorders>
              <w:top w:val="single" w:color="auto" w:sz="4" w:space="0"/>
            </w:tcBorders>
            <w:noWrap w:val="0"/>
            <w:vAlign w:val="center"/>
          </w:tcPr>
          <w:p>
            <w:pPr>
              <w:snapToGrid w:val="0"/>
              <w:spacing w:line="400" w:lineRule="exact"/>
              <w:rPr>
                <w:rFonts w:ascii="宋体" w:hAnsi="宋体" w:cs="微软雅黑"/>
                <w:szCs w:val="21"/>
              </w:rPr>
            </w:pPr>
          </w:p>
        </w:tc>
        <w:tc>
          <w:tcPr>
            <w:tcW w:w="2018" w:type="dxa"/>
            <w:vMerge w:val="restart"/>
            <w:tcBorders>
              <w:top w:val="sing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continue"/>
            <w:noWrap w:val="0"/>
            <w:vAlign w:val="center"/>
          </w:tcPr>
          <w:p>
            <w:pPr>
              <w:adjustRightInd w:val="0"/>
              <w:snapToGrid w:val="0"/>
              <w:spacing w:line="400" w:lineRule="exact"/>
              <w:jc w:val="center"/>
              <w:textAlignment w:val="baseline"/>
              <w:rPr>
                <w:rFonts w:hint="eastAsia" w:ascii="宋体" w:hAnsi="宋体" w:cs="微软雅黑"/>
                <w:szCs w:val="21"/>
              </w:rPr>
            </w:pPr>
          </w:p>
        </w:tc>
        <w:tc>
          <w:tcPr>
            <w:tcW w:w="1767" w:type="dxa"/>
            <w:gridSpan w:val="3"/>
            <w:vMerge w:val="continue"/>
            <w:noWrap w:val="0"/>
            <w:vAlign w:val="center"/>
          </w:tcPr>
          <w:p>
            <w:pPr>
              <w:rPr>
                <w:rFonts w:ascii="宋体" w:hAnsi="宋体" w:cs="宋体"/>
                <w:kern w:val="0"/>
                <w:szCs w:val="21"/>
              </w:rPr>
            </w:pPr>
          </w:p>
        </w:tc>
        <w:tc>
          <w:tcPr>
            <w:tcW w:w="1984" w:type="dxa"/>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中国信息安全认证中心官网产品查询结果截图</w:t>
            </w:r>
          </w:p>
        </w:tc>
        <w:tc>
          <w:tcPr>
            <w:tcW w:w="1559" w:type="dxa"/>
            <w:vMerge w:val="continue"/>
            <w:noWrap w:val="0"/>
            <w:vAlign w:val="center"/>
          </w:tcPr>
          <w:p>
            <w:pPr>
              <w:jc w:val="center"/>
              <w:rPr>
                <w:szCs w:val="21"/>
              </w:rPr>
            </w:pPr>
          </w:p>
        </w:tc>
        <w:tc>
          <w:tcPr>
            <w:tcW w:w="1560" w:type="dxa"/>
            <w:vMerge w:val="continue"/>
            <w:noWrap w:val="0"/>
            <w:vAlign w:val="center"/>
          </w:tcPr>
          <w:p>
            <w:pPr>
              <w:snapToGrid w:val="0"/>
              <w:spacing w:line="400" w:lineRule="exact"/>
              <w:rPr>
                <w:rFonts w:ascii="宋体" w:hAnsi="宋体" w:cs="微软雅黑"/>
                <w:szCs w:val="21"/>
              </w:rPr>
            </w:pPr>
          </w:p>
        </w:tc>
        <w:tc>
          <w:tcPr>
            <w:tcW w:w="2018" w:type="dxa"/>
            <w:vMerge w:val="continue"/>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30</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国家级贫困县域注册地证明材料</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31</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扶贫部门出具的聘用建档立卡贫困人员身份证明</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32</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建档立卡贫困人员社保材料</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33</w:t>
            </w:r>
          </w:p>
        </w:tc>
        <w:tc>
          <w:tcPr>
            <w:tcW w:w="3751" w:type="dxa"/>
            <w:gridSpan w:val="4"/>
            <w:noWrap w:val="0"/>
            <w:vAlign w:val="center"/>
          </w:tcPr>
          <w:p>
            <w:pPr>
              <w:pStyle w:val="14"/>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其它资料</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color w:val="000000"/>
          <w:sz w:val="24"/>
          <w:szCs w:val="24"/>
        </w:rPr>
        <w:t>注：</w:t>
      </w:r>
      <w:r>
        <w:rPr>
          <w:rFonts w:hint="eastAsia" w:ascii="楷体" w:hAnsi="楷体" w:eastAsia="楷体"/>
          <w:sz w:val="24"/>
          <w:szCs w:val="24"/>
        </w:rPr>
        <w:t>①本表序号8请按照本</w:t>
      </w:r>
      <w:r>
        <w:rPr>
          <w:rFonts w:hint="eastAsia" w:ascii="楷体" w:hAnsi="楷体" w:eastAsia="楷体"/>
          <w:sz w:val="24"/>
          <w:szCs w:val="24"/>
          <w:lang w:eastAsia="zh-CN"/>
        </w:rPr>
        <w:t>采购</w:t>
      </w:r>
      <w:r>
        <w:rPr>
          <w:rFonts w:hint="eastAsia" w:ascii="楷体" w:hAnsi="楷体" w:eastAsia="楷体"/>
          <w:sz w:val="24"/>
          <w:szCs w:val="24"/>
        </w:rPr>
        <w:t>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w:t>
      </w:r>
      <w:r>
        <w:rPr>
          <w:rFonts w:hint="eastAsia" w:ascii="楷体" w:hAnsi="楷体" w:eastAsia="楷体"/>
          <w:sz w:val="24"/>
          <w:szCs w:val="24"/>
          <w:lang w:eastAsia="zh-CN"/>
        </w:rPr>
        <w:t>采购</w:t>
      </w:r>
      <w:r>
        <w:rPr>
          <w:rFonts w:hint="eastAsia" w:ascii="楷体" w:hAnsi="楷体" w:eastAsia="楷体"/>
          <w:sz w:val="24"/>
          <w:szCs w:val="24"/>
        </w:rPr>
        <w:t>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ascii="楷体" w:hAnsi="楷体" w:eastAsia="楷体"/>
          <w:sz w:val="24"/>
          <w:szCs w:val="24"/>
        </w:rPr>
        <w:fldChar w:fldCharType="begin"/>
      </w:r>
      <w:r>
        <w:rPr>
          <w:rFonts w:hint="eastAsia" w:ascii="楷体" w:hAnsi="楷体" w:eastAsia="楷体"/>
          <w:sz w:val="24"/>
          <w:szCs w:val="24"/>
        </w:rPr>
        <w:instrText xml:space="preserve">= 4 \* GB3</w:instrText>
      </w:r>
      <w:r>
        <w:rPr>
          <w:rFonts w:ascii="楷体" w:hAnsi="楷体" w:eastAsia="楷体"/>
          <w:sz w:val="24"/>
          <w:szCs w:val="24"/>
        </w:rPr>
        <w:fldChar w:fldCharType="separate"/>
      </w:r>
      <w:r>
        <w:rPr>
          <w:rFonts w:hint="eastAsia" w:ascii="楷体" w:hAnsi="楷体" w:eastAsia="楷体"/>
          <w:sz w:val="24"/>
          <w:szCs w:val="24"/>
        </w:rPr>
        <w:t>④</w:t>
      </w:r>
      <w:r>
        <w:rPr>
          <w:rFonts w:ascii="楷体" w:hAnsi="楷体" w:eastAsia="楷体"/>
          <w:sz w:val="24"/>
          <w:szCs w:val="24"/>
        </w:rPr>
        <w:fldChar w:fldCharType="end"/>
      </w:r>
      <w:r>
        <w:rPr>
          <w:rFonts w:hint="eastAsia" w:ascii="楷体" w:hAnsi="楷体" w:eastAsia="楷体"/>
          <w:sz w:val="24"/>
          <w:szCs w:val="24"/>
        </w:rPr>
        <w:t>本表序号30-32仅适用于物业项目。</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both"/>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Cs w:val="24"/>
        </w:rPr>
        <w:t>开标一览表</w:t>
      </w: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日期：</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年</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月</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日</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注：1、交付日期指完成该项目的最终时间（日历天）。</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p>
    <w:p>
      <w:pPr>
        <w:adjustRightInd w:val="0"/>
        <w:spacing w:line="360" w:lineRule="auto"/>
        <w:contextualSpacing/>
        <w:rPr>
          <w:rFonts w:hint="eastAsia"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w:t>
      </w:r>
      <w:r>
        <w:rPr>
          <w:rFonts w:hint="eastAsia" w:asciiTheme="majorEastAsia" w:hAnsiTheme="majorEastAsia" w:eastAsiaTheme="majorEastAsia"/>
          <w:b/>
          <w:snapToGrid w:val="0"/>
          <w:kern w:val="0"/>
          <w:szCs w:val="24"/>
          <w:lang w:val="en-US" w:eastAsia="zh-CN"/>
        </w:rPr>
        <w:t xml:space="preserve">                                 </w:t>
      </w:r>
      <w:r>
        <w:rPr>
          <w:rFonts w:hint="eastAsia" w:asciiTheme="majorEastAsia" w:hAnsiTheme="majorEastAsia" w:eastAsiaTheme="majorEastAsia"/>
          <w:b/>
          <w:snapToGrid w:val="0"/>
          <w:kern w:val="0"/>
          <w:szCs w:val="24"/>
        </w:rPr>
        <w:t>投 标 函</w:t>
      </w:r>
    </w:p>
    <w:p>
      <w:pPr>
        <w:adjustRightInd w:val="0"/>
        <w:spacing w:line="360" w:lineRule="auto"/>
        <w:contextualSpacing/>
        <w:rPr>
          <w:rFonts w:asciiTheme="minorEastAsia" w:hAnsiTheme="minorEastAsia"/>
          <w:b/>
          <w:snapToGrid w:val="0"/>
          <w:kern w:val="0"/>
          <w:szCs w:val="21"/>
        </w:rPr>
      </w:pPr>
      <w:r>
        <w:rPr>
          <w:rFonts w:hint="eastAsia" w:asciiTheme="majorEastAsia" w:hAnsiTheme="majorEastAsia" w:eastAsiaTheme="majorEastAsia"/>
          <w:b/>
          <w:snapToGrid w:val="0"/>
          <w:kern w:val="0"/>
          <w:szCs w:val="24"/>
        </w:rPr>
        <w:t xml:space="preserve"> </w:t>
      </w: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val="0"/>
          <w:iCs w:val="0"/>
          <w:snapToGrid w:val="0"/>
          <w:kern w:val="0"/>
          <w:szCs w:val="21"/>
          <w:u w:val="single"/>
        </w:rPr>
        <w:t xml:space="preserve"> (投标人名称)     </w:t>
      </w:r>
      <w:r>
        <w:rPr>
          <w:rFonts w:hint="eastAsia" w:asciiTheme="minorEastAsia" w:hAnsiTheme="minorEastAsia"/>
          <w:i w:val="0"/>
          <w:iCs w:val="0"/>
          <w:snapToGrid w:val="0"/>
          <w:kern w:val="0"/>
          <w:szCs w:val="21"/>
        </w:rPr>
        <w:t>作为投标人正式授权</w:t>
      </w:r>
      <w:r>
        <w:rPr>
          <w:rFonts w:hint="eastAsia" w:asciiTheme="minorEastAsia" w:hAnsiTheme="minorEastAsia"/>
          <w:i w:val="0"/>
          <w:iCs w:val="0"/>
          <w:snapToGrid w:val="0"/>
          <w:kern w:val="0"/>
          <w:szCs w:val="21"/>
          <w:u w:val="single"/>
        </w:rPr>
        <w:t xml:space="preserve">     (授权代表全名, 职务)  </w:t>
      </w:r>
      <w:r>
        <w:rPr>
          <w:rFonts w:hint="eastAsia" w:asciiTheme="minorEastAsia" w:hAnsiTheme="minorEastAsia"/>
          <w:i/>
          <w:snapToGrid w:val="0"/>
          <w:kern w:val="0"/>
          <w:szCs w:val="21"/>
          <w:u w:val="single"/>
        </w:rPr>
        <w:t xml:space="preserve">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w:t>
      </w:r>
      <w:r>
        <w:rPr>
          <w:rFonts w:hint="eastAsia" w:cs="Courier New" w:asciiTheme="minorEastAsia" w:hAnsiTheme="minorEastAsia"/>
          <w:szCs w:val="21"/>
        </w:rPr>
        <w:t>，副本</w:t>
      </w:r>
      <w:r>
        <w:rPr>
          <w:rFonts w:hint="eastAsia" w:cs="Courier New" w:asciiTheme="minorEastAsia" w:hAnsiTheme="minorEastAsia"/>
          <w:szCs w:val="21"/>
          <w:lang w:eastAsia="zh-CN"/>
        </w:rPr>
        <w:t>一</w:t>
      </w:r>
      <w:r>
        <w:rPr>
          <w:rFonts w:hint="eastAsia" w:cs="Courier New" w:asciiTheme="minorEastAsia" w:hAnsiTheme="minorEastAsia"/>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highlight w:val="none"/>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w:t>
      </w:r>
      <w:r>
        <w:rPr>
          <w:rFonts w:hint="eastAsia" w:asciiTheme="minorEastAsia" w:hAnsiTheme="minorEastAsia" w:eastAsiaTheme="minorEastAsia"/>
          <w:sz w:val="21"/>
          <w:szCs w:val="21"/>
          <w:highlight w:val="none"/>
        </w:rPr>
        <w:t>件中所作的所有承诺承担法律责任。</w:t>
      </w:r>
    </w:p>
    <w:p>
      <w:pPr>
        <w:pStyle w:val="14"/>
        <w:adjustRightInd w:val="0"/>
        <w:snapToGrid w:val="0"/>
        <w:spacing w:line="360" w:lineRule="auto"/>
        <w:rPr>
          <w:rFonts w:asciiTheme="minorEastAsia" w:hAnsiTheme="minorEastAsia" w:eastAsiaTheme="minorEastAsia"/>
          <w:sz w:val="21"/>
          <w:szCs w:val="21"/>
          <w:highlight w:val="none"/>
        </w:rPr>
      </w:pPr>
    </w:p>
    <w:p>
      <w:pPr>
        <w:pStyle w:val="14"/>
        <w:adjustRightInd w:val="0"/>
        <w:snapToGrid w:val="0"/>
        <w:spacing w:line="360" w:lineRule="auto"/>
        <w:rPr>
          <w:rFonts w:asciiTheme="minorEastAsia" w:hAnsiTheme="minorEastAsia" w:eastAsiaTheme="minorEastAsia"/>
          <w:sz w:val="21"/>
          <w:szCs w:val="21"/>
          <w:highlight w:val="none"/>
        </w:rPr>
      </w:pPr>
    </w:p>
    <w:p>
      <w:pPr>
        <w:pStyle w:val="14"/>
        <w:adjustRightInd w:val="0"/>
        <w:snapToGrid w:val="0"/>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所有与本招标有关的一切正式往来请寄：</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地    址：</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邮政编码：</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电    话：</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传    真：</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r>
        <w:rPr>
          <w:rFonts w:hint="eastAsia" w:cs="宋体" w:asciiTheme="minorEastAsia" w:hAnsiTheme="minorEastAsia"/>
          <w:szCs w:val="21"/>
          <w:highlight w:val="none"/>
        </w:rPr>
        <w:t>投标人代表姓名：</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职    务：</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投标人法定代表人（单位负责人）或法定代表人（单位负责人）授权代表签字或盖章：</w:t>
      </w:r>
      <w:r>
        <w:rPr>
          <w:rFonts w:hint="eastAsia" w:cs="宋体" w:asciiTheme="minorEastAsia" w:hAnsiTheme="minorEastAsia"/>
          <w:szCs w:val="21"/>
          <w:highlight w:val="none"/>
          <w:u w:val="single"/>
        </w:rPr>
        <w:t xml:space="preserve">         </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投标人名称（盖章）：</w:t>
      </w:r>
      <w:r>
        <w:rPr>
          <w:rFonts w:hint="eastAsia" w:cs="宋体" w:asciiTheme="minorEastAsia" w:hAnsiTheme="minorEastAsia"/>
          <w:szCs w:val="21"/>
          <w:highlight w:val="none"/>
          <w:u w:val="single"/>
        </w:rPr>
        <w:t xml:space="preserve">                   </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r>
        <w:rPr>
          <w:rFonts w:hint="eastAsia" w:cs="宋体" w:asciiTheme="minorEastAsia" w:hAnsiTheme="minorEastAsia"/>
          <w:szCs w:val="21"/>
          <w:highlight w:val="none"/>
        </w:rPr>
        <w:t>日期：    年    月    日</w:t>
      </w:r>
    </w:p>
    <w:p>
      <w:pPr>
        <w:adjustRightInd w:val="0"/>
        <w:snapToGrid w:val="0"/>
        <w:spacing w:line="360" w:lineRule="auto"/>
        <w:rPr>
          <w:rFonts w:cs="宋体" w:asciiTheme="minorEastAsia" w:hAnsiTheme="minorEastAsia"/>
          <w:szCs w:val="21"/>
          <w:highlight w:val="none"/>
        </w:rPr>
      </w:pPr>
    </w:p>
    <w:p>
      <w:pPr>
        <w:spacing w:line="480" w:lineRule="exact"/>
        <w:jc w:val="both"/>
        <w:rPr>
          <w:rFonts w:hint="eastAsia" w:asciiTheme="majorEastAsia" w:hAnsiTheme="majorEastAsia" w:eastAsiaTheme="majorEastAsia"/>
          <w:b/>
          <w:bCs/>
          <w:color w:val="000000"/>
          <w:sz w:val="24"/>
          <w:szCs w:val="24"/>
          <w:highlight w:val="none"/>
        </w:rPr>
      </w:pPr>
    </w:p>
    <w:p>
      <w:pPr>
        <w:spacing w:line="480" w:lineRule="exact"/>
        <w:jc w:val="center"/>
        <w:rPr>
          <w:rFonts w:hint="eastAsia" w:asciiTheme="majorEastAsia" w:hAnsiTheme="majorEastAsia" w:eastAsiaTheme="majorEastAsia"/>
          <w:b/>
          <w:bCs/>
          <w:color w:val="000000"/>
          <w:sz w:val="24"/>
          <w:szCs w:val="24"/>
          <w:highlight w:val="none"/>
        </w:rPr>
      </w:pPr>
    </w:p>
    <w:p>
      <w:pPr>
        <w:spacing w:line="480" w:lineRule="exact"/>
        <w:jc w:val="center"/>
        <w:rPr>
          <w:rFonts w:asciiTheme="majorEastAsia" w:hAnsiTheme="majorEastAsia" w:eastAsiaTheme="majorEastAsia"/>
          <w:b/>
          <w:bCs/>
          <w:color w:val="000000"/>
          <w:sz w:val="24"/>
          <w:szCs w:val="24"/>
          <w:highlight w:val="none"/>
        </w:rPr>
      </w:pPr>
      <w:r>
        <w:rPr>
          <w:rFonts w:hint="eastAsia" w:asciiTheme="majorEastAsia" w:hAnsiTheme="majorEastAsia" w:eastAsiaTheme="majorEastAsia"/>
          <w:b/>
          <w:bCs/>
          <w:color w:val="000000"/>
          <w:sz w:val="24"/>
          <w:szCs w:val="24"/>
          <w:highlight w:val="none"/>
        </w:rPr>
        <w:t>3.2 法定代表人（单位负责人）</w:t>
      </w:r>
      <w:r>
        <w:rPr>
          <w:rFonts w:asciiTheme="majorEastAsia" w:hAnsiTheme="majorEastAsia" w:eastAsiaTheme="majorEastAsia"/>
          <w:b/>
          <w:bCs/>
          <w:color w:val="000000"/>
          <w:sz w:val="24"/>
          <w:szCs w:val="24"/>
          <w:highlight w:val="none"/>
        </w:rPr>
        <w:t>资</w:t>
      </w:r>
      <w:r>
        <w:rPr>
          <w:rFonts w:hint="eastAsia" w:asciiTheme="majorEastAsia" w:hAnsiTheme="majorEastAsia" w:eastAsiaTheme="majorEastAsia"/>
          <w:b/>
          <w:bCs/>
          <w:color w:val="000000"/>
          <w:sz w:val="24"/>
          <w:szCs w:val="24"/>
          <w:highlight w:val="none"/>
        </w:rPr>
        <w:t>格</w:t>
      </w:r>
      <w:r>
        <w:rPr>
          <w:rFonts w:asciiTheme="majorEastAsia" w:hAnsiTheme="majorEastAsia" w:eastAsiaTheme="majorEastAsia"/>
          <w:b/>
          <w:bCs/>
          <w:color w:val="000000"/>
          <w:sz w:val="24"/>
          <w:szCs w:val="24"/>
          <w:highlight w:val="none"/>
        </w:rPr>
        <w:t>证</w:t>
      </w:r>
      <w:r>
        <w:rPr>
          <w:rFonts w:hint="eastAsia" w:asciiTheme="majorEastAsia" w:hAnsiTheme="majorEastAsia" w:eastAsiaTheme="majorEastAsia"/>
          <w:b/>
          <w:bCs/>
          <w:color w:val="000000"/>
          <w:sz w:val="24"/>
          <w:szCs w:val="24"/>
          <w:highlight w:val="none"/>
        </w:rPr>
        <w:t>明</w:t>
      </w:r>
      <w:r>
        <w:rPr>
          <w:rFonts w:asciiTheme="majorEastAsia" w:hAnsiTheme="majorEastAsia" w:eastAsiaTheme="majorEastAsia"/>
          <w:b/>
          <w:bCs/>
          <w:color w:val="000000"/>
          <w:sz w:val="24"/>
          <w:szCs w:val="24"/>
          <w:highlight w:val="none"/>
        </w:rPr>
        <w:t>书</w:t>
      </w:r>
    </w:p>
    <w:p>
      <w:pPr>
        <w:autoSpaceDE w:val="0"/>
        <w:autoSpaceDN w:val="0"/>
        <w:adjustRightInd w:val="0"/>
        <w:spacing w:line="480" w:lineRule="auto"/>
        <w:ind w:firstLine="616" w:firstLineChars="257"/>
        <w:rPr>
          <w:rFonts w:ascii="宋体" w:hAnsi="宋体"/>
          <w:color w:val="000000"/>
          <w:sz w:val="24"/>
          <w:szCs w:val="24"/>
          <w:highlight w:val="none"/>
        </w:rPr>
      </w:pPr>
    </w:p>
    <w:p>
      <w:pPr>
        <w:pStyle w:val="41"/>
        <w:spacing w:line="480" w:lineRule="auto"/>
        <w:ind w:firstLine="472" w:firstLineChars="225"/>
        <w:jc w:val="left"/>
        <w:rPr>
          <w:rFonts w:asciiTheme="minorEastAsia" w:hAnsiTheme="minorEastAsia"/>
          <w:color w:val="000000"/>
          <w:sz w:val="21"/>
          <w:szCs w:val="21"/>
          <w:highlight w:val="none"/>
        </w:rPr>
      </w:pPr>
      <w:r>
        <w:rPr>
          <w:rFonts w:asciiTheme="minorEastAsia" w:hAnsiTheme="minorEastAsia"/>
          <w:color w:val="000000"/>
          <w:sz w:val="21"/>
          <w:szCs w:val="21"/>
          <w:highlight w:val="none"/>
        </w:rPr>
        <w:t>单</w:t>
      </w:r>
      <w:r>
        <w:rPr>
          <w:rFonts w:hint="eastAsia" w:asciiTheme="minorEastAsia" w:hAnsiTheme="minorEastAsia"/>
          <w:color w:val="000000"/>
          <w:sz w:val="21"/>
          <w:szCs w:val="21"/>
          <w:highlight w:val="none"/>
        </w:rPr>
        <w:t>位名</w:t>
      </w:r>
      <w:r>
        <w:rPr>
          <w:rFonts w:asciiTheme="minorEastAsia" w:hAnsiTheme="minorEastAsia"/>
          <w:color w:val="000000"/>
          <w:sz w:val="21"/>
          <w:szCs w:val="21"/>
          <w:highlight w:val="none"/>
        </w:rPr>
        <w:t>称</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地址：</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姓名：       性</w:t>
      </w:r>
      <w:r>
        <w:rPr>
          <w:rFonts w:asciiTheme="minorEastAsia" w:hAnsiTheme="minorEastAsia"/>
          <w:color w:val="000000"/>
          <w:sz w:val="21"/>
          <w:szCs w:val="21"/>
          <w:highlight w:val="none"/>
        </w:rPr>
        <w:t>别</w:t>
      </w:r>
      <w:r>
        <w:rPr>
          <w:rFonts w:hint="eastAsia" w:asciiTheme="minorEastAsia" w:hAnsiTheme="minorEastAsia"/>
          <w:color w:val="000000"/>
          <w:sz w:val="21"/>
          <w:szCs w:val="21"/>
          <w:highlight w:val="none"/>
        </w:rPr>
        <w:t>：     年</w:t>
      </w:r>
      <w:r>
        <w:rPr>
          <w:rFonts w:asciiTheme="minorEastAsia" w:hAnsiTheme="minorEastAsia"/>
          <w:color w:val="000000"/>
          <w:sz w:val="21"/>
          <w:szCs w:val="21"/>
          <w:highlight w:val="none"/>
        </w:rPr>
        <w:t>龄</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 xml:space="preserve">     职务</w:t>
      </w:r>
      <w:r>
        <w:rPr>
          <w:rFonts w:hint="eastAsia" w:asciiTheme="minorEastAsia" w:hAnsiTheme="minorEastAsia"/>
          <w:color w:val="000000"/>
          <w:sz w:val="21"/>
          <w:szCs w:val="21"/>
          <w:highlight w:val="none"/>
        </w:rPr>
        <w:t xml:space="preserve">：        </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本人系</w:t>
      </w:r>
      <w:r>
        <w:rPr>
          <w:rFonts w:hint="eastAsia" w:asciiTheme="minorEastAsia" w:hAnsiTheme="minorEastAsia"/>
          <w:color w:val="000000"/>
          <w:sz w:val="21"/>
          <w:szCs w:val="21"/>
          <w:highlight w:val="none"/>
          <w:u w:val="single"/>
        </w:rPr>
        <w:t xml:space="preserve">  </w:t>
      </w:r>
      <w:r>
        <w:rPr>
          <w:rFonts w:hint="eastAsia" w:asciiTheme="minorEastAsia" w:hAnsiTheme="minorEastAsia"/>
          <w:i/>
          <w:snapToGrid w:val="0"/>
          <w:sz w:val="21"/>
          <w:szCs w:val="21"/>
          <w:highlight w:val="none"/>
          <w:u w:val="single"/>
        </w:rPr>
        <w:t>投</w:t>
      </w:r>
      <w:r>
        <w:rPr>
          <w:rFonts w:asciiTheme="minorEastAsia" w:hAnsiTheme="minorEastAsia"/>
          <w:i/>
          <w:snapToGrid w:val="0"/>
          <w:sz w:val="21"/>
          <w:szCs w:val="21"/>
          <w:highlight w:val="none"/>
          <w:u w:val="single"/>
        </w:rPr>
        <w:t>标</w:t>
      </w:r>
      <w:r>
        <w:rPr>
          <w:rFonts w:hint="eastAsia" w:asciiTheme="minorEastAsia" w:hAnsiTheme="minorEastAsia"/>
          <w:i/>
          <w:snapToGrid w:val="0"/>
          <w:sz w:val="21"/>
          <w:szCs w:val="21"/>
          <w:highlight w:val="none"/>
          <w:u w:val="single"/>
        </w:rPr>
        <w:t>人名</w:t>
      </w:r>
      <w:r>
        <w:rPr>
          <w:rFonts w:asciiTheme="minorEastAsia" w:hAnsiTheme="minorEastAsia"/>
          <w:i/>
          <w:snapToGrid w:val="0"/>
          <w:sz w:val="21"/>
          <w:szCs w:val="21"/>
          <w:highlight w:val="none"/>
          <w:u w:val="single"/>
        </w:rPr>
        <w:t>称</w:t>
      </w:r>
      <w:r>
        <w:rPr>
          <w:rFonts w:hint="eastAsia" w:asciiTheme="minorEastAsia" w:hAnsiTheme="minorEastAsia"/>
          <w:i/>
          <w:snapToGrid w:val="0"/>
          <w:sz w:val="21"/>
          <w:szCs w:val="21"/>
          <w:highlight w:val="none"/>
          <w:u w:val="single"/>
        </w:rPr>
        <w:t xml:space="preserve">  </w:t>
      </w:r>
      <w:r>
        <w:rPr>
          <w:rFonts w:hint="eastAsia" w:asciiTheme="minorEastAsia" w:hAnsiTheme="minorEastAsia"/>
          <w:color w:val="000000"/>
          <w:sz w:val="21"/>
          <w:szCs w:val="21"/>
          <w:highlight w:val="none"/>
        </w:rPr>
        <w:t>的法定代表人（单位负责人）。就</w:t>
      </w:r>
      <w:r>
        <w:rPr>
          <w:rFonts w:asciiTheme="minorEastAsia" w:hAnsiTheme="minorEastAsia"/>
          <w:color w:val="000000"/>
          <w:sz w:val="21"/>
          <w:szCs w:val="21"/>
          <w:highlight w:val="none"/>
        </w:rPr>
        <w:t>参</w:t>
      </w:r>
      <w:r>
        <w:rPr>
          <w:rFonts w:hint="eastAsia" w:asciiTheme="minorEastAsia" w:hAnsiTheme="minorEastAsia"/>
          <w:color w:val="000000"/>
          <w:sz w:val="21"/>
          <w:szCs w:val="21"/>
          <w:highlight w:val="none"/>
        </w:rPr>
        <w:t>加贵方招</w:t>
      </w:r>
      <w:r>
        <w:rPr>
          <w:rFonts w:asciiTheme="minorEastAsia" w:hAnsiTheme="minorEastAsia"/>
          <w:color w:val="000000"/>
          <w:sz w:val="21"/>
          <w:szCs w:val="21"/>
          <w:highlight w:val="none"/>
        </w:rPr>
        <w:t>标编号为</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项目编号</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的</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w:t>
      </w:r>
      <w:r>
        <w:rPr>
          <w:rFonts w:hint="eastAsia" w:asciiTheme="minorEastAsia" w:hAnsiTheme="minorEastAsia"/>
          <w:i/>
          <w:color w:val="000000"/>
          <w:sz w:val="21"/>
          <w:szCs w:val="21"/>
          <w:highlight w:val="none"/>
          <w:u w:val="single"/>
        </w:rPr>
        <w:t>名</w:t>
      </w:r>
      <w:r>
        <w:rPr>
          <w:rFonts w:asciiTheme="minorEastAsia" w:hAnsiTheme="minorEastAsia"/>
          <w:i/>
          <w:color w:val="000000"/>
          <w:sz w:val="21"/>
          <w:szCs w:val="21"/>
          <w:highlight w:val="none"/>
          <w:u w:val="single"/>
        </w:rPr>
        <w:t>称</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公</w:t>
      </w:r>
      <w:r>
        <w:rPr>
          <w:rFonts w:asciiTheme="minorEastAsia" w:hAnsiTheme="minorEastAsia"/>
          <w:color w:val="000000"/>
          <w:sz w:val="21"/>
          <w:szCs w:val="21"/>
          <w:highlight w:val="none"/>
        </w:rPr>
        <w:t>开</w:t>
      </w:r>
      <w:r>
        <w:rPr>
          <w:rFonts w:hint="eastAsia" w:asciiTheme="minorEastAsia" w:hAnsiTheme="minorEastAsia"/>
          <w:color w:val="000000"/>
          <w:sz w:val="21"/>
          <w:szCs w:val="21"/>
          <w:highlight w:val="none"/>
        </w:rPr>
        <w:t>招</w:t>
      </w:r>
      <w:r>
        <w:rPr>
          <w:rFonts w:asciiTheme="minorEastAsia" w:hAnsiTheme="minorEastAsia"/>
          <w:color w:val="000000"/>
          <w:sz w:val="21"/>
          <w:szCs w:val="21"/>
          <w:highlight w:val="none"/>
        </w:rPr>
        <w:t>标项目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标报价</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署上</w:t>
      </w:r>
      <w:r>
        <w:rPr>
          <w:rFonts w:asciiTheme="minorEastAsia" w:hAnsiTheme="minorEastAsia"/>
          <w:color w:val="000000"/>
          <w:sz w:val="21"/>
          <w:szCs w:val="21"/>
          <w:highlight w:val="none"/>
        </w:rPr>
        <w:t>述项目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w:t>
      </w:r>
      <w:r>
        <w:rPr>
          <w:rFonts w:hint="eastAsia" w:asciiTheme="minorEastAsia" w:hAnsiTheme="minorEastAsia"/>
          <w:color w:val="000000"/>
          <w:sz w:val="21"/>
          <w:szCs w:val="21"/>
          <w:highlight w:val="none"/>
        </w:rPr>
        <w:t>文件及合同的</w:t>
      </w:r>
      <w:r>
        <w:rPr>
          <w:rFonts w:asciiTheme="minorEastAsia" w:hAnsiTheme="minorEastAsia"/>
          <w:color w:val="000000"/>
          <w:sz w:val="21"/>
          <w:szCs w:val="21"/>
          <w:highlight w:val="none"/>
        </w:rPr>
        <w:t>执</w:t>
      </w:r>
      <w:r>
        <w:rPr>
          <w:rFonts w:hint="eastAsia" w:asciiTheme="minorEastAsia" w:hAnsiTheme="minorEastAsia"/>
          <w:color w:val="000000"/>
          <w:sz w:val="21"/>
          <w:szCs w:val="21"/>
          <w:highlight w:val="none"/>
        </w:rPr>
        <w:t>行、完成、服</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和保修，</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署合同和</w:t>
      </w:r>
      <w:r>
        <w:rPr>
          <w:rFonts w:asciiTheme="minorEastAsia" w:hAnsiTheme="minorEastAsia"/>
          <w:color w:val="000000"/>
          <w:sz w:val="21"/>
          <w:szCs w:val="21"/>
          <w:highlight w:val="none"/>
        </w:rPr>
        <w:t>处</w:t>
      </w:r>
      <w:r>
        <w:rPr>
          <w:rFonts w:hint="eastAsia" w:asciiTheme="minorEastAsia" w:hAnsiTheme="minorEastAsia"/>
          <w:color w:val="000000"/>
          <w:sz w:val="21"/>
          <w:szCs w:val="21"/>
          <w:highlight w:val="none"/>
        </w:rPr>
        <w:t>理与之有</w:t>
      </w:r>
      <w:r>
        <w:rPr>
          <w:rFonts w:asciiTheme="minorEastAsia" w:hAnsiTheme="minorEastAsia"/>
          <w:color w:val="000000"/>
          <w:sz w:val="21"/>
          <w:szCs w:val="21"/>
          <w:highlight w:val="none"/>
        </w:rPr>
        <w:t>关的</w:t>
      </w:r>
      <w:r>
        <w:rPr>
          <w:rFonts w:hint="eastAsia" w:asciiTheme="minorEastAsia" w:hAnsiTheme="minorEastAsia"/>
          <w:color w:val="000000"/>
          <w:sz w:val="21"/>
          <w:szCs w:val="21"/>
          <w:highlight w:val="none"/>
        </w:rPr>
        <w:t>一切事</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特此</w:t>
      </w:r>
      <w:r>
        <w:rPr>
          <w:rFonts w:asciiTheme="minorEastAsia" w:hAnsiTheme="minorEastAsia"/>
          <w:color w:val="000000"/>
          <w:sz w:val="21"/>
          <w:szCs w:val="21"/>
          <w:highlight w:val="none"/>
        </w:rPr>
        <w:t>证</w:t>
      </w:r>
      <w:r>
        <w:rPr>
          <w:rFonts w:hint="eastAsia" w:asciiTheme="minorEastAsia" w:hAnsiTheme="minorEastAsia"/>
          <w:color w:val="000000"/>
          <w:sz w:val="21"/>
          <w:szCs w:val="21"/>
          <w:highlight w:val="none"/>
        </w:rPr>
        <w:t>明。</w:t>
      </w: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left="-538" w:leftChars="-256" w:firstLine="539" w:firstLineChars="257"/>
        <w:jc w:val="center"/>
        <w:rPr>
          <w:rFonts w:asciiTheme="minorEastAsia" w:hAnsiTheme="minorEastAsia"/>
          <w:bCs/>
          <w:color w:val="000000"/>
          <w:sz w:val="21"/>
          <w:szCs w:val="21"/>
          <w:highlight w:val="none"/>
        </w:rPr>
      </w:pPr>
      <w:r>
        <w:rPr>
          <w:rFonts w:hint="eastAsia" w:asciiTheme="minorEastAsia" w:hAnsiTheme="minorEastAsia"/>
          <w:bCs/>
          <w:color w:val="000000"/>
          <w:sz w:val="21"/>
          <w:szCs w:val="21"/>
          <w:highlight w:val="none"/>
        </w:rPr>
        <w:t>【此</w:t>
      </w:r>
      <w:r>
        <w:rPr>
          <w:rFonts w:asciiTheme="minorEastAsia" w:hAnsiTheme="minorEastAsia"/>
          <w:bCs/>
          <w:color w:val="000000"/>
          <w:sz w:val="21"/>
          <w:szCs w:val="21"/>
          <w:highlight w:val="none"/>
        </w:rPr>
        <w:t>处请</w:t>
      </w:r>
      <w:r>
        <w:rPr>
          <w:rFonts w:hint="eastAsia" w:asciiTheme="minorEastAsia" w:hAnsiTheme="minorEastAsia"/>
          <w:bCs/>
          <w:color w:val="000000"/>
          <w:sz w:val="21"/>
          <w:szCs w:val="21"/>
          <w:highlight w:val="none"/>
        </w:rPr>
        <w:t>粘</w:t>
      </w:r>
      <w:r>
        <w:rPr>
          <w:rFonts w:asciiTheme="minorEastAsia" w:hAnsiTheme="minorEastAsia"/>
          <w:bCs/>
          <w:color w:val="000000"/>
          <w:sz w:val="21"/>
          <w:szCs w:val="21"/>
          <w:highlight w:val="none"/>
        </w:rPr>
        <w:t>贴</w:t>
      </w:r>
      <w:r>
        <w:rPr>
          <w:rFonts w:hint="eastAsia" w:asciiTheme="minorEastAsia" w:hAnsiTheme="minorEastAsia"/>
          <w:bCs/>
          <w:color w:val="000000"/>
          <w:sz w:val="21"/>
          <w:szCs w:val="21"/>
          <w:highlight w:val="none"/>
        </w:rPr>
        <w:t>法定代表人（单位负责人）身份</w:t>
      </w:r>
      <w:r>
        <w:rPr>
          <w:rFonts w:asciiTheme="minorEastAsia" w:hAnsiTheme="minorEastAsia"/>
          <w:bCs/>
          <w:color w:val="000000"/>
          <w:sz w:val="21"/>
          <w:szCs w:val="21"/>
          <w:highlight w:val="none"/>
        </w:rPr>
        <w:t>证复</w:t>
      </w:r>
      <w:r>
        <w:rPr>
          <w:rFonts w:hint="eastAsia" w:asciiTheme="minorEastAsia" w:hAnsiTheme="minorEastAsia"/>
          <w:bCs/>
          <w:color w:val="000000"/>
          <w:sz w:val="21"/>
          <w:szCs w:val="21"/>
          <w:highlight w:val="none"/>
        </w:rPr>
        <w:t>印件，需清晰反映身份证有效期限】</w:t>
      </w:r>
    </w:p>
    <w:p>
      <w:pPr>
        <w:pStyle w:val="41"/>
        <w:spacing w:line="480" w:lineRule="auto"/>
        <w:ind w:left="-538" w:leftChars="-256" w:firstLine="539" w:firstLineChars="257"/>
        <w:jc w:val="center"/>
        <w:rPr>
          <w:rFonts w:asciiTheme="minorEastAsia" w:hAnsiTheme="minorEastAsia"/>
          <w:bCs/>
          <w:color w:val="000000"/>
          <w:sz w:val="21"/>
          <w:szCs w:val="21"/>
          <w:highlight w:val="none"/>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spacing w:line="480" w:lineRule="auto"/>
        <w:ind w:firstLine="3937" w:firstLineChars="1875"/>
        <w:rPr>
          <w:rFonts w:cs="Arial" w:asciiTheme="minorEastAsia" w:hAnsiTheme="minorEastAsia"/>
          <w:color w:val="000000"/>
          <w:szCs w:val="21"/>
          <w:highlight w:val="none"/>
          <w:u w:val="single"/>
        </w:rPr>
      </w:pPr>
      <w:r>
        <w:rPr>
          <w:rFonts w:hint="eastAsia" w:cs="Arial" w:asciiTheme="minorEastAsia" w:hAnsiTheme="minorEastAsia"/>
          <w:color w:val="000000"/>
          <w:szCs w:val="21"/>
          <w:highlight w:val="none"/>
        </w:rPr>
        <w:t>投标人名称（并加盖公章）：</w:t>
      </w:r>
    </w:p>
    <w:p>
      <w:pPr>
        <w:pStyle w:val="44"/>
        <w:spacing w:before="60" w:line="480" w:lineRule="auto"/>
        <w:ind w:firstLine="3937" w:firstLineChars="1875"/>
        <w:rPr>
          <w:rFonts w:cs="Arial" w:asciiTheme="minorEastAsia" w:hAnsiTheme="minorEastAsia" w:eastAsiaTheme="minorEastAsia"/>
          <w:color w:val="000000"/>
          <w:sz w:val="21"/>
          <w:szCs w:val="21"/>
          <w:highlight w:val="none"/>
        </w:rPr>
      </w:pPr>
      <w:r>
        <w:rPr>
          <w:rFonts w:hint="eastAsia" w:cs="Arial" w:asciiTheme="minorEastAsia" w:hAnsiTheme="minorEastAsia" w:eastAsiaTheme="minorEastAsia"/>
          <w:color w:val="000000"/>
          <w:sz w:val="21"/>
          <w:szCs w:val="21"/>
          <w:highlight w:val="none"/>
        </w:rPr>
        <w:t>签署日期：   年   月  日</w:t>
      </w:r>
    </w:p>
    <w:p>
      <w:pPr>
        <w:pStyle w:val="43"/>
        <w:spacing w:line="480" w:lineRule="auto"/>
        <w:rPr>
          <w:rFonts w:cs="Arial" w:asciiTheme="minorEastAsia" w:hAnsiTheme="minorEastAsia"/>
          <w:color w:val="000000"/>
          <w:sz w:val="21"/>
          <w:szCs w:val="21"/>
          <w:highlight w:val="none"/>
        </w:rPr>
      </w:pPr>
    </w:p>
    <w:p>
      <w:pPr>
        <w:rPr>
          <w:szCs w:val="21"/>
          <w:highlight w:val="none"/>
        </w:rPr>
      </w:pPr>
    </w:p>
    <w:p>
      <w:pPr>
        <w:spacing w:line="320" w:lineRule="exact"/>
        <w:ind w:firstLine="420" w:firstLineChars="200"/>
        <w:rPr>
          <w:rFonts w:asciiTheme="minorEastAsia" w:hAnsiTheme="minorEastAsia"/>
          <w:bCs/>
          <w:color w:val="000000"/>
          <w:kern w:val="12"/>
          <w:szCs w:val="21"/>
          <w:highlight w:val="none"/>
        </w:rPr>
      </w:pPr>
      <w:r>
        <w:rPr>
          <w:rFonts w:hint="eastAsia" w:asciiTheme="minorEastAsia" w:hAnsiTheme="minorEastAsia"/>
          <w:bCs/>
          <w:color w:val="000000"/>
          <w:kern w:val="12"/>
          <w:szCs w:val="21"/>
          <w:highlight w:val="none"/>
        </w:rPr>
        <w:t>说明：法定代表人（单位负责人）</w:t>
      </w:r>
      <w:r>
        <w:rPr>
          <w:rFonts w:asciiTheme="minorEastAsia" w:hAnsiTheme="minorEastAsia"/>
          <w:bCs/>
          <w:color w:val="000000"/>
          <w:kern w:val="12"/>
          <w:szCs w:val="21"/>
          <w:highlight w:val="none"/>
        </w:rPr>
        <w:t>参</w:t>
      </w:r>
      <w:r>
        <w:rPr>
          <w:rFonts w:hint="eastAsia" w:asciiTheme="minorEastAsia" w:hAnsiTheme="minorEastAsia"/>
          <w:bCs/>
          <w:color w:val="000000"/>
          <w:kern w:val="12"/>
          <w:szCs w:val="21"/>
          <w:highlight w:val="none"/>
        </w:rPr>
        <w:t>加本招</w:t>
      </w:r>
      <w:r>
        <w:rPr>
          <w:rFonts w:asciiTheme="minorEastAsia" w:hAnsiTheme="minorEastAsia"/>
          <w:bCs/>
          <w:color w:val="000000"/>
          <w:kern w:val="12"/>
          <w:szCs w:val="21"/>
          <w:highlight w:val="none"/>
        </w:rPr>
        <w:t>标项目</w:t>
      </w:r>
      <w:r>
        <w:rPr>
          <w:rFonts w:hint="eastAsia" w:asciiTheme="minorEastAsia" w:hAnsiTheme="minorEastAsia"/>
          <w:bCs/>
          <w:color w:val="000000"/>
          <w:kern w:val="12"/>
          <w:szCs w:val="21"/>
          <w:highlight w:val="none"/>
        </w:rPr>
        <w:t>投</w:t>
      </w:r>
      <w:r>
        <w:rPr>
          <w:rFonts w:asciiTheme="minorEastAsia" w:hAnsiTheme="minorEastAsia"/>
          <w:bCs/>
          <w:color w:val="000000"/>
          <w:kern w:val="12"/>
          <w:szCs w:val="21"/>
          <w:highlight w:val="none"/>
        </w:rPr>
        <w:t>标</w:t>
      </w:r>
      <w:r>
        <w:rPr>
          <w:rFonts w:hint="eastAsia" w:asciiTheme="minorEastAsia" w:hAnsiTheme="minorEastAsia"/>
          <w:bCs/>
          <w:color w:val="000000"/>
          <w:kern w:val="12"/>
          <w:szCs w:val="21"/>
          <w:highlight w:val="none"/>
        </w:rPr>
        <w:t>的，</w:t>
      </w:r>
      <w:r>
        <w:rPr>
          <w:rFonts w:asciiTheme="minorEastAsia" w:hAnsiTheme="minorEastAsia"/>
          <w:bCs/>
          <w:color w:val="000000"/>
          <w:kern w:val="12"/>
          <w:szCs w:val="21"/>
          <w:highlight w:val="none"/>
        </w:rPr>
        <w:t>仅须</w:t>
      </w:r>
      <w:r>
        <w:rPr>
          <w:rFonts w:hint="eastAsia" w:asciiTheme="minorEastAsia" w:hAnsiTheme="minorEastAsia"/>
          <w:bCs/>
          <w:color w:val="000000"/>
          <w:kern w:val="12"/>
          <w:szCs w:val="21"/>
          <w:highlight w:val="none"/>
        </w:rPr>
        <w:t>出具此</w:t>
      </w:r>
      <w:r>
        <w:rPr>
          <w:rFonts w:asciiTheme="minorEastAsia" w:hAnsiTheme="minorEastAsia"/>
          <w:bCs/>
          <w:color w:val="000000"/>
          <w:kern w:val="12"/>
          <w:szCs w:val="21"/>
          <w:highlight w:val="none"/>
        </w:rPr>
        <w:t>证</w:t>
      </w:r>
      <w:r>
        <w:rPr>
          <w:rFonts w:hint="eastAsia" w:asciiTheme="minorEastAsia" w:hAnsiTheme="minorEastAsia"/>
          <w:bCs/>
          <w:color w:val="000000"/>
          <w:kern w:val="12"/>
          <w:szCs w:val="21"/>
          <w:highlight w:val="none"/>
        </w:rPr>
        <w:t>明</w:t>
      </w:r>
      <w:r>
        <w:rPr>
          <w:rFonts w:asciiTheme="minorEastAsia" w:hAnsiTheme="minorEastAsia"/>
          <w:bCs/>
          <w:color w:val="000000"/>
          <w:kern w:val="12"/>
          <w:szCs w:val="21"/>
          <w:highlight w:val="none"/>
        </w:rPr>
        <w:t>书</w:t>
      </w:r>
      <w:r>
        <w:rPr>
          <w:rFonts w:hint="eastAsia" w:asciiTheme="minorEastAsia" w:hAnsiTheme="minorEastAsia"/>
          <w:bCs/>
          <w:color w:val="000000"/>
          <w:kern w:val="12"/>
          <w:szCs w:val="21"/>
          <w:highlight w:val="none"/>
        </w:rPr>
        <w:t>。</w:t>
      </w:r>
    </w:p>
    <w:p>
      <w:pPr>
        <w:spacing w:line="480" w:lineRule="exact"/>
        <w:jc w:val="center"/>
        <w:rPr>
          <w:rFonts w:ascii="宋体" w:hAnsi="宋体"/>
          <w:b/>
          <w:bCs/>
          <w:color w:val="000000"/>
          <w:sz w:val="36"/>
          <w:szCs w:val="36"/>
          <w:highlight w:val="none"/>
        </w:rPr>
      </w:pPr>
    </w:p>
    <w:p>
      <w:pPr>
        <w:spacing w:line="480" w:lineRule="exact"/>
        <w:jc w:val="center"/>
        <w:rPr>
          <w:rFonts w:ascii="宋体" w:hAnsi="宋体"/>
          <w:b/>
          <w:bCs/>
          <w:color w:val="000000"/>
          <w:sz w:val="24"/>
          <w:szCs w:val="24"/>
          <w:highlight w:val="none"/>
        </w:rPr>
      </w:pPr>
      <w:r>
        <w:rPr>
          <w:rFonts w:hint="eastAsia" w:ascii="宋体" w:hAnsi="宋体"/>
          <w:b/>
          <w:bCs/>
          <w:color w:val="000000"/>
          <w:sz w:val="24"/>
          <w:szCs w:val="24"/>
          <w:highlight w:val="none"/>
        </w:rPr>
        <w:t>3.3 法定代表人（单位负责人）授权书</w:t>
      </w:r>
    </w:p>
    <w:p>
      <w:pPr>
        <w:spacing w:line="480" w:lineRule="exact"/>
        <w:jc w:val="center"/>
        <w:rPr>
          <w:rFonts w:ascii="宋体" w:hAnsi="宋体"/>
          <w:b/>
          <w:bCs/>
          <w:color w:val="000000"/>
          <w:sz w:val="36"/>
          <w:szCs w:val="36"/>
          <w:highlight w:val="none"/>
        </w:rPr>
      </w:pPr>
    </w:p>
    <w:p>
      <w:pPr>
        <w:adjustRightInd w:val="0"/>
        <w:spacing w:line="360" w:lineRule="auto"/>
        <w:ind w:firstLine="441" w:firstLineChars="210"/>
        <w:contextualSpacing/>
        <w:rPr>
          <w:rFonts w:cs="Arial" w:asciiTheme="minorEastAsia" w:hAnsiTheme="minorEastAsia"/>
          <w:szCs w:val="21"/>
          <w:highlight w:val="none"/>
        </w:rPr>
      </w:pPr>
      <w:r>
        <w:rPr>
          <w:rFonts w:hint="eastAsia" w:asciiTheme="minorEastAsia" w:hAnsiTheme="minorEastAsia"/>
          <w:szCs w:val="21"/>
          <w:highlight w:val="none"/>
        </w:rPr>
        <w:t xml:space="preserve"> </w:t>
      </w:r>
      <w:r>
        <w:rPr>
          <w:rFonts w:hint="eastAsia" w:cs="Arial" w:asciiTheme="minorEastAsia" w:hAnsiTheme="minorEastAsia"/>
          <w:szCs w:val="21"/>
          <w:highlight w:val="none"/>
        </w:rPr>
        <w:t>本人</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法人姓名</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系</w:t>
      </w:r>
      <w:r>
        <w:rPr>
          <w:rFonts w:hint="eastAsia" w:cs="Arial" w:asciiTheme="minorEastAsia" w:hAnsiTheme="minorEastAsia"/>
          <w:szCs w:val="21"/>
          <w:highlight w:val="none"/>
          <w:u w:val="single"/>
        </w:rPr>
        <w:t>　</w:t>
      </w:r>
      <w:r>
        <w:rPr>
          <w:rFonts w:hint="eastAsia" w:asciiTheme="minorEastAsia" w:hAnsiTheme="minorEastAsia"/>
          <w:i/>
          <w:snapToGrid w:val="0"/>
          <w:szCs w:val="21"/>
          <w:highlight w:val="none"/>
          <w:u w:val="single"/>
        </w:rPr>
        <w:t xml:space="preserve">投标人名称  </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的法定代表人（单位负责人），现委托</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姓名，职务</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我方对被授权人的签名事项负全部责任。</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被授权人无转委托权，特此委托。</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投标人名称： </w:t>
      </w:r>
      <w:r>
        <w:rPr>
          <w:rFonts w:hint="eastAsia" w:asciiTheme="minorEastAsia" w:hAnsiTheme="minorEastAsia"/>
          <w:szCs w:val="21"/>
          <w:highlight w:val="none"/>
          <w:u w:val="single"/>
        </w:rPr>
        <w:t xml:space="preserve">       （全称）       </w:t>
      </w:r>
      <w:r>
        <w:rPr>
          <w:rFonts w:hint="eastAsia" w:asciiTheme="minorEastAsia" w:hAnsiTheme="minorEastAsia"/>
          <w:szCs w:val="21"/>
          <w:highlight w:val="none"/>
        </w:rPr>
        <w:t xml:space="preserve"> （盖单位公章）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法定代表人（单位负责人）授权代表：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法定代表人（单位负责人）身份证（正面）</w:t>
            </w:r>
          </w:p>
        </w:tc>
        <w:tc>
          <w:tcPr>
            <w:tcW w:w="4485" w:type="dxa"/>
            <w:gridSpan w:val="2"/>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highlight w:val="none"/>
              </w:rPr>
            </w:pPr>
            <w:bookmarkStart w:id="6" w:name="_资格证明文件"/>
            <w:bookmarkEnd w:id="6"/>
            <w:bookmarkStart w:id="7" w:name="_Toc364329026"/>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（正面）</w:t>
            </w:r>
            <w:bookmarkEnd w:id="7"/>
          </w:p>
        </w:tc>
        <w:tc>
          <w:tcPr>
            <w:tcW w:w="4492" w:type="dxa"/>
            <w:gridSpan w:val="2"/>
            <w:vAlign w:val="center"/>
          </w:tcPr>
          <w:p>
            <w:pPr>
              <w:jc w:val="center"/>
              <w:rPr>
                <w:rFonts w:asciiTheme="minorEastAsia" w:hAnsiTheme="minorEastAsia"/>
                <w:szCs w:val="21"/>
                <w:highlight w:val="none"/>
              </w:rPr>
            </w:pPr>
            <w:bookmarkStart w:id="8" w:name="_Toc364329027"/>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（反面）</w:t>
            </w:r>
            <w:bookmarkEnd w:id="8"/>
          </w:p>
        </w:tc>
      </w:tr>
    </w:tbl>
    <w:p>
      <w:pPr>
        <w:spacing w:line="320" w:lineRule="exact"/>
        <w:ind w:left="2" w:firstLine="357" w:firstLineChars="149"/>
        <w:rPr>
          <w:rFonts w:cs="Courier New" w:asciiTheme="minorEastAsia" w:hAnsiTheme="minorEastAsia"/>
          <w:sz w:val="24"/>
          <w:szCs w:val="24"/>
          <w:highlight w:val="none"/>
        </w:rPr>
      </w:pPr>
    </w:p>
    <w:p>
      <w:pPr>
        <w:widowControl/>
        <w:spacing w:before="100" w:beforeAutospacing="1" w:after="100" w:afterAutospacing="1" w:line="360" w:lineRule="auto"/>
        <w:jc w:val="center"/>
        <w:rPr>
          <w:rFonts w:ascii="宋体" w:hAnsi="宋体"/>
          <w:b/>
          <w:bCs/>
          <w:color w:val="000000"/>
          <w:sz w:val="24"/>
          <w:szCs w:val="24"/>
          <w:highlight w:val="none"/>
        </w:rPr>
      </w:pPr>
      <w:r>
        <w:rPr>
          <w:rFonts w:hint="eastAsia" w:ascii="宋体" w:hAnsi="宋体"/>
          <w:b/>
          <w:bCs/>
          <w:color w:val="000000"/>
          <w:sz w:val="24"/>
          <w:szCs w:val="24"/>
          <w:highlight w:val="none"/>
        </w:rPr>
        <w:t>3.4 没有重大违法记录的声明</w:t>
      </w:r>
    </w:p>
    <w:p>
      <w:pPr>
        <w:spacing w:beforeLines="50" w:afterLines="50"/>
        <w:jc w:val="center"/>
        <w:rPr>
          <w:rFonts w:ascii="宋体" w:hAnsi="宋体" w:cs="Arial"/>
          <w:color w:val="000000"/>
          <w:kern w:val="0"/>
          <w:sz w:val="28"/>
          <w:szCs w:val="28"/>
          <w:highlight w:val="none"/>
        </w:rPr>
      </w:pPr>
      <w:r>
        <w:rPr>
          <w:rFonts w:hint="eastAsia" w:ascii="宋体" w:hAnsi="宋体" w:cs="Arial"/>
          <w:color w:val="000000"/>
          <w:kern w:val="0"/>
          <w:sz w:val="28"/>
          <w:szCs w:val="28"/>
          <w:highlight w:val="none"/>
        </w:rPr>
        <w:t>声　   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特此声明。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highlight w:val="none"/>
          <w:lang w:val="zh-CN"/>
        </w:rPr>
      </w:pP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单位名称（盖章）：</w:t>
      </w: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 xml:space="preserve">日    期：     </w:t>
      </w:r>
      <w:r>
        <w:rPr>
          <w:rFonts w:hint="eastAsia" w:cs="宋体" w:asciiTheme="minorEastAsia" w:hAnsiTheme="minorEastAsia"/>
          <w:szCs w:val="21"/>
          <w:highlight w:val="none"/>
        </w:rPr>
        <w:t>年    月    日</w:t>
      </w: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widowControl/>
        <w:spacing w:before="100" w:beforeAutospacing="1" w:after="100" w:afterAutospacing="1" w:line="360" w:lineRule="auto"/>
        <w:jc w:val="center"/>
        <w:rPr>
          <w:rFonts w:hint="eastAsia" w:ascii="宋体" w:hAnsi="宋体"/>
          <w:b/>
          <w:bCs/>
          <w:color w:val="000000"/>
          <w:sz w:val="24"/>
          <w:szCs w:val="24"/>
          <w:highlight w:val="none"/>
          <w:lang w:val="zh-CN"/>
        </w:rPr>
      </w:pPr>
    </w:p>
    <w:p>
      <w:pPr>
        <w:widowControl/>
        <w:spacing w:before="100" w:beforeAutospacing="1" w:after="100" w:afterAutospacing="1" w:line="360" w:lineRule="auto"/>
        <w:jc w:val="center"/>
        <w:rPr>
          <w:rFonts w:hint="eastAsia" w:ascii="宋体" w:hAnsi="宋体"/>
          <w:b/>
          <w:bCs/>
          <w:color w:val="000000"/>
          <w:sz w:val="24"/>
          <w:szCs w:val="24"/>
          <w:highlight w:val="none"/>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autoSpaceDE w:val="0"/>
        <w:autoSpaceDN w:val="0"/>
        <w:adjustRightInd w:val="0"/>
        <w:spacing w:line="360" w:lineRule="auto"/>
        <w:jc w:val="center"/>
        <w:outlineLvl w:val="0"/>
        <w:rPr>
          <w:rFonts w:hint="eastAsia" w:ascii="宋体" w:hAnsi="宋体"/>
          <w:b/>
          <w:bCs/>
          <w:sz w:val="24"/>
        </w:rPr>
      </w:pPr>
      <w:r>
        <w:rPr>
          <w:rFonts w:hint="eastAsia" w:ascii="宋体" w:hAnsi="宋体"/>
          <w:b/>
          <w:bCs/>
          <w:sz w:val="24"/>
        </w:rPr>
        <w:t>3.5 投标承诺函</w:t>
      </w:r>
    </w:p>
    <w:p>
      <w:pPr>
        <w:spacing w:line="360" w:lineRule="auto"/>
        <w:rPr>
          <w:rFonts w:hint="eastAsia" w:ascii="宋体" w:hAnsi="宋体"/>
          <w:sz w:val="24"/>
        </w:rPr>
      </w:pPr>
      <w:r>
        <w:rPr>
          <w:rFonts w:hint="eastAsia" w:ascii="宋体" w:hAnsi="宋体"/>
          <w:sz w:val="24"/>
        </w:rPr>
        <w:t>本企业郑重承诺：</w:t>
      </w:r>
    </w:p>
    <w:p>
      <w:pPr>
        <w:spacing w:line="360" w:lineRule="auto"/>
        <w:ind w:firstLine="480" w:firstLineChars="200"/>
        <w:rPr>
          <w:rFonts w:hint="eastAsia" w:ascii="宋体" w:hAnsi="宋体"/>
          <w:sz w:val="24"/>
        </w:rPr>
      </w:pPr>
      <w:r>
        <w:rPr>
          <w:rFonts w:hint="eastAsia" w:ascii="宋体" w:hAnsi="宋体"/>
          <w:sz w:val="24"/>
        </w:rPr>
        <w:t>一、将遵循公开、公平、公正和诚实信用的原则参加</w:t>
      </w:r>
      <w:r>
        <w:rPr>
          <w:rFonts w:ascii="宋体" w:hAnsi="宋体"/>
          <w:sz w:val="24"/>
          <w:u w:val="single"/>
        </w:rPr>
        <w:t>(</w:t>
      </w:r>
      <w:r>
        <w:rPr>
          <w:rFonts w:hint="eastAsia" w:ascii="宋体" w:hAnsi="宋体"/>
          <w:sz w:val="24"/>
          <w:u w:val="single"/>
        </w:rPr>
        <w:t>具体政府采购项目名称）</w:t>
      </w:r>
      <w:r>
        <w:rPr>
          <w:rFonts w:hint="eastAsia" w:ascii="宋体" w:hAnsi="宋体"/>
          <w:sz w:val="24"/>
        </w:rPr>
        <w:t>的投标；</w:t>
      </w:r>
    </w:p>
    <w:p>
      <w:pPr>
        <w:spacing w:line="360" w:lineRule="auto"/>
        <w:ind w:firstLine="480" w:firstLineChars="200"/>
        <w:rPr>
          <w:rFonts w:hint="eastAsia" w:ascii="宋体" w:hAnsi="宋体"/>
          <w:sz w:val="24"/>
        </w:rPr>
      </w:pPr>
      <w:r>
        <w:rPr>
          <w:rFonts w:hint="eastAsia" w:ascii="宋体" w:hAnsi="宋体"/>
          <w:sz w:val="24"/>
        </w:rPr>
        <w:t>二、本次投标所提供的一切材料都是真实、有效、合法的；</w:t>
      </w:r>
    </w:p>
    <w:p>
      <w:pPr>
        <w:spacing w:line="360" w:lineRule="auto"/>
        <w:ind w:firstLine="480" w:firstLineChars="200"/>
        <w:rPr>
          <w:rFonts w:hint="eastAsia" w:ascii="宋体" w:hAnsi="宋体"/>
          <w:sz w:val="24"/>
        </w:rPr>
      </w:pPr>
      <w:r>
        <w:rPr>
          <w:rFonts w:hint="eastAsia" w:ascii="宋体" w:hAnsi="宋体"/>
          <w:sz w:val="24"/>
        </w:rPr>
        <w:t>三、不与其他投标人相互串通投标报价，不排挤其他投标人的公平竞争，不损害采购人或其他投标人的合法权益；</w:t>
      </w:r>
    </w:p>
    <w:p>
      <w:pPr>
        <w:spacing w:line="360" w:lineRule="auto"/>
        <w:ind w:firstLine="480" w:firstLineChars="200"/>
        <w:rPr>
          <w:rFonts w:hint="eastAsia" w:ascii="宋体" w:hAnsi="宋体"/>
          <w:sz w:val="24"/>
        </w:rPr>
      </w:pPr>
      <w:r>
        <w:rPr>
          <w:rFonts w:hint="eastAsia" w:ascii="宋体" w:hAnsi="宋体"/>
          <w:sz w:val="24"/>
        </w:rPr>
        <w:t>四、不与采购人或集中采购机构串通投标，不损害国家利益、社会公共利益或者他人的合法权益；</w:t>
      </w:r>
    </w:p>
    <w:p>
      <w:pPr>
        <w:spacing w:line="360" w:lineRule="auto"/>
        <w:ind w:firstLine="480" w:firstLineChars="200"/>
        <w:rPr>
          <w:rFonts w:hint="eastAsia" w:ascii="宋体" w:hAnsi="宋体"/>
          <w:sz w:val="24"/>
        </w:rPr>
      </w:pPr>
      <w:r>
        <w:rPr>
          <w:rFonts w:hint="eastAsia" w:ascii="宋体" w:hAnsi="宋体"/>
          <w:sz w:val="24"/>
        </w:rPr>
        <w:t>五、不向采购人或者评标委员会成员行贿以牟取中标；</w:t>
      </w:r>
    </w:p>
    <w:p>
      <w:pPr>
        <w:spacing w:line="360" w:lineRule="auto"/>
        <w:ind w:firstLine="480" w:firstLineChars="200"/>
        <w:rPr>
          <w:rFonts w:hint="eastAsia" w:ascii="宋体" w:hAnsi="宋体"/>
          <w:sz w:val="24"/>
        </w:rPr>
      </w:pPr>
      <w:r>
        <w:rPr>
          <w:rFonts w:hint="eastAsia" w:ascii="宋体" w:hAnsi="宋体"/>
          <w:sz w:val="24"/>
        </w:rPr>
        <w:t>六、不以他人名义投标或者以其他方式弄虚作假，骗取中标；</w:t>
      </w:r>
    </w:p>
    <w:p>
      <w:pPr>
        <w:spacing w:line="360" w:lineRule="auto"/>
        <w:ind w:firstLine="480" w:firstLineChars="200"/>
        <w:rPr>
          <w:rFonts w:hint="eastAsia" w:ascii="宋体" w:hAnsi="宋体"/>
          <w:sz w:val="24"/>
        </w:rPr>
      </w:pPr>
      <w:r>
        <w:rPr>
          <w:rFonts w:hint="eastAsia" w:ascii="宋体" w:hAnsi="宋体"/>
          <w:sz w:val="24"/>
        </w:rPr>
        <w:t>七、不扰乱长葛市政府采购市场秩序；</w:t>
      </w:r>
    </w:p>
    <w:p>
      <w:pPr>
        <w:spacing w:line="360" w:lineRule="auto"/>
        <w:ind w:firstLine="480" w:firstLineChars="200"/>
        <w:rPr>
          <w:rFonts w:hint="eastAsia" w:ascii="宋体" w:hAnsi="宋体"/>
          <w:sz w:val="24"/>
        </w:rPr>
      </w:pPr>
      <w:r>
        <w:rPr>
          <w:rFonts w:hint="eastAsia" w:ascii="宋体" w:hAnsi="宋体"/>
          <w:sz w:val="24"/>
        </w:rPr>
        <w:t>八、不在开标后进行虚假恶意投诉；</w:t>
      </w:r>
    </w:p>
    <w:p>
      <w:pPr>
        <w:spacing w:line="360" w:lineRule="auto"/>
        <w:ind w:firstLine="480" w:firstLineChars="200"/>
        <w:rPr>
          <w:rFonts w:hint="eastAsia" w:ascii="宋体" w:hAnsi="宋体"/>
          <w:sz w:val="24"/>
        </w:rPr>
      </w:pPr>
      <w:r>
        <w:rPr>
          <w:rFonts w:hint="eastAsia" w:ascii="宋体" w:hAnsi="宋体"/>
          <w:sz w:val="24"/>
        </w:rPr>
        <w:t>九、中标后不得将招标文件规定不予转包、分包的项目转包、分包于他人。</w:t>
      </w:r>
    </w:p>
    <w:p>
      <w:pPr>
        <w:spacing w:line="360" w:lineRule="auto"/>
        <w:ind w:firstLine="480" w:firstLineChars="200"/>
        <w:rPr>
          <w:rFonts w:ascii="宋体" w:hAnsi="宋体" w:cs="宋体"/>
          <w:sz w:val="24"/>
          <w:szCs w:val="21"/>
          <w:lang w:val="zh-CN"/>
        </w:rPr>
      </w:pPr>
      <w:r>
        <w:rPr>
          <w:rFonts w:hint="eastAsia" w:ascii="宋体" w:hAnsi="宋体" w:cs="宋体"/>
          <w:sz w:val="24"/>
          <w:szCs w:val="21"/>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156" w:beforeLines="50" w:after="156" w:afterLines="50" w:line="360" w:lineRule="auto"/>
        <w:ind w:firstLine="480" w:firstLineChars="200"/>
        <w:rPr>
          <w:rFonts w:ascii="宋体" w:hAnsi="宋体" w:cs="宋体"/>
          <w:sz w:val="24"/>
          <w:szCs w:val="21"/>
          <w:lang w:val="zh-CN"/>
        </w:rPr>
      </w:pPr>
    </w:p>
    <w:p>
      <w:pPr>
        <w:spacing w:before="156" w:beforeLines="50" w:after="156" w:afterLines="50" w:line="360" w:lineRule="auto"/>
        <w:ind w:firstLine="3360" w:firstLineChars="1400"/>
        <w:rPr>
          <w:rFonts w:hint="eastAsia" w:ascii="宋体" w:hAnsi="宋体" w:cs="宋体"/>
          <w:sz w:val="24"/>
          <w:szCs w:val="21"/>
          <w:lang w:val="zh-CN"/>
        </w:rPr>
      </w:pPr>
      <w:r>
        <w:rPr>
          <w:rFonts w:hint="eastAsia" w:ascii="宋体" w:hAnsi="宋体" w:cs="宋体"/>
          <w:sz w:val="24"/>
          <w:szCs w:val="21"/>
          <w:lang w:val="zh-CN"/>
        </w:rPr>
        <w:t>法定代表人或者被委托人（签字</w:t>
      </w:r>
      <w:r>
        <w:rPr>
          <w:rFonts w:ascii="宋体" w:hAnsi="宋体" w:cs="宋体"/>
          <w:sz w:val="24"/>
          <w:szCs w:val="21"/>
          <w:lang w:val="zh-CN"/>
        </w:rPr>
        <w:t>)</w:t>
      </w:r>
      <w:r>
        <w:rPr>
          <w:rFonts w:hint="eastAsia" w:ascii="宋体" w:hAnsi="宋体" w:cs="宋体"/>
          <w:sz w:val="24"/>
          <w:szCs w:val="21"/>
          <w:lang w:val="zh-CN"/>
        </w:rPr>
        <w:t>：</w:t>
      </w:r>
    </w:p>
    <w:p>
      <w:pPr>
        <w:spacing w:before="156" w:beforeLines="50" w:after="156" w:afterLines="50" w:line="360" w:lineRule="auto"/>
        <w:ind w:firstLine="3360" w:firstLineChars="1400"/>
        <w:rPr>
          <w:rFonts w:hint="eastAsia" w:ascii="宋体" w:hAnsi="宋体" w:cs="宋体"/>
          <w:sz w:val="24"/>
          <w:szCs w:val="21"/>
          <w:lang w:val="zh-CN"/>
        </w:rPr>
      </w:pPr>
      <w:r>
        <w:rPr>
          <w:rFonts w:hint="eastAsia" w:ascii="宋体" w:hAnsi="宋体" w:cs="宋体"/>
          <w:sz w:val="24"/>
          <w:szCs w:val="21"/>
          <w:lang w:val="zh-CN"/>
        </w:rPr>
        <w:t>投标人名称</w:t>
      </w:r>
      <w:r>
        <w:rPr>
          <w:rFonts w:ascii="宋体" w:hAnsi="宋体" w:cs="宋体"/>
          <w:sz w:val="24"/>
          <w:szCs w:val="21"/>
          <w:lang w:val="zh-CN"/>
        </w:rPr>
        <w:t>(</w:t>
      </w:r>
      <w:r>
        <w:rPr>
          <w:rFonts w:hint="eastAsia" w:ascii="宋体" w:hAnsi="宋体" w:cs="宋体"/>
          <w:sz w:val="24"/>
          <w:szCs w:val="21"/>
          <w:lang w:val="zh-CN"/>
        </w:rPr>
        <w:t>盖章</w:t>
      </w:r>
      <w:r>
        <w:rPr>
          <w:rFonts w:ascii="宋体" w:hAnsi="宋体" w:cs="宋体"/>
          <w:sz w:val="24"/>
          <w:szCs w:val="21"/>
          <w:lang w:val="zh-CN"/>
        </w:rPr>
        <w:t>)</w:t>
      </w:r>
      <w:r>
        <w:rPr>
          <w:rFonts w:hint="eastAsia" w:ascii="宋体" w:hAnsi="宋体" w:cs="宋体"/>
          <w:sz w:val="24"/>
          <w:szCs w:val="21"/>
          <w:lang w:val="zh-CN"/>
        </w:rPr>
        <w:t>：</w:t>
      </w:r>
    </w:p>
    <w:p>
      <w:pPr>
        <w:spacing w:before="156" w:beforeLines="50" w:after="156" w:afterLines="50" w:line="360" w:lineRule="auto"/>
        <w:ind w:firstLine="3360" w:firstLineChars="1400"/>
        <w:rPr>
          <w:rFonts w:ascii="宋体" w:hAnsi="宋体" w:cs="宋体"/>
          <w:sz w:val="24"/>
          <w:szCs w:val="21"/>
          <w:lang w:val="zh-CN"/>
        </w:rPr>
      </w:pPr>
      <w:r>
        <w:rPr>
          <w:rFonts w:hint="eastAsia" w:ascii="宋体" w:hAnsi="宋体" w:cs="宋体"/>
          <w:sz w:val="24"/>
          <w:szCs w:val="21"/>
          <w:lang w:val="zh-CN"/>
        </w:rPr>
        <w:t>年</w:t>
      </w:r>
      <w:r>
        <w:rPr>
          <w:rFonts w:ascii="宋体" w:hAnsi="宋体" w:cs="宋体"/>
          <w:sz w:val="24"/>
          <w:szCs w:val="21"/>
          <w:lang w:val="zh-CN"/>
        </w:rPr>
        <w:t xml:space="preserve">  </w:t>
      </w:r>
      <w:r>
        <w:rPr>
          <w:rFonts w:hint="eastAsia" w:ascii="宋体" w:hAnsi="宋体" w:cs="宋体"/>
          <w:sz w:val="24"/>
          <w:szCs w:val="21"/>
          <w:lang w:val="zh-CN"/>
        </w:rPr>
        <w:t>月</w:t>
      </w:r>
      <w:r>
        <w:rPr>
          <w:rFonts w:ascii="宋体" w:hAnsi="宋体" w:cs="宋体"/>
          <w:sz w:val="24"/>
          <w:szCs w:val="21"/>
          <w:lang w:val="zh-CN"/>
        </w:rPr>
        <w:t xml:space="preserve">  </w:t>
      </w:r>
      <w:r>
        <w:rPr>
          <w:rFonts w:hint="eastAsia" w:ascii="宋体" w:hAnsi="宋体" w:cs="宋体"/>
          <w:sz w:val="24"/>
          <w:szCs w:val="21"/>
          <w:lang w:val="zh-CN"/>
        </w:rPr>
        <w:t>日</w:t>
      </w:r>
    </w:p>
    <w:p>
      <w:pPr>
        <w:spacing w:beforeLines="50" w:afterLines="50" w:line="360" w:lineRule="auto"/>
        <w:ind w:firstLine="420" w:firstLineChars="200"/>
        <w:rPr>
          <w:rFonts w:hint="eastAsia" w:cs="宋体" w:asciiTheme="minorEastAsia" w:hAnsiTheme="minorEastAsia"/>
          <w:szCs w:val="21"/>
          <w:highlight w:val="none"/>
          <w:lang w:val="zh-CN"/>
        </w:rPr>
      </w:pPr>
    </w:p>
    <w:p>
      <w:pPr>
        <w:spacing w:beforeLines="50" w:afterLines="50" w:line="360" w:lineRule="auto"/>
        <w:ind w:firstLine="420" w:firstLineChars="200"/>
        <w:rPr>
          <w:rFonts w:hint="eastAsia" w:cs="宋体" w:asciiTheme="minorEastAsia" w:hAnsiTheme="minorEastAsia"/>
          <w:szCs w:val="21"/>
          <w:highlight w:val="none"/>
          <w:lang w:val="zh-CN"/>
        </w:rPr>
      </w:pPr>
    </w:p>
    <w:p>
      <w:pPr>
        <w:autoSpaceDE w:val="0"/>
        <w:autoSpaceDN w:val="0"/>
        <w:adjustRightInd w:val="0"/>
        <w:spacing w:line="360" w:lineRule="auto"/>
        <w:ind w:right="-11"/>
        <w:rPr>
          <w:rFonts w:ascii="宋体" w:cs="宋体"/>
          <w:szCs w:val="21"/>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outlineLvl w:val="0"/>
        <w:rPr>
          <w:rFonts w:ascii="宋体" w:cs="宋体"/>
          <w:sz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rPr>
        <w:t>4.1 投</w:t>
      </w:r>
      <w:r>
        <w:rPr>
          <w:rFonts w:hint="eastAsia" w:ascii="宋体" w:hAnsi="宋体"/>
          <w:b/>
          <w:bCs/>
          <w:color w:val="000000"/>
          <w:sz w:val="24"/>
          <w:szCs w:val="24"/>
          <w:highlight w:val="none"/>
        </w:rPr>
        <w:t>标分项报价表（货物类项目）</w:t>
      </w:r>
    </w:p>
    <w:p>
      <w:pPr>
        <w:autoSpaceDE w:val="0"/>
        <w:autoSpaceDN w:val="0"/>
        <w:adjustRightInd w:val="0"/>
        <w:spacing w:line="360" w:lineRule="auto"/>
        <w:jc w:val="center"/>
        <w:outlineLvl w:val="0"/>
        <w:rPr>
          <w:rFonts w:ascii="宋体" w:hAnsi="宋体"/>
          <w:b/>
          <w:bCs/>
          <w:color w:val="000000"/>
          <w:sz w:val="24"/>
          <w:szCs w:val="24"/>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名</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技术</w:t>
            </w:r>
          </w:p>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数</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产地及</w:t>
            </w:r>
          </w:p>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highlight w:val="none"/>
              </w:rPr>
            </w:pPr>
            <w:r>
              <w:rPr>
                <w:rFonts w:hint="eastAsia" w:cs="宋体" w:asciiTheme="minorEastAsia" w:hAnsiTheme="minorEastAsia"/>
                <w:szCs w:val="21"/>
                <w:highlight w:val="none"/>
                <w:lang w:val="zh-CN"/>
              </w:rPr>
              <w:t>合</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highlight w:val="none"/>
                <w:lang w:val="zh-CN"/>
              </w:rPr>
            </w:pPr>
            <w:r>
              <w:rPr>
                <w:rFonts w:hint="eastAsia" w:cs="宋体" w:asciiTheme="minorEastAsia" w:hAnsiTheme="minorEastAsia"/>
                <w:szCs w:val="21"/>
                <w:highlight w:val="none"/>
                <w:lang w:val="zh-CN"/>
              </w:rPr>
              <w:t>大写：　　　　　　</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小写：</w:t>
            </w: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highlight w:val="none"/>
          <w:lang w:val="zh-CN"/>
        </w:rPr>
      </w:pPr>
    </w:p>
    <w:p>
      <w:pPr>
        <w:pStyle w:val="4"/>
        <w:numPr>
          <w:ilvl w:val="0"/>
          <w:numId w:val="0"/>
        </w:numPr>
        <w:rPr>
          <w:lang w:val="zh-CN"/>
        </w:rPr>
      </w:pPr>
    </w:p>
    <w:p>
      <w:pPr>
        <w:pStyle w:val="4"/>
        <w:numPr>
          <w:ilvl w:val="0"/>
          <w:numId w:val="0"/>
        </w:numPr>
        <w:rPr>
          <w:lang w:val="zh-CN"/>
        </w:rPr>
      </w:pPr>
    </w:p>
    <w:p>
      <w:pPr>
        <w:rPr>
          <w:lang w:val="zh-CN"/>
        </w:rPr>
      </w:pPr>
    </w:p>
    <w:p>
      <w:pPr>
        <w:pStyle w:val="2"/>
        <w:rPr>
          <w:lang w:val="zh-CN"/>
        </w:rPr>
      </w:pPr>
    </w:p>
    <w:p>
      <w:pPr>
        <w:rPr>
          <w:lang w:val="zh-CN"/>
        </w:rPr>
      </w:pPr>
    </w:p>
    <w:p>
      <w:pPr>
        <w:spacing w:line="300" w:lineRule="exact"/>
        <w:rPr>
          <w:rFonts w:asciiTheme="minorEastAsia" w:hAnsiTheme="minorEastAsia"/>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4.2 技术规格偏离表（货物类项目）</w:t>
      </w: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货物服务</w:t>
            </w:r>
          </w:p>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招标文件</w:t>
            </w:r>
          </w:p>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投标技术</w:t>
            </w:r>
          </w:p>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w:t>
            </w:r>
          </w:p>
          <w:p>
            <w:pPr>
              <w:jc w:val="center"/>
              <w:rPr>
                <w:rFonts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偏离内容</w:t>
            </w:r>
          </w:p>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bCs/>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Cs w:val="21"/>
          <w:highlight w:val="none"/>
          <w:lang w:val="zh-CN"/>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4.3 技术方案（实施方案）</w:t>
      </w: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pStyle w:val="2"/>
      </w:pP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4.4 业绩情况表</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snapToGrid w:val="0"/>
        <w:spacing w:line="360" w:lineRule="auto"/>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9"/>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9"/>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9"/>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vAlign w:val="center"/>
          </w:tcPr>
          <w:p>
            <w:pPr>
              <w:pStyle w:val="9"/>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vAlign w:val="center"/>
          </w:tcPr>
          <w:p>
            <w:pPr>
              <w:pStyle w:val="9"/>
              <w:spacing w:line="360" w:lineRule="auto"/>
              <w:rPr>
                <w:rFonts w:ascii="宋体" w:hAnsi="宋体" w:eastAsia="宋体" w:cs="Times New Roman"/>
                <w:sz w:val="21"/>
                <w:szCs w:val="21"/>
                <w:highlight w:val="none"/>
              </w:rPr>
            </w:pPr>
          </w:p>
        </w:tc>
        <w:tc>
          <w:tcPr>
            <w:tcW w:w="3579" w:type="dxa"/>
            <w:vAlign w:val="center"/>
          </w:tcPr>
          <w:p>
            <w:pPr>
              <w:pStyle w:val="9"/>
              <w:spacing w:line="360" w:lineRule="auto"/>
              <w:rPr>
                <w:rFonts w:ascii="宋体" w:hAnsi="宋体" w:eastAsia="宋体" w:cs="Times New Roman"/>
                <w:sz w:val="21"/>
                <w:szCs w:val="21"/>
                <w:highlight w:val="none"/>
              </w:rPr>
            </w:pPr>
          </w:p>
        </w:tc>
        <w:tc>
          <w:tcPr>
            <w:tcW w:w="1440" w:type="dxa"/>
            <w:vAlign w:val="center"/>
          </w:tcPr>
          <w:p>
            <w:pPr>
              <w:pStyle w:val="9"/>
              <w:spacing w:line="360" w:lineRule="auto"/>
              <w:rPr>
                <w:rFonts w:ascii="宋体" w:hAnsi="宋体" w:eastAsia="宋体" w:cs="Times New Roman"/>
                <w:sz w:val="21"/>
                <w:szCs w:val="21"/>
                <w:highlight w:val="none"/>
              </w:rPr>
            </w:pPr>
          </w:p>
        </w:tc>
        <w:tc>
          <w:tcPr>
            <w:tcW w:w="1706" w:type="dxa"/>
            <w:vAlign w:val="center"/>
          </w:tcPr>
          <w:p>
            <w:pPr>
              <w:pStyle w:val="9"/>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vAlign w:val="center"/>
          </w:tcPr>
          <w:p>
            <w:pPr>
              <w:pStyle w:val="9"/>
              <w:spacing w:line="360" w:lineRule="auto"/>
              <w:rPr>
                <w:rFonts w:ascii="宋体" w:hAnsi="宋体" w:eastAsia="宋体" w:cs="Times New Roman"/>
                <w:sz w:val="21"/>
                <w:szCs w:val="21"/>
                <w:highlight w:val="none"/>
              </w:rPr>
            </w:pPr>
          </w:p>
        </w:tc>
        <w:tc>
          <w:tcPr>
            <w:tcW w:w="3579" w:type="dxa"/>
            <w:vAlign w:val="center"/>
          </w:tcPr>
          <w:p>
            <w:pPr>
              <w:pStyle w:val="9"/>
              <w:spacing w:line="360" w:lineRule="auto"/>
              <w:rPr>
                <w:rFonts w:ascii="宋体" w:hAnsi="宋体" w:eastAsia="宋体" w:cs="Times New Roman"/>
                <w:sz w:val="21"/>
                <w:szCs w:val="21"/>
                <w:highlight w:val="none"/>
              </w:rPr>
            </w:pPr>
          </w:p>
        </w:tc>
        <w:tc>
          <w:tcPr>
            <w:tcW w:w="1440" w:type="dxa"/>
            <w:vAlign w:val="center"/>
          </w:tcPr>
          <w:p>
            <w:pPr>
              <w:pStyle w:val="9"/>
              <w:spacing w:line="360" w:lineRule="auto"/>
              <w:rPr>
                <w:rFonts w:ascii="宋体" w:hAnsi="宋体" w:eastAsia="宋体" w:cs="Times New Roman"/>
                <w:sz w:val="21"/>
                <w:szCs w:val="21"/>
                <w:highlight w:val="none"/>
              </w:rPr>
            </w:pPr>
          </w:p>
        </w:tc>
        <w:tc>
          <w:tcPr>
            <w:tcW w:w="1706" w:type="dxa"/>
            <w:vAlign w:val="center"/>
          </w:tcPr>
          <w:p>
            <w:pPr>
              <w:pStyle w:val="9"/>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vAlign w:val="center"/>
          </w:tcPr>
          <w:p>
            <w:pPr>
              <w:pStyle w:val="9"/>
              <w:spacing w:line="360" w:lineRule="auto"/>
              <w:rPr>
                <w:rFonts w:ascii="宋体" w:hAnsi="宋体" w:eastAsia="宋体" w:cs="Times New Roman"/>
                <w:sz w:val="21"/>
                <w:szCs w:val="21"/>
                <w:highlight w:val="none"/>
              </w:rPr>
            </w:pPr>
          </w:p>
        </w:tc>
        <w:tc>
          <w:tcPr>
            <w:tcW w:w="3579" w:type="dxa"/>
            <w:vAlign w:val="center"/>
          </w:tcPr>
          <w:p>
            <w:pPr>
              <w:pStyle w:val="9"/>
              <w:spacing w:line="360" w:lineRule="auto"/>
              <w:rPr>
                <w:rFonts w:ascii="宋体" w:hAnsi="宋体" w:eastAsia="宋体" w:cs="Times New Roman"/>
                <w:sz w:val="21"/>
                <w:szCs w:val="21"/>
                <w:highlight w:val="none"/>
              </w:rPr>
            </w:pPr>
          </w:p>
        </w:tc>
        <w:tc>
          <w:tcPr>
            <w:tcW w:w="1440" w:type="dxa"/>
            <w:vAlign w:val="center"/>
          </w:tcPr>
          <w:p>
            <w:pPr>
              <w:pStyle w:val="9"/>
              <w:spacing w:line="360" w:lineRule="auto"/>
              <w:rPr>
                <w:rFonts w:ascii="宋体" w:hAnsi="宋体" w:eastAsia="宋体" w:cs="Times New Roman"/>
                <w:sz w:val="21"/>
                <w:szCs w:val="21"/>
                <w:highlight w:val="none"/>
              </w:rPr>
            </w:pPr>
          </w:p>
        </w:tc>
        <w:tc>
          <w:tcPr>
            <w:tcW w:w="1706" w:type="dxa"/>
            <w:vAlign w:val="center"/>
          </w:tcPr>
          <w:p>
            <w:pPr>
              <w:pStyle w:val="9"/>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4.5 售后服务方案</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4.6 中小企业声明函</w:t>
      </w:r>
    </w:p>
    <w:p>
      <w:pPr>
        <w:spacing w:line="360" w:lineRule="auto"/>
        <w:jc w:val="center"/>
        <w:rPr>
          <w:rFonts w:ascii="宋体" w:hAnsi="宋体"/>
          <w:b/>
          <w:bCs/>
          <w:color w:val="000000"/>
          <w:szCs w:val="21"/>
          <w:highlight w:val="none"/>
        </w:rPr>
      </w:pP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根据《工业和信息化部、国家统计局、国家发展和改革委员会、财政部关于印发中小企业划型标准规定的通知》（工信部联企业[2011]300号）规定的划分标准，</w:t>
      </w:r>
      <w:r>
        <w:rPr>
          <w:rFonts w:hint="eastAsia"/>
          <w:color w:val="000000"/>
          <w:szCs w:val="21"/>
          <w:highlight w:val="none"/>
        </w:rPr>
        <w:t>按照《国家统计局关于印发统计上大中小微型企业划分办法的通知》（国统字</w:t>
      </w:r>
      <w:r>
        <w:rPr>
          <w:color w:val="000000"/>
          <w:szCs w:val="21"/>
          <w:highlight w:val="none"/>
        </w:rPr>
        <w:t>[2011] 75</w:t>
      </w:r>
      <w:r>
        <w:rPr>
          <w:rFonts w:hint="eastAsia"/>
          <w:color w:val="000000"/>
          <w:szCs w:val="21"/>
          <w:highlight w:val="none"/>
        </w:rPr>
        <w:t>号）规定，本公司所属行业为</w:t>
      </w:r>
      <w:r>
        <w:rPr>
          <w:color w:val="000000"/>
          <w:szCs w:val="21"/>
          <w:highlight w:val="none"/>
        </w:rPr>
        <w:t>______</w:t>
      </w:r>
      <w:r>
        <w:rPr>
          <w:rFonts w:hint="eastAsia"/>
          <w:color w:val="000000"/>
          <w:szCs w:val="21"/>
          <w:highlight w:val="none"/>
        </w:rPr>
        <w:t>，截至上一财年末，公司资产总额</w:t>
      </w:r>
      <w:r>
        <w:rPr>
          <w:color w:val="000000"/>
          <w:szCs w:val="21"/>
          <w:highlight w:val="none"/>
        </w:rPr>
        <w:t>______</w:t>
      </w:r>
      <w:r>
        <w:rPr>
          <w:rFonts w:hint="eastAsia"/>
          <w:color w:val="000000"/>
          <w:szCs w:val="21"/>
          <w:highlight w:val="none"/>
        </w:rPr>
        <w:t>万元，营业收入</w:t>
      </w:r>
      <w:r>
        <w:rPr>
          <w:color w:val="000000"/>
          <w:szCs w:val="21"/>
          <w:highlight w:val="none"/>
        </w:rPr>
        <w:t>______</w:t>
      </w:r>
      <w:r>
        <w:rPr>
          <w:rFonts w:hint="eastAsia"/>
          <w:color w:val="000000"/>
          <w:szCs w:val="21"/>
          <w:highlight w:val="none"/>
        </w:rPr>
        <w:t>万元，从业人员</w:t>
      </w:r>
      <w:r>
        <w:rPr>
          <w:color w:val="000000"/>
          <w:szCs w:val="21"/>
          <w:highlight w:val="none"/>
        </w:rPr>
        <w:t>______</w:t>
      </w:r>
      <w:r>
        <w:rPr>
          <w:rFonts w:hint="eastAsia"/>
          <w:color w:val="000000"/>
          <w:szCs w:val="21"/>
          <w:highlight w:val="none"/>
        </w:rPr>
        <w:t>人，</w:t>
      </w:r>
      <w:r>
        <w:rPr>
          <w:rFonts w:hint="eastAsia" w:ascii="宋体" w:hAnsi="宋体" w:cs="Arial"/>
          <w:color w:val="000000"/>
          <w:kern w:val="0"/>
          <w:szCs w:val="21"/>
          <w:highlight w:val="none"/>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r>
        <w:rPr>
          <w:rFonts w:hint="eastAsia" w:ascii="宋体" w:hAnsi="宋体" w:cs="Arial"/>
          <w:color w:val="000000"/>
          <w:kern w:val="0"/>
          <w:szCs w:val="21"/>
          <w:highlight w:val="none"/>
        </w:rPr>
        <w:t>企业名称（盖章）：　　　　　　　　　</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xml:space="preserve">日　  期：      </w:t>
      </w:r>
      <w:r>
        <w:rPr>
          <w:rFonts w:hint="eastAsia" w:cs="宋体" w:asciiTheme="minorEastAsia" w:hAnsiTheme="minorEastAsia"/>
          <w:szCs w:val="21"/>
          <w:highlight w:val="none"/>
        </w:rPr>
        <w:t>年    月    日</w:t>
      </w:r>
    </w:p>
    <w:p>
      <w:pPr>
        <w:widowControl/>
        <w:spacing w:before="100" w:beforeAutospacing="1" w:after="100" w:afterAutospacing="1" w:line="360" w:lineRule="auto"/>
        <w:contextualSpacing/>
        <w:jc w:val="left"/>
        <w:rPr>
          <w:rFonts w:ascii="宋体" w:hAnsi="宋体"/>
          <w:color w:val="000000"/>
          <w:szCs w:val="21"/>
          <w:highlight w:val="none"/>
        </w:rPr>
      </w:pPr>
      <w:r>
        <w:rPr>
          <w:rFonts w:hint="eastAsia" w:ascii="宋体" w:hAnsi="宋体"/>
          <w:color w:val="000000"/>
          <w:szCs w:val="21"/>
          <w:highlight w:val="none"/>
        </w:rPr>
        <w:t>说明：</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highlight w:val="none"/>
        </w:rPr>
      </w:pPr>
      <w:bookmarkStart w:id="9" w:name="OLE_LINK13"/>
      <w:bookmarkStart w:id="10" w:name="OLE_LINK14"/>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4.7 残疾人福利性单位声明函</w:t>
      </w:r>
    </w:p>
    <w:bookmarkEnd w:id="9"/>
    <w:bookmarkEnd w:id="10"/>
    <w:p>
      <w:pPr>
        <w:spacing w:line="360" w:lineRule="auto"/>
        <w:rPr>
          <w:rFonts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highlight w:val="none"/>
          <w:u w:val="single"/>
        </w:rPr>
        <w:t xml:space="preserve">        </w:t>
      </w:r>
      <w:r>
        <w:rPr>
          <w:rFonts w:hint="eastAsia" w:ascii="宋体" w:hAnsi="宋体"/>
          <w:szCs w:val="21"/>
          <w:highlight w:val="none"/>
        </w:rPr>
        <w:t>单位的</w:t>
      </w:r>
      <w:r>
        <w:rPr>
          <w:rFonts w:hint="eastAsia" w:ascii="宋体" w:hAnsi="宋体"/>
          <w:szCs w:val="21"/>
          <w:highlight w:val="none"/>
          <w:u w:val="single"/>
        </w:rPr>
        <w:t xml:space="preserve">           </w:t>
      </w:r>
      <w:r>
        <w:rPr>
          <w:rFonts w:hint="eastAsia" w:ascii="宋体" w:hAnsi="宋体"/>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                                    单位名称（盖章）：</w:t>
      </w:r>
    </w:p>
    <w:p>
      <w:pPr>
        <w:spacing w:line="360" w:lineRule="auto"/>
        <w:rPr>
          <w:rFonts w:ascii="宋体" w:hAnsi="宋体"/>
          <w:szCs w:val="21"/>
          <w:highlight w:val="none"/>
        </w:rPr>
      </w:pPr>
      <w:r>
        <w:rPr>
          <w:rFonts w:hint="eastAsia" w:ascii="宋体" w:hAnsi="宋体"/>
          <w:szCs w:val="21"/>
          <w:highlight w:val="none"/>
        </w:rPr>
        <w:t xml:space="preserve">                                    日    期：      </w:t>
      </w:r>
      <w:r>
        <w:rPr>
          <w:rFonts w:hint="eastAsia" w:cs="宋体" w:asciiTheme="minorEastAsia" w:hAnsiTheme="minorEastAsia"/>
          <w:szCs w:val="21"/>
          <w:highlight w:val="none"/>
        </w:rPr>
        <w:t>年    月    日</w:t>
      </w:r>
    </w:p>
    <w:p>
      <w:pPr>
        <w:rPr>
          <w:highlight w:val="none"/>
        </w:rPr>
      </w:pPr>
    </w:p>
    <w:p>
      <w:pPr>
        <w:rPr>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line="360" w:lineRule="auto"/>
        <w:jc w:val="center"/>
        <w:rPr>
          <w:rFonts w:ascii="宋体" w:hAnsi="宋体" w:cs="Arial"/>
          <w:color w:val="000000"/>
          <w:kern w:val="0"/>
          <w:szCs w:val="21"/>
          <w:highlight w:val="none"/>
        </w:rPr>
      </w:pPr>
      <w:r>
        <w:rPr>
          <w:rFonts w:hint="eastAsia" w:ascii="宋体" w:hAnsi="宋体" w:cs="Arial"/>
          <w:color w:val="000000"/>
          <w:kern w:val="0"/>
          <w:szCs w:val="21"/>
          <w:highlight w:val="none"/>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highlight w:val="none"/>
        </w:rPr>
      </w:pPr>
    </w:p>
    <w:p>
      <w:pPr>
        <w:widowControl/>
        <w:spacing w:before="100" w:beforeAutospacing="1" w:after="100" w:afterAutospacing="1" w:line="360" w:lineRule="auto"/>
        <w:jc w:val="center"/>
        <w:rPr>
          <w:rFonts w:ascii="宋体" w:hAnsi="宋体"/>
          <w:b/>
          <w:bCs/>
          <w:color w:val="000000"/>
          <w:sz w:val="36"/>
          <w:szCs w:val="36"/>
          <w:highlight w:val="none"/>
        </w:rPr>
      </w:pPr>
    </w:p>
    <w:p>
      <w:pPr>
        <w:rPr>
          <w:highlight w:val="none"/>
        </w:rPr>
      </w:pPr>
    </w:p>
    <w:p>
      <w:pPr>
        <w:rPr>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hint="eastAsia" w:cs="黑体" w:asciiTheme="minorEastAsia" w:hAnsiTheme="minorEastAsia"/>
          <w:b/>
          <w:bCs/>
          <w:sz w:val="28"/>
          <w:szCs w:val="28"/>
          <w:highlight w:val="none"/>
          <w:lang w:val="zh-CN"/>
        </w:rPr>
      </w:pPr>
    </w:p>
    <w:p>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五、</w:t>
      </w:r>
      <w:r>
        <w:rPr>
          <w:rFonts w:cs="黑体" w:asciiTheme="minorEastAsia" w:hAnsiTheme="minorEastAsia"/>
          <w:b/>
          <w:bCs/>
          <w:sz w:val="28"/>
          <w:szCs w:val="28"/>
          <w:highlight w:val="none"/>
          <w:lang w:val="zh-CN"/>
        </w:rPr>
        <w:t>其他资料（若有）</w:t>
      </w:r>
    </w:p>
    <w:p>
      <w:pPr>
        <w:rPr>
          <w:highlight w:val="none"/>
        </w:rPr>
      </w:pPr>
    </w:p>
    <w:p>
      <w:pPr>
        <w:rPr>
          <w:highlight w:val="none"/>
        </w:rPr>
      </w:pPr>
    </w:p>
    <w:p>
      <w:pPr>
        <w:rPr>
          <w:highlight w:val="none"/>
        </w:rPr>
      </w:pP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
    <w:sectPr>
      <w:footerReference r:id="rId6" w:type="default"/>
      <w:pgSz w:w="11906" w:h="16838"/>
      <w:pgMar w:top="2098" w:right="1474" w:bottom="1928"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BESEhnrgEAAEwD&#10;AAAOAAAAAAAAAAEAIAAAAB4BAABkcnMvZTJvRG9jLnhtbFBLBQYAAAAABgAGAFkBAAA+BQAAAAA=&#10;">
              <v:fill on="f" focussize="0,0"/>
              <v:stroke on="f"/>
              <v:imagedata o:title=""/>
              <o:lock v:ext="edit" aspectratio="f"/>
              <v:textbox inset="0mm,0mm,0mm,0mm" style="mso-fit-shape-to-text:t;">
                <w:txbxContent>
                  <w:p>
                    <w:pPr>
                      <w:pStyle w:val="1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1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rPr>
        <w:rFonts w:hint="eastAsia" w:eastAsiaTheme="minorEastAsia"/>
        <w:sz w:val="21"/>
        <w:szCs w:val="21"/>
        <w:lang w:val="en-US" w:eastAsia="zh-CN"/>
      </w:rPr>
    </w:pPr>
    <w:r>
      <w:rPr>
        <w:rFonts w:hint="eastAsia"/>
        <w:sz w:val="21"/>
        <w:szCs w:val="21"/>
        <w:lang w:val="en-US"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57F5DF"/>
    <w:multiLevelType w:val="multilevel"/>
    <w:tmpl w:val="8A57F5DF"/>
    <w:lvl w:ilvl="0" w:tentative="0">
      <w:start w:val="1"/>
      <w:numFmt w:val="decimal"/>
      <w:lvlText w:val="%1."/>
      <w:lvlJc w:val="left"/>
      <w:pPr>
        <w:tabs>
          <w:tab w:val="left" w:pos="360"/>
        </w:tabs>
        <w:ind w:left="360" w:hanging="360"/>
      </w:pPr>
      <w:rPr>
        <w:rFonts w:hint="default" w:hAnsi="宋体"/>
      </w:rPr>
    </w:lvl>
    <w:lvl w:ilvl="1" w:tentative="0">
      <w:start w:val="4"/>
      <w:numFmt w:val="decimal"/>
      <w:isLgl/>
      <w:lvlText w:val="%1.%2"/>
      <w:lvlJc w:val="left"/>
      <w:pPr>
        <w:ind w:left="720" w:hanging="360"/>
      </w:pPr>
      <w:rPr>
        <w:rFonts w:hint="default" w:hAnsi="宋体"/>
      </w:rPr>
    </w:lvl>
    <w:lvl w:ilvl="2" w:tentative="0">
      <w:start w:val="1"/>
      <w:numFmt w:val="decimal"/>
      <w:isLgl/>
      <w:lvlText w:val="%1.%2.%3"/>
      <w:lvlJc w:val="left"/>
      <w:pPr>
        <w:ind w:left="1440" w:hanging="720"/>
      </w:pPr>
      <w:rPr>
        <w:rFonts w:hint="default" w:hAnsi="宋体"/>
      </w:rPr>
    </w:lvl>
    <w:lvl w:ilvl="3" w:tentative="0">
      <w:start w:val="1"/>
      <w:numFmt w:val="decimal"/>
      <w:isLgl/>
      <w:lvlText w:val="%1.%2.%3.%4"/>
      <w:lvlJc w:val="left"/>
      <w:pPr>
        <w:ind w:left="1800" w:hanging="720"/>
      </w:pPr>
      <w:rPr>
        <w:rFonts w:hint="default" w:hAnsi="宋体"/>
      </w:rPr>
    </w:lvl>
    <w:lvl w:ilvl="4" w:tentative="0">
      <w:start w:val="1"/>
      <w:numFmt w:val="decimal"/>
      <w:isLgl/>
      <w:lvlText w:val="%1.%2.%3.%4.%5"/>
      <w:lvlJc w:val="left"/>
      <w:pPr>
        <w:ind w:left="2520" w:hanging="1080"/>
      </w:pPr>
      <w:rPr>
        <w:rFonts w:hint="default" w:hAnsi="宋体"/>
      </w:rPr>
    </w:lvl>
    <w:lvl w:ilvl="5" w:tentative="0">
      <w:start w:val="1"/>
      <w:numFmt w:val="decimal"/>
      <w:isLgl/>
      <w:lvlText w:val="%1.%2.%3.%4.%5.%6"/>
      <w:lvlJc w:val="left"/>
      <w:pPr>
        <w:ind w:left="3240" w:hanging="1440"/>
      </w:pPr>
      <w:rPr>
        <w:rFonts w:hint="default" w:hAnsi="宋体"/>
      </w:rPr>
    </w:lvl>
    <w:lvl w:ilvl="6" w:tentative="0">
      <w:start w:val="1"/>
      <w:numFmt w:val="decimal"/>
      <w:isLgl/>
      <w:lvlText w:val="%1.%2.%3.%4.%5.%6.%7"/>
      <w:lvlJc w:val="left"/>
      <w:pPr>
        <w:ind w:left="3600" w:hanging="1440"/>
      </w:pPr>
      <w:rPr>
        <w:rFonts w:hint="default" w:hAnsi="宋体"/>
      </w:rPr>
    </w:lvl>
    <w:lvl w:ilvl="7" w:tentative="0">
      <w:start w:val="1"/>
      <w:numFmt w:val="decimal"/>
      <w:isLgl/>
      <w:lvlText w:val="%1.%2.%3.%4.%5.%6.%7.%8"/>
      <w:lvlJc w:val="left"/>
      <w:pPr>
        <w:ind w:left="4320" w:hanging="1800"/>
      </w:pPr>
      <w:rPr>
        <w:rFonts w:hint="default" w:hAnsi="宋体"/>
      </w:rPr>
    </w:lvl>
    <w:lvl w:ilvl="8" w:tentative="0">
      <w:start w:val="1"/>
      <w:numFmt w:val="decimal"/>
      <w:isLgl/>
      <w:lvlText w:val="%1.%2.%3.%4.%5.%6.%7.%8.%9"/>
      <w:lvlJc w:val="left"/>
      <w:pPr>
        <w:ind w:left="4680" w:hanging="1800"/>
      </w:pPr>
      <w:rPr>
        <w:rFonts w:hint="default" w:hAnsi="宋体"/>
      </w:rPr>
    </w:lvl>
  </w:abstractNum>
  <w:abstractNum w:abstractNumId="1">
    <w:nsid w:val="CF2AAA12"/>
    <w:multiLevelType w:val="multilevel"/>
    <w:tmpl w:val="CF2AAA12"/>
    <w:lvl w:ilvl="0" w:tentative="0">
      <w:start w:val="1"/>
      <w:numFmt w:val="decimal"/>
      <w:lvlText w:val="%1."/>
      <w:lvlJc w:val="left"/>
      <w:pPr>
        <w:tabs>
          <w:tab w:val="left" w:pos="360"/>
        </w:tabs>
        <w:ind w:left="360" w:hanging="360"/>
      </w:pPr>
      <w:rPr>
        <w:rFonts w:hint="default" w:hAnsi="宋体"/>
      </w:rPr>
    </w:lvl>
    <w:lvl w:ilvl="1" w:tentative="0">
      <w:start w:val="4"/>
      <w:numFmt w:val="decimal"/>
      <w:isLgl/>
      <w:lvlText w:val="%1.%2"/>
      <w:lvlJc w:val="left"/>
      <w:pPr>
        <w:ind w:left="720" w:hanging="360"/>
      </w:pPr>
      <w:rPr>
        <w:rFonts w:hint="default" w:hAnsi="宋体"/>
      </w:rPr>
    </w:lvl>
    <w:lvl w:ilvl="2" w:tentative="0">
      <w:start w:val="1"/>
      <w:numFmt w:val="decimal"/>
      <w:isLgl/>
      <w:lvlText w:val="%1.%2.%3"/>
      <w:lvlJc w:val="left"/>
      <w:pPr>
        <w:ind w:left="1440" w:hanging="720"/>
      </w:pPr>
      <w:rPr>
        <w:rFonts w:hint="default" w:hAnsi="宋体"/>
      </w:rPr>
    </w:lvl>
    <w:lvl w:ilvl="3" w:tentative="0">
      <w:start w:val="1"/>
      <w:numFmt w:val="decimal"/>
      <w:isLgl/>
      <w:lvlText w:val="%1.%2.%3.%4"/>
      <w:lvlJc w:val="left"/>
      <w:pPr>
        <w:ind w:left="1800" w:hanging="720"/>
      </w:pPr>
      <w:rPr>
        <w:rFonts w:hint="default" w:hAnsi="宋体"/>
      </w:rPr>
    </w:lvl>
    <w:lvl w:ilvl="4" w:tentative="0">
      <w:start w:val="1"/>
      <w:numFmt w:val="decimal"/>
      <w:isLgl/>
      <w:lvlText w:val="%1.%2.%3.%4.%5"/>
      <w:lvlJc w:val="left"/>
      <w:pPr>
        <w:ind w:left="2520" w:hanging="1080"/>
      </w:pPr>
      <w:rPr>
        <w:rFonts w:hint="default" w:hAnsi="宋体"/>
      </w:rPr>
    </w:lvl>
    <w:lvl w:ilvl="5" w:tentative="0">
      <w:start w:val="1"/>
      <w:numFmt w:val="decimal"/>
      <w:isLgl/>
      <w:lvlText w:val="%1.%2.%3.%4.%5.%6"/>
      <w:lvlJc w:val="left"/>
      <w:pPr>
        <w:ind w:left="3240" w:hanging="1440"/>
      </w:pPr>
      <w:rPr>
        <w:rFonts w:hint="default" w:hAnsi="宋体"/>
      </w:rPr>
    </w:lvl>
    <w:lvl w:ilvl="6" w:tentative="0">
      <w:start w:val="1"/>
      <w:numFmt w:val="decimal"/>
      <w:isLgl/>
      <w:lvlText w:val="%1.%2.%3.%4.%5.%6.%7"/>
      <w:lvlJc w:val="left"/>
      <w:pPr>
        <w:ind w:left="3600" w:hanging="1440"/>
      </w:pPr>
      <w:rPr>
        <w:rFonts w:hint="default" w:hAnsi="宋体"/>
      </w:rPr>
    </w:lvl>
    <w:lvl w:ilvl="7" w:tentative="0">
      <w:start w:val="1"/>
      <w:numFmt w:val="decimal"/>
      <w:isLgl/>
      <w:lvlText w:val="%1.%2.%3.%4.%5.%6.%7.%8"/>
      <w:lvlJc w:val="left"/>
      <w:pPr>
        <w:ind w:left="4320" w:hanging="1800"/>
      </w:pPr>
      <w:rPr>
        <w:rFonts w:hint="default" w:hAnsi="宋体"/>
      </w:rPr>
    </w:lvl>
    <w:lvl w:ilvl="8" w:tentative="0">
      <w:start w:val="1"/>
      <w:numFmt w:val="decimal"/>
      <w:isLgl/>
      <w:lvlText w:val="%1.%2.%3.%4.%5.%6.%7.%8.%9"/>
      <w:lvlJc w:val="left"/>
      <w:pPr>
        <w:ind w:left="4680" w:hanging="1800"/>
      </w:pPr>
      <w:rPr>
        <w:rFonts w:hint="default" w:hAnsi="宋体"/>
      </w:rPr>
    </w:lvl>
  </w:abstractNum>
  <w:abstractNum w:abstractNumId="2">
    <w:nsid w:val="00000001"/>
    <w:multiLevelType w:val="multilevel"/>
    <w:tmpl w:val="0000000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2"/>
    <w:multiLevelType w:val="multilevel"/>
    <w:tmpl w:val="00000002"/>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3"/>
    <w:multiLevelType w:val="multilevel"/>
    <w:tmpl w:val="0000000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E0C0F17"/>
    <w:multiLevelType w:val="multilevel"/>
    <w:tmpl w:val="1E0C0F17"/>
    <w:lvl w:ilvl="0" w:tentative="0">
      <w:start w:val="1"/>
      <w:numFmt w:val="decimal"/>
      <w:lvlText w:val="%1."/>
      <w:lvlJc w:val="left"/>
      <w:pPr>
        <w:tabs>
          <w:tab w:val="left" w:pos="360"/>
        </w:tabs>
        <w:ind w:left="360" w:hanging="360"/>
      </w:pPr>
      <w:rPr>
        <w:rFonts w:hint="default" w:hAnsi="宋体"/>
      </w:rPr>
    </w:lvl>
    <w:lvl w:ilvl="1" w:tentative="0">
      <w:start w:val="4"/>
      <w:numFmt w:val="decimal"/>
      <w:isLgl/>
      <w:lvlText w:val="%1.%2"/>
      <w:lvlJc w:val="left"/>
      <w:pPr>
        <w:ind w:left="720" w:hanging="360"/>
      </w:pPr>
      <w:rPr>
        <w:rFonts w:hint="default" w:hAnsi="宋体"/>
      </w:rPr>
    </w:lvl>
    <w:lvl w:ilvl="2" w:tentative="0">
      <w:start w:val="1"/>
      <w:numFmt w:val="decimal"/>
      <w:isLgl/>
      <w:lvlText w:val="%1.%2.%3"/>
      <w:lvlJc w:val="left"/>
      <w:pPr>
        <w:ind w:left="1440" w:hanging="720"/>
      </w:pPr>
      <w:rPr>
        <w:rFonts w:hint="default" w:hAnsi="宋体"/>
      </w:rPr>
    </w:lvl>
    <w:lvl w:ilvl="3" w:tentative="0">
      <w:start w:val="1"/>
      <w:numFmt w:val="decimal"/>
      <w:isLgl/>
      <w:lvlText w:val="%1.%2.%3.%4"/>
      <w:lvlJc w:val="left"/>
      <w:pPr>
        <w:ind w:left="1800" w:hanging="720"/>
      </w:pPr>
      <w:rPr>
        <w:rFonts w:hint="default" w:hAnsi="宋体"/>
      </w:rPr>
    </w:lvl>
    <w:lvl w:ilvl="4" w:tentative="0">
      <w:start w:val="1"/>
      <w:numFmt w:val="decimal"/>
      <w:isLgl/>
      <w:lvlText w:val="%1.%2.%3.%4.%5"/>
      <w:lvlJc w:val="left"/>
      <w:pPr>
        <w:ind w:left="2520" w:hanging="1080"/>
      </w:pPr>
      <w:rPr>
        <w:rFonts w:hint="default" w:hAnsi="宋体"/>
      </w:rPr>
    </w:lvl>
    <w:lvl w:ilvl="5" w:tentative="0">
      <w:start w:val="1"/>
      <w:numFmt w:val="decimal"/>
      <w:isLgl/>
      <w:lvlText w:val="%1.%2.%3.%4.%5.%6"/>
      <w:lvlJc w:val="left"/>
      <w:pPr>
        <w:ind w:left="3240" w:hanging="1440"/>
      </w:pPr>
      <w:rPr>
        <w:rFonts w:hint="default" w:hAnsi="宋体"/>
      </w:rPr>
    </w:lvl>
    <w:lvl w:ilvl="6" w:tentative="0">
      <w:start w:val="1"/>
      <w:numFmt w:val="decimal"/>
      <w:isLgl/>
      <w:lvlText w:val="%1.%2.%3.%4.%5.%6.%7"/>
      <w:lvlJc w:val="left"/>
      <w:pPr>
        <w:ind w:left="3600" w:hanging="1440"/>
      </w:pPr>
      <w:rPr>
        <w:rFonts w:hint="default" w:hAnsi="宋体"/>
      </w:rPr>
    </w:lvl>
    <w:lvl w:ilvl="7" w:tentative="0">
      <w:start w:val="1"/>
      <w:numFmt w:val="decimal"/>
      <w:isLgl/>
      <w:lvlText w:val="%1.%2.%3.%4.%5.%6.%7.%8"/>
      <w:lvlJc w:val="left"/>
      <w:pPr>
        <w:ind w:left="4320" w:hanging="1800"/>
      </w:pPr>
      <w:rPr>
        <w:rFonts w:hint="default" w:hAnsi="宋体"/>
      </w:rPr>
    </w:lvl>
    <w:lvl w:ilvl="8" w:tentative="0">
      <w:start w:val="1"/>
      <w:numFmt w:val="decimal"/>
      <w:isLgl/>
      <w:lvlText w:val="%1.%2.%3.%4.%5.%6.%7.%8.%9"/>
      <w:lvlJc w:val="left"/>
      <w:pPr>
        <w:ind w:left="4680" w:hanging="1800"/>
      </w:pPr>
      <w:rPr>
        <w:rFonts w:hint="default" w:hAnsi="宋体"/>
      </w:rPr>
    </w:lvl>
  </w:abstractNum>
  <w:abstractNum w:abstractNumId="13">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DAEE194"/>
    <w:multiLevelType w:val="singleLevel"/>
    <w:tmpl w:val="4DAEE194"/>
    <w:lvl w:ilvl="0" w:tentative="0">
      <w:start w:val="1"/>
      <w:numFmt w:val="decimal"/>
      <w:suff w:val="nothing"/>
      <w:lvlText w:val="%1、"/>
      <w:lvlJc w:val="left"/>
    </w:lvl>
  </w:abstractNum>
  <w:abstractNum w:abstractNumId="18">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9F817E8"/>
    <w:multiLevelType w:val="singleLevel"/>
    <w:tmpl w:val="59F817E8"/>
    <w:lvl w:ilvl="0" w:tentative="0">
      <w:start w:val="1"/>
      <w:numFmt w:val="chineseCounting"/>
      <w:pStyle w:val="50"/>
      <w:suff w:val="nothing"/>
      <w:lvlText w:val="%1、"/>
      <w:lvlJc w:val="left"/>
    </w:lvl>
  </w:abstractNum>
  <w:abstractNum w:abstractNumId="2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6"/>
  </w:num>
  <w:num w:numId="3">
    <w:abstractNumId w:val="19"/>
  </w:num>
  <w:num w:numId="4">
    <w:abstractNumId w:val="3"/>
  </w:num>
  <w:num w:numId="5">
    <w:abstractNumId w:val="4"/>
  </w:num>
  <w:num w:numId="6">
    <w:abstractNumId w:val="12"/>
  </w:num>
  <w:num w:numId="7">
    <w:abstractNumId w:val="1"/>
  </w:num>
  <w:num w:numId="8">
    <w:abstractNumId w:val="0"/>
  </w:num>
  <w:num w:numId="9">
    <w:abstractNumId w:val="2"/>
  </w:num>
  <w:num w:numId="10">
    <w:abstractNumId w:val="17"/>
  </w:num>
  <w:num w:numId="11">
    <w:abstractNumId w:val="13"/>
  </w:num>
  <w:num w:numId="12">
    <w:abstractNumId w:val="20"/>
  </w:num>
  <w:num w:numId="13">
    <w:abstractNumId w:val="14"/>
  </w:num>
  <w:num w:numId="14">
    <w:abstractNumId w:val="9"/>
  </w:num>
  <w:num w:numId="15">
    <w:abstractNumId w:val="10"/>
  </w:num>
  <w:num w:numId="16">
    <w:abstractNumId w:val="22"/>
  </w:num>
  <w:num w:numId="17">
    <w:abstractNumId w:val="16"/>
  </w:num>
  <w:num w:numId="18">
    <w:abstractNumId w:val="21"/>
  </w:num>
  <w:num w:numId="19">
    <w:abstractNumId w:val="8"/>
  </w:num>
  <w:num w:numId="20">
    <w:abstractNumId w:val="11"/>
  </w:num>
  <w:num w:numId="21">
    <w:abstractNumId w:val="18"/>
  </w:num>
  <w:num w:numId="22">
    <w:abstractNumId w:val="1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81595"/>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7312"/>
    <w:rsid w:val="001D1685"/>
    <w:rsid w:val="001D2B18"/>
    <w:rsid w:val="001E1429"/>
    <w:rsid w:val="001E7708"/>
    <w:rsid w:val="00203E42"/>
    <w:rsid w:val="00204DF9"/>
    <w:rsid w:val="002175E7"/>
    <w:rsid w:val="0022188F"/>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91A94"/>
    <w:rsid w:val="0039370D"/>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58B3"/>
    <w:rsid w:val="00450FD5"/>
    <w:rsid w:val="0045454F"/>
    <w:rsid w:val="004552DD"/>
    <w:rsid w:val="004555BF"/>
    <w:rsid w:val="00455D39"/>
    <w:rsid w:val="00456AAA"/>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43774"/>
    <w:rsid w:val="0054495A"/>
    <w:rsid w:val="00551D04"/>
    <w:rsid w:val="005637E2"/>
    <w:rsid w:val="00566E94"/>
    <w:rsid w:val="0057125E"/>
    <w:rsid w:val="005723F8"/>
    <w:rsid w:val="00580FBF"/>
    <w:rsid w:val="00583761"/>
    <w:rsid w:val="00583EAF"/>
    <w:rsid w:val="00584158"/>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6124"/>
    <w:rsid w:val="007B7A09"/>
    <w:rsid w:val="007E357B"/>
    <w:rsid w:val="007E740A"/>
    <w:rsid w:val="007F13CB"/>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7E3F"/>
    <w:rsid w:val="008F09BC"/>
    <w:rsid w:val="008F25FB"/>
    <w:rsid w:val="008F4C40"/>
    <w:rsid w:val="0091007A"/>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3668"/>
    <w:rsid w:val="00A44311"/>
    <w:rsid w:val="00A45162"/>
    <w:rsid w:val="00A563C1"/>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7E1C"/>
    <w:rsid w:val="00AC4AA2"/>
    <w:rsid w:val="00AD7FC5"/>
    <w:rsid w:val="00AE3C24"/>
    <w:rsid w:val="00AF05E5"/>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7135F"/>
    <w:rsid w:val="00C87FE2"/>
    <w:rsid w:val="00C901F9"/>
    <w:rsid w:val="00C94030"/>
    <w:rsid w:val="00CA1263"/>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F1177"/>
    <w:rsid w:val="00FF1CC3"/>
    <w:rsid w:val="00FF4CB4"/>
    <w:rsid w:val="00FF5143"/>
    <w:rsid w:val="00FF5683"/>
    <w:rsid w:val="01825D65"/>
    <w:rsid w:val="02402DE1"/>
    <w:rsid w:val="024D63D8"/>
    <w:rsid w:val="03EA15C2"/>
    <w:rsid w:val="05074704"/>
    <w:rsid w:val="057B354B"/>
    <w:rsid w:val="06C90EA4"/>
    <w:rsid w:val="08D412D3"/>
    <w:rsid w:val="0A3921A1"/>
    <w:rsid w:val="0A582101"/>
    <w:rsid w:val="10E64FA4"/>
    <w:rsid w:val="13464CFF"/>
    <w:rsid w:val="156C482A"/>
    <w:rsid w:val="17873035"/>
    <w:rsid w:val="17966FFB"/>
    <w:rsid w:val="17B353A0"/>
    <w:rsid w:val="1CD527DD"/>
    <w:rsid w:val="1CE22CB1"/>
    <w:rsid w:val="1E524244"/>
    <w:rsid w:val="1EC1311C"/>
    <w:rsid w:val="1F9A22D6"/>
    <w:rsid w:val="203F2A24"/>
    <w:rsid w:val="23007671"/>
    <w:rsid w:val="232B27A8"/>
    <w:rsid w:val="23BE10D0"/>
    <w:rsid w:val="279B317D"/>
    <w:rsid w:val="28D35F51"/>
    <w:rsid w:val="2B5B3B51"/>
    <w:rsid w:val="2BA714D8"/>
    <w:rsid w:val="2C635DC2"/>
    <w:rsid w:val="2FC84C5E"/>
    <w:rsid w:val="311D1543"/>
    <w:rsid w:val="33813D07"/>
    <w:rsid w:val="33BC3DF7"/>
    <w:rsid w:val="33F73B97"/>
    <w:rsid w:val="35DB3970"/>
    <w:rsid w:val="36ED49BA"/>
    <w:rsid w:val="3C4B07BF"/>
    <w:rsid w:val="3D321F2D"/>
    <w:rsid w:val="3DE24175"/>
    <w:rsid w:val="3F0F394F"/>
    <w:rsid w:val="3F4848BC"/>
    <w:rsid w:val="404B2C3C"/>
    <w:rsid w:val="421B1247"/>
    <w:rsid w:val="44707CD3"/>
    <w:rsid w:val="45D62AD6"/>
    <w:rsid w:val="464A19B1"/>
    <w:rsid w:val="4903127D"/>
    <w:rsid w:val="4C1E4B6B"/>
    <w:rsid w:val="4C480673"/>
    <w:rsid w:val="4F004D7D"/>
    <w:rsid w:val="50AA04D1"/>
    <w:rsid w:val="51655B8B"/>
    <w:rsid w:val="51733A78"/>
    <w:rsid w:val="537D225C"/>
    <w:rsid w:val="53BE2216"/>
    <w:rsid w:val="53FC735A"/>
    <w:rsid w:val="553523A8"/>
    <w:rsid w:val="55B548CC"/>
    <w:rsid w:val="585F0642"/>
    <w:rsid w:val="5B1F0BB5"/>
    <w:rsid w:val="5CAE3B9E"/>
    <w:rsid w:val="5D73605D"/>
    <w:rsid w:val="60607234"/>
    <w:rsid w:val="60DC2489"/>
    <w:rsid w:val="610D4FDD"/>
    <w:rsid w:val="624B038A"/>
    <w:rsid w:val="62A27B5F"/>
    <w:rsid w:val="63250FF2"/>
    <w:rsid w:val="632D7F14"/>
    <w:rsid w:val="642B11B3"/>
    <w:rsid w:val="65186307"/>
    <w:rsid w:val="66092B9F"/>
    <w:rsid w:val="665553D9"/>
    <w:rsid w:val="66620059"/>
    <w:rsid w:val="68D42E51"/>
    <w:rsid w:val="6A3D240C"/>
    <w:rsid w:val="6B9664C0"/>
    <w:rsid w:val="6E652438"/>
    <w:rsid w:val="6EAB3F30"/>
    <w:rsid w:val="70371048"/>
    <w:rsid w:val="72B26E4A"/>
    <w:rsid w:val="756C32F1"/>
    <w:rsid w:val="757D07F4"/>
    <w:rsid w:val="768205BA"/>
    <w:rsid w:val="7819078C"/>
    <w:rsid w:val="78735A1C"/>
    <w:rsid w:val="78D4231A"/>
    <w:rsid w:val="78E426B5"/>
    <w:rsid w:val="7C985A94"/>
    <w:rsid w:val="7DED7B69"/>
    <w:rsid w:val="7E5B0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52"/>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1"/>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7"/>
    <w:qFormat/>
    <w:uiPriority w:val="0"/>
    <w:rPr>
      <w:rFonts w:ascii="Times New Roman" w:hAnsi="Times New Roman" w:eastAsia="宋体" w:cs="Times New Roman"/>
      <w:color w:val="FF0000"/>
      <w:sz w:val="24"/>
      <w:szCs w:val="24"/>
    </w:rPr>
  </w:style>
  <w:style w:type="paragraph" w:styleId="11">
    <w:name w:val="Body Text Indent"/>
    <w:basedOn w:val="1"/>
    <w:link w:val="55"/>
    <w:qFormat/>
    <w:uiPriority w:val="0"/>
    <w:pPr>
      <w:adjustRightInd w:val="0"/>
      <w:spacing w:after="120" w:line="360" w:lineRule="atLeast"/>
      <w:ind w:left="420" w:leftChars="200"/>
      <w:jc w:val="left"/>
      <w:textAlignment w:val="baseline"/>
    </w:pPr>
    <w:rPr>
      <w:sz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2"/>
    <w:qFormat/>
    <w:uiPriority w:val="0"/>
    <w:rPr>
      <w:rFonts w:eastAsia="宋体"/>
      <w:sz w:val="24"/>
    </w:rPr>
  </w:style>
  <w:style w:type="paragraph" w:styleId="15">
    <w:name w:val="Date"/>
    <w:basedOn w:val="1"/>
    <w:next w:val="1"/>
    <w:link w:val="33"/>
    <w:unhideWhenUsed/>
    <w:qFormat/>
    <w:uiPriority w:val="99"/>
    <w:pPr>
      <w:ind w:left="100" w:leftChars="2500"/>
    </w:pPr>
  </w:style>
  <w:style w:type="paragraph" w:styleId="16">
    <w:name w:val="Balloon Text"/>
    <w:basedOn w:val="1"/>
    <w:link w:val="57"/>
    <w:semiHidden/>
    <w:unhideWhenUsed/>
    <w:qFormat/>
    <w:uiPriority w:val="99"/>
    <w:rPr>
      <w:sz w:val="18"/>
      <w:szCs w:val="18"/>
    </w:rPr>
  </w:style>
  <w:style w:type="paragraph" w:styleId="17">
    <w:name w:val="footer"/>
    <w:basedOn w:val="1"/>
    <w:link w:val="34"/>
    <w:unhideWhenUsed/>
    <w:qFormat/>
    <w:uiPriority w:val="99"/>
    <w:pPr>
      <w:tabs>
        <w:tab w:val="center" w:pos="4153"/>
        <w:tab w:val="right" w:pos="8306"/>
      </w:tabs>
      <w:snapToGrid w:val="0"/>
      <w:jc w:val="left"/>
    </w:pPr>
    <w:rPr>
      <w:sz w:val="18"/>
      <w:szCs w:val="18"/>
    </w:rPr>
  </w:style>
  <w:style w:type="paragraph" w:styleId="18">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style>
  <w:style w:type="character" w:styleId="27">
    <w:name w:val="Hyperlink"/>
    <w:basedOn w:val="23"/>
    <w:unhideWhenUsed/>
    <w:qFormat/>
    <w:uiPriority w:val="99"/>
    <w:rPr>
      <w:color w:val="000000"/>
      <w:u w:val="none"/>
    </w:rPr>
  </w:style>
  <w:style w:type="character" w:customStyle="1" w:styleId="28">
    <w:name w:val="标题 1 Char"/>
    <w:basedOn w:val="23"/>
    <w:link w:val="4"/>
    <w:qFormat/>
    <w:uiPriority w:val="0"/>
    <w:rPr>
      <w:rFonts w:ascii="Calibri" w:hAnsi="Calibri" w:eastAsia="宋体" w:cs="Times New Roman"/>
      <w:b/>
      <w:bCs/>
      <w:kern w:val="44"/>
      <w:sz w:val="44"/>
      <w:szCs w:val="44"/>
    </w:rPr>
  </w:style>
  <w:style w:type="character" w:customStyle="1" w:styleId="29">
    <w:name w:val="标题 2 Char"/>
    <w:basedOn w:val="23"/>
    <w:link w:val="5"/>
    <w:qFormat/>
    <w:uiPriority w:val="0"/>
    <w:rPr>
      <w:rFonts w:ascii="Arial" w:hAnsi="Arial" w:eastAsia="黑体" w:cs="Times New Roman"/>
      <w:b/>
      <w:bCs/>
      <w:kern w:val="0"/>
      <w:sz w:val="32"/>
      <w:szCs w:val="32"/>
    </w:rPr>
  </w:style>
  <w:style w:type="character" w:customStyle="1" w:styleId="30">
    <w:name w:val="标题 3 Char"/>
    <w:basedOn w:val="23"/>
    <w:link w:val="6"/>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7"/>
    <w:qFormat/>
    <w:uiPriority w:val="0"/>
    <w:rPr>
      <w:rFonts w:ascii="Arial" w:hAnsi="Arial" w:eastAsia="黑体" w:cs="Times New Roman"/>
      <w:b/>
      <w:bCs/>
      <w:kern w:val="0"/>
      <w:sz w:val="28"/>
      <w:szCs w:val="28"/>
    </w:rPr>
  </w:style>
  <w:style w:type="character" w:customStyle="1" w:styleId="32">
    <w:name w:val="纯文本 Char"/>
    <w:basedOn w:val="23"/>
    <w:link w:val="14"/>
    <w:qFormat/>
    <w:uiPriority w:val="0"/>
    <w:rPr>
      <w:rFonts w:eastAsia="宋体"/>
      <w:sz w:val="24"/>
    </w:rPr>
  </w:style>
  <w:style w:type="character" w:customStyle="1" w:styleId="33">
    <w:name w:val="日期 Char"/>
    <w:basedOn w:val="23"/>
    <w:link w:val="15"/>
    <w:qFormat/>
    <w:uiPriority w:val="99"/>
  </w:style>
  <w:style w:type="character" w:customStyle="1" w:styleId="34">
    <w:name w:val="页脚 Char"/>
    <w:basedOn w:val="23"/>
    <w:link w:val="17"/>
    <w:qFormat/>
    <w:uiPriority w:val="99"/>
    <w:rPr>
      <w:sz w:val="18"/>
      <w:szCs w:val="18"/>
    </w:rPr>
  </w:style>
  <w:style w:type="character" w:customStyle="1" w:styleId="35">
    <w:name w:val="页眉 Char"/>
    <w:basedOn w:val="23"/>
    <w:link w:val="18"/>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3"/>
    <w:link w:val="10"/>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3"/>
    <w:link w:val="3"/>
    <w:semiHidden/>
    <w:qFormat/>
    <w:uiPriority w:val="99"/>
  </w:style>
  <w:style w:type="character" w:customStyle="1" w:styleId="52">
    <w:name w:val="正文首行缩进 Char"/>
    <w:basedOn w:val="51"/>
    <w:link w:val="2"/>
    <w:qFormat/>
    <w:uiPriority w:val="0"/>
    <w:rPr>
      <w:rFonts w:ascii="宋体" w:hAnsi="Times New Roman" w:eastAsia="宋体" w:cs="Times New Roman"/>
      <w:kern w:val="0"/>
      <w:sz w:val="34"/>
      <w:szCs w:val="20"/>
    </w:rPr>
  </w:style>
  <w:style w:type="character" w:customStyle="1" w:styleId="53">
    <w:name w:val="HTML 预设格式 Char"/>
    <w:basedOn w:val="23"/>
    <w:link w:val="20"/>
    <w:semiHidden/>
    <w:qFormat/>
    <w:uiPriority w:val="99"/>
    <w:rPr>
      <w:rFonts w:ascii="宋体" w:hAnsi="宋体" w:eastAsia="宋体" w:cs="宋体"/>
      <w:kern w:val="0"/>
      <w:sz w:val="24"/>
      <w:szCs w:val="24"/>
    </w:rPr>
  </w:style>
  <w:style w:type="character" w:customStyle="1" w:styleId="54">
    <w:name w:val="正文文本缩进 Char"/>
    <w:link w:val="11"/>
    <w:qFormat/>
    <w:uiPriority w:val="0"/>
    <w:rPr>
      <w:sz w:val="24"/>
    </w:rPr>
  </w:style>
  <w:style w:type="character" w:customStyle="1" w:styleId="55">
    <w:name w:val="正文文本缩进 Char1"/>
    <w:basedOn w:val="23"/>
    <w:link w:val="11"/>
    <w:semiHidden/>
    <w:qFormat/>
    <w:uiPriority w:val="99"/>
  </w:style>
  <w:style w:type="character" w:styleId="56">
    <w:name w:val="Placeholder Text"/>
    <w:basedOn w:val="23"/>
    <w:semiHidden/>
    <w:qFormat/>
    <w:uiPriority w:val="99"/>
    <w:rPr>
      <w:color w:val="808080"/>
    </w:rPr>
  </w:style>
  <w:style w:type="character" w:customStyle="1" w:styleId="57">
    <w:name w:val="批注框文本 Char"/>
    <w:basedOn w:val="23"/>
    <w:link w:val="16"/>
    <w:semiHidden/>
    <w:qFormat/>
    <w:uiPriority w:val="99"/>
    <w:rPr>
      <w:sz w:val="18"/>
      <w:szCs w:val="18"/>
    </w:rPr>
  </w:style>
  <w:style w:type="character" w:customStyle="1" w:styleId="58">
    <w:name w:val="blue"/>
    <w:basedOn w:val="23"/>
    <w:qFormat/>
    <w:uiPriority w:val="0"/>
    <w:rPr>
      <w:color w:val="0371C6"/>
      <w:sz w:val="21"/>
      <w:szCs w:val="21"/>
    </w:rPr>
  </w:style>
  <w:style w:type="character" w:customStyle="1" w:styleId="59">
    <w:name w:val="green"/>
    <w:basedOn w:val="23"/>
    <w:qFormat/>
    <w:uiPriority w:val="0"/>
    <w:rPr>
      <w:color w:val="66AE00"/>
      <w:sz w:val="18"/>
      <w:szCs w:val="18"/>
    </w:rPr>
  </w:style>
  <w:style w:type="character" w:customStyle="1" w:styleId="60">
    <w:name w:val="green1"/>
    <w:basedOn w:val="23"/>
    <w:qFormat/>
    <w:uiPriority w:val="0"/>
    <w:rPr>
      <w:color w:val="66AE00"/>
      <w:sz w:val="18"/>
      <w:szCs w:val="18"/>
    </w:rPr>
  </w:style>
  <w:style w:type="character" w:customStyle="1" w:styleId="61">
    <w:name w:val="red"/>
    <w:basedOn w:val="23"/>
    <w:qFormat/>
    <w:uiPriority w:val="0"/>
    <w:rPr>
      <w:color w:val="FF0000"/>
      <w:sz w:val="18"/>
      <w:szCs w:val="18"/>
    </w:rPr>
  </w:style>
  <w:style w:type="character" w:customStyle="1" w:styleId="62">
    <w:name w:val="red1"/>
    <w:basedOn w:val="23"/>
    <w:qFormat/>
    <w:uiPriority w:val="0"/>
    <w:rPr>
      <w:color w:val="FF0000"/>
      <w:sz w:val="18"/>
      <w:szCs w:val="18"/>
    </w:rPr>
  </w:style>
  <w:style w:type="character" w:customStyle="1" w:styleId="63">
    <w:name w:val="red2"/>
    <w:basedOn w:val="23"/>
    <w:qFormat/>
    <w:uiPriority w:val="0"/>
    <w:rPr>
      <w:color w:val="CC0000"/>
    </w:rPr>
  </w:style>
  <w:style w:type="character" w:customStyle="1" w:styleId="64">
    <w:name w:val="red3"/>
    <w:basedOn w:val="23"/>
    <w:qFormat/>
    <w:uiPriority w:val="0"/>
    <w:rPr>
      <w:color w:val="FF0000"/>
    </w:rPr>
  </w:style>
  <w:style w:type="character" w:customStyle="1" w:styleId="65">
    <w:name w:val="hover25"/>
    <w:basedOn w:val="23"/>
    <w:qFormat/>
    <w:uiPriority w:val="0"/>
  </w:style>
  <w:style w:type="character" w:customStyle="1" w:styleId="66">
    <w:name w:val="gb-jt"/>
    <w:basedOn w:val="23"/>
    <w:qFormat/>
    <w:uiPriority w:val="0"/>
  </w:style>
  <w:style w:type="character" w:customStyle="1" w:styleId="67">
    <w:name w:val="right"/>
    <w:basedOn w:val="23"/>
    <w:qFormat/>
    <w:uiPriority w:val="0"/>
    <w:rPr>
      <w:color w:val="999999"/>
      <w:sz w:val="18"/>
      <w:szCs w:val="18"/>
    </w:rPr>
  </w:style>
  <w:style w:type="paragraph" w:customStyle="1" w:styleId="68">
    <w:name w:val="Table Paragraph"/>
    <w:basedOn w:val="1"/>
    <w:qFormat/>
    <w:uiPriority w:val="1"/>
  </w:style>
  <w:style w:type="character" w:customStyle="1" w:styleId="69">
    <w:name w:val="font22"/>
    <w:basedOn w:val="23"/>
    <w:qFormat/>
    <w:uiPriority w:val="0"/>
    <w:rPr>
      <w:rFonts w:hint="eastAsia" w:ascii="宋体" w:hAnsi="宋体" w:eastAsia="宋体" w:cs="宋体"/>
      <w:color w:val="000000"/>
      <w:sz w:val="22"/>
      <w:szCs w:val="22"/>
      <w:u w:val="none"/>
    </w:rPr>
  </w:style>
  <w:style w:type="paragraph" w:customStyle="1" w:styleId="70">
    <w:name w:val="p0"/>
    <w:basedOn w:val="1"/>
    <w:qFormat/>
    <w:uiPriority w:val="0"/>
    <w:pPr>
      <w:widowControl/>
    </w:pPr>
    <w:rPr>
      <w:rFonts w:ascii="Times New Roman" w:hAnsi="Times New Roman" w:eastAsia="宋体" w:cs="Times New Roman"/>
      <w:kern w:val="0"/>
      <w:szCs w:val="21"/>
    </w:rPr>
  </w:style>
  <w:style w:type="character" w:customStyle="1" w:styleId="71">
    <w:name w:val="font71"/>
    <w:basedOn w:val="23"/>
    <w:qFormat/>
    <w:uiPriority w:val="0"/>
    <w:rPr>
      <w:rFonts w:hint="eastAsia" w:ascii="宋体" w:hAnsi="宋体" w:eastAsia="宋体" w:cs="宋体"/>
      <w:color w:val="FF0000"/>
      <w:sz w:val="24"/>
      <w:szCs w:val="24"/>
      <w:u w:val="none"/>
    </w:rPr>
  </w:style>
  <w:style w:type="character" w:customStyle="1" w:styleId="72">
    <w:name w:val="font01"/>
    <w:basedOn w:val="23"/>
    <w:qFormat/>
    <w:uiPriority w:val="0"/>
    <w:rPr>
      <w:rFonts w:hint="eastAsia" w:ascii="宋体" w:hAnsi="宋体" w:eastAsia="宋体" w:cs="宋体"/>
      <w:b/>
      <w:color w:val="000000"/>
      <w:sz w:val="24"/>
      <w:szCs w:val="24"/>
      <w:u w:val="none"/>
    </w:rPr>
  </w:style>
  <w:style w:type="character" w:customStyle="1" w:styleId="73">
    <w:name w:val="hover"/>
    <w:basedOn w:val="23"/>
    <w:qFormat/>
    <w:uiPriority w:val="0"/>
  </w:style>
  <w:style w:type="character" w:customStyle="1" w:styleId="74">
    <w:name w:val="hover24"/>
    <w:basedOn w:val="2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E1233-BF9C-49C7-BB80-2A68CE5197EF}">
  <ds:schemaRefs/>
</ds:datastoreItem>
</file>

<file path=docProps/app.xml><?xml version="1.0" encoding="utf-8"?>
<Properties xmlns="http://schemas.openxmlformats.org/officeDocument/2006/extended-properties" xmlns:vt="http://schemas.openxmlformats.org/officeDocument/2006/docPropsVTypes">
  <Template>Normal</Template>
  <Pages>68</Pages>
  <Words>5599</Words>
  <Characters>31916</Characters>
  <Lines>265</Lines>
  <Paragraphs>74</Paragraphs>
  <TotalTime>31</TotalTime>
  <ScaleCrop>false</ScaleCrop>
  <LinksUpToDate>false</LinksUpToDate>
  <CharactersWithSpaces>37441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2019-03-07T06:11:00Z</dcterms:created>
  <dc:creator>许昌市公共资源交易中心:孟莉</dc:creator>
  <cp:lastModifiedBy>湘湘小哥</cp:lastModifiedBy>
  <cp:lastPrinted>2020-03-09T07:25:00Z</cp:lastPrinted>
  <dcterms:modified xsi:type="dcterms:W3CDTF">2020-03-11T07:54:51Z</dcterms:modified>
  <cp:revision>545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