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p>
    <w:p>
      <w:pPr>
        <w:jc w:val="center"/>
        <w:rPr>
          <w:rFonts w:ascii="宋体" w:cs="宋体"/>
          <w:b/>
          <w:bCs/>
          <w:color w:val="auto"/>
          <w:sz w:val="44"/>
          <w:szCs w:val="44"/>
        </w:rPr>
      </w:pPr>
      <w:r>
        <w:rPr>
          <w:rFonts w:hint="eastAsia" w:ascii="宋体" w:hAnsi="宋体" w:cs="宋体"/>
          <w:b/>
          <w:bCs/>
          <w:color w:val="auto"/>
          <w:sz w:val="44"/>
          <w:szCs w:val="44"/>
          <w:lang w:eastAsia="zh-CN"/>
        </w:rPr>
        <w:t>许昌经高科技发展有限公司</w:t>
      </w:r>
      <w:r>
        <w:rPr>
          <w:rFonts w:hint="eastAsia" w:ascii="宋体" w:hAnsi="宋体" w:cs="宋体"/>
          <w:b/>
          <w:bCs/>
          <w:color w:val="auto"/>
          <w:sz w:val="44"/>
          <w:szCs w:val="44"/>
        </w:rPr>
        <w:t>“</w:t>
      </w:r>
      <w:r>
        <w:rPr>
          <w:rFonts w:hint="eastAsia" w:ascii="宋体" w:hAnsi="宋体" w:cs="宋体"/>
          <w:b/>
          <w:bCs/>
          <w:color w:val="auto"/>
          <w:sz w:val="44"/>
          <w:szCs w:val="44"/>
          <w:lang w:eastAsia="zh-CN"/>
        </w:rPr>
        <w:t>许昌经济技术开发区管委会智慧中心项目</w:t>
      </w:r>
      <w:r>
        <w:rPr>
          <w:rFonts w:hint="eastAsia" w:asciiTheme="majorEastAsia" w:hAnsiTheme="majorEastAsia" w:eastAsiaTheme="majorEastAsia" w:cstheme="majorEastAsia"/>
          <w:b/>
          <w:bCs/>
          <w:color w:val="auto"/>
          <w:sz w:val="44"/>
          <w:szCs w:val="44"/>
        </w:rPr>
        <w:t>（不见面开标）</w:t>
      </w:r>
      <w:r>
        <w:rPr>
          <w:rFonts w:hint="eastAsia" w:ascii="宋体" w:hAnsi="宋体" w:cs="宋体"/>
          <w:b/>
          <w:bCs/>
          <w:color w:val="auto"/>
          <w:sz w:val="44"/>
          <w:szCs w:val="44"/>
        </w:rPr>
        <w:t>”</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宋体" w:cs="宋体"/>
          <w:b/>
          <w:bCs/>
          <w:color w:val="auto"/>
          <w:sz w:val="36"/>
          <w:szCs w:val="36"/>
        </w:rPr>
      </w:pPr>
      <w:r>
        <w:rPr>
          <w:rFonts w:ascii="宋体" w:hAnsi="宋体" w:cs="宋体"/>
          <w:b/>
          <w:bCs/>
          <w:color w:val="auto"/>
          <w:sz w:val="36"/>
          <w:szCs w:val="36"/>
        </w:rPr>
        <w:t xml:space="preserve">      </w:t>
      </w:r>
      <w:r>
        <w:rPr>
          <w:rFonts w:hint="eastAsia" w:ascii="宋体" w:hAnsi="宋体" w:cs="宋体"/>
          <w:b/>
          <w:bCs/>
          <w:color w:val="auto"/>
          <w:sz w:val="36"/>
          <w:szCs w:val="36"/>
        </w:rPr>
        <w:t>项目编号：</w:t>
      </w:r>
      <w:r>
        <w:rPr>
          <w:rFonts w:hint="eastAsia" w:ascii="宋体" w:hAnsi="宋体" w:cs="宋体"/>
          <w:b/>
          <w:bCs/>
          <w:color w:val="auto"/>
          <w:sz w:val="36"/>
          <w:szCs w:val="36"/>
          <w:lang w:eastAsia="zh-CN"/>
        </w:rPr>
        <w:t>GZCG-G2019030号</w:t>
      </w:r>
      <w:r>
        <w:rPr>
          <w:rFonts w:hint="eastAsia" w:ascii="宋体" w:hAnsi="宋体" w:cs="宋体"/>
          <w:b/>
          <w:bCs/>
          <w:color w:val="auto"/>
          <w:sz w:val="36"/>
          <w:szCs w:val="36"/>
        </w:rPr>
        <w:t xml:space="preserve"> </w:t>
      </w:r>
    </w:p>
    <w:p>
      <w:pPr>
        <w:ind w:firstLine="1084" w:firstLineChars="300"/>
        <w:rPr>
          <w:rFonts w:hint="eastAsia" w:ascii="宋体" w:eastAsia="宋体" w:cs="宋体"/>
          <w:b/>
          <w:bCs/>
          <w:color w:val="auto"/>
          <w:sz w:val="36"/>
          <w:szCs w:val="36"/>
          <w:lang w:eastAsia="zh-CN"/>
        </w:rPr>
      </w:pPr>
      <w:r>
        <w:rPr>
          <w:rFonts w:hint="eastAsia" w:ascii="宋体" w:hAnsi="宋体" w:cs="宋体"/>
          <w:b/>
          <w:bCs/>
          <w:color w:val="auto"/>
          <w:sz w:val="36"/>
          <w:szCs w:val="36"/>
        </w:rPr>
        <w:t>采购单位：</w:t>
      </w:r>
      <w:r>
        <w:rPr>
          <w:rFonts w:hint="eastAsia" w:ascii="宋体" w:hAnsi="宋体" w:cs="宋体"/>
          <w:b/>
          <w:bCs/>
          <w:color w:val="auto"/>
          <w:sz w:val="36"/>
          <w:szCs w:val="36"/>
          <w:lang w:eastAsia="zh-CN"/>
        </w:rPr>
        <w:t>许昌经高科技发展有限公司</w:t>
      </w:r>
    </w:p>
    <w:p>
      <w:pPr>
        <w:ind w:firstLine="1084" w:firstLineChars="300"/>
        <w:rPr>
          <w:rFonts w:hint="eastAsia" w:ascii="宋体" w:eastAsia="宋体" w:cs="宋体"/>
          <w:b/>
          <w:bCs/>
          <w:color w:val="auto"/>
          <w:sz w:val="36"/>
          <w:szCs w:val="36"/>
          <w:lang w:eastAsia="zh-CN"/>
        </w:rPr>
      </w:pPr>
      <w:r>
        <w:rPr>
          <w:rFonts w:hint="eastAsia" w:ascii="宋体" w:hAnsi="宋体" w:cs="宋体"/>
          <w:b/>
          <w:bCs/>
          <w:color w:val="auto"/>
          <w:sz w:val="36"/>
          <w:szCs w:val="36"/>
        </w:rPr>
        <w:t>代理机构：</w:t>
      </w:r>
      <w:r>
        <w:rPr>
          <w:rFonts w:hint="eastAsia" w:ascii="宋体" w:hAnsi="宋体" w:cs="宋体"/>
          <w:b/>
          <w:bCs/>
          <w:color w:val="auto"/>
          <w:sz w:val="36"/>
          <w:szCs w:val="36"/>
          <w:lang w:eastAsia="zh-CN"/>
        </w:rPr>
        <w:t>河南永安工程管理有限公司</w:t>
      </w:r>
    </w:p>
    <w:p>
      <w:pPr>
        <w:rPr>
          <w:rFonts w:ascii="宋体" w:cs="宋体"/>
          <w:b/>
          <w:bCs/>
          <w:color w:val="auto"/>
          <w:sz w:val="36"/>
          <w:szCs w:val="36"/>
        </w:rPr>
      </w:pPr>
    </w:p>
    <w:p>
      <w:pPr>
        <w:jc w:val="center"/>
        <w:rPr>
          <w:rFonts w:ascii="宋体" w:cs="宋体"/>
          <w:b/>
          <w:bCs/>
          <w:color w:val="auto"/>
          <w:sz w:val="36"/>
          <w:szCs w:val="36"/>
        </w:rPr>
      </w:pPr>
      <w:r>
        <w:rPr>
          <w:rFonts w:hint="eastAsia" w:ascii="宋体" w:hAnsi="宋体" w:cs="宋体"/>
          <w:b/>
          <w:bCs/>
          <w:color w:val="auto"/>
          <w:sz w:val="36"/>
          <w:szCs w:val="36"/>
        </w:rPr>
        <w:t>二〇二〇年三月</w:t>
      </w:r>
    </w:p>
    <w:p>
      <w:pPr>
        <w:autoSpaceDE w:val="0"/>
        <w:autoSpaceDN w:val="0"/>
        <w:adjustRightInd w:val="0"/>
        <w:spacing w:line="700" w:lineRule="exact"/>
        <w:jc w:val="center"/>
        <w:rPr>
          <w:rFonts w:ascii="宋体" w:cs="宋体"/>
          <w:b/>
          <w:color w:val="auto"/>
          <w:kern w:val="0"/>
          <w:sz w:val="44"/>
          <w:szCs w:val="44"/>
        </w:rPr>
      </w:pPr>
      <w:r>
        <w:rPr>
          <w:rFonts w:hint="eastAsia" w:ascii="宋体" w:hAnsi="宋体" w:cs="宋体"/>
          <w:b/>
          <w:color w:val="auto"/>
          <w:kern w:val="0"/>
          <w:sz w:val="44"/>
          <w:szCs w:val="44"/>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第一章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投标邀请</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第二章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项目需求</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第三章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投标人须知前附表</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第四章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一、概念释义</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二、招标文件说明</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三、投标文件的编制</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四、投标文件的递交</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五、开标和评标</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color w:val="auto"/>
          <w:sz w:val="30"/>
          <w:szCs w:val="30"/>
          <w:lang w:val="zh-CN"/>
        </w:rPr>
        <w:t>六、定标和授予合同</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第五章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政府采购政策功能</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第六章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资格审查与评标</w:t>
      </w:r>
    </w:p>
    <w:p>
      <w:pPr>
        <w:autoSpaceDE w:val="0"/>
        <w:autoSpaceDN w:val="0"/>
        <w:adjustRightInd w:val="0"/>
        <w:spacing w:line="700" w:lineRule="exact"/>
        <w:ind w:firstLine="551"/>
        <w:outlineLvl w:val="0"/>
        <w:rPr>
          <w:rFonts w:ascii="宋体" w:cs="宋体"/>
          <w:b/>
          <w:bCs/>
          <w:color w:val="auto"/>
          <w:sz w:val="30"/>
          <w:szCs w:val="30"/>
          <w:lang w:val="zh-CN"/>
        </w:rPr>
      </w:pPr>
      <w:r>
        <w:rPr>
          <w:rFonts w:hint="eastAsia" w:ascii="宋体" w:hAnsi="宋体" w:cs="宋体"/>
          <w:b/>
          <w:bCs/>
          <w:color w:val="auto"/>
          <w:sz w:val="30"/>
          <w:szCs w:val="30"/>
          <w:lang w:val="zh-CN"/>
        </w:rPr>
        <w:t>第七章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合同条款及格式</w:t>
      </w:r>
    </w:p>
    <w:p>
      <w:pPr>
        <w:autoSpaceDE w:val="0"/>
        <w:autoSpaceDN w:val="0"/>
        <w:adjustRightInd w:val="0"/>
        <w:spacing w:line="700" w:lineRule="exact"/>
        <w:ind w:firstLine="551"/>
        <w:rPr>
          <w:rFonts w:hint="eastAsia" w:ascii="宋体" w:hAnsi="宋体" w:cs="宋体"/>
          <w:b/>
          <w:color w:val="auto"/>
          <w:kern w:val="0"/>
          <w:sz w:val="30"/>
          <w:szCs w:val="30"/>
        </w:rPr>
      </w:pPr>
      <w:r>
        <w:rPr>
          <w:rFonts w:hint="eastAsia" w:ascii="宋体" w:hAnsi="宋体" w:cs="宋体"/>
          <w:b/>
          <w:bCs/>
          <w:color w:val="auto"/>
          <w:sz w:val="30"/>
          <w:szCs w:val="30"/>
          <w:lang w:val="zh-CN"/>
        </w:rPr>
        <w:t>第八章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投标文件有关格式</w:t>
      </w:r>
    </w:p>
    <w:p>
      <w:pPr>
        <w:pStyle w:val="2"/>
        <w:rPr>
          <w:color w:val="auto"/>
        </w:rPr>
      </w:pPr>
    </w:p>
    <w:p>
      <w:pPr>
        <w:rPr>
          <w:rFonts w:ascii="宋体" w:cs="宋体"/>
          <w:b/>
          <w:color w:val="auto"/>
          <w:kern w:val="0"/>
          <w:sz w:val="32"/>
          <w:szCs w:val="32"/>
        </w:rPr>
      </w:pPr>
    </w:p>
    <w:p>
      <w:pPr>
        <w:numPr>
          <w:ilvl w:val="0"/>
          <w:numId w:val="4"/>
        </w:numPr>
        <w:jc w:val="center"/>
        <w:rPr>
          <w:rFonts w:hint="eastAsia" w:ascii="宋体" w:hAnsi="宋体" w:cs="宋体"/>
          <w:b/>
          <w:color w:val="auto"/>
          <w:kern w:val="0"/>
          <w:sz w:val="32"/>
          <w:szCs w:val="32"/>
        </w:rPr>
      </w:pPr>
      <w:r>
        <w:rPr>
          <w:rFonts w:hint="eastAsia" w:ascii="宋体" w:hAnsi="宋体" w:cs="宋体"/>
          <w:b/>
          <w:color w:val="auto"/>
          <w:kern w:val="0"/>
          <w:sz w:val="32"/>
          <w:szCs w:val="32"/>
        </w:rPr>
        <w:t>投标邀请</w:t>
      </w:r>
    </w:p>
    <w:p>
      <w:pPr>
        <w:spacing w:line="440" w:lineRule="exact"/>
        <w:jc w:val="center"/>
        <w:outlineLvl w:val="0"/>
        <w:rPr>
          <w:rFonts w:ascii="宋体" w:hAnsi="宋体" w:cs="宋体"/>
          <w:b/>
          <w:color w:val="auto"/>
          <w:sz w:val="30"/>
          <w:szCs w:val="30"/>
        </w:rPr>
      </w:pPr>
      <w:r>
        <w:rPr>
          <w:rFonts w:hint="eastAsia" w:ascii="宋体" w:hAnsi="宋体" w:cs="宋体"/>
          <w:b/>
          <w:color w:val="auto"/>
          <w:sz w:val="30"/>
          <w:szCs w:val="30"/>
        </w:rPr>
        <w:t>GZCG-G2019030号</w:t>
      </w: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许昌经高科技发展有限公司</w:t>
      </w:r>
    </w:p>
    <w:p>
      <w:pPr>
        <w:spacing w:line="440" w:lineRule="exact"/>
        <w:jc w:val="center"/>
        <w:outlineLvl w:val="0"/>
        <w:rPr>
          <w:rFonts w:hint="default" w:ascii="宋体" w:hAnsi="宋体" w:eastAsia="宋体" w:cs="宋体"/>
          <w:b/>
          <w:color w:val="auto"/>
          <w:kern w:val="0"/>
          <w:sz w:val="32"/>
          <w:szCs w:val="32"/>
          <w:lang w:val="en-US" w:eastAsia="zh-CN"/>
        </w:rPr>
      </w:pPr>
      <w:r>
        <w:rPr>
          <w:rFonts w:hint="eastAsia" w:ascii="宋体" w:hAnsi="宋体" w:cs="宋体"/>
          <w:b/>
          <w:color w:val="auto"/>
          <w:sz w:val="30"/>
          <w:szCs w:val="30"/>
        </w:rPr>
        <w:t>“许昌经济技术开发区管委会智慧中心项目（不见面开标）”</w:t>
      </w:r>
      <w:r>
        <w:rPr>
          <w:rFonts w:hint="eastAsia" w:ascii="宋体" w:hAnsi="宋体" w:cs="宋体"/>
          <w:b/>
          <w:color w:val="auto"/>
          <w:sz w:val="30"/>
          <w:szCs w:val="30"/>
          <w:lang w:val="en-US" w:eastAsia="zh-CN"/>
        </w:rPr>
        <w:t>采购公告</w:t>
      </w:r>
    </w:p>
    <w:p>
      <w:pPr>
        <w:pStyle w:val="23"/>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lang w:eastAsia="zh-CN"/>
        </w:rPr>
        <w:t>河南永安工程管理有限公司</w:t>
      </w:r>
      <w:r>
        <w:rPr>
          <w:rFonts w:hint="eastAsia"/>
          <w:color w:val="auto"/>
          <w:sz w:val="21"/>
          <w:szCs w:val="21"/>
          <w:shd w:val="clear" w:color="auto" w:fill="FFFFFF"/>
        </w:rPr>
        <w:t>受</w:t>
      </w:r>
      <w:r>
        <w:rPr>
          <w:rFonts w:hint="eastAsia"/>
          <w:color w:val="auto"/>
          <w:sz w:val="21"/>
          <w:szCs w:val="21"/>
          <w:shd w:val="clear" w:color="auto" w:fill="FFFFFF"/>
          <w:lang w:eastAsia="zh-CN"/>
        </w:rPr>
        <w:t>许昌经高科技发展有限公司</w:t>
      </w:r>
      <w:r>
        <w:rPr>
          <w:rFonts w:hint="eastAsia"/>
          <w:color w:val="auto"/>
          <w:sz w:val="21"/>
          <w:szCs w:val="21"/>
          <w:shd w:val="clear" w:color="auto" w:fill="FFFFFF"/>
        </w:rPr>
        <w:t>的委托，对“</w:t>
      </w:r>
      <w:r>
        <w:rPr>
          <w:rFonts w:hint="eastAsia"/>
          <w:color w:val="auto"/>
          <w:sz w:val="21"/>
          <w:szCs w:val="21"/>
          <w:shd w:val="clear" w:color="auto" w:fill="FFFFFF"/>
          <w:lang w:eastAsia="zh-CN"/>
        </w:rPr>
        <w:t>许昌经济技术开发区管委会智慧中心项目</w:t>
      </w:r>
      <w:r>
        <w:rPr>
          <w:rFonts w:hint="eastAsia"/>
          <w:color w:val="auto"/>
          <w:sz w:val="21"/>
          <w:szCs w:val="21"/>
          <w:shd w:val="clear" w:color="auto" w:fill="FFFFFF"/>
        </w:rPr>
        <w:t>”项目进行公开招标。现邀请符合本招标文件规定条件的供应商前来投标。</w:t>
      </w:r>
    </w:p>
    <w:p>
      <w:pPr>
        <w:pStyle w:val="23"/>
        <w:widowControl/>
        <w:shd w:val="clear" w:color="auto" w:fill="FFFFFF"/>
        <w:spacing w:line="360" w:lineRule="auto"/>
        <w:ind w:firstLine="422" w:firstLineChars="200"/>
        <w:contextualSpacing/>
        <w:jc w:val="left"/>
        <w:rPr>
          <w:rFonts w:ascii="宋体" w:cs="黑体"/>
          <w:b/>
          <w:bCs/>
          <w:color w:val="auto"/>
          <w:sz w:val="21"/>
          <w:szCs w:val="21"/>
        </w:rPr>
      </w:pPr>
      <w:r>
        <w:rPr>
          <w:rFonts w:hint="eastAsia" w:ascii="宋体" w:hAnsi="宋体" w:cs="黑体"/>
          <w:b/>
          <w:bCs/>
          <w:color w:val="auto"/>
          <w:sz w:val="21"/>
          <w:szCs w:val="21"/>
          <w:shd w:val="clear" w:color="auto" w:fill="FFFFFF"/>
        </w:rPr>
        <w:t>一、项目基本情况</w:t>
      </w:r>
    </w:p>
    <w:p>
      <w:pPr>
        <w:pStyle w:val="23"/>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（一）项目名称：</w:t>
      </w:r>
      <w:r>
        <w:rPr>
          <w:rFonts w:hint="eastAsia"/>
          <w:color w:val="auto"/>
          <w:sz w:val="21"/>
          <w:szCs w:val="21"/>
          <w:shd w:val="clear" w:color="auto" w:fill="FFFFFF"/>
          <w:lang w:eastAsia="zh-CN"/>
        </w:rPr>
        <w:t>许昌经济技术开发区管委会智慧中心项目</w:t>
      </w:r>
    </w:p>
    <w:p>
      <w:pPr>
        <w:pStyle w:val="23"/>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（二）项目编号：</w:t>
      </w:r>
      <w:r>
        <w:rPr>
          <w:rFonts w:hint="eastAsia" w:ascii="宋体" w:hAnsi="宋体" w:cs="仿宋_GB2312"/>
          <w:color w:val="auto"/>
          <w:sz w:val="21"/>
          <w:szCs w:val="21"/>
          <w:shd w:val="clear" w:color="auto" w:fill="FFFFFF"/>
          <w:lang w:eastAsia="zh-CN"/>
        </w:rPr>
        <w:t>GZCG-G2019030号</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 xml:space="preserve"> </w:t>
      </w:r>
    </w:p>
    <w:p>
      <w:pPr>
        <w:pStyle w:val="23"/>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（三）采购方式：公开招标</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（四）采购需求：许昌经济技术开发区管委会智慧中心项目。详见招标文件“项目需求”部分。</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（五）预算金额(最高限价)：15134842.41元</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（六）交付（服务、完工）时间：合同签订后210日历天。</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（七）交付（服务、施工）地点：许昌经济技术开发区管委会智慧中心。</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（八）进口产品：不允许。</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（九）分包：不允许。</w:t>
      </w:r>
    </w:p>
    <w:p>
      <w:pPr>
        <w:pStyle w:val="23"/>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二、需要落实的政府采购政策</w:t>
      </w:r>
    </w:p>
    <w:p>
      <w:pPr>
        <w:pStyle w:val="23"/>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三、投标人资格要求</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(一)具备《中华人民共和国政府采购法》第二十二条规定；</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pStyle w:val="23"/>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(三)本次招标不接受联合体投标。</w:t>
      </w:r>
    </w:p>
    <w:p>
      <w:pPr>
        <w:pStyle w:val="23"/>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四、招标文件的获取</w:t>
      </w:r>
    </w:p>
    <w:p>
      <w:pPr>
        <w:pStyle w:val="23"/>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（一）持</w:t>
      </w:r>
      <w:r>
        <w:rPr>
          <w:rFonts w:ascii="宋体" w:hAnsi="宋体" w:cs="仿宋_GB2312"/>
          <w:color w:val="auto"/>
          <w:sz w:val="21"/>
          <w:szCs w:val="21"/>
          <w:shd w:val="clear" w:color="auto" w:fill="FFFFFF"/>
        </w:rPr>
        <w:t>CA</w:t>
      </w:r>
      <w:r>
        <w:rPr>
          <w:rFonts w:hint="eastAsia" w:ascii="宋体" w:hAnsi="宋体" w:cs="仿宋_GB2312"/>
          <w:color w:val="auto"/>
          <w:sz w:val="21"/>
          <w:szCs w:val="21"/>
          <w:shd w:val="clear" w:color="auto" w:fill="FFFFFF"/>
        </w:rPr>
        <w:t>数字认证证书，登录《全国公共资源交易平台（河南省·许昌市）》“系统用户注册”入口</w:t>
      </w:r>
      <w:r>
        <w:rPr>
          <w:rFonts w:ascii="宋体" w:hAnsi="宋体" w:cs="仿宋_GB2312"/>
          <w:color w:val="auto"/>
          <w:sz w:val="21"/>
          <w:szCs w:val="21"/>
          <w:shd w:val="clear" w:color="auto" w:fill="FFFFFF"/>
        </w:rPr>
        <w:t>http://221.14.6.70:8088/ggzy/eps/public/RegistAllJcxx.html</w:t>
      </w:r>
      <w:r>
        <w:rPr>
          <w:rFonts w:hint="eastAsia" w:ascii="宋体" w:hAnsi="宋体" w:cs="仿宋_GB2312"/>
          <w:color w:val="auto"/>
          <w:sz w:val="21"/>
          <w:szCs w:val="21"/>
          <w:shd w:val="clear" w:color="auto" w:fill="FFFFFF"/>
        </w:rPr>
        <w:t>）进行免费注册登记（详见“常见问题解答</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诚信库网上注册相关资料下载”）；</w:t>
      </w:r>
    </w:p>
    <w:p>
      <w:pPr>
        <w:pStyle w:val="23"/>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（二）在投标截止时间前均可登录《全国公共资源交易平台（河南省·许昌市）》“投标人</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供应商登录”入口（</w:t>
      </w:r>
      <w:r>
        <w:rPr>
          <w:rFonts w:ascii="宋体" w:hAnsi="宋体" w:cs="仿宋_GB2312"/>
          <w:color w:val="auto"/>
          <w:sz w:val="21"/>
          <w:szCs w:val="21"/>
          <w:shd w:val="clear" w:color="auto" w:fill="FFFFFF"/>
        </w:rPr>
        <w:t>http://221.14.6.70:8088/ggzy/</w:t>
      </w:r>
      <w:r>
        <w:rPr>
          <w:rFonts w:hint="eastAsia" w:ascii="宋体" w:hAnsi="宋体" w:cs="仿宋_GB2312"/>
          <w:color w:val="auto"/>
          <w:sz w:val="21"/>
          <w:szCs w:val="21"/>
          <w:shd w:val="clear" w:color="auto" w:fill="FFFFFF"/>
        </w:rPr>
        <w:t>）自行免费下载招标文件（详见“常见问题解答</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交易系统操作手册”）。</w:t>
      </w:r>
    </w:p>
    <w:p>
      <w:pPr>
        <w:pStyle w:val="23"/>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五、投标截止时间、开标时间及地点</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（一）投标截止及开标时间：2020年</w:t>
      </w:r>
      <w:r>
        <w:rPr>
          <w:rFonts w:hint="eastAsia" w:ascii="宋体" w:hAnsi="宋体" w:cs="仿宋_GB2312"/>
          <w:color w:val="auto"/>
          <w:sz w:val="21"/>
          <w:szCs w:val="21"/>
          <w:lang w:val="en-US" w:eastAsia="zh-CN"/>
        </w:rPr>
        <w:t>03</w:t>
      </w:r>
      <w:r>
        <w:rPr>
          <w:rFonts w:hint="eastAsia" w:ascii="宋体" w:hAnsi="宋体" w:cs="仿宋_GB2312"/>
          <w:color w:val="auto"/>
          <w:sz w:val="21"/>
          <w:szCs w:val="21"/>
        </w:rPr>
        <w:t>月</w:t>
      </w:r>
      <w:r>
        <w:rPr>
          <w:rFonts w:hint="eastAsia" w:ascii="宋体" w:hAnsi="宋体" w:cs="仿宋_GB2312"/>
          <w:color w:val="auto"/>
          <w:sz w:val="21"/>
          <w:szCs w:val="21"/>
          <w:lang w:val="en-US" w:eastAsia="zh-CN"/>
        </w:rPr>
        <w:t>23</w:t>
      </w:r>
      <w:r>
        <w:rPr>
          <w:rFonts w:hint="eastAsia" w:ascii="宋体" w:hAnsi="宋体" w:cs="仿宋_GB2312"/>
          <w:color w:val="auto"/>
          <w:sz w:val="21"/>
          <w:szCs w:val="21"/>
        </w:rPr>
        <w:t>日</w:t>
      </w:r>
      <w:r>
        <w:rPr>
          <w:rFonts w:hint="eastAsia" w:ascii="宋体" w:hAnsi="宋体" w:cs="仿宋_GB2312"/>
          <w:color w:val="auto"/>
          <w:sz w:val="21"/>
          <w:szCs w:val="21"/>
          <w:lang w:val="en-US" w:eastAsia="zh-CN"/>
        </w:rPr>
        <w:t>08</w:t>
      </w:r>
      <w:r>
        <w:rPr>
          <w:rFonts w:hint="eastAsia" w:ascii="宋体" w:hAnsi="宋体" w:cs="仿宋_GB2312"/>
          <w:color w:val="auto"/>
          <w:sz w:val="21"/>
          <w:szCs w:val="21"/>
        </w:rPr>
        <w:t>时</w:t>
      </w:r>
      <w:r>
        <w:rPr>
          <w:rFonts w:hint="eastAsia" w:ascii="宋体" w:hAnsi="宋体" w:cs="仿宋_GB2312"/>
          <w:color w:val="auto"/>
          <w:sz w:val="21"/>
          <w:szCs w:val="21"/>
          <w:lang w:val="en-US" w:eastAsia="zh-CN"/>
        </w:rPr>
        <w:t>30</w:t>
      </w:r>
      <w:r>
        <w:rPr>
          <w:rFonts w:hint="eastAsia" w:ascii="宋体" w:hAnsi="宋体" w:cs="仿宋_GB2312"/>
          <w:color w:val="auto"/>
          <w:sz w:val="21"/>
          <w:szCs w:val="21"/>
        </w:rPr>
        <w:t>分（北京时间），逾期提交或不符合规定的投标文件不予接受。</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（二）开标地点：许昌市公共资源交易中心（龙兴路与竹林路交汇处创业服务中心C 座）三楼开标（</w:t>
      </w:r>
      <w:r>
        <w:rPr>
          <w:rFonts w:hint="eastAsia" w:ascii="宋体" w:hAnsi="宋体" w:cs="仿宋_GB2312"/>
          <w:color w:val="auto"/>
          <w:sz w:val="21"/>
          <w:szCs w:val="21"/>
          <w:lang w:eastAsia="zh-CN"/>
        </w:rPr>
        <w:t>四</w:t>
      </w:r>
      <w:r>
        <w:rPr>
          <w:rFonts w:hint="eastAsia" w:ascii="宋体" w:hAnsi="宋体" w:cs="仿宋_GB2312"/>
          <w:color w:val="auto"/>
          <w:sz w:val="21"/>
          <w:szCs w:val="21"/>
        </w:rPr>
        <w:t>）室。（本项目采用远程不见面开标，投标人无须到现场）。</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（三） 本项目为全流程电子化交易项目，投标人须提交电子投标文件。</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、加密电子投标文件（</w:t>
      </w:r>
      <w:r>
        <w:rPr>
          <w:rFonts w:ascii="宋体" w:hAnsi="宋体" w:cs="仿宋_GB2312"/>
          <w:color w:val="auto"/>
          <w:sz w:val="21"/>
          <w:szCs w:val="21"/>
        </w:rPr>
        <w:t>.file</w:t>
      </w:r>
      <w:r>
        <w:rPr>
          <w:rFonts w:hint="eastAsia" w:ascii="宋体" w:hAnsi="宋体" w:cs="仿宋_GB2312"/>
          <w:color w:val="auto"/>
          <w:sz w:val="21"/>
          <w:szCs w:val="21"/>
        </w:rPr>
        <w:t>格式）须在投标截止时间（开标时间）前通过《全国公共资源交易平台</w:t>
      </w:r>
      <w:r>
        <w:rPr>
          <w:rFonts w:ascii="宋体" w:hAnsi="宋体" w:cs="仿宋_GB2312"/>
          <w:color w:val="auto"/>
          <w:sz w:val="21"/>
          <w:szCs w:val="21"/>
        </w:rPr>
        <w:t>(</w:t>
      </w:r>
      <w:r>
        <w:rPr>
          <w:rFonts w:hint="eastAsia" w:ascii="宋体" w:hAnsi="宋体" w:cs="仿宋_GB2312"/>
          <w:color w:val="auto"/>
          <w:sz w:val="21"/>
          <w:szCs w:val="21"/>
        </w:rPr>
        <w:t>河南省</w:t>
      </w:r>
      <w:r>
        <w:rPr>
          <w:rFonts w:hint="eastAsia" w:ascii="MS Mincho" w:hAnsi="MS Mincho" w:eastAsia="MS Mincho" w:cs="MS Mincho"/>
          <w:color w:val="auto"/>
          <w:sz w:val="21"/>
          <w:szCs w:val="21"/>
        </w:rPr>
        <w:t>▪</w:t>
      </w:r>
      <w:r>
        <w:rPr>
          <w:rFonts w:hint="eastAsia" w:ascii="宋体" w:hAnsi="宋体" w:cs="仿宋_GB2312"/>
          <w:color w:val="auto"/>
          <w:sz w:val="21"/>
          <w:szCs w:val="21"/>
        </w:rPr>
        <w:t>许昌市</w:t>
      </w:r>
      <w:r>
        <w:rPr>
          <w:rFonts w:ascii="宋体" w:hAnsi="宋体" w:cs="仿宋_GB2312"/>
          <w:color w:val="auto"/>
          <w:sz w:val="21"/>
          <w:szCs w:val="21"/>
        </w:rPr>
        <w:t>)</w:t>
      </w:r>
      <w:r>
        <w:rPr>
          <w:rFonts w:hint="eastAsia" w:ascii="宋体" w:hAnsi="宋体" w:cs="仿宋_GB2312"/>
          <w:color w:val="auto"/>
          <w:sz w:val="21"/>
          <w:szCs w:val="21"/>
        </w:rPr>
        <w:t>》公共资源交易系统成功上传。</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六、本次招标公告同时在《中国政府采购网》、《河南省政府采购网》、《许昌市政府采购网》、《全国公共资源交易平台（河南省·许昌市）》、《中国·许昌</w:t>
      </w:r>
      <w:r>
        <w:rPr>
          <w:rFonts w:ascii="宋体" w:hAnsi="宋体" w:cs="黑体"/>
          <w:b/>
          <w:bCs/>
          <w:color w:val="auto"/>
          <w:sz w:val="21"/>
          <w:szCs w:val="21"/>
          <w:shd w:val="clear" w:color="auto" w:fill="FFFFFF"/>
        </w:rPr>
        <w:t xml:space="preserve"> </w:t>
      </w:r>
      <w:r>
        <w:rPr>
          <w:rFonts w:hint="eastAsia" w:ascii="宋体" w:hAnsi="宋体" w:cs="黑体"/>
          <w:b/>
          <w:bCs/>
          <w:color w:val="auto"/>
          <w:sz w:val="21"/>
          <w:szCs w:val="21"/>
          <w:shd w:val="clear" w:color="auto" w:fill="FFFFFF"/>
        </w:rPr>
        <w:t>许昌市政府网》发布。</w:t>
      </w:r>
    </w:p>
    <w:p>
      <w:pPr>
        <w:pStyle w:val="23"/>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七、公告期限</w:t>
      </w:r>
    </w:p>
    <w:p>
      <w:pPr>
        <w:pStyle w:val="23"/>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本招标公告自发布之日起公告期限为</w:t>
      </w:r>
      <w:r>
        <w:rPr>
          <w:rFonts w:ascii="宋体" w:hAnsi="宋体" w:cs="仿宋_GB2312"/>
          <w:color w:val="auto"/>
          <w:sz w:val="21"/>
          <w:szCs w:val="21"/>
        </w:rPr>
        <w:t>5</w:t>
      </w:r>
      <w:r>
        <w:rPr>
          <w:rFonts w:hint="eastAsia" w:ascii="宋体" w:hAnsi="宋体" w:cs="仿宋_GB2312"/>
          <w:color w:val="auto"/>
          <w:sz w:val="21"/>
          <w:szCs w:val="21"/>
        </w:rPr>
        <w:t>个工作日。</w:t>
      </w:r>
    </w:p>
    <w:p>
      <w:pPr>
        <w:pStyle w:val="23"/>
        <w:widowControl/>
        <w:shd w:val="clear" w:color="auto" w:fill="FFFFFF"/>
        <w:spacing w:line="360" w:lineRule="auto"/>
        <w:ind w:firstLine="420"/>
        <w:contextualSpacing/>
        <w:jc w:val="left"/>
        <w:rPr>
          <w:rFonts w:ascii="宋体" w:cs="黑体"/>
          <w:b/>
          <w:bCs/>
          <w:color w:val="auto"/>
          <w:sz w:val="21"/>
          <w:szCs w:val="21"/>
        </w:rPr>
      </w:pPr>
      <w:r>
        <w:rPr>
          <w:rFonts w:hint="eastAsia" w:ascii="宋体" w:hAnsi="宋体" w:cs="黑体"/>
          <w:b/>
          <w:bCs/>
          <w:color w:val="auto"/>
          <w:sz w:val="21"/>
          <w:szCs w:val="21"/>
        </w:rPr>
        <w:t>八、联系方式</w:t>
      </w:r>
    </w:p>
    <w:p>
      <w:pPr>
        <w:adjustRightInd w:val="0"/>
        <w:spacing w:line="360" w:lineRule="auto"/>
        <w:ind w:firstLine="843" w:firstLineChars="400"/>
        <w:contextualSpacing/>
        <w:jc w:val="left"/>
        <w:rPr>
          <w:rFonts w:hint="eastAsia" w:ascii="宋体" w:eastAsia="宋体"/>
          <w:color w:val="auto"/>
          <w:szCs w:val="21"/>
          <w:lang w:eastAsia="zh-CN"/>
        </w:rPr>
      </w:pPr>
      <w:r>
        <w:rPr>
          <w:rFonts w:hint="eastAsia" w:ascii="宋体" w:hAnsi="宋体"/>
          <w:b/>
          <w:color w:val="auto"/>
          <w:szCs w:val="21"/>
        </w:rPr>
        <w:t>采购人</w:t>
      </w:r>
      <w:r>
        <w:rPr>
          <w:rFonts w:hint="eastAsia" w:ascii="宋体" w:hAnsi="宋体"/>
          <w:color w:val="auto"/>
          <w:szCs w:val="21"/>
        </w:rPr>
        <w:t>：</w:t>
      </w:r>
      <w:r>
        <w:rPr>
          <w:rFonts w:hint="eastAsia" w:ascii="宋体" w:hAnsi="宋体" w:cs="Arial"/>
          <w:color w:val="auto"/>
          <w:szCs w:val="21"/>
          <w:lang w:eastAsia="zh-CN"/>
        </w:rPr>
        <w:t>许昌经高科技发展有限公司</w:t>
      </w:r>
    </w:p>
    <w:p>
      <w:pPr>
        <w:adjustRightInd w:val="0"/>
        <w:spacing w:line="360" w:lineRule="auto"/>
        <w:ind w:firstLine="840" w:firstLineChars="400"/>
        <w:contextualSpacing/>
        <w:jc w:val="left"/>
        <w:rPr>
          <w:rFonts w:ascii="宋体" w:cs="Arial"/>
          <w:color w:val="auto"/>
          <w:szCs w:val="21"/>
        </w:rPr>
      </w:pPr>
      <w:r>
        <w:rPr>
          <w:rFonts w:hint="eastAsia" w:ascii="宋体" w:hAnsi="宋体" w:cs="Arial"/>
          <w:color w:val="auto"/>
          <w:szCs w:val="21"/>
        </w:rPr>
        <w:t>地址：</w:t>
      </w:r>
      <w:r>
        <w:rPr>
          <w:rFonts w:hint="eastAsia" w:ascii="宋体" w:hAnsi="宋体" w:cs="仿宋_GB2312"/>
          <w:color w:val="auto"/>
        </w:rPr>
        <w:t>许昌经济技术开发区瑞祥路中段</w:t>
      </w:r>
    </w:p>
    <w:p>
      <w:pPr>
        <w:adjustRightInd w:val="0"/>
        <w:spacing w:line="360" w:lineRule="auto"/>
        <w:ind w:firstLine="840" w:firstLineChars="400"/>
        <w:contextualSpacing/>
        <w:jc w:val="left"/>
        <w:rPr>
          <w:rFonts w:hint="eastAsia" w:ascii="宋体" w:eastAsia="宋体" w:cs="仿宋_GB2312"/>
          <w:color w:val="auto"/>
          <w:szCs w:val="21"/>
          <w:lang w:eastAsia="zh-CN"/>
        </w:rPr>
      </w:pPr>
      <w:r>
        <w:rPr>
          <w:rFonts w:hint="eastAsia" w:ascii="宋体" w:hAnsi="宋体" w:cs="Arial"/>
          <w:color w:val="auto"/>
          <w:szCs w:val="21"/>
        </w:rPr>
        <w:t>联系人：</w:t>
      </w:r>
      <w:r>
        <w:rPr>
          <w:rFonts w:hint="eastAsia" w:ascii="宋体" w:hAnsi="宋体" w:cs="Arial"/>
          <w:color w:val="auto"/>
          <w:szCs w:val="21"/>
          <w:lang w:eastAsia="zh-CN"/>
        </w:rPr>
        <w:t>王女士</w:t>
      </w:r>
      <w:r>
        <w:rPr>
          <w:rFonts w:ascii="宋体" w:cs="Arial"/>
          <w:color w:val="auto"/>
          <w:szCs w:val="21"/>
        </w:rPr>
        <w:t> </w:t>
      </w: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 xml:space="preserve"> </w:t>
      </w:r>
      <w:r>
        <w:rPr>
          <w:rFonts w:hint="eastAsia" w:ascii="宋体" w:hAnsi="宋体" w:cs="Arial"/>
          <w:color w:val="auto"/>
          <w:szCs w:val="21"/>
        </w:rPr>
        <w:t>联系电话：</w:t>
      </w:r>
      <w:r>
        <w:rPr>
          <w:rFonts w:hint="eastAsia" w:ascii="宋体" w:hAnsi="宋体" w:cs="Arial"/>
          <w:color w:val="auto"/>
          <w:szCs w:val="21"/>
          <w:lang w:eastAsia="zh-CN"/>
        </w:rPr>
        <w:t>0374—8581622</w:t>
      </w:r>
    </w:p>
    <w:p>
      <w:pPr>
        <w:adjustRightInd w:val="0"/>
        <w:spacing w:line="360" w:lineRule="auto"/>
        <w:ind w:firstLine="843" w:firstLineChars="400"/>
        <w:contextualSpacing/>
        <w:jc w:val="left"/>
        <w:rPr>
          <w:rFonts w:hint="eastAsia" w:ascii="宋体" w:eastAsia="宋体"/>
          <w:color w:val="auto"/>
          <w:szCs w:val="21"/>
          <w:lang w:eastAsia="zh-CN"/>
        </w:rPr>
      </w:pPr>
      <w:r>
        <w:rPr>
          <w:rFonts w:hint="eastAsia" w:ascii="宋体" w:hAnsi="宋体"/>
          <w:b/>
          <w:color w:val="auto"/>
          <w:szCs w:val="21"/>
        </w:rPr>
        <w:t>代理机构</w:t>
      </w:r>
      <w:r>
        <w:rPr>
          <w:rFonts w:hint="eastAsia" w:ascii="宋体" w:hAnsi="宋体"/>
          <w:color w:val="auto"/>
          <w:szCs w:val="21"/>
        </w:rPr>
        <w:t>：</w:t>
      </w:r>
      <w:r>
        <w:rPr>
          <w:rFonts w:hint="eastAsia" w:ascii="宋体" w:hAnsi="宋体"/>
          <w:color w:val="auto"/>
          <w:szCs w:val="21"/>
          <w:lang w:eastAsia="zh-CN"/>
        </w:rPr>
        <w:t>河南永安工程管理有限公司</w:t>
      </w:r>
    </w:p>
    <w:p>
      <w:pPr>
        <w:adjustRightInd w:val="0"/>
        <w:ind w:firstLine="840" w:firstLineChars="400"/>
        <w:rPr>
          <w:rFonts w:hint="eastAsia" w:ascii="宋体" w:eastAsia="宋体"/>
          <w:color w:val="auto"/>
          <w:szCs w:val="21"/>
          <w:lang w:eastAsia="zh-CN"/>
        </w:rPr>
      </w:pPr>
      <w:r>
        <w:rPr>
          <w:rFonts w:hint="eastAsia" w:ascii="宋体" w:hAnsi="宋体"/>
          <w:color w:val="auto"/>
          <w:szCs w:val="21"/>
        </w:rPr>
        <w:t>地址：</w:t>
      </w:r>
      <w:r>
        <w:rPr>
          <w:rFonts w:hint="eastAsia" w:ascii="宋体" w:hAnsi="宋体"/>
          <w:color w:val="auto"/>
          <w:szCs w:val="21"/>
          <w:lang w:eastAsia="zh-CN"/>
        </w:rPr>
        <w:t>许昌市城乡一体化示范区元鼎国际B座1612</w:t>
      </w:r>
    </w:p>
    <w:p>
      <w:pPr>
        <w:adjustRightInd w:val="0"/>
        <w:spacing w:line="360" w:lineRule="auto"/>
        <w:ind w:firstLine="840" w:firstLineChars="400"/>
        <w:contextualSpacing/>
        <w:jc w:val="left"/>
        <w:rPr>
          <w:rFonts w:hint="eastAsia" w:asci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蔡女士</w:t>
      </w:r>
      <w:r>
        <w:rPr>
          <w:rFonts w:ascii="宋体" w:hAnsi="宋体"/>
          <w:color w:val="auto"/>
          <w:szCs w:val="21"/>
        </w:rPr>
        <w:t xml:space="preserve">                 </w:t>
      </w:r>
      <w:r>
        <w:rPr>
          <w:rFonts w:hint="eastAsia" w:ascii="宋体" w:hAnsi="宋体"/>
          <w:color w:val="auto"/>
          <w:szCs w:val="21"/>
        </w:rPr>
        <w:t>联系电话：</w:t>
      </w:r>
      <w:r>
        <w:rPr>
          <w:rFonts w:hint="eastAsia" w:ascii="宋体" w:hAnsi="宋体"/>
          <w:color w:val="auto"/>
          <w:szCs w:val="21"/>
          <w:lang w:eastAsia="zh-CN"/>
        </w:rPr>
        <w:t>0374-8318599</w:t>
      </w:r>
    </w:p>
    <w:p>
      <w:pPr>
        <w:adjustRightInd w:val="0"/>
        <w:snapToGrid w:val="0"/>
        <w:spacing w:line="360" w:lineRule="auto"/>
        <w:ind w:firstLine="840" w:firstLineChars="400"/>
        <w:jc w:val="left"/>
        <w:rPr>
          <w:rFonts w:ascii="宋体" w:cs="仿宋_GB2312"/>
          <w:color w:val="auto"/>
          <w:szCs w:val="21"/>
        </w:rPr>
      </w:pPr>
    </w:p>
    <w:p>
      <w:pPr>
        <w:adjustRightInd w:val="0"/>
        <w:snapToGrid w:val="0"/>
        <w:spacing w:line="360" w:lineRule="auto"/>
        <w:ind w:firstLine="5040" w:firstLineChars="2400"/>
        <w:jc w:val="left"/>
        <w:rPr>
          <w:rFonts w:hint="eastAsia" w:ascii="宋体" w:eastAsia="宋体" w:cs="Arial"/>
          <w:color w:val="auto"/>
          <w:szCs w:val="21"/>
          <w:lang w:eastAsia="zh-CN"/>
        </w:rPr>
      </w:pPr>
      <w:r>
        <w:rPr>
          <w:rFonts w:hint="eastAsia" w:ascii="宋体" w:hAnsi="宋体" w:cs="Arial"/>
          <w:color w:val="auto"/>
          <w:szCs w:val="21"/>
          <w:lang w:eastAsia="zh-CN"/>
        </w:rPr>
        <w:t>许昌经高科技发展有限公司</w:t>
      </w:r>
    </w:p>
    <w:p>
      <w:pPr>
        <w:adjustRightInd w:val="0"/>
        <w:snapToGrid w:val="0"/>
        <w:spacing w:line="360" w:lineRule="auto"/>
        <w:ind w:firstLine="5460" w:firstLineChars="2600"/>
        <w:jc w:val="left"/>
        <w:rPr>
          <w:rFonts w:ascii="宋体"/>
          <w:color w:val="auto"/>
          <w:szCs w:val="21"/>
        </w:rPr>
      </w:pPr>
      <w:r>
        <w:rPr>
          <w:rFonts w:hint="eastAsia" w:ascii="宋体" w:hAnsi="宋体" w:cs="仿宋_GB2312"/>
          <w:color w:val="auto"/>
          <w:szCs w:val="21"/>
        </w:rPr>
        <w:t>二〇二〇年三月</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6.3有多轮报价得，各投标人应提前准备号分项报价，为多轮报价做好准备，在谈判小组发起报价通知后，在规定时间内提交有效报价。</w:t>
      </w: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numPr>
          <w:ilvl w:val="0"/>
          <w:numId w:val="4"/>
        </w:numPr>
        <w:jc w:val="center"/>
        <w:rPr>
          <w:rFonts w:hint="eastAsia" w:ascii="宋体" w:hAnsi="宋体" w:cs="宋体"/>
          <w:b/>
          <w:color w:val="auto"/>
          <w:kern w:val="0"/>
          <w:sz w:val="32"/>
          <w:szCs w:val="32"/>
        </w:rPr>
      </w:pPr>
      <w:r>
        <w:rPr>
          <w:rFonts w:hint="eastAsia" w:ascii="宋体" w:hAnsi="宋体" w:cs="宋体"/>
          <w:b/>
          <w:color w:val="auto"/>
          <w:kern w:val="0"/>
          <w:sz w:val="32"/>
          <w:szCs w:val="32"/>
        </w:rPr>
        <w:t>项目需求</w:t>
      </w:r>
      <w:bookmarkStart w:id="0" w:name="_Hlk17379885"/>
      <w:r>
        <w:rPr>
          <w:rFonts w:hint="eastAsia" w:ascii="宋体" w:hAnsi="宋体" w:cs="宋体"/>
          <w:b/>
          <w:color w:val="auto"/>
          <w:kern w:val="0"/>
          <w:sz w:val="32"/>
          <w:szCs w:val="32"/>
        </w:rPr>
        <w:t xml:space="preserve"> </w:t>
      </w:r>
    </w:p>
    <w:p>
      <w:pPr>
        <w:widowControl/>
        <w:spacing w:line="360" w:lineRule="auto"/>
        <w:ind w:firstLine="482" w:firstLineChars="200"/>
        <w:jc w:val="left"/>
        <w:rPr>
          <w:rFonts w:ascii="宋体" w:hAnsi="宋体" w:cs="黑体"/>
          <w:b/>
          <w:bCs/>
          <w:color w:val="auto"/>
          <w:sz w:val="24"/>
          <w:szCs w:val="24"/>
          <w:shd w:val="clear" w:color="auto" w:fill="FFFFFF"/>
        </w:rPr>
      </w:pPr>
      <w:bookmarkStart w:id="1" w:name="_Toc346208010"/>
      <w:bookmarkStart w:id="2" w:name="_Toc26739"/>
      <w:bookmarkStart w:id="3" w:name="_Toc261876241"/>
      <w:bookmarkStart w:id="4" w:name="_Toc268067962"/>
      <w:bookmarkStart w:id="5" w:name="_Toc297668007"/>
      <w:r>
        <w:rPr>
          <w:rFonts w:hint="eastAsia" w:hAnsi="宋体" w:cs="宋体"/>
          <w:b/>
          <w:bCs/>
          <w:color w:val="auto"/>
          <w:sz w:val="24"/>
        </w:rPr>
        <w:t>一、</w:t>
      </w:r>
      <w:bookmarkEnd w:id="1"/>
      <w:bookmarkEnd w:id="2"/>
      <w:r>
        <w:rPr>
          <w:rFonts w:hint="eastAsia" w:ascii="宋体" w:hAnsi="宋体" w:cs="黑体"/>
          <w:b/>
          <w:bCs/>
          <w:color w:val="auto"/>
          <w:sz w:val="24"/>
          <w:szCs w:val="24"/>
          <w:shd w:val="clear" w:color="auto" w:fill="FFFFFF"/>
        </w:rPr>
        <w:t>本项目需实现的功能或者目标</w:t>
      </w:r>
    </w:p>
    <w:p>
      <w:pPr>
        <w:spacing w:line="360" w:lineRule="auto"/>
        <w:ind w:firstLine="480" w:firstLineChars="200"/>
        <w:rPr>
          <w:rFonts w:hAnsi="宋体" w:cs="宋体"/>
          <w:color w:val="auto"/>
          <w:sz w:val="24"/>
        </w:rPr>
      </w:pPr>
      <w:bookmarkStart w:id="6" w:name="_Toc346208011"/>
      <w:bookmarkStart w:id="7" w:name="_Toc598"/>
      <w:r>
        <w:rPr>
          <w:rFonts w:hint="eastAsia" w:hAnsi="宋体" w:cs="宋体"/>
          <w:color w:val="auto"/>
          <w:sz w:val="24"/>
        </w:rPr>
        <w:t>按照党中央、国务院决策部署，牢固树立和贯彻落实创新、协调、绿色、开放、共享的发展理念，以促进简政放权、放管结合、优化服务改革措施落地为目标，进一步规范行政权力运行、优化政务服务供给，降低制度性交易成本，解决影响企业和群众办事创业的难点堵点，进一步激发社会和市场活力；以运用现代信息技术创新公共管理方式为手段，坚持问题导向，强化顶层设计，注重资源整合，优化各部门网上政务服务平台建设，促进网上政务服务运行规范、程序严密、过程透明、结果公开、监督有力，切实增强政务服务的主动性、精准性和便捷性，为推进政府治理的智慧化创新提供有力支撑和保障。</w:t>
      </w:r>
    </w:p>
    <w:bookmarkEnd w:id="6"/>
    <w:bookmarkEnd w:id="7"/>
    <w:p>
      <w:pPr>
        <w:spacing w:line="360" w:lineRule="auto"/>
        <w:ind w:firstLine="480" w:firstLineChars="200"/>
        <w:rPr>
          <w:rFonts w:hAnsi="宋体" w:cs="宋体"/>
          <w:color w:val="auto"/>
          <w:sz w:val="24"/>
        </w:rPr>
      </w:pPr>
      <w:r>
        <w:rPr>
          <w:rFonts w:hint="eastAsia" w:hAnsi="宋体" w:cs="宋体"/>
          <w:color w:val="auto"/>
          <w:sz w:val="24"/>
        </w:rPr>
        <w:t>为了进一步提升经开区对辖区内社会经济单元及社会发展的管控能力、进一步提升应用效能、进一步提升政府执法、服务水平，为经开区二次创业创造更好的条件，因此，国家许昌经济技术开发区管委会决定，对管委会大楼2层东侧原开发区办税大厅位置建设智慧联动中心项目。</w:t>
      </w:r>
    </w:p>
    <w:p>
      <w:pPr>
        <w:widowControl/>
        <w:spacing w:line="360" w:lineRule="auto"/>
        <w:ind w:firstLine="482" w:firstLineChars="200"/>
        <w:jc w:val="left"/>
        <w:rPr>
          <w:rFonts w:hAnsi="宋体" w:cs="宋体"/>
          <w:b/>
          <w:bCs/>
          <w:color w:val="auto"/>
          <w:sz w:val="24"/>
        </w:rPr>
      </w:pPr>
      <w:r>
        <w:rPr>
          <w:rFonts w:hint="eastAsia" w:hAnsi="宋体" w:cs="宋体"/>
          <w:b/>
          <w:bCs/>
          <w:color w:val="auto"/>
          <w:sz w:val="24"/>
        </w:rPr>
        <w:t>二、采购需求</w:t>
      </w:r>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1、项目地址</w:t>
      </w:r>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本项目位于许昌经济技术开发区管委会大楼2层东侧，原开发区办税大厅。</w:t>
      </w:r>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2、项目建设内容</w:t>
      </w:r>
      <w:bookmarkEnd w:id="3"/>
      <w:bookmarkEnd w:id="4"/>
      <w:bookmarkEnd w:id="5"/>
      <w:bookmarkStart w:id="8" w:name="_Toc261876242"/>
      <w:bookmarkStart w:id="9" w:name="_Toc268067963"/>
      <w:bookmarkStart w:id="10" w:name="_Toc297668008"/>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（1）由于本项目中，需要对管委会大楼2层东侧原开发区办税大厅内部分设施需要拆除及重装、需加装新风、空调等系统，并对有关部位进行加固等工序，同时开展智慧中心建设。</w:t>
      </w:r>
    </w:p>
    <w:p>
      <w:pPr>
        <w:spacing w:before="120" w:after="10" w:line="360" w:lineRule="auto"/>
        <w:rPr>
          <w:rFonts w:hAnsi="宋体" w:cs="宋体"/>
          <w:color w:val="auto"/>
          <w:sz w:val="24"/>
        </w:rPr>
      </w:pPr>
      <w:r>
        <w:rPr>
          <w:rFonts w:hint="eastAsia" w:hAnsi="宋体" w:cs="宋体"/>
          <w:color w:val="auto"/>
          <w:sz w:val="24"/>
        </w:rPr>
        <w:t>（2）除上述内容外，主要建设内容：国标B级计算机机房一座，联动指挥大厅一座， 多功能会议室一个，大数据管理与应用平台系统一套，对与机房、指挥大厅、多功能会议室相对应的空间及附属空间的整修。</w:t>
      </w:r>
    </w:p>
    <w:bookmarkEnd w:id="8"/>
    <w:bookmarkEnd w:id="9"/>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055"/>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建设内容</w:t>
            </w:r>
          </w:p>
        </w:tc>
        <w:tc>
          <w:tcPr>
            <w:tcW w:w="1055" w:type="dxa"/>
            <w:noWrap w:val="0"/>
            <w:vAlign w:val="center"/>
          </w:tcPr>
          <w:p>
            <w:pPr>
              <w:pStyle w:val="2"/>
              <w:spacing w:line="360" w:lineRule="auto"/>
              <w:ind w:firstLine="0" w:firstLineChars="0"/>
              <w:jc w:val="center"/>
              <w:rPr>
                <w:rFonts w:ascii="Calibri" w:hAnsi="宋体" w:cs="宋体"/>
                <w:color w:val="auto"/>
                <w:kern w:val="2"/>
                <w:sz w:val="24"/>
                <w:szCs w:val="22"/>
              </w:rPr>
            </w:pPr>
            <w:r>
              <w:rPr>
                <w:rFonts w:hint="eastAsia" w:ascii="Calibri" w:hAnsi="宋体" w:cs="宋体"/>
                <w:color w:val="auto"/>
                <w:kern w:val="2"/>
                <w:sz w:val="24"/>
                <w:szCs w:val="22"/>
              </w:rPr>
              <w:t>序号</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分项建设内容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计</w:t>
            </w:r>
          </w:p>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算</w:t>
            </w:r>
          </w:p>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机</w:t>
            </w:r>
          </w:p>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机</w:t>
            </w:r>
          </w:p>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房</w:t>
            </w: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模块架构设备、安装及调试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2</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机电配电设备、安装及调试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3</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制冷及空气调节设备、安装及调试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4</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弱电系统设备、安装及调试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5</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消防系统设备、安装及调试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noWrap w:val="0"/>
            <w:vAlign w:val="center"/>
          </w:tcPr>
          <w:p>
            <w:pPr>
              <w:pStyle w:val="2"/>
              <w:spacing w:line="360" w:lineRule="auto"/>
              <w:ind w:left="239" w:leftChars="114" w:firstLine="0" w:firstLineChars="0"/>
              <w:jc w:val="center"/>
              <w:rPr>
                <w:rFonts w:ascii="Calibri" w:hAnsi="宋体" w:cs="宋体"/>
                <w:color w:val="auto"/>
                <w:kern w:val="2"/>
                <w:sz w:val="24"/>
                <w:szCs w:val="22"/>
              </w:rPr>
            </w:pPr>
            <w:r>
              <w:rPr>
                <w:rFonts w:hint="eastAsia" w:ascii="Calibri" w:hAnsi="宋体" w:cs="宋体"/>
                <w:color w:val="auto"/>
                <w:kern w:val="2"/>
                <w:sz w:val="24"/>
                <w:szCs w:val="22"/>
              </w:rPr>
              <w:t>指挥大厅</w:t>
            </w: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ascii="Calibri" w:hAnsi="宋体" w:cs="宋体"/>
                <w:color w:val="auto"/>
                <w:kern w:val="2"/>
                <w:sz w:val="24"/>
                <w:szCs w:val="22"/>
              </w:rPr>
              <w:t>6</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指挥大厅设备、安装及系统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多功能会议厅</w:t>
            </w: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ascii="Calibri" w:hAnsi="宋体" w:cs="宋体"/>
                <w:color w:val="auto"/>
                <w:kern w:val="2"/>
                <w:sz w:val="24"/>
                <w:szCs w:val="22"/>
              </w:rPr>
              <w:t>7</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多功能会议厅设备、安装及系统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数据管理系统</w:t>
            </w: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8</w:t>
            </w:r>
          </w:p>
        </w:tc>
        <w:tc>
          <w:tcPr>
            <w:tcW w:w="5864" w:type="dxa"/>
            <w:noWrap w:val="0"/>
            <w:vAlign w:val="center"/>
          </w:tcPr>
          <w:p>
            <w:pPr>
              <w:pStyle w:val="2"/>
              <w:spacing w:line="360" w:lineRule="auto"/>
              <w:ind w:firstLine="240"/>
              <w:jc w:val="center"/>
              <w:rPr>
                <w:rFonts w:hint="eastAsia" w:ascii="Calibri" w:hAnsi="宋体" w:cs="宋体"/>
                <w:color w:val="auto"/>
                <w:kern w:val="2"/>
                <w:sz w:val="24"/>
                <w:szCs w:val="22"/>
              </w:rPr>
            </w:pPr>
            <w:r>
              <w:rPr>
                <w:rFonts w:hint="eastAsia" w:ascii="Calibri" w:hAnsi="宋体" w:cs="宋体"/>
                <w:color w:val="auto"/>
                <w:kern w:val="2"/>
                <w:sz w:val="24"/>
                <w:szCs w:val="22"/>
              </w:rPr>
              <w:t>服务器及网络设备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hint="eastAsia" w:ascii="Calibri" w:hAnsi="宋体" w:cs="宋体"/>
                <w:color w:val="auto"/>
                <w:kern w:val="2"/>
                <w:sz w:val="24"/>
                <w:szCs w:val="22"/>
              </w:rPr>
            </w:pPr>
          </w:p>
        </w:tc>
        <w:tc>
          <w:tcPr>
            <w:tcW w:w="1055" w:type="dxa"/>
            <w:noWrap/>
            <w:vAlign w:val="center"/>
          </w:tcPr>
          <w:p>
            <w:pPr>
              <w:pStyle w:val="2"/>
              <w:spacing w:line="360" w:lineRule="auto"/>
              <w:ind w:firstLine="240"/>
              <w:jc w:val="center"/>
              <w:rPr>
                <w:rFonts w:hint="eastAsia" w:ascii="Calibri" w:hAnsi="宋体" w:cs="宋体"/>
                <w:color w:val="auto"/>
                <w:kern w:val="2"/>
                <w:sz w:val="24"/>
                <w:szCs w:val="22"/>
              </w:rPr>
            </w:pPr>
            <w:r>
              <w:rPr>
                <w:rFonts w:hint="eastAsia" w:ascii="Calibri" w:hAnsi="宋体" w:cs="宋体"/>
                <w:color w:val="auto"/>
                <w:kern w:val="2"/>
                <w:sz w:val="24"/>
                <w:szCs w:val="22"/>
              </w:rPr>
              <w:t>9</w:t>
            </w:r>
          </w:p>
        </w:tc>
        <w:tc>
          <w:tcPr>
            <w:tcW w:w="5864" w:type="dxa"/>
            <w:noWrap w:val="0"/>
            <w:vAlign w:val="center"/>
          </w:tcPr>
          <w:p>
            <w:pPr>
              <w:pStyle w:val="2"/>
              <w:spacing w:line="360" w:lineRule="auto"/>
              <w:ind w:firstLine="240"/>
              <w:jc w:val="center"/>
              <w:rPr>
                <w:rFonts w:hint="eastAsia" w:ascii="Calibri" w:hAnsi="宋体" w:cs="宋体"/>
                <w:color w:val="auto"/>
                <w:kern w:val="2"/>
                <w:sz w:val="24"/>
                <w:szCs w:val="22"/>
              </w:rPr>
            </w:pPr>
            <w:r>
              <w:rPr>
                <w:rFonts w:hint="eastAsia" w:ascii="Calibri" w:hAnsi="宋体" w:cs="宋体"/>
                <w:color w:val="auto"/>
                <w:kern w:val="2"/>
                <w:sz w:val="24"/>
                <w:szCs w:val="22"/>
              </w:rPr>
              <w:t>数据信息安全系统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hint="eastAsia"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ascii="Calibri" w:hAnsi="宋体" w:cs="宋体"/>
                <w:color w:val="auto"/>
                <w:kern w:val="2"/>
                <w:sz w:val="24"/>
                <w:szCs w:val="22"/>
              </w:rPr>
              <w:t>10</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大数据基础系统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1</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大数据资产服务系统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2</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大数据指挥大厅平台管理系统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指挥大厅、多功能会议室及附属空间</w:t>
            </w:r>
          </w:p>
          <w:p>
            <w:pPr>
              <w:pStyle w:val="2"/>
              <w:spacing w:line="360" w:lineRule="auto"/>
              <w:ind w:firstLine="240"/>
              <w:jc w:val="center"/>
              <w:rPr>
                <w:rFonts w:ascii="Calibri" w:hAnsi="宋体" w:cs="宋体"/>
                <w:color w:val="auto"/>
                <w:kern w:val="2"/>
                <w:sz w:val="24"/>
                <w:szCs w:val="22"/>
              </w:rPr>
            </w:pPr>
          </w:p>
        </w:tc>
        <w:tc>
          <w:tcPr>
            <w:tcW w:w="1055"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3</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整修（含机房加固）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4</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5</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6</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80" w:type="dxa"/>
            <w:vMerge w:val="continue"/>
            <w:noWrap w:val="0"/>
            <w:vAlign w:val="center"/>
          </w:tcPr>
          <w:p>
            <w:pPr>
              <w:pStyle w:val="2"/>
              <w:spacing w:line="360" w:lineRule="auto"/>
              <w:ind w:firstLine="240"/>
              <w:jc w:val="center"/>
              <w:rPr>
                <w:rFonts w:ascii="Calibri" w:hAnsi="宋体" w:cs="宋体"/>
                <w:color w:val="auto"/>
                <w:kern w:val="2"/>
                <w:sz w:val="24"/>
                <w:szCs w:val="22"/>
              </w:rPr>
            </w:pPr>
          </w:p>
        </w:tc>
        <w:tc>
          <w:tcPr>
            <w:tcW w:w="1055"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1</w:t>
            </w:r>
            <w:r>
              <w:rPr>
                <w:rFonts w:ascii="Calibri" w:hAnsi="宋体" w:cs="宋体"/>
                <w:color w:val="auto"/>
                <w:kern w:val="2"/>
                <w:sz w:val="24"/>
                <w:szCs w:val="22"/>
              </w:rPr>
              <w:t>7</w:t>
            </w:r>
          </w:p>
        </w:tc>
        <w:tc>
          <w:tcPr>
            <w:tcW w:w="5864" w:type="dxa"/>
            <w:noWrap w:val="0"/>
            <w:vAlign w:val="center"/>
          </w:tcPr>
          <w:p>
            <w:pPr>
              <w:pStyle w:val="2"/>
              <w:spacing w:line="360" w:lineRule="auto"/>
              <w:ind w:firstLine="240"/>
              <w:jc w:val="center"/>
              <w:rPr>
                <w:rFonts w:ascii="Calibri" w:hAnsi="宋体" w:cs="宋体"/>
                <w:color w:val="auto"/>
                <w:kern w:val="2"/>
                <w:sz w:val="24"/>
                <w:szCs w:val="22"/>
              </w:rPr>
            </w:pPr>
            <w:r>
              <w:rPr>
                <w:rFonts w:hint="eastAsia" w:ascii="Calibri" w:hAnsi="宋体" w:cs="宋体"/>
                <w:color w:val="auto"/>
                <w:kern w:val="2"/>
                <w:sz w:val="24"/>
                <w:szCs w:val="22"/>
              </w:rPr>
              <w:t>空调</w:t>
            </w:r>
          </w:p>
        </w:tc>
      </w:tr>
      <w:bookmarkEnd w:id="10"/>
    </w:tbl>
    <w:p>
      <w:pPr>
        <w:adjustRightInd w:val="0"/>
        <w:snapToGrid w:val="0"/>
        <w:ind w:firstLine="480" w:firstLineChars="200"/>
        <w:rPr>
          <w:rFonts w:hAnsi="宋体" w:cs="宋体"/>
          <w:color w:val="auto"/>
          <w:sz w:val="24"/>
        </w:rPr>
      </w:pPr>
      <w:r>
        <w:rPr>
          <w:rFonts w:hint="eastAsia" w:hAnsi="宋体" w:cs="宋体"/>
          <w:color w:val="auto"/>
          <w:sz w:val="24"/>
        </w:rPr>
        <w:t>3、采购清单</w:t>
      </w:r>
    </w:p>
    <w:p>
      <w:pPr>
        <w:pStyle w:val="2"/>
        <w:ind w:firstLine="320"/>
        <w:jc w:val="center"/>
        <w:rPr>
          <w:rFonts w:ascii="仿宋_GB2312" w:eastAsia="仿宋_GB2312"/>
          <w:b/>
          <w:color w:val="auto"/>
          <w:sz w:val="32"/>
          <w:szCs w:val="32"/>
        </w:rPr>
      </w:pPr>
      <w:r>
        <w:rPr>
          <w:rFonts w:hint="eastAsia" w:ascii="仿宋_GB2312" w:eastAsia="仿宋_GB2312"/>
          <w:b/>
          <w:color w:val="auto"/>
          <w:sz w:val="32"/>
          <w:szCs w:val="32"/>
        </w:rPr>
        <w:t>标准化机房采购清单</w:t>
      </w:r>
    </w:p>
    <w:tbl>
      <w:tblPr>
        <w:tblStyle w:val="24"/>
        <w:tblW w:w="9510" w:type="dxa"/>
        <w:tblInd w:w="0" w:type="dxa"/>
        <w:tblLayout w:type="fixed"/>
        <w:tblCellMar>
          <w:top w:w="0" w:type="dxa"/>
          <w:left w:w="0" w:type="dxa"/>
          <w:bottom w:w="0" w:type="dxa"/>
          <w:right w:w="0" w:type="dxa"/>
        </w:tblCellMar>
      </w:tblPr>
      <w:tblGrid>
        <w:gridCol w:w="346"/>
        <w:gridCol w:w="1292"/>
        <w:gridCol w:w="6787"/>
        <w:gridCol w:w="514"/>
        <w:gridCol w:w="571"/>
      </w:tblGrid>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标准化机房-模块架构</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产品名称</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一、核心机房-微模块架构</w:t>
            </w:r>
          </w:p>
        </w:tc>
      </w:tr>
      <w:tr>
        <w:tblPrEx>
          <w:tblCellMar>
            <w:top w:w="0" w:type="dxa"/>
            <w:left w:w="0" w:type="dxa"/>
            <w:bottom w:w="0" w:type="dxa"/>
            <w:right w:w="0" w:type="dxa"/>
          </w:tblCellMar>
        </w:tblPrEx>
        <w:trPr>
          <w:trHeight w:val="6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模块化柜体</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1.按照ANSI/EIA -310-D-1992、IEC60297-2、DIN41491;PART1、DIN41494;PART7、 GB/T19520.2-2007标准生产，兼容ETSI。</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2.柜体模块化拼装结构，标准19英寸，颜色为RAL9005(黑色细沙)。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3.规格尺寸：600*1200*2000(mm）宽*深*高；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4.柜体采用优质冷轧SPCC冷轧钢板，材料厚度：角规/底安装梁≥2.0mm，框架/横梁/理线板≥1.5mm，其它≥1.2mm；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5.柜体表层外观光洁、色泽均匀、无露底、无流积、无起泡、无裂纹、无桔皮、金属件无毛刺和锈蚀。表面喷塑硬度不少于2H, 附着力不低于O级国际标准，符合ROHS标准；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6.机柜部件表面涂层平均厚度达到≥100um且达到国家无毒无害的喷涂标准。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7.柜体各装配部件具有一致性和互换性，横梁前后设有模数阵列安装孔，方便角规快速前后调节安装；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8.前门单开高密度网孔门，后门双开高密度网孔门，正面无铰链外露，门体两侧银色镶边，开有全篇幅通风网孔，开孔率＞73%。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9.柜体侧板分段式结构，方便开启，安装后应平滑无突起；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10.柜体顶部两侧预留大容量进线孔（175*60mm），配置免工具阻燃毛刷条，保证柜体不漏风；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11.柜体底部采用目字型分段式全封闭结构，配备免工具阻燃毛刷条进线孔（395*120mm），根据进线容量可按需调节；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12.带标识刻度的方孔条，U数标识采用电子喷绘打标工艺，安装孔位上带有半圆形位置识别缺口，方便设备快速定位安装；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13.机柜前安装方孔条与柜体前框架立柱距离＞70mm，同时与前门网孔门面距离＞110mm，方孔条与柜体前框架立柱两侧密闭；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14.柜体后部设有垂直理线板，用于强弱电走线及PDU安装，保证PDU插孔面不挡19英寸设备安装孔位。设接地铜条安装位，支持不同高度的接地铜条安装，不影响主设备安装及使用；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15.机柜底部预留安装孔位，支持螺栓与承重底座连接固定；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16.机柜自带并柜部件同时支持带侧板并柜安装；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17.★机柜整架具有“信息产业通信设备抗震性能质量监督检验中心”颁发的机柜静载承重不低于2000KG检测报告，提供复印件并厂家盖章；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19.★为保证机房整体的可靠性、兼容性、方便维护及统一管理，要求封闭冷通道、UPS、精密配电柜、蓄电池、PDU、精密空调、动环监控系统、综合布线系统产品为同一品牌。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25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12侧板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用于1200深模块化柜体，相邻柜体的安全隔离，形成独立管理空间；分段式结构；</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3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1U塑料盲板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19吋安装，1U免工具安装盲板，ABS材质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500 </w:t>
            </w:r>
          </w:p>
        </w:tc>
      </w:tr>
      <w:tr>
        <w:tblPrEx>
          <w:tblCellMar>
            <w:top w:w="0" w:type="dxa"/>
            <w:left w:w="0" w:type="dxa"/>
            <w:bottom w:w="0" w:type="dxa"/>
            <w:right w:w="0" w:type="dxa"/>
          </w:tblCellMar>
        </w:tblPrEx>
        <w:trPr>
          <w:trHeight w:val="4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翻转天窗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1.冷通道天窗采用优质冷轧SPCC钢板，支撑板/拉梁=1.5mm，其它≥1.2mm，5mm钢化玻璃（贴防爆膜），阻燃等级:V0级，透光率:90%以上；</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2.模块化拼装结构，相邻天窗共用拉梁方式，相邻天窗安装并联无缝隙；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3.冷通道天窗采用5mm钢化玻璃（带防爆膜）镶金属边框，透光率90%以上；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4.冷通道天窗翻转板免工具安装，冷通道为1200mm时开启宽度＞1190mm，开启角度≥85°。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5.冷通道天窗（翻转天窗）配备磁力锁，磁力锁吸附力F≥50kg，支持消防联动，接到有源消防告警信号后，0.5秒范围内瞬速自动开启。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6.所有电磁锁线路连接均采用卡扣式端子连接，连接快捷、安全、可靠，无需现场端接线；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7.连接线路隐蔽式设计，设有专用线槽，采用盖板封闭管理，整洁、美观。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8.天窗所有部件间均导通接地，实现可靠的电气连接。</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11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空调天窗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固定式天窗，适用于1200mm通道，300宽行级空调；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天窗5mm厚钢化玻璃（贴防爆膜）金属镶边；共用拉梁，无缝阵列拼装；</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6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综合天窗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1.综合天窗，适用于1.2m通道，600宽模块化柜体；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2.支持跨通道走线，支持烟感、温湿度、摄像头等动环前端采集设备安装；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3.天窗两侧支撑板设隐形透光玻璃；与相邻天窗共用拉梁，无缝阵列拼装；</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33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自动移门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1.封闭移门采用优质冷轧SPCC钢板，底安装板=2.0mm，门盒立柱/安装立柱=1.5mm，其它≥1.2mm。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2.封闭移门采用平移对开方式，门体采用整块12mm厚钢化玻璃，无边框，钢化玻璃满足GB 15763.2-2005抗冲击性、碎片状态试验、霰弹袋冲击性能标准。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3.门盒三段式竖装结构，两侧铝型材镶边，设安全锁，可开启，方便管控，门盒外表面无外露安装固定螺钉。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4.铝型材质加强型导轨，电机驱动，配置吊轮，智慧型微电脑控制器，运行参数调节（开关门速度、开门保持时间等）。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5.封闭移门门禁采用触摸密码锁(进），按钮开关（出）。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6.设有用于封闭铝型材导轨的罩板，保护驱动装置。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7.接到有源消防告警信号后，门自动开启。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8.移门设有上下2对安全光眼，防夹防撞，保证人或物体在门移动行道时，门体始终保持开启状态。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9.整个封闭移门外体无安装固定螺钉外露，保持整体美观性；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10.所有线路连接均采用端子连接，连接安全可靠；连接线路隐蔽式设计。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柜体底座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深：1200mm*宽：600mm高：400mm；防锈处理</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25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60顶部线槽</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用于600宽柜体的顶部走线槽，用于柜顶的强弱电走线，M型结构；</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52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30顶部线槽</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用于300宽行级空调的顶部走线槽，用于柜顶的强弱电走线，M型结构；</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8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10A托盘</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适用于1200深机柜(750mm深）,承重120公斤</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垂直安装板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开有首尾整列的模术安装孔、扎线孔；垂直理线、扎线功能；优质冷轧钢板，SPCC=1.5mm；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w:t>
            </w:r>
          </w:p>
        </w:tc>
      </w:tr>
      <w:tr>
        <w:tblPrEx>
          <w:tblCellMar>
            <w:top w:w="0" w:type="dxa"/>
            <w:left w:w="0" w:type="dxa"/>
            <w:bottom w:w="0" w:type="dxa"/>
            <w:right w:w="0" w:type="dxa"/>
          </w:tblCellMar>
        </w:tblPrEx>
        <w:trPr>
          <w:trHeight w:val="15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通道控制箱</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1.通道控制箱用于冷池系统中封闭移门、冷通道天窗、通道照明、背景照明的电源管理。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2.19英寸标准机架式安装，采用高性能内置嵌入式系统芯片及标准化接插端口，易于扩展维护。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3.主机配备AC220V/150~245V电源输入及控制开关，1路电源指示灯，2路AC 220V电源输出；2路24V DC电源输出，1路 24V DC 控制式输出，2路双联控制接口,1路无源消防接入，1路RS485通讯接口;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3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冷池照明</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1.通道照明与天窗一体式结构，采用1.5mmSPCC金属壳体，内嵌PC散光板及LED灯带，散光均匀；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2.通道照明额定电压：24V；单珠功率：0.24W；灯珠数量：60株每米；冷白光；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3.配备手动控制开关按钮，所有线路连接均采用端子连接，方便快捷，安全可靠。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12 </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背景照明</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1.背景照明额定电压：24V；单珠功率：0.08W；灯珠数量：60株每米；绿光；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2.线路连接均采用端子连接，方便快捷，安全可靠。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26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跨通道桥架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用于双列通道的跨通道走线桥架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辅材</w:t>
            </w:r>
          </w:p>
        </w:tc>
        <w:tc>
          <w:tcPr>
            <w:tcW w:w="6787" w:type="dxa"/>
            <w:tcBorders>
              <w:top w:val="single" w:color="00FF00" w:sz="4" w:space="0"/>
              <w:left w:val="single" w:color="00FF00" w:sz="4" w:space="0"/>
              <w:bottom w:val="single" w:color="00FF00" w:sz="4" w:space="0"/>
              <w:right w:val="single" w:color="00FF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冷通道密封组件，电路连接线、端子、安装螺丝等组件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标准化机房-机电配电</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一、核心机房-电气配线</w:t>
            </w:r>
          </w:p>
        </w:tc>
      </w:tr>
      <w:tr>
        <w:tblPrEx>
          <w:tblCellMar>
            <w:top w:w="0" w:type="dxa"/>
            <w:left w:w="0" w:type="dxa"/>
            <w:bottom w:w="0" w:type="dxa"/>
            <w:right w:w="0" w:type="dxa"/>
          </w:tblCellMar>
        </w:tblPrEx>
        <w:trPr>
          <w:trHeight w:val="2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800*600*2000mm机房主市电配电柜630A互投柜</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1个 双电源自动切换开关（ATS）320A/4P；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1路 市电总输出 320A/3P（市电）；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1路 UPS市电输入 200/3P；（UPS输入输出柜）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2路 UPS维修旁路  200/4P;（常开，挂机械锁）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 精密空调 63A/3P；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6路 市电输出 16A/1P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6路 市电输出 32A/1P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3路 市电输出 32A/2P（消防、新风、照明、备用等）；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3路 市电输出 32A/3P；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配置B级防雷模块；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配置智能电量仪，检测各支路电气参数；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柜体尺寸：800*1000*2000mm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1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800*600*2000mmUPS-A/B输入输出柜</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UPS1输入：1路200A/3P;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UPS2输入：1路200A/3P;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UPS1输出：1路200A/3P;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UPS2输出：1路200A/3P;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配置C级防雷模块，采用端子型端接；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机柜尺寸：600*1000*2000mm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189"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全电路检测精密型配电柜</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1.柜体尺寸为600mm（宽）×1200mm（深）×2000mm（高）；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2.配电柜柜体与冷池柜体外观、喷涂工艺等保持一致；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3.配置B级防雷模块，采用端子型端接；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4.采用≥7寸电容式触摸屏，存数容量不小于64M，可热拔插端子，分辨率为1024*768； 触摸屏应具备RS485通讯接口，实现远程监控；电源列头配电柜告警系统可向上级监控中心发送告警数据，同时发出声光告警；具有电气故障声光报警功能；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5.端接类型： UK端子，采用国际知名品牌；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6.设置精密监控系统作为各种电气参数监测与告警装置；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设置精密监控系统作为各种电气参数监测与告警装置；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7.通过第三方监控：HMI可以提供发RS485/232或以太网口可以进入各种以MODBUS通讯协议三方智能设备，本系统可以通过IP地址进行直接访问，真正的做到远程监控；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监控输入端的三相相电压、三相线电压、三相有功功率、总有功功率三相、三相无功功率、总无功功率、三相视在功率、总视在功率、分相电能、总电能、谐波含量，总开关工作状态。阀值预设、电压趋势图、电流趋势图、功率趋势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9.通过微型计算芯片计算馈线回路的电压、电流、功率、电能、开关状态、阀值预设、负载趋势图；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报警和事件处理系统内置二级告警，一级为轻度告警指示，二级为严重告警指示外加声光告警，主要分为断相报警、过压报警、欠压报警、支路过载报警、支路跳闸报警，相序报警，零地电流报警，零线电流报价，三相电流不平衡监测，超阀值告警，双电源故障告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11.采用三项平衡Multiclip 母排系统；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12.精密配电柜总输入回路应采用交流塑壳断路器作为保护元器件，各输出分路应采用交流微型断路器作为保护元器件，空开采用ABB、Schneider、SIEMENS 系列之一的产品；配置容量、数量及其他要求详见设计图纸《交流电源列头柜配电系统图》。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13.进线方式：上进线或下进线；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14.与UPS同一品牌。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精密空调室内机配线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ZR-YJV 5X10mm2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精密空调室外机配线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ZR-YJV 4X2.5mm2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市电柜输入电缆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ZR-YJV 4*95+1*50mm2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精密型综合配电柜接入电缆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ZR-YJV 4*35+1*16mm2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UPS输入输出电缆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ZR-YJV 4*50+1*16mm2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电池到UPS电缆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ZR-BVR 70mm2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300</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PDU电缆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ZR-RVV3*6mm2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600</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新风机电源线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WDZ-YJV-3*6mm²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40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新风排风机电源线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WDZ-YJV-3*6mm²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40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照明及检修插座配线 3路</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NH-RVV-3*2.5mm²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160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消防系统配线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NH-RVV-3*2.5mm²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80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A/B路机柜20A工业连接器配线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WDZ-YJV-3*6mm²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350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二、核心机房-不间断电源</w:t>
            </w:r>
          </w:p>
        </w:tc>
      </w:tr>
      <w:tr>
        <w:tblPrEx>
          <w:tblCellMar>
            <w:top w:w="0" w:type="dxa"/>
            <w:left w:w="0" w:type="dxa"/>
            <w:bottom w:w="0" w:type="dxa"/>
            <w:right w:w="0" w:type="dxa"/>
          </w:tblCellMar>
        </w:tblPrEx>
        <w:trPr>
          <w:trHeight w:val="7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模块化UPS主机 模块6槽位</w:t>
            </w:r>
          </w:p>
        </w:tc>
        <w:tc>
          <w:tcPr>
            <w:tcW w:w="678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1.采用可热插拔式的模块化UPS机组，单柜最大扩容不小于100KVA；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2.支持不少于4柜的直接并机方式，无须配置并机柜；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3.能实现多台UPS 分时启动功能，即根据时间间隔，按顺序启动，以避免多台UPS 并联时，UPS 同时启动给发电机带来冲击，导致发电机不能正常供电。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4.具备发电机接入功率任意设置功能及发电机启动侦测接点, 可配合发电机工作, 当发电机紧急供电时,可自动降低充电电流,减少发电机的供电，更合理调配油机资源。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5.电池管理：UPS具备电池单体浮充电压、均充电压、放电终止电压最高和最低点可设置功能；电池组最大充电电流、最大电池放电时间及最大均充时间可设置功能；并可根据设置的值实现告警；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6.完全切断输入干扰, 电池转换时间为0ms；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7.UPS应具备蓄电池标称电源可调节功能，以提高电源系统供电安全性。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旁路开关：具有自动静态旁路开关和手动维护旁路开关。旁路开关须采用分散旁路设计，杜绝采用单一的集中旁路模块，避免单点故障，自动静态旁路开关切换时不产生任何间断。旁路开关的容量应与机组额定容量相匹配，并具有较强的过载能力，自动跟踪电网频率和电压，超过额定值时自动与电网解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9.恢复正常后自动与电网并列。转换时间要求为0ms，静态旁路具有状态控制功能,旁路故障时系统避免由逆变器向旁路的转换。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10.UPS 输出可承受100%之三相不平衡负载，在负载任一相缺相下，系统可继续运转, 增加使用上之方便性。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11.并机总线须采用双环形冗余结构，避免单点环路影响系统并机安全。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12.标配紧急关机开关(EPO)功能按键，为安全考虑EPO按键应设计在机柜内部，避免非专业人员误操作。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13.电流谐波≤4.5%（额定非线性负荷）《依据实际机型调整》，输出波形失真度≤4%（额定非线性负荷）；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14.每台UPS 自带静态旁路和市电维修旁路；标准内置独立的主路输入开关，旁路开关和输出开关。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15.单体放电终止电压最高（默认单体1.80V）和最低点（1.75V）可设置，UPS根据电池放电情况自动控制单体放电终止电压电压，已保证电池寿命。</w:t>
            </w:r>
          </w:p>
        </w:tc>
        <w:tc>
          <w:tcPr>
            <w:tcW w:w="51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408" w:hRule="atLeast"/>
        </w:trPr>
        <w:tc>
          <w:tcPr>
            <w:tcW w:w="346"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模块化UPS功率模块</w:t>
            </w:r>
          </w:p>
        </w:tc>
        <w:tc>
          <w:tcPr>
            <w:tcW w:w="6787"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1.单个功率模块的容量不小于20KVA；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2.相数：三相五线；输入频率范围（Hz）：45～55/ 55～65；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3.输入功率因数 ≥0.99；</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4.输入电流谐波成分 ≤2% (20KVA模块)；≤3% (15KVA/25KVA模块)；≤3.5% (10KVA/30KVA模块) ；≤4.5% (40KVA模块)；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5.输出电压（Vac） 380(或400/415)±1%；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6.输出功因 ≥0.9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7.切换时间（ms） 0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8.整机效率 50%负载，≥94% ；100%负载，≥94%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9.过载能力 负载≤110%，60min；≤125%，10min；≤150%，1min；</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10.通信功能:干接点、RS232、RS485、SNMP卡(可选)；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11.机平均无故障时间（MTBF） ≥150000 h，故障平均修复时间（MTTR） ≤1小时。；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12.UPS系统有效的使用年限应不少于10年；</w:t>
            </w:r>
          </w:p>
        </w:tc>
        <w:tc>
          <w:tcPr>
            <w:tcW w:w="514"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8 </w:t>
            </w:r>
          </w:p>
        </w:tc>
      </w:tr>
      <w:tr>
        <w:tblPrEx>
          <w:tblCellMar>
            <w:top w:w="0" w:type="dxa"/>
            <w:left w:w="0" w:type="dxa"/>
            <w:bottom w:w="0" w:type="dxa"/>
            <w:right w:w="0" w:type="dxa"/>
          </w:tblCellMar>
        </w:tblPrEx>
        <w:trPr>
          <w:trHeight w:val="45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铅酸免维护电池 100AH/12V</w:t>
            </w:r>
          </w:p>
        </w:tc>
        <w:tc>
          <w:tcPr>
            <w:tcW w:w="6787"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1.产品须符合中华人民共和国信息产业部YD/T799-2010 《通信用阀控式密封铅酸蓄电池》标准。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2.外观要求：无变形、漏液、裂纹及污迹；标识清晰；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3.结构要求：正负极端子有明显标志，便于链接；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4.气密性：能承受50KPa正压或负压而不破裂、不开胶，压力释放后壳体无残余变形；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5.防爆性能：充电过程中，遇到明火，内部不引爆，不引燃；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6.封口剂性能：环境温度在-30℃~+65℃之间，封口剂无裂纹与溢流现象；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7.容量保存率：完全充电的蓄电池，在25±2°的环境中，静置28天后，其容量保持率应在98%C10以上（12V）/ 97%以上（2V）；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8.密封反应效率：98%以上；</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9.电池间连接电压降≤5mV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10.蓄电池的安全阀有自动开启和关闭的功能，开阀压应是10--49kPa，闭阀压应是4--16kPa；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11.蓄电池内阻：≤3mΩ（12V） / ≤0.2mΩ（2V）;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12.蓄电池必须配备防漏液措施，需具备防碰撞及控制蓄电池有效安装距离的设计。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13.电池正负极端接方式需为下旋式铜端子安装方式；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14.与UPS同一品牌</w:t>
            </w:r>
          </w:p>
        </w:tc>
        <w:tc>
          <w:tcPr>
            <w:tcW w:w="514"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w:t>
            </w:r>
          </w:p>
        </w:tc>
        <w:tc>
          <w:tcPr>
            <w:tcW w:w="571"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128 </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电池架40节容量1000*920*1500mm</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1.采用优质金属成型，经磷化喷塑，耐磨防腐。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2.前后旁边可快速拆卸，后板装开关及接线板，内配连接线，底部有接地线装置。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3.直流空开、电池连接线规格应满足UPS满负荷运行状态</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三、核心机房-小电器</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PDU</w:t>
            </w:r>
          </w:p>
        </w:tc>
        <w:tc>
          <w:tcPr>
            <w:tcW w:w="6787" w:type="dxa"/>
            <w:vMerge w:val="restart"/>
            <w:tcBorders>
              <w:top w:val="single" w:color="00FF00" w:sz="4" w:space="0"/>
              <w:left w:val="single" w:color="00FF00" w:sz="4" w:space="0"/>
              <w:bottom w:val="single" w:color="00FF00" w:sz="4" w:space="0"/>
              <w:right w:val="single" w:color="00FF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1.模块化设计结构，32A接线盒输入，输出12*10A国标孔，4*16A国标孔，2*10A国标（五孔），共18位，带指示灯、无插头无线，黑色铝壳，竖安装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2.外壳采用特有的双燕尾槽设计结构，可更好的防止插座模块、功能模块在运输途中因受外力而造成模块内陷，以及预设备插头拔出时用力过猛而造成插座模块被拔出现象。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3.外壳采用特殊绝缘高强度电泳铝合金材料，能在实际应用环境中有效防止电磁波干扰。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4.外壳材料采用1.6mm厚型材，在配合机柜垂直或水平安装时可保证有效的强度。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5.PDU两插座之间用间隔板分开，且每位插空有对应的阿拉伯数字标号。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6.所有插座模块、功能模块全部采用PC/ABS塑胶材料，热变型温度高达120℃以上，阻燃特性符合UL94-V0标准。有效的避免了因插座引起火灾事故的发生；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所有插座的插套组件全部采用独具良好弹性、耐磨性、抗磁性、耐蚀性的磷青铜材料，铜片选材为0.6mm厚度，精细加工，整体冲压成型，高可靠接触，单极拔插寿命试验均在5000次以上，安全耐用无松动和打火现象，保证输出高可靠的电气导通性和连接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8.采用耐压性好、抗冲击LED电源指示灯；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9.★提供CE认证的ROHS、EMC和LVD认证证书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10.PDU与UPS同一品牌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26 </w:t>
            </w:r>
          </w:p>
        </w:tc>
      </w:tr>
      <w:tr>
        <w:tblPrEx>
          <w:tblCellMar>
            <w:top w:w="0" w:type="dxa"/>
            <w:left w:w="0" w:type="dxa"/>
            <w:bottom w:w="0" w:type="dxa"/>
            <w:right w:w="0" w:type="dxa"/>
          </w:tblCellMar>
        </w:tblPrEx>
        <w:trPr>
          <w:trHeight w:val="45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w:t>
            </w:r>
          </w:p>
        </w:tc>
        <w:tc>
          <w:tcPr>
            <w:tcW w:w="1292"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ascii="宋体" w:hAnsi="宋体" w:cs="宋体"/>
                <w:color w:val="auto"/>
                <w:kern w:val="0"/>
                <w:sz w:val="18"/>
                <w:szCs w:val="18"/>
                <w:lang w:bidi="ar"/>
              </w:rPr>
              <w:t>32A</w:t>
            </w:r>
            <w:r>
              <w:rPr>
                <w:rFonts w:ascii="宋体" w:hAnsi="宋体"/>
                <w:color w:val="auto"/>
                <w:kern w:val="0"/>
                <w:sz w:val="18"/>
                <w:szCs w:val="18"/>
              </w:rPr>
              <w:t>智能</w:t>
            </w:r>
            <w:r>
              <w:rPr>
                <w:rFonts w:ascii="宋体" w:hAnsi="宋体" w:cs="宋体"/>
                <w:color w:val="auto"/>
                <w:kern w:val="0"/>
                <w:sz w:val="18"/>
                <w:szCs w:val="18"/>
              </w:rPr>
              <w:t>PDU</w:t>
            </w:r>
            <w:r>
              <w:rPr>
                <w:rFonts w:ascii="宋体" w:hAnsi="宋体"/>
                <w:color w:val="auto"/>
                <w:kern w:val="0"/>
                <w:sz w:val="18"/>
                <w:szCs w:val="18"/>
              </w:rPr>
              <w:t>远程检测管理，</w:t>
            </w:r>
            <w:r>
              <w:rPr>
                <w:rFonts w:ascii="宋体" w:hAnsi="宋体" w:cs="宋体"/>
                <w:color w:val="auto"/>
                <w:kern w:val="0"/>
                <w:sz w:val="18"/>
                <w:szCs w:val="18"/>
              </w:rPr>
              <w:t>16C13+4</w:t>
            </w:r>
            <w:r>
              <w:rPr>
                <w:rFonts w:ascii="宋体" w:hAnsi="宋体"/>
                <w:color w:val="auto"/>
                <w:kern w:val="0"/>
                <w:sz w:val="18"/>
                <w:szCs w:val="18"/>
              </w:rPr>
              <w:t>个</w:t>
            </w:r>
            <w:r>
              <w:rPr>
                <w:rFonts w:ascii="宋体" w:hAnsi="宋体" w:cs="宋体"/>
                <w:color w:val="auto"/>
                <w:kern w:val="0"/>
                <w:sz w:val="18"/>
                <w:szCs w:val="18"/>
              </w:rPr>
              <w:t>C19</w:t>
            </w:r>
            <w:r>
              <w:rPr>
                <w:rFonts w:ascii="宋体" w:hAnsi="宋体"/>
                <w:color w:val="auto"/>
                <w:kern w:val="0"/>
                <w:sz w:val="18"/>
                <w:szCs w:val="18"/>
              </w:rPr>
              <w:t>输出</w:t>
            </w:r>
          </w:p>
        </w:tc>
        <w:tc>
          <w:tcPr>
            <w:tcW w:w="6787" w:type="dxa"/>
            <w:vMerge w:val="continue"/>
            <w:tcBorders>
              <w:top w:val="single" w:color="00FF00" w:sz="4" w:space="0"/>
              <w:left w:val="single" w:color="00FF00" w:sz="4" w:space="0"/>
              <w:bottom w:val="single" w:color="00FF00" w:sz="4" w:space="0"/>
              <w:right w:val="single" w:color="00FF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26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400*100 网篮桥架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400*100 网篮桥架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20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300*100 镀锌金属桥架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300*100 镀锌金属桥架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35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标准化机房-制冷及空气调节</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一、精密空调</w:t>
            </w:r>
          </w:p>
        </w:tc>
      </w:tr>
      <w:tr>
        <w:tblPrEx>
          <w:tblCellMar>
            <w:top w:w="0" w:type="dxa"/>
            <w:left w:w="0" w:type="dxa"/>
            <w:bottom w:w="0" w:type="dxa"/>
            <w:right w:w="0" w:type="dxa"/>
          </w:tblCellMar>
        </w:tblPrEx>
        <w:trPr>
          <w:trHeight w:val="3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行间级精密空调内机30KW制冷量</w:t>
            </w:r>
          </w:p>
        </w:tc>
        <w:tc>
          <w:tcPr>
            <w:tcW w:w="6787" w:type="dxa"/>
            <w:vMerge w:val="restart"/>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1.总制冷量（kW）≥25.8，显冷量（kW）≥25.8，风量（m³/h）≥5000，电加热量（kW）≥3，加湿量（kg/h）≥1.5;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2.电源模式：三相380V，功能类型：单冷+加热+加湿；送风形式：前送后回，风机数量≥5；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3.送风形式：前送后回，风机数量≥5；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4.采用谷轮或日立全封闭变频涡旋压缩机，压缩机可根据实际负荷进行无级变速调节，制冷量可在大范围内快速变化。采用R410A环保制冷剂；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5.配置油分离器，保证机组可靠回油。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6.室内风机配置无级调速风机，使用直联式风机，不得采用皮带传动型风机，以防止采用皮带传动造成皮带松动和粉尘的污染，风机数量应不少于5个。</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7.室外风机采用无级调速冷凝风机，满足能够根据冷凝器压力自动无级调节风机转速，达到节能降耗的效果。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空气过滤器采用大面积高容量低风阻多褶板式初效过滤器，过滤器形状为“W”褶皱型，过滤器面积与表冷器面积应相同，以达到最长维护周期。过滤器安装于机组内部，空气过滤器应便于更换。过滤器应保证机房的洁净度达到GB 50174—2008《电子计算机机房设计规范》标准：每升空气中大于或等于0.5μM的尘粒数，应少于18000粒，满足G3~G4金属框架标准。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9.采用PTC电加热，最高表面温度不超过250℃，安全无明火，有过热保护功能。采用意大利卡乐电极加湿；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10.节流装置采用卡乐或者丹佛斯电子膨胀阀，可以更精确的控制蒸发器内制冷剂过热度，稳定的控制蒸发压力和蒸发量，保持较高的冷量输出；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11.室外机组提供冷凝风扇无级变速驱动器，无级变速驱动器能根据冷凝器管道内部压力变化自动调节冷凝风扇的运转速度。室外机组支持兼容水平安装和垂直安装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满足远程监控功能，具备RS485或以太网接口通信接口，支持Modbus通讯协议。系统具备至少16台机组联动控制功能。通过机组内的控制器，可使各机组自动轮换工作，以达到各机组工作时间基本相同。当群控功能失效，保证单机自动接管运行。空调都应有相同的完整的电脑控制系统，不允许同一场地中，某一台带有完整的可以进行监控的主板，而其他机组的控制系统没有监控功能，仅能串联在这台主机上，通过这台主机进行远程监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13.具有风机故障检测、加湿故障及加热器过热等报警及故障诊断、告警记录功能，具有自动保护、来电自动重启动等功能；具有大容量的故障报警记录储存功能及维护提示设定。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14.每台空调机组均应设有自动控制系统，采用先进的模糊逻辑控制或PID调解技术，能按机房要求的温度、湿度自动调解与控制机组的运行。系统可提供本地和远端两种控制模式。风冷行级精密空调控制器应采用意大利卡乐或自主开发品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15.配置不小于7英寸触摸彩色液晶屏；具有温湿度曲线显示功能及多级密码保护功能；机组需配滤网堵塞报警开关；每台精密空调必须配2个或以上的送风温度传感器，2个或以上的回风温度传感器，1个独立的温湿度传感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16.具备防凝露模式，能够保证机组正常运行时不出现凝露的现象。要求在进入该模式后触摸屏上有显示“防凝露”状态。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17.具有高可靠性，平均设计寿命≥15年。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18.机组满足在室外温度-20/-40～45℃正常运行，每天运行24小时，365天连续运行制冷，保证机房恒温恒湿控制；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19.电气性能符合IEC标准。来电自启动功能，具备延时启动功能，避免因来电闪断影响设备稳定性，或因多台设备同时开机导致前端供电开关因浪涌导致“跳闸”。空调机组的输入电源因故障恢复正常后，启动后空调机组设置的参数须与停机前的设置保持一致。</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1371"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行间级精密空调外机</w:t>
            </w:r>
          </w:p>
        </w:tc>
        <w:tc>
          <w:tcPr>
            <w:tcW w:w="6787" w:type="dxa"/>
            <w:vMerge w:val="continue"/>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ascii="宋体" w:hAnsi="宋体" w:cs="宋体"/>
                <w:color w:val="auto"/>
                <w:kern w:val="0"/>
                <w:sz w:val="18"/>
                <w:szCs w:val="18"/>
                <w:lang w:bidi="ar"/>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精密空调辅材组件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含50米内的铜管、保温管、弯头及冷凝剂等辅材。</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7 </w:t>
            </w:r>
          </w:p>
        </w:tc>
      </w:tr>
      <w:tr>
        <w:tblPrEx>
          <w:tblCellMar>
            <w:top w:w="0" w:type="dxa"/>
            <w:left w:w="0" w:type="dxa"/>
            <w:bottom w:w="0" w:type="dxa"/>
            <w:right w:w="0" w:type="dxa"/>
          </w:tblCellMar>
        </w:tblPrEx>
        <w:trPr>
          <w:trHeight w:val="16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基站式12.5KW空调（含外机）</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1.基站式精密空调，室内机采用上前送风，制冷量≥12.5KW，显冷量≥11.5KW；风量≥3200m³/h，采用铜管套冲缝型亲水铝翘片式“/”型蒸发器盘管；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2.高效可靠的压缩机，加热加湿，EC风机，整体机组采用380V/50Hz供电，配备可编程液晶显示器，RS485通信接口，R22(未冲)、不含风帽；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3.室外机采用无级调速方式，常温型（-20℃）；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4.与行间级精密空调同一品牌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16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基站式7.6KW空调室内机（含外机）</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1.基站式精密空调，室内机采用上前送风，制冷量≥7.5KW，显冷量≥6.9KW；风量≥2000m³/h，采用铜管套冲缝型亲水铝翘片式“/”型蒸发器盘管；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2.高效可靠的压缩机，加热加湿，EC风机，整体机组采用380V/50Hz供电，配备可编程液晶显示器，RS485通信接口，R22(未冲)、不含风帽；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3.室外机采用无级调速方式，常温型（-20℃）；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4.与行间级精密空调同一品牌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冷冻油</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精密空调冷冻油,1L/桶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三、新、排（烟）风系统</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离心排烟风机 6000m³风量</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离心式排风机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风量：每小时6000m³</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冷热预处理新风机 3000m³风量</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冷热预处理新风机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风量：3000m³风量</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新风风道 镀锌钢板定制 400*400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168 </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新风风道（送风）保温 20mm橡塑+铝箔</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168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铝合金风口（送风） 300*300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8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铝合金风口（回风） φ150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8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防火阀 400*400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新风止回阀 400*400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标准化机房-弱电系统</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一、动力环境监控系统</w:t>
            </w:r>
          </w:p>
        </w:tc>
      </w:tr>
      <w:tr>
        <w:tblPrEx>
          <w:tblCellMar>
            <w:top w:w="0" w:type="dxa"/>
            <w:left w:w="0" w:type="dxa"/>
            <w:bottom w:w="0" w:type="dxa"/>
            <w:right w:w="0" w:type="dxa"/>
          </w:tblCellMar>
        </w:tblPrEx>
        <w:trPr>
          <w:trHeight w:val="52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动环集中监控中心软件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1.采用B/S架构和最新HTML5+Ajax+Websocket技术，建立可扩充的整体平台，实现多套动环监控系统的联网集中管控，支持IE浏览器远程管理；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2.支持大屏模式、列表模式、地图模式对多个节点集中监控，大屏模式将机房视图、地区机房统计、机房实时数据、实时告警、机房健康统计、定时自动巡视机房等以动态方式全屏集中展现。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3.系统实时监控（UPS、空调、供配电、温湿度、烟感、漏水）等设备，采用HTML5技术，动态图表的方式实时显示监测数据，同时支持新设备的组态添加；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4.系统实时显示不同的设备的告警信息，提供多种报警方式（短信、声光、邮件等），支持4级报警级别设置；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5.系统对用户进行权限管理、菜单和动环设备组态管理、网络IP地址管理、报表管理、历史数据查询、Excel格式报表下载等功能；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6.系统保存1年的历史数据，包括设备监测数据、告警数据、操作日志等，用户可在时间段内查询所有历史数据；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7.具备视频监控功能，可根据需求分配管理员对每个视频监控设备的远程访问权限；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8.具备门禁管理功能，可根据需求分配每个管理员对每个门禁的远程开门权限，可实时采集每个出入口的进出资料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9.系统具备自守护功能，实现网络、数据库和系统异常的主动发现和重置恢复；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10.★具有中国信息安全测评中心出具的动环集中监控中心信息安全测评报告，提供复印件并厂商盖章。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UPS系统软件模块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远程查看UPS的输入、输出、旁路的电压，电池，负载等各部件的运行状态与参数，形成曲线报表，UPS故障报警。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供配电系统软件模块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远程查看配电柜的单相电压、三相电压、电流、频率、功率因数、有功功率、无功功率等，形成曲线报表。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PDU系统软件模块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远程查看PDU如电流负载、电压、功率等运行参数。记录PDU参数曲线，参数越限提供报警。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精密空调系统软件模块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远程查看空调各部件如压缩机、风机、加热器、加湿器、去湿器等的运行状态及回风温度、湿度等运行参数，形成曲线报表，空调故障报警。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漏水系统软件模块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远程查看空调漏水情况，当发生漏水提供报警。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温湿度系统软件模块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1.远程查看温湿度曲线，形成曲线报表，参数越限提供报警；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消防系统软件模块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远程查看室内火灾情况，探测器一旦报警，系统软件通过多种报警方式通知相关管理人员。</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短信报警软件系统</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1.提供短信报警通知，客户需自行提供SIM卡，支持移动GSM；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邮件报警软件系统</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提供邮件报警通知，客户自行提供SMTP服务。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视频监控系统软件模块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集成视频监控系统，对整个视频系统进行统一管理，实现对图像实时画面查看。</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门禁监控系统软件模块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1.集成门禁管理系统，用户通过操作集中监控中心，达成对门禁系统管理的所有功能如发卡、进入人员记录、控制门禁打开或关闭、门禁状态查看等；</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12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APP远程管理软件模块</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1.提供手机动环APP，能监控机房实时统计信息，监控每个单体机状态信息及单体机中设备实时数据；能显示实时告警信息和告警数量，可按时间和单体机房查询历史告警信息。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2.★具有动环监控手机客户端软件的“软件著作权登记”证书，提供复印件并厂商盖章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15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工业触摸屏9.7寸</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1.配置9.7英寸工业触摸屏，提供本地屏端管理；实时监控（UPS、空调、供配电、温湿度、烟感、漏水）等设备；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2.触屏尺寸9.7”4:3 分辨率1024x768；色彩24位色；Glass+Glass 透射式多点电容触摸屏；CPU600MHz ARM Cortex-A8；存储器128MB Flash+128MB DDR3；RTC实时时钟内置；以太网10M/100M自适应；串行通讯端口COM1/COM4端口RS232/RS485/RS422；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63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动环监控主机</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1.标准1U机架式安装，采用嵌入式系统，内置10/100M网络交换模块，内置短信报警模块，基于ARM Cortex 四核、主频1.5GHz的CPU，存储器具有1G内存，8G Flash；</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2.设备前端具有1个电源指示灯、一个短信SIM卡槽；外形尺寸440*250*44mm；设备后端接口如下：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电源输入端口：1路AC220V/150~245V @10A电源输入；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电源输出端口：2路DC12V/1A电源输出，2路DC24V/1A电源输出；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以太网络端口：2路10/100M 以太网接口；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信号采集端口：8*DI，RJ45接口，对外提供12V直流电源，限流0.5A；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信号控制端口：4*DO，2EDG接口，对外提供12V直流电源，限流0.5A；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信号输入端口：2路RS485信号输入端，8*RS485，RJ45接口，对外提供12V直流电源，限流0.5A；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信号输出端口：1*RS485，RJ45接口，对外提供12V直流电源，限流0.5A；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3.提供远程管理，满足冷通道内多套温湿度、水浸监控、烟感、空调、配电、UPS设备的监控管理，提供短信、邮件、声光等多元化报警；支持远程网页实时数据查看、历史数据查询和下载、系统参数设置管理等；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4.支持与触屏一体机对接，实现在本地触摸屏实时查看温湿度、水浸、烟感、空调、配电、UPS等设备的实时监控数据；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5.在磁场强度 100A/m下，进行不少于5次正、负极性脉冲实验，脉冲之间的时间间隔应不少于10s，动环监控主机脉冲磁场抗扰度在规范极限值内性能正常。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6.在磁场强度10A/m，感应线圈旋转 90°，振荡频率为1MHz，重复率为400 次/s，施加持续时间2s的状态下，将动环监控主机置于 1m×1m 的磁场感应线圈中心，持续时间不少于1分钟，其阻尼振荡磁场抗扰度在规范极限值内性能正常。</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短信报警设备</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提供短信报警通知，客户需自行提供SIM卡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声光报警设备</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系统一旦检测到参数值越限、设备故障等可通过本地声光报警提醒管理人员及时处理。</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数显温湿度传感器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供电电源：12VDC；显示：数码显示参数值，自检显示；测湿范围：0-100% RH，精度：±3%RH（25℃时）；测温范围：-20℃～60℃，精度：±0.5℃（全量程内）；输出：RS485；工作环境：-20℃～60℃，0-100% RH；</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光电烟感探测器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工作电压：DC 12V；静态电流：≤8mA；报警电流：≤35mA；工作温度：-10℃～50℃；环境温度：≤95%RH；安装方式：吸顶；输出：常开/常闭；传感器类型：红外光电管；灵敏度等级：符合（GB4715-93）4.22火灾灵敏程度试验标准；尺寸：φ112×41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非定位式漏水控制器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灵敏度可调，遇到极少水即可报警；输出形式：干接点；短路时阻抗＜50Ω，负载电压＜60V，负载电流＜30mA；告警：负载不超过最大值，否则会导致适配器的损坏。漏水绳长定制。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3.5M漏水绳</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长度3</w:t>
            </w:r>
            <w:r>
              <w:rPr>
                <w:rStyle w:val="60"/>
                <w:rFonts w:hint="default"/>
                <w:color w:val="auto"/>
                <w:sz w:val="18"/>
                <w:szCs w:val="18"/>
                <w:lang w:bidi="ar"/>
              </w:rPr>
              <w:t>.5；探测密度：全线程；螺旋体直径：6-8mm；传感线间距：6-10mm。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200W红外半球</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200万1/2.7”CMOS ICR日夜型半球型网络摄像机；最高分辨率可达1920×1080 @ 30 fps,在该分辨率下可输出实时图像，红外照射距离最远</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网络硬盘录像机</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1.5U机箱，支持80M/160M/200M网络接入带宽；支持最大500M像素接入；支持HDMI/VGA高清输出；支持4SATA；支持2个1000M网口；支持2个USB 2.0，1个USB 3.0，支持1路同步回放；16个支持POE功能10M/100M自适应交换网口；</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硬盘</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录像存储硬盘，容量4</w:t>
            </w:r>
            <w:r>
              <w:rPr>
                <w:rStyle w:val="60"/>
                <w:rFonts w:hint="default"/>
                <w:color w:val="auto"/>
                <w:sz w:val="18"/>
                <w:szCs w:val="18"/>
                <w:lang w:bidi="ar"/>
              </w:rPr>
              <w:t>T</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四门门禁控制板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可管理4个门、支持四组15.6万用户数据、25万笔事件记录、提供4组开门继电器、支持消防联动匪警联动、4组出门开关、4组门磁开门、8组Wiegand读卡器接口，提供RS485接口TCP/IP接口。支持DC9V至14V工作电压、工作电流&lt; 280mA。</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专用控制电源箱</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门禁控制器专用电源箱、内置专用电源与保护盖，支持AC220V输入，DC12V3.5A输出，自带保险电路。</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ID卡指纹密码读卡器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支持2000个指纹、ID卡，支持指纹、读卡、密码三种开门模式、支持门磁报警、可作为WG26指纹读卡器、可以使用U盘数据备份与数据互拷。</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双门磁力锁</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明装型普通双门锁，通电上锁无残磁、无机械磨损、双门，有LED指示，适用于90度开的任何有框门、无框门或内推门可选择配件，电压：DC12V输入，工作电流：900mA，抗拉力：2*260kg-2*280kg，重量：3.78kg  尺寸：500*47*26mm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单门磁力锁</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明装型普通单门锁，通电上锁无残磁、无机械磨损、单门，有LED指示，适用于90度开的任何有框门、无框门或内推门可选择配件，电压：DC12V输入，工作电流：450MA，抗拉力：260-280kg,重量：1.89kg  尺寸：250*47*26mm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出门开关</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50万次机械使用寿命，适合标准86电器接线暗盒使用，PC防火材料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ID发卡器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感应式发卡器，适用卡类：EM格式的ID感应卡，重量：100克，读卡距离：&gt;80mm，读卡时间：&lt;100ms，通信接口：USB设备接口，数据格式：10位十进制卡号，适用：各类ID卡数字身份识别系统</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ID卡</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ID卡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交换机</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用于动环监控主机、触屏一体机、硬盘录像机、门禁控制系统的联网。</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托架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用户动环监控主机、服务器、硬盘录像机的安装支撑</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动环安装辅材</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动环系统安装辅材</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二、综合布线系统</w:t>
            </w:r>
          </w:p>
        </w:tc>
      </w:tr>
      <w:tr>
        <w:tblPrEx>
          <w:tblCellMar>
            <w:top w:w="0" w:type="dxa"/>
            <w:left w:w="0" w:type="dxa"/>
            <w:bottom w:w="0" w:type="dxa"/>
            <w:right w:w="0" w:type="dxa"/>
          </w:tblCellMar>
        </w:tblPrEx>
        <w:trPr>
          <w:trHeight w:val="33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UTP Cat.6</w:t>
            </w:r>
            <w:r>
              <w:rPr>
                <w:rStyle w:val="60"/>
                <w:rFonts w:hint="default"/>
                <w:color w:val="auto"/>
                <w:sz w:val="18"/>
                <w:szCs w:val="18"/>
                <w:lang w:bidi="ar"/>
              </w:rPr>
              <w:t>线缆</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1.符合标准：ISO/IEC 11801：2008；IEC 61156-5-2009；TIA /EIA- 568-C.2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2.通过标准250MHz带宽测试要求 可扩展到550MHz带宽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3.单根导体直流电阻：≤9.0Ω/100m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4.额定传输速率(NVP)：68%</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5.电缆对数：4对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6.十字骨架材料：PE混合物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7.导体材料：无氧圆铜（纯度99.99%）</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8.导体线规：23AWG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9.绝缘材料：HDPE</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10.屏蔽方式：U/UTP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11.电缆外径：6.3±0.3mm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12.外护套材料：PVS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13.工作温度：-20℃～+60℃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14.交货长度（米/盘）：305米/箱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15.最小弯曲半径：10倍电缆外径</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箱</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25</w:t>
            </w:r>
          </w:p>
        </w:tc>
      </w:tr>
      <w:tr>
        <w:tblPrEx>
          <w:tblCellMar>
            <w:top w:w="0" w:type="dxa"/>
            <w:left w:w="0" w:type="dxa"/>
            <w:bottom w:w="0" w:type="dxa"/>
            <w:right w:w="0" w:type="dxa"/>
          </w:tblCellMar>
        </w:tblPrEx>
        <w:trPr>
          <w:trHeight w:val="292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UTP Cat.6</w:t>
            </w:r>
            <w:r>
              <w:rPr>
                <w:rStyle w:val="60"/>
                <w:rFonts w:hint="default"/>
                <w:color w:val="auto"/>
                <w:sz w:val="18"/>
                <w:szCs w:val="18"/>
                <w:lang w:bidi="ar"/>
              </w:rPr>
              <w:t>配线架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1.符合标准：ISO/IEC 11801:2008；YD/T 926.3-2009；TIA /EIA- 568-C.2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2.标准19英寸机架式安装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3.端口数量：24位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4.IDC材料：磷青铜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5.金针：磷青铜表面镀金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6.屏蔽方式：非屏蔽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7.卡线后座及线缆保护盖：PC 材料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8.进行方式：180°垂直进线方式，45°斜角卡线簧片设计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9.打线方式：110工具端接方式，兼容T568A/B两种端接方式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10.插头与插座插合次数：≥1000次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11.导线端接次数：≥250次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12.卡接导体线规：22~26AWG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13.工作温度：-25～60℃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48</w:t>
            </w:r>
          </w:p>
        </w:tc>
      </w:tr>
      <w:tr>
        <w:tblPrEx>
          <w:tblCellMar>
            <w:top w:w="0" w:type="dxa"/>
            <w:left w:w="0" w:type="dxa"/>
            <w:bottom w:w="0" w:type="dxa"/>
            <w:right w:w="0" w:type="dxa"/>
          </w:tblCellMar>
        </w:tblPrEx>
        <w:trPr>
          <w:trHeight w:val="27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UTP Cat.6</w:t>
            </w:r>
            <w:r>
              <w:rPr>
                <w:rStyle w:val="60"/>
                <w:rFonts w:hint="default"/>
                <w:color w:val="auto"/>
                <w:sz w:val="18"/>
                <w:szCs w:val="18"/>
                <w:lang w:bidi="ar"/>
              </w:rPr>
              <w:t>跳线</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1.符合标准：ISO/IEC 11801:2008；YD/T 926.3-2009；TIA /EIA- 568-C.2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2.导体结构: 多股绞合</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3.跳线长度：2M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4.导体材料：无氧圆铜(纯度99.99%),</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5.RJ45接口: 8P8C</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6.RJ45簧片材料：磷青铜表面镀金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7.导体线规：23AWG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8.RJ45接口 插拔次数≥1000次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9.插头护套：聚氯乙烯(PVC)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10.跳线包装方式：1根/袋（PE彩袋）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11.使用温度：-20℃～+60℃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12.护套颜色：GY-灰其它长度的跳线均可定做</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576</w:t>
            </w:r>
          </w:p>
        </w:tc>
      </w:tr>
      <w:tr>
        <w:tblPrEx>
          <w:tblCellMar>
            <w:top w:w="0" w:type="dxa"/>
            <w:left w:w="0" w:type="dxa"/>
            <w:bottom w:w="0" w:type="dxa"/>
            <w:right w:w="0" w:type="dxa"/>
          </w:tblCellMar>
        </w:tblPrEx>
        <w:trPr>
          <w:trHeight w:val="202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光纤配线架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1.符合标准：ISO/IEC  11801：2008；ANSI/TIA/EIA-568-C.3；YD/T778-2006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2.端口数量：24位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3.端口类型：LC双工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4.表面处理：静电喷塑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5.安装方式：19″机架式安装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6.材料：优质冷扎钢板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7.表面颜色：黑色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8.工作温度：-25℃～+60℃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9.进出光纤方便灵活，有充裕的光纤盘存空间，光纤和尾纤弯曲半径不小于30mm</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24</w:t>
            </w:r>
          </w:p>
        </w:tc>
      </w:tr>
      <w:tr>
        <w:tblPrEx>
          <w:tblCellMar>
            <w:top w:w="0" w:type="dxa"/>
            <w:left w:w="0" w:type="dxa"/>
            <w:bottom w:w="0" w:type="dxa"/>
            <w:right w:w="0" w:type="dxa"/>
          </w:tblCellMar>
        </w:tblPrEx>
        <w:trPr>
          <w:trHeight w:val="22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ODF</w:t>
            </w:r>
            <w:r>
              <w:rPr>
                <w:rStyle w:val="60"/>
                <w:rFonts w:hint="default"/>
                <w:color w:val="auto"/>
                <w:sz w:val="18"/>
                <w:szCs w:val="18"/>
                <w:lang w:bidi="ar"/>
              </w:rPr>
              <w:t>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1.符合标准：ISO/IEC  11801：2008；ANSI/TIA/EIA-568-C.3；YD/T778-2006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2.材料结构：金属框架，表面涂装静电喷塑，塑料组件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3.进出光纤方便灵活，有充裕的光纤盘存空间，光纤和尾纤弯曲半径不小于30mm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4.抽拉式设计，集熔接配线一体化的熔接配线配件 ，不含适配器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5.每盘端口数量：12位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6.端口类型：ST 、FC、SC、LC双工通用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7.安装方式：19″机架式安装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8.材料：优质钢板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9.表面颜色：白色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10.工作温度：-25℃～+60℃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6</w:t>
            </w:r>
          </w:p>
        </w:tc>
      </w:tr>
      <w:tr>
        <w:tblPrEx>
          <w:tblCellMar>
            <w:top w:w="0" w:type="dxa"/>
            <w:left w:w="0" w:type="dxa"/>
            <w:bottom w:w="0" w:type="dxa"/>
            <w:right w:w="0" w:type="dxa"/>
          </w:tblCellMar>
        </w:tblPrEx>
        <w:trPr>
          <w:trHeight w:val="13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LC</w:t>
            </w:r>
            <w:r>
              <w:rPr>
                <w:rStyle w:val="60"/>
                <w:rFonts w:hint="default"/>
                <w:color w:val="auto"/>
                <w:sz w:val="18"/>
                <w:szCs w:val="18"/>
                <w:lang w:bidi="ar"/>
              </w:rPr>
              <w:t>双工多模适配器</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1.卡锁式插接结构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2.材料：氧化锆陶瓷套管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3.插入损耗（含重复性）：≤0.2dB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4.重复性：≥1000次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5.互换性：≤0.2dB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6.工作温度：-25℃~+70℃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288</w:t>
            </w:r>
          </w:p>
        </w:tc>
      </w:tr>
      <w:tr>
        <w:tblPrEx>
          <w:tblCellMar>
            <w:top w:w="0" w:type="dxa"/>
            <w:left w:w="0" w:type="dxa"/>
            <w:bottom w:w="0" w:type="dxa"/>
            <w:right w:w="0" w:type="dxa"/>
          </w:tblCellMar>
        </w:tblPrEx>
        <w:trPr>
          <w:trHeight w:val="24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室内多模</w:t>
            </w:r>
            <w:r>
              <w:rPr>
                <w:rStyle w:val="61"/>
                <w:rFonts w:ascii="宋体" w:hAnsi="宋体"/>
                <w:color w:val="auto"/>
                <w:sz w:val="18"/>
                <w:szCs w:val="18"/>
                <w:lang w:bidi="ar"/>
              </w:rPr>
              <w:t>12</w:t>
            </w:r>
            <w:r>
              <w:rPr>
                <w:rStyle w:val="60"/>
                <w:rFonts w:hint="default"/>
                <w:color w:val="auto"/>
                <w:sz w:val="18"/>
                <w:szCs w:val="18"/>
                <w:lang w:bidi="ar"/>
              </w:rPr>
              <w:t>芯光缆</w:t>
            </w:r>
            <w:r>
              <w:rPr>
                <w:rStyle w:val="61"/>
                <w:rFonts w:ascii="宋体" w:hAnsi="宋体"/>
                <w:color w:val="auto"/>
                <w:sz w:val="18"/>
                <w:szCs w:val="18"/>
                <w:lang w:bidi="ar"/>
              </w:rPr>
              <w:t xml:space="preserve"> OM3</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1.符合标准：ISO/IEC 11801:2008；TIA/EIA-568-C.3；YD/T1272-2009</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2.衰减＠20℃（DB/Km）： ＠850≤3.5，＠1300≤1.5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3.光纤规格：A1a（50/125μm），A1b（62.5/125μm）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4.动态/静态弯曲半径：20D/10D</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5.允许压扁（N/100mm）: 200/440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6.允许拉伸力（N）: 200/1000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7.紧套光纤外径：0.9±0.05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8.外护套颜色：橙色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9.芯数：12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10.使用温度：-20℃～+60℃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11.敷设方式：管道、隧道、导管等敷设</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300</w:t>
            </w:r>
          </w:p>
        </w:tc>
      </w:tr>
      <w:tr>
        <w:tblPrEx>
          <w:tblCellMar>
            <w:top w:w="0" w:type="dxa"/>
            <w:left w:w="0" w:type="dxa"/>
            <w:bottom w:w="0" w:type="dxa"/>
            <w:right w:w="0" w:type="dxa"/>
          </w:tblCellMar>
        </w:tblPrEx>
        <w:trPr>
          <w:trHeight w:val="638"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LC</w:t>
            </w:r>
            <w:r>
              <w:rPr>
                <w:rStyle w:val="60"/>
                <w:rFonts w:hint="default"/>
                <w:color w:val="auto"/>
                <w:sz w:val="18"/>
                <w:szCs w:val="18"/>
                <w:lang w:bidi="ar"/>
              </w:rPr>
              <w:t>双芯多模尾纤</w:t>
            </w:r>
            <w:r>
              <w:rPr>
                <w:rStyle w:val="61"/>
                <w:rFonts w:ascii="宋体" w:hAnsi="宋体"/>
                <w:color w:val="auto"/>
                <w:sz w:val="18"/>
                <w:szCs w:val="18"/>
                <w:lang w:bidi="ar"/>
              </w:rPr>
              <w:t xml:space="preserve"> OM3</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1.依据标准出厂前100%光学测试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2.接头材料：氧化锆陶瓷插芯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3.插入损耗（含重复性）：≤0.2dB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4.回波损耗：≥50dB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5.重复性≥1000次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6.互换性：≤0.2dB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7.长度：1M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8.工作温度：-25℃~+70℃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288</w:t>
            </w:r>
          </w:p>
        </w:tc>
      </w:tr>
      <w:tr>
        <w:tblPrEx>
          <w:tblCellMar>
            <w:top w:w="0" w:type="dxa"/>
            <w:left w:w="0" w:type="dxa"/>
            <w:bottom w:w="0" w:type="dxa"/>
            <w:right w:w="0" w:type="dxa"/>
          </w:tblCellMar>
        </w:tblPrEx>
        <w:trPr>
          <w:trHeight w:val="18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LC-LC</w:t>
            </w:r>
            <w:r>
              <w:rPr>
                <w:rStyle w:val="60"/>
                <w:rFonts w:hint="default"/>
                <w:color w:val="auto"/>
                <w:sz w:val="18"/>
                <w:szCs w:val="18"/>
                <w:lang w:bidi="ar"/>
              </w:rPr>
              <w:t>双芯多模跳线</w:t>
            </w:r>
            <w:r>
              <w:rPr>
                <w:rStyle w:val="61"/>
                <w:rFonts w:ascii="宋体" w:hAnsi="宋体"/>
                <w:color w:val="auto"/>
                <w:sz w:val="18"/>
                <w:szCs w:val="18"/>
                <w:lang w:bidi="ar"/>
              </w:rPr>
              <w:t xml:space="preserve"> OM3</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1.依据标准出厂前100%光学测试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2.接头材料：氧化锆陶瓷插芯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3.插入损耗（含重复性）：≤0.2dB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4.回波损耗：≥50dB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5.重复性≥1000次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6.互换性：≤0.2dB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7.长度：3M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8.工作温度：-25℃~+70℃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auto"/>
                <w:sz w:val="18"/>
                <w:szCs w:val="18"/>
              </w:rPr>
            </w:pPr>
            <w:r>
              <w:rPr>
                <w:rFonts w:ascii="宋体" w:hAnsi="宋体" w:cs="Calibri"/>
                <w:color w:val="auto"/>
                <w:kern w:val="0"/>
                <w:sz w:val="18"/>
                <w:szCs w:val="18"/>
                <w:lang w:bidi="ar"/>
              </w:rPr>
              <w:t>144</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标准化机房-消防系统</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292"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产品名称</w:t>
            </w:r>
          </w:p>
        </w:tc>
        <w:tc>
          <w:tcPr>
            <w:tcW w:w="6787"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w:t>
            </w:r>
          </w:p>
        </w:tc>
        <w:tc>
          <w:tcPr>
            <w:tcW w:w="514"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571"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一、惰性气体灭火系统</w:t>
            </w:r>
          </w:p>
        </w:tc>
      </w:tr>
      <w:tr>
        <w:tblPrEx>
          <w:tblCellMar>
            <w:top w:w="0" w:type="dxa"/>
            <w:left w:w="0" w:type="dxa"/>
            <w:bottom w:w="0" w:type="dxa"/>
            <w:right w:w="0" w:type="dxa"/>
          </w:tblCellMar>
        </w:tblPrEx>
        <w:trPr>
          <w:trHeight w:val="1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七氟丙烷灭火剂</w:t>
            </w:r>
          </w:p>
        </w:tc>
        <w:tc>
          <w:tcPr>
            <w:tcW w:w="6787"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标准大气压下的沸点-16.4℃</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凝固点-131℃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临界温度101.7℃</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临界压力2912Kpa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临界体积274CC/mole</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临界密度621Kg/m³</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kg</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406</w:t>
            </w:r>
          </w:p>
        </w:tc>
      </w:tr>
      <w:tr>
        <w:tblPrEx>
          <w:tblCellMar>
            <w:top w:w="0" w:type="dxa"/>
            <w:left w:w="0" w:type="dxa"/>
            <w:bottom w:w="0" w:type="dxa"/>
            <w:right w:w="0" w:type="dxa"/>
          </w:tblCellMar>
        </w:tblPrEx>
        <w:trPr>
          <w:trHeight w:val="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柜式七氟丙烷气体灭火装置</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★充装压力</w:t>
            </w:r>
            <w:r>
              <w:rPr>
                <w:rStyle w:val="61"/>
                <w:rFonts w:ascii="宋体" w:hAnsi="宋体"/>
                <w:color w:val="auto"/>
                <w:sz w:val="18"/>
                <w:szCs w:val="18"/>
                <w:lang w:bidi="ar"/>
              </w:rPr>
              <w:t>:2.5Mpa</w:t>
            </w:r>
            <w:r>
              <w:rPr>
                <w:rStyle w:val="60"/>
                <w:rFonts w:hint="default"/>
                <w:color w:val="auto"/>
                <w:sz w:val="18"/>
                <w:szCs w:val="18"/>
                <w:lang w:bidi="ar"/>
              </w:rPr>
              <w:t>，气瓶容积</w:t>
            </w:r>
            <w:r>
              <w:rPr>
                <w:rStyle w:val="61"/>
                <w:rFonts w:ascii="宋体" w:hAnsi="宋体"/>
                <w:color w:val="auto"/>
                <w:sz w:val="18"/>
                <w:szCs w:val="18"/>
                <w:lang w:bidi="ar"/>
              </w:rPr>
              <w:t>:70L</w:t>
            </w:r>
            <w:r>
              <w:rPr>
                <w:rStyle w:val="60"/>
                <w:rFonts w:hint="default"/>
                <w:color w:val="auto"/>
                <w:sz w:val="18"/>
                <w:szCs w:val="18"/>
                <w:lang w:bidi="ar"/>
              </w:rPr>
              <w:t>，使用环境温度：</w:t>
            </w:r>
            <w:r>
              <w:rPr>
                <w:rStyle w:val="61"/>
                <w:rFonts w:ascii="宋体" w:hAnsi="宋体"/>
                <w:color w:val="auto"/>
                <w:sz w:val="18"/>
                <w:szCs w:val="18"/>
                <w:lang w:bidi="ar"/>
              </w:rPr>
              <w:t>0~50</w:t>
            </w:r>
            <w:r>
              <w:rPr>
                <w:rStyle w:val="60"/>
                <w:rFonts w:hint="default"/>
                <w:color w:val="auto"/>
                <w:sz w:val="18"/>
                <w:szCs w:val="18"/>
                <w:lang w:bidi="ar"/>
              </w:rPr>
              <w:t>℃，喷射时间：≤</w:t>
            </w:r>
            <w:r>
              <w:rPr>
                <w:rStyle w:val="61"/>
                <w:rFonts w:ascii="宋体" w:hAnsi="宋体"/>
                <w:color w:val="auto"/>
                <w:sz w:val="18"/>
                <w:szCs w:val="18"/>
                <w:lang w:bidi="ar"/>
              </w:rPr>
              <w:t>10S</w:t>
            </w:r>
            <w:r>
              <w:rPr>
                <w:rStyle w:val="60"/>
                <w:rFonts w:hint="default"/>
                <w:color w:val="auto"/>
                <w:sz w:val="18"/>
                <w:szCs w:val="18"/>
                <w:lang w:bidi="ar"/>
              </w:rPr>
              <w:t>，电磁阀工作电压：</w:t>
            </w:r>
            <w:r>
              <w:rPr>
                <w:rStyle w:val="61"/>
                <w:rFonts w:ascii="宋体" w:hAnsi="宋体"/>
                <w:color w:val="auto"/>
                <w:sz w:val="18"/>
                <w:szCs w:val="18"/>
                <w:lang w:bidi="ar"/>
              </w:rPr>
              <w:t>DC24V</w:t>
            </w:r>
            <w:r>
              <w:rPr>
                <w:rStyle w:val="60"/>
                <w:rFonts w:hint="default"/>
                <w:color w:val="auto"/>
                <w:sz w:val="18"/>
                <w:szCs w:val="18"/>
                <w:lang w:bidi="ar"/>
              </w:rPr>
              <w:t>，启动电流</w:t>
            </w:r>
            <w:r>
              <w:rPr>
                <w:rStyle w:val="61"/>
                <w:rFonts w:ascii="宋体" w:hAnsi="宋体"/>
                <w:color w:val="auto"/>
                <w:sz w:val="18"/>
                <w:szCs w:val="18"/>
                <w:lang w:bidi="ar"/>
              </w:rPr>
              <w:t>(</w:t>
            </w:r>
            <w:r>
              <w:rPr>
                <w:rStyle w:val="60"/>
                <w:rFonts w:hint="default"/>
                <w:color w:val="auto"/>
                <w:sz w:val="18"/>
                <w:szCs w:val="18"/>
                <w:lang w:bidi="ar"/>
              </w:rPr>
              <w:t xml:space="preserve">每组 </w:t>
            </w:r>
            <w:r>
              <w:rPr>
                <w:rStyle w:val="61"/>
                <w:rFonts w:ascii="宋体" w:hAnsi="宋体"/>
                <w:color w:val="auto"/>
                <w:sz w:val="18"/>
                <w:szCs w:val="18"/>
                <w:lang w:bidi="ar"/>
              </w:rPr>
              <w:t>A)</w:t>
            </w:r>
            <w:r>
              <w:rPr>
                <w:rStyle w:val="60"/>
                <w:rFonts w:hint="default"/>
                <w:color w:val="auto"/>
                <w:sz w:val="18"/>
                <w:szCs w:val="18"/>
                <w:lang w:bidi="ar"/>
              </w:rPr>
              <w:t>：</w:t>
            </w:r>
            <w:r>
              <w:rPr>
                <w:rStyle w:val="61"/>
                <w:rFonts w:ascii="宋体" w:hAnsi="宋体"/>
                <w:color w:val="auto"/>
                <w:sz w:val="18"/>
                <w:szCs w:val="18"/>
                <w:lang w:bidi="ar"/>
              </w:rPr>
              <w:t>1</w:t>
            </w:r>
            <w:r>
              <w:rPr>
                <w:rStyle w:val="60"/>
                <w:rFonts w:hint="default"/>
                <w:color w:val="auto"/>
                <w:sz w:val="18"/>
                <w:szCs w:val="18"/>
                <w:lang w:bidi="ar"/>
              </w:rPr>
              <w:t>～</w:t>
            </w:r>
            <w:r>
              <w:rPr>
                <w:rStyle w:val="61"/>
                <w:rFonts w:ascii="宋体" w:hAnsi="宋体"/>
                <w:color w:val="auto"/>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柜式七氟丙烷气体灭火装置</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★充装压力</w:t>
            </w:r>
            <w:r>
              <w:rPr>
                <w:rStyle w:val="61"/>
                <w:rFonts w:ascii="宋体" w:hAnsi="宋体"/>
                <w:color w:val="auto"/>
                <w:sz w:val="18"/>
                <w:szCs w:val="18"/>
                <w:lang w:bidi="ar"/>
              </w:rPr>
              <w:t>:2.5Mpa</w:t>
            </w:r>
            <w:r>
              <w:rPr>
                <w:rStyle w:val="60"/>
                <w:rFonts w:hint="default"/>
                <w:color w:val="auto"/>
                <w:sz w:val="18"/>
                <w:szCs w:val="18"/>
                <w:lang w:bidi="ar"/>
              </w:rPr>
              <w:t>，气瓶容积</w:t>
            </w:r>
            <w:r>
              <w:rPr>
                <w:rStyle w:val="61"/>
                <w:rFonts w:ascii="宋体" w:hAnsi="宋体"/>
                <w:color w:val="auto"/>
                <w:sz w:val="18"/>
                <w:szCs w:val="18"/>
                <w:lang w:bidi="ar"/>
              </w:rPr>
              <w:t>:90L</w:t>
            </w:r>
            <w:r>
              <w:rPr>
                <w:rStyle w:val="60"/>
                <w:rFonts w:hint="default"/>
                <w:color w:val="auto"/>
                <w:sz w:val="18"/>
                <w:szCs w:val="18"/>
                <w:lang w:bidi="ar"/>
              </w:rPr>
              <w:t>，使用环境温度：</w:t>
            </w:r>
            <w:r>
              <w:rPr>
                <w:rStyle w:val="61"/>
                <w:rFonts w:ascii="宋体" w:hAnsi="宋体"/>
                <w:color w:val="auto"/>
                <w:sz w:val="18"/>
                <w:szCs w:val="18"/>
                <w:lang w:bidi="ar"/>
              </w:rPr>
              <w:t>0~50</w:t>
            </w:r>
            <w:r>
              <w:rPr>
                <w:rStyle w:val="60"/>
                <w:rFonts w:hint="default"/>
                <w:color w:val="auto"/>
                <w:sz w:val="18"/>
                <w:szCs w:val="18"/>
                <w:lang w:bidi="ar"/>
              </w:rPr>
              <w:t>℃，喷射时间：≤</w:t>
            </w:r>
            <w:r>
              <w:rPr>
                <w:rStyle w:val="61"/>
                <w:rFonts w:ascii="宋体" w:hAnsi="宋体"/>
                <w:color w:val="auto"/>
                <w:sz w:val="18"/>
                <w:szCs w:val="18"/>
                <w:lang w:bidi="ar"/>
              </w:rPr>
              <w:t>10S</w:t>
            </w:r>
            <w:r>
              <w:rPr>
                <w:rStyle w:val="60"/>
                <w:rFonts w:hint="default"/>
                <w:color w:val="auto"/>
                <w:sz w:val="18"/>
                <w:szCs w:val="18"/>
                <w:lang w:bidi="ar"/>
              </w:rPr>
              <w:t>，电磁阀工作电压：</w:t>
            </w:r>
            <w:r>
              <w:rPr>
                <w:rStyle w:val="61"/>
                <w:rFonts w:ascii="宋体" w:hAnsi="宋体"/>
                <w:color w:val="auto"/>
                <w:sz w:val="18"/>
                <w:szCs w:val="18"/>
                <w:lang w:bidi="ar"/>
              </w:rPr>
              <w:t>DC24V</w:t>
            </w:r>
            <w:r>
              <w:rPr>
                <w:rStyle w:val="60"/>
                <w:rFonts w:hint="default"/>
                <w:color w:val="auto"/>
                <w:sz w:val="18"/>
                <w:szCs w:val="18"/>
                <w:lang w:bidi="ar"/>
              </w:rPr>
              <w:t>，启动电流</w:t>
            </w:r>
            <w:r>
              <w:rPr>
                <w:rStyle w:val="61"/>
                <w:rFonts w:ascii="宋体" w:hAnsi="宋体"/>
                <w:color w:val="auto"/>
                <w:sz w:val="18"/>
                <w:szCs w:val="18"/>
                <w:lang w:bidi="ar"/>
              </w:rPr>
              <w:t>(</w:t>
            </w:r>
            <w:r>
              <w:rPr>
                <w:rStyle w:val="60"/>
                <w:rFonts w:hint="default"/>
                <w:color w:val="auto"/>
                <w:sz w:val="18"/>
                <w:szCs w:val="18"/>
                <w:lang w:bidi="ar"/>
              </w:rPr>
              <w:t xml:space="preserve">每组 </w:t>
            </w:r>
            <w:r>
              <w:rPr>
                <w:rStyle w:val="61"/>
                <w:rFonts w:ascii="宋体" w:hAnsi="宋体"/>
                <w:color w:val="auto"/>
                <w:sz w:val="18"/>
                <w:szCs w:val="18"/>
                <w:lang w:bidi="ar"/>
              </w:rPr>
              <w:t>A)</w:t>
            </w:r>
            <w:r>
              <w:rPr>
                <w:rStyle w:val="60"/>
                <w:rFonts w:hint="default"/>
                <w:color w:val="auto"/>
                <w:sz w:val="18"/>
                <w:szCs w:val="18"/>
                <w:lang w:bidi="ar"/>
              </w:rPr>
              <w:t>：</w:t>
            </w:r>
            <w:r>
              <w:rPr>
                <w:rStyle w:val="61"/>
                <w:rFonts w:ascii="宋体" w:hAnsi="宋体"/>
                <w:color w:val="auto"/>
                <w:sz w:val="18"/>
                <w:szCs w:val="18"/>
                <w:lang w:bidi="ar"/>
              </w:rPr>
              <w:t>1</w:t>
            </w:r>
            <w:r>
              <w:rPr>
                <w:rStyle w:val="60"/>
                <w:rFonts w:hint="default"/>
                <w:color w:val="auto"/>
                <w:sz w:val="18"/>
                <w:szCs w:val="18"/>
                <w:lang w:bidi="ar"/>
              </w:rPr>
              <w:t>～</w:t>
            </w:r>
            <w:r>
              <w:rPr>
                <w:rStyle w:val="61"/>
                <w:rFonts w:ascii="宋体" w:hAnsi="宋体"/>
                <w:color w:val="auto"/>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柜式七氟丙烷气体灭火装置</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★充装压力</w:t>
            </w:r>
            <w:r>
              <w:rPr>
                <w:rStyle w:val="61"/>
                <w:rFonts w:ascii="宋体" w:hAnsi="宋体"/>
                <w:color w:val="auto"/>
                <w:sz w:val="18"/>
                <w:szCs w:val="18"/>
                <w:lang w:bidi="ar"/>
              </w:rPr>
              <w:t>:2.5Mpa</w:t>
            </w:r>
            <w:r>
              <w:rPr>
                <w:rStyle w:val="60"/>
                <w:rFonts w:hint="default"/>
                <w:color w:val="auto"/>
                <w:sz w:val="18"/>
                <w:szCs w:val="18"/>
                <w:lang w:bidi="ar"/>
              </w:rPr>
              <w:t>，气瓶容积</w:t>
            </w:r>
            <w:r>
              <w:rPr>
                <w:rStyle w:val="61"/>
                <w:rFonts w:ascii="宋体" w:hAnsi="宋体"/>
                <w:color w:val="auto"/>
                <w:sz w:val="18"/>
                <w:szCs w:val="18"/>
                <w:lang w:bidi="ar"/>
              </w:rPr>
              <w:t>:120L</w:t>
            </w:r>
            <w:r>
              <w:rPr>
                <w:rStyle w:val="60"/>
                <w:rFonts w:hint="default"/>
                <w:color w:val="auto"/>
                <w:sz w:val="18"/>
                <w:szCs w:val="18"/>
                <w:lang w:bidi="ar"/>
              </w:rPr>
              <w:t>，使用环境温度：</w:t>
            </w:r>
            <w:r>
              <w:rPr>
                <w:rStyle w:val="61"/>
                <w:rFonts w:ascii="宋体" w:hAnsi="宋体"/>
                <w:color w:val="auto"/>
                <w:sz w:val="18"/>
                <w:szCs w:val="18"/>
                <w:lang w:bidi="ar"/>
              </w:rPr>
              <w:t>0~50</w:t>
            </w:r>
            <w:r>
              <w:rPr>
                <w:rStyle w:val="60"/>
                <w:rFonts w:hint="default"/>
                <w:color w:val="auto"/>
                <w:sz w:val="18"/>
                <w:szCs w:val="18"/>
                <w:lang w:bidi="ar"/>
              </w:rPr>
              <w:t>℃，喷射时间：≤</w:t>
            </w:r>
            <w:r>
              <w:rPr>
                <w:rStyle w:val="61"/>
                <w:rFonts w:ascii="宋体" w:hAnsi="宋体"/>
                <w:color w:val="auto"/>
                <w:sz w:val="18"/>
                <w:szCs w:val="18"/>
                <w:lang w:bidi="ar"/>
              </w:rPr>
              <w:t>10S</w:t>
            </w:r>
            <w:r>
              <w:rPr>
                <w:rStyle w:val="60"/>
                <w:rFonts w:hint="default"/>
                <w:color w:val="auto"/>
                <w:sz w:val="18"/>
                <w:szCs w:val="18"/>
                <w:lang w:bidi="ar"/>
              </w:rPr>
              <w:t>，电磁阀工作电压：</w:t>
            </w:r>
            <w:r>
              <w:rPr>
                <w:rStyle w:val="61"/>
                <w:rFonts w:ascii="宋体" w:hAnsi="宋体"/>
                <w:color w:val="auto"/>
                <w:sz w:val="18"/>
                <w:szCs w:val="18"/>
                <w:lang w:bidi="ar"/>
              </w:rPr>
              <w:t>DC24V</w:t>
            </w:r>
            <w:r>
              <w:rPr>
                <w:rStyle w:val="60"/>
                <w:rFonts w:hint="default"/>
                <w:color w:val="auto"/>
                <w:sz w:val="18"/>
                <w:szCs w:val="18"/>
                <w:lang w:bidi="ar"/>
              </w:rPr>
              <w:t>，启动电流</w:t>
            </w:r>
            <w:r>
              <w:rPr>
                <w:rStyle w:val="61"/>
                <w:rFonts w:ascii="宋体" w:hAnsi="宋体"/>
                <w:color w:val="auto"/>
                <w:sz w:val="18"/>
                <w:szCs w:val="18"/>
                <w:lang w:bidi="ar"/>
              </w:rPr>
              <w:t>(</w:t>
            </w:r>
            <w:r>
              <w:rPr>
                <w:rStyle w:val="60"/>
                <w:rFonts w:hint="default"/>
                <w:color w:val="auto"/>
                <w:sz w:val="18"/>
                <w:szCs w:val="18"/>
                <w:lang w:bidi="ar"/>
              </w:rPr>
              <w:t xml:space="preserve">每组 </w:t>
            </w:r>
            <w:r>
              <w:rPr>
                <w:rStyle w:val="61"/>
                <w:rFonts w:ascii="宋体" w:hAnsi="宋体"/>
                <w:color w:val="auto"/>
                <w:sz w:val="18"/>
                <w:szCs w:val="18"/>
                <w:lang w:bidi="ar"/>
              </w:rPr>
              <w:t>A)</w:t>
            </w:r>
            <w:r>
              <w:rPr>
                <w:rStyle w:val="60"/>
                <w:rFonts w:hint="default"/>
                <w:color w:val="auto"/>
                <w:sz w:val="18"/>
                <w:szCs w:val="18"/>
                <w:lang w:bidi="ar"/>
              </w:rPr>
              <w:t>：</w:t>
            </w:r>
            <w:r>
              <w:rPr>
                <w:rStyle w:val="61"/>
                <w:rFonts w:ascii="宋体" w:hAnsi="宋体"/>
                <w:color w:val="auto"/>
                <w:sz w:val="18"/>
                <w:szCs w:val="18"/>
                <w:lang w:bidi="ar"/>
              </w:rPr>
              <w:t>1</w:t>
            </w:r>
            <w:r>
              <w:rPr>
                <w:rStyle w:val="60"/>
                <w:rFonts w:hint="default"/>
                <w:color w:val="auto"/>
                <w:sz w:val="18"/>
                <w:szCs w:val="18"/>
                <w:lang w:bidi="ar"/>
              </w:rPr>
              <w:t>～</w:t>
            </w:r>
            <w:r>
              <w:rPr>
                <w:rStyle w:val="61"/>
                <w:rFonts w:ascii="宋体" w:hAnsi="宋体"/>
                <w:color w:val="auto"/>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25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自动泄压装置</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房间内压力达到一定时</w:t>
            </w:r>
            <w:r>
              <w:rPr>
                <w:rStyle w:val="61"/>
                <w:rFonts w:ascii="宋体" w:hAnsi="宋体"/>
                <w:color w:val="auto"/>
                <w:sz w:val="18"/>
                <w:szCs w:val="18"/>
                <w:lang w:bidi="ar"/>
              </w:rPr>
              <w:t>,</w:t>
            </w:r>
            <w:r>
              <w:rPr>
                <w:rStyle w:val="60"/>
                <w:rFonts w:hint="default"/>
                <w:color w:val="auto"/>
                <w:sz w:val="18"/>
                <w:szCs w:val="18"/>
                <w:lang w:bidi="ar"/>
              </w:rPr>
              <w:t>自动打开</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固定格栅(风口)</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25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自动泄压装置</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房间内压力达到一定时</w:t>
            </w:r>
            <w:r>
              <w:rPr>
                <w:rStyle w:val="61"/>
                <w:rFonts w:ascii="宋体" w:hAnsi="宋体"/>
                <w:color w:val="auto"/>
                <w:sz w:val="18"/>
                <w:szCs w:val="18"/>
                <w:lang w:bidi="ar"/>
              </w:rPr>
              <w:t>,</w:t>
            </w:r>
            <w:r>
              <w:rPr>
                <w:rStyle w:val="60"/>
                <w:rFonts w:hint="default"/>
                <w:color w:val="auto"/>
                <w:sz w:val="18"/>
                <w:szCs w:val="18"/>
                <w:lang w:bidi="ar"/>
              </w:rPr>
              <w:t>自动打开</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固定格栅(风口)</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增压喷漆管路</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二、火灾自动报警系统</w:t>
            </w:r>
          </w:p>
        </w:tc>
      </w:tr>
      <w:tr>
        <w:tblPrEx>
          <w:tblCellMar>
            <w:top w:w="0" w:type="dxa"/>
            <w:left w:w="0" w:type="dxa"/>
            <w:bottom w:w="0" w:type="dxa"/>
            <w:right w:w="0" w:type="dxa"/>
          </w:tblCellMar>
        </w:tblPrEx>
        <w:trPr>
          <w:trHeight w:val="40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点型光电感烟火灾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探测器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点型光电感烟火灾探测器是采用红外散射原理研制而成的点型光电感烟火灾探测器。本探测器结构新颖、外形美观、性能稳定可靠、抗潮湿性强，适用于计算机房及配电室等场所。本探测器主要具有以下特点：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（1）地址编码可由电子编码器事先写入，也可由控制器直接更改，工程调试简便可靠。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（2）单片机实时采样处理数据、并能保存14个历史数据，曲线显示跟踪现场情况。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（3）具有温度、湿度漂移补偿，灰尘积累程度及故障探测功能。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（4）无极性二总线信号。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主要技术指标如下：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（1）工作电压：总线24V    允许范围：16V～28V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（2）监视电流≤0.8mA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（3）报警电流≤1.8mA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（4）指示灯：报警确认灯，红色，巡检时闪烁，报警时常亮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（5）使用环境：温度：-10℃～+55℃；相对湿度≤95%，不结露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（6）编码方式：电子编码（编码范围为1～242）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（7）外壳防护等级：IP23</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r>
      <w:tr>
        <w:tblPrEx>
          <w:tblCellMar>
            <w:top w:w="0" w:type="dxa"/>
            <w:left w:w="0" w:type="dxa"/>
            <w:bottom w:w="0" w:type="dxa"/>
            <w:right w:w="0" w:type="dxa"/>
          </w:tblCellMar>
        </w:tblPrEx>
        <w:trPr>
          <w:trHeight w:val="48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点型感温火灾探测器（</w:t>
            </w:r>
            <w:r>
              <w:rPr>
                <w:rStyle w:val="62"/>
                <w:rFonts w:ascii="宋体" w:hAnsi="宋体" w:eastAsia="宋体"/>
                <w:color w:val="auto"/>
                <w:sz w:val="18"/>
                <w:szCs w:val="18"/>
                <w:lang w:bidi="ar"/>
              </w:rPr>
              <w:t>A2S</w:t>
            </w:r>
            <w:r>
              <w:rPr>
                <w:rStyle w:val="60"/>
                <w:rFonts w:hint="default"/>
                <w:color w:val="auto"/>
                <w:sz w:val="18"/>
                <w:szCs w:val="18"/>
                <w:lang w:bidi="ar"/>
              </w:rPr>
              <w:t>）</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J点型感温火灾探测器采用无极性信号二总线技术，可与各类火灾报警控制器的报警总线以任意方式并接，特别适用于发生火灾时有剧烈温升的场所，与感烟探测器配合使用更能可靠探测火灾，减少损失。本探测器具有以下特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（1）结构新颖、外形美观、性能稳定可靠；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（2）地址编码由电子编码器直接写入，工程调试简便可靠；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（3）探测器具有A1R和BS两种类别，可用于更广泛的温度环境，可使用编码器进行现场设置。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主要技术指标如下：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（1）探测器类别：P（A1R和BS可设，出厂默认类别在探测器铭牌上标注）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（2）工作电压：总线24V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（3）监视电流≤0.8mA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（4）报警电流≤1.8mA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（5）报警确认灯：红色，巡检时闪烁，报警时常亮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（6）使用环境：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温度： A1R类别：典型应用温度25℃；范围 -10℃～50℃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BS类别： 典型应用温度40℃；范围 -10℃～65℃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相对湿度≤95%，不结露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（7）编码方式：十进制电子编码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（8）外壳防护等级：IP33</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编码通用底座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配接点型复合式感烟感温火灾探测器、点型光电感烟火灾探测器、点型感温火灾探测器、点型紫外火焰探测器。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9</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总线短路保护器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DC 14-24V   工作温度 -40-55℃</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14</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模块底座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配接点型复合式感烟感温火灾探测器、点型光电感烟火灾探测器、点型感温火灾探测器、点型紫外火焰探测器。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52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火灾声光警报器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火灾声光警报器是一种安装在现场的声光报警设备，当现场发生火灾并确认后，安装在现场的火灾声光警报器可由消防控制中心的火灾报警控制器启动，发出强烈的声光报警信号，以达到提醒现场人员注意的目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可直接接入火灾报警控制器的信号二总线（需由电源系统提供二根DC24V电源线）。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主要技术指标如下：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（1）工作电压：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信号总线电压：24V       允许范围：16V～28V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电源总线电压：DC24V     允许范围：DC20V～DC28V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（2）工作电流：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总线监视电流≤0.8mA      总线启动电流≤6.0mA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电源监视电流≤10mA       电源动作电流≤90mA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（3）线制：四线制，与控制器采用无极性信号二总线连接，与电源线采用无极性二线制连接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（4）声压级：80dB～115dB（前方3m水平处（A计权））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（5）闪光频率：1.4Hz±20％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（6）变调周期：4s（1±20％）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（7）声调：火警声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（8）使用环境：温度：-10℃～+50℃；相对湿度≤95%，不结露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（9）外壳防护等级：IP43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（10）执行标准：GB 26851-2011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（11）外形尺寸：90mm×144mm×60.5mm（带底壳）</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火灾声光警报器底座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配接火灾声光警报器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691"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292"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现场紧急启停控制按钮</w:t>
            </w:r>
          </w:p>
        </w:tc>
        <w:tc>
          <w:tcPr>
            <w:tcW w:w="6787"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紧急启/停按钮，用于控制气体灭火系统的启动及停动。当被保护的区域内发生火灾时，按下“按下喷洒”按键，即可向气体灭火控制器，发出气体喷洒请求信号。气体灭火控制器发出气体喷洒命令，经延时，启动气体喷洒电磁阀。在延时期间，若现场人员确认无火灾发生，可立即按下“停止”按键，终止启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按钮为编码方式，启动和停动共占一个编码点；按钮可提供输出无源常开触点信号，可直接控制声光警报器等设备。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主要技术指标如下：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（1）工作电压：总线24V，允许范围：16V～28V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（2）监视电流：≤0.8mA，报警电流≤10mA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（3）编码方式：电子编码方式，编码范围可在21～30之间任意设定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（4）常开输出触点：额定值DC60V、0.1A，接触电阻≤100m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（5）启动方式：击碎玻璃罩后，按下“按下喷洒”按键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（6）启动零件类型：重复使用型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（7）“按下喷洒”按键复位方式：用专用钥匙复位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（8）指示灯：“按下喷洒”按键：红色，按下时常亮            “停止”按键：绿色，按下时常亮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（9）线  制：与气体灭火控制器采用无极性两线制连接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（10）外壳防护等级：IP33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（11）使用环境：温度：-10℃～+55℃ ； 相对湿度≤95%，不凝露</w:t>
            </w:r>
          </w:p>
        </w:tc>
        <w:tc>
          <w:tcPr>
            <w:tcW w:w="51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火灾声警报器</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警铃</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40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放气指示灯</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气体喷洒指示灯是气体灭火系统的配套产品。安装在保护场所的入口处。当气体喷洒后，气体灭火控制器将启动喷洒灯发出灯光指示，提醒人员注意并采取相应的措施。本喷洒灯为编码型，可与气体灭火系统控制器配套使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气体喷洒指示灯与控制器进行通信采用数字信号，工作稳定可靠，对电磁干扰有良好的抑制能力；地址码为电子编码，可由电子编码器事先写入，也可由控制器直接改写，工程调试简便。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主要技术指标如下：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（1）工作电压：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信号总线电压：24V     允许范围：16V～28V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电源总线电压：DC24V   允许范围：DC20V～DC28V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（2）工作电流：信号总线监视电流≤1mA           电源总线监视电流≤2mA；信号总线动作电流≤2mA           电源总线动作电流≤25mA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（3）闪光频率：每分钟闪亮45±5次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（4）编码方式：电子编码方式，编码范围可在11～20之间任意设定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（5）线制：与气体灭火控制器采用四线连接。其中两线接总线，无极性；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另外两线接电源DC24V，无极性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（6）使用环境：温度：-10℃～+50℃ ；相对湿度≤95%，不凝露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接线端子箱</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壁挂式端子箱</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190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火灾报警控制器 (联动型）</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具有</w:t>
            </w:r>
            <w:r>
              <w:rPr>
                <w:rStyle w:val="63"/>
                <w:rFonts w:ascii="宋体" w:hAnsi="宋体" w:eastAsia="宋体"/>
                <w:color w:val="auto"/>
                <w:lang w:bidi="ar"/>
              </w:rPr>
              <w:t>RS232</w:t>
            </w:r>
            <w:r>
              <w:rPr>
                <w:rStyle w:val="64"/>
                <w:rFonts w:hint="default"/>
                <w:color w:val="auto"/>
                <w:lang w:bidi="ar"/>
              </w:rPr>
              <w:t>串行中文打印机</w:t>
            </w:r>
            <w:r>
              <w:rPr>
                <w:rStyle w:val="63"/>
                <w:rFonts w:ascii="宋体" w:hAnsi="宋体" w:eastAsia="宋体"/>
                <w:color w:val="auto"/>
                <w:lang w:bidi="ar"/>
              </w:rPr>
              <w:br w:type="textWrapping"/>
            </w:r>
            <w:r>
              <w:rPr>
                <w:rStyle w:val="64"/>
                <w:rFonts w:hint="default"/>
                <w:color w:val="auto"/>
                <w:lang w:bidi="ar"/>
              </w:rPr>
              <w:t>采用</w:t>
            </w:r>
            <w:r>
              <w:rPr>
                <w:rStyle w:val="63"/>
                <w:rFonts w:ascii="宋体" w:hAnsi="宋体" w:eastAsia="宋体"/>
                <w:color w:val="auto"/>
                <w:lang w:bidi="ar"/>
              </w:rPr>
              <w:t>CANBus</w:t>
            </w:r>
            <w:r>
              <w:rPr>
                <w:rStyle w:val="64"/>
                <w:rFonts w:hint="default"/>
                <w:color w:val="auto"/>
                <w:lang w:bidi="ar"/>
              </w:rPr>
              <w:t>通讯方式，与其它具有</w:t>
            </w:r>
            <w:r>
              <w:rPr>
                <w:rStyle w:val="63"/>
                <w:rFonts w:ascii="宋体" w:hAnsi="宋体" w:eastAsia="宋体"/>
                <w:color w:val="auto"/>
                <w:lang w:bidi="ar"/>
              </w:rPr>
              <w:t>CANBus</w:t>
            </w:r>
            <w:r>
              <w:rPr>
                <w:rStyle w:val="64"/>
                <w:rFonts w:hint="default"/>
                <w:color w:val="auto"/>
                <w:lang w:bidi="ar"/>
              </w:rPr>
              <w:t>总线的控制器配合实现区域网络</w:t>
            </w:r>
            <w:r>
              <w:rPr>
                <w:rStyle w:val="63"/>
                <w:rFonts w:ascii="宋体" w:hAnsi="宋体" w:eastAsia="宋体"/>
                <w:color w:val="auto"/>
                <w:lang w:bidi="ar"/>
              </w:rPr>
              <w:br w:type="textWrapping"/>
            </w:r>
            <w:r>
              <w:rPr>
                <w:rStyle w:val="64"/>
                <w:rFonts w:hint="default"/>
                <w:color w:val="auto"/>
                <w:lang w:bidi="ar"/>
              </w:rPr>
              <w:t>全中文</w:t>
            </w:r>
            <w:r>
              <w:rPr>
                <w:rStyle w:val="63"/>
                <w:rFonts w:ascii="宋体" w:hAnsi="宋体" w:eastAsia="宋体"/>
                <w:color w:val="auto"/>
                <w:lang w:bidi="ar"/>
              </w:rPr>
              <w:t>LED</w:t>
            </w:r>
            <w:r>
              <w:rPr>
                <w:rStyle w:val="64"/>
                <w:rFonts w:hint="default"/>
                <w:color w:val="auto"/>
                <w:lang w:bidi="ar"/>
              </w:rPr>
              <w:t>液晶屏显示主要信息与内容，指示灯指示关键状态</w:t>
            </w:r>
            <w:r>
              <w:rPr>
                <w:rStyle w:val="63"/>
                <w:rFonts w:ascii="宋体" w:hAnsi="宋体" w:eastAsia="宋体"/>
                <w:color w:val="auto"/>
                <w:lang w:bidi="ar"/>
              </w:rPr>
              <w:br w:type="textWrapping"/>
            </w:r>
            <w:r>
              <w:rPr>
                <w:rStyle w:val="64"/>
                <w:rFonts w:hint="default"/>
                <w:color w:val="auto"/>
                <w:lang w:bidi="ar"/>
              </w:rPr>
              <w:t>可编程</w:t>
            </w:r>
            <w:r>
              <w:rPr>
                <w:rStyle w:val="63"/>
                <w:rFonts w:ascii="宋体" w:hAnsi="宋体" w:eastAsia="宋体"/>
                <w:color w:val="auto"/>
                <w:lang w:bidi="ar"/>
              </w:rPr>
              <w:t>2</w:t>
            </w:r>
            <w:r>
              <w:rPr>
                <w:rStyle w:val="64"/>
                <w:rFonts w:hint="default"/>
                <w:color w:val="auto"/>
                <w:lang w:bidi="ar"/>
              </w:rPr>
              <w:t>组无源接点输出及公共火警无源接点输出，公共故障无源接点输出，一路气体灭火多线有源接点输出</w:t>
            </w:r>
            <w:r>
              <w:rPr>
                <w:rStyle w:val="63"/>
                <w:rFonts w:ascii="宋体" w:hAnsi="宋体" w:eastAsia="宋体"/>
                <w:color w:val="auto"/>
                <w:lang w:bidi="ar"/>
              </w:rPr>
              <w:br w:type="textWrapping"/>
            </w:r>
            <w:r>
              <w:rPr>
                <w:rStyle w:val="64"/>
                <w:rFonts w:hint="default"/>
                <w:color w:val="auto"/>
                <w:lang w:bidi="ar"/>
              </w:rPr>
              <w:t>采用回路短路保护和电源短路保护</w:t>
            </w:r>
            <w:r>
              <w:rPr>
                <w:rStyle w:val="63"/>
                <w:rFonts w:ascii="宋体" w:hAnsi="宋体" w:eastAsia="宋体"/>
                <w:color w:val="auto"/>
                <w:lang w:bidi="ar"/>
              </w:rPr>
              <w:br w:type="textWrapping"/>
            </w:r>
            <w:r>
              <w:rPr>
                <w:rStyle w:val="64"/>
                <w:rFonts w:hint="default"/>
                <w:color w:val="auto"/>
                <w:lang w:bidi="ar"/>
              </w:rPr>
              <w:t>有</w:t>
            </w:r>
            <w:r>
              <w:rPr>
                <w:rStyle w:val="63"/>
                <w:rFonts w:ascii="宋体" w:hAnsi="宋体" w:eastAsia="宋体"/>
                <w:color w:val="auto"/>
                <w:lang w:bidi="ar"/>
              </w:rPr>
              <w:t>“</w:t>
            </w:r>
            <w:r>
              <w:rPr>
                <w:rStyle w:val="64"/>
                <w:rFonts w:hint="default"/>
                <w:color w:val="auto"/>
                <w:lang w:bidi="ar"/>
              </w:rPr>
              <w:t>黑匣子</w:t>
            </w:r>
            <w:r>
              <w:rPr>
                <w:rStyle w:val="63"/>
                <w:rFonts w:ascii="宋体" w:hAnsi="宋体" w:eastAsia="宋体"/>
                <w:color w:val="auto"/>
                <w:lang w:bidi="ar"/>
              </w:rPr>
              <w:t>”</w:t>
            </w:r>
            <w:r>
              <w:rPr>
                <w:rStyle w:val="64"/>
                <w:rFonts w:hint="default"/>
                <w:color w:val="auto"/>
                <w:lang w:bidi="ar"/>
              </w:rPr>
              <w:t>存储记忆功能，能自动记录</w:t>
            </w:r>
            <w:r>
              <w:rPr>
                <w:rStyle w:val="63"/>
                <w:rFonts w:ascii="宋体" w:hAnsi="宋体" w:eastAsia="宋体"/>
                <w:color w:val="auto"/>
                <w:lang w:bidi="ar"/>
              </w:rPr>
              <w:t>256</w:t>
            </w:r>
            <w:r>
              <w:rPr>
                <w:rStyle w:val="64"/>
                <w:rFonts w:hint="default"/>
                <w:color w:val="auto"/>
                <w:lang w:bidi="ar"/>
              </w:rPr>
              <w:t>条火警信息</w:t>
            </w:r>
            <w:r>
              <w:rPr>
                <w:rStyle w:val="63"/>
                <w:rFonts w:ascii="宋体" w:hAnsi="宋体" w:eastAsia="宋体"/>
                <w:color w:val="auto"/>
                <w:lang w:bidi="ar"/>
              </w:rPr>
              <w:br w:type="textWrapping"/>
            </w:r>
            <w:r>
              <w:rPr>
                <w:rStyle w:val="64"/>
                <w:rFonts w:hint="default"/>
                <w:color w:val="auto"/>
                <w:lang w:bidi="ar"/>
              </w:rPr>
              <w:t>总线设备混合编址</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r>
      <w:tr>
        <w:tblPrEx>
          <w:tblCellMar>
            <w:top w:w="0" w:type="dxa"/>
            <w:left w:w="0" w:type="dxa"/>
            <w:bottom w:w="0" w:type="dxa"/>
            <w:right w:w="0" w:type="dxa"/>
          </w:tblCellMar>
        </w:tblPrEx>
        <w:trPr>
          <w:trHeight w:val="52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气体灭火控制器</w:t>
            </w:r>
          </w:p>
        </w:tc>
        <w:tc>
          <w:tcPr>
            <w:tcW w:w="6787"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气体灭火控制器 具有火灾探测报警和气体灭火控制双重功能，可配接各种编码火灾探测器、手动报警按钮、紧急启/停按钮、声光警报器、气体释放警报器、手自动转换开关以及输出模块，实现1个防火区的火灾报警和气体灭火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（1）配置灵活、可靠性高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（2）功能强、控制方式灵活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（3）窗口化、汉字菜单式显示界面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（4）模块式开关电源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火灾探测及报警功能；能控制实现气体灭火设备的启动喷洒；控制主机收到启动控制信号后能启动现场的区域讯响器报警、自动显示延时且指示延时时间；并联动启动输出模块实现关闭门窗、防火阀和停止空调等功能；延时启动的延时时间在0～30秒连续可调；具有停动功能；具有手自动转换功能；自身带有备电，在主电缺失时可自动进入备电运行状态，能给备电充电并有备电保护功能；具有信息记录、查询功能，可保存最后的999条记录。</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主要技术指标如下：（1）工作电压：交流AC220V  50/60Hz，允许电压变化范围AC176V～AC264V；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（2）功耗：监视状态功耗≤20W；最大功耗≤150W；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（3）备用电源：2个DC12V/7Ah密封铅酸电池；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（4）气体喷洒输出：DC24V/3A，脉冲方式/持续方式，可调；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（5）辅助24V电源输出：最大0.6A；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（6）电池充电电流：0.6A~0.8A；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（7）液晶屏规格：128×64点，可同屏显示32个汉字信息；</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电池</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14Ah12V</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节</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电池</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7AH12V</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节</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r>
      <w:tr>
        <w:tblPrEx>
          <w:tblCellMar>
            <w:top w:w="0" w:type="dxa"/>
            <w:left w:w="0" w:type="dxa"/>
            <w:bottom w:w="0" w:type="dxa"/>
            <w:right w:w="0" w:type="dxa"/>
          </w:tblCellMar>
        </w:tblPrEx>
        <w:trPr>
          <w:trHeight w:val="19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电子编码器</w:t>
            </w:r>
          </w:p>
        </w:tc>
        <w:tc>
          <w:tcPr>
            <w:tcW w:w="6787"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类型： 电子编码的总线设备编址器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显示：四位段码式液晶显示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电源：一节9v层叠电池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工作电流：待机电流:&lt; 1 oouA工作电流:&lt; 10mA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工作环境温度：一10℃一50℃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工作环境相对湿度：&lt;95RH(40℃士2℃)(无凝露)</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操作方式：手握式结构，外形小巧.携带方便。操作简单</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大外形尺寸：76mm x 134mm x 29.5mm </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r>
      <w:tr>
        <w:tblPrEx>
          <w:tblCellMar>
            <w:top w:w="0" w:type="dxa"/>
            <w:left w:w="0" w:type="dxa"/>
            <w:bottom w:w="0" w:type="dxa"/>
            <w:right w:w="0" w:type="dxa"/>
          </w:tblCellMar>
        </w:tblPrEx>
        <w:trPr>
          <w:trHeight w:val="190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输入/输出模块</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电源总线电压：</w:t>
            </w:r>
            <w:r>
              <w:rPr>
                <w:rStyle w:val="63"/>
                <w:rFonts w:ascii="宋体" w:hAnsi="宋体" w:eastAsia="宋体"/>
                <w:color w:val="auto"/>
                <w:lang w:bidi="ar"/>
              </w:rPr>
              <w:t xml:space="preserve">DC 24V </w:t>
            </w:r>
            <w:r>
              <w:rPr>
                <w:rStyle w:val="63"/>
                <w:rFonts w:ascii="宋体" w:hAnsi="宋体" w:eastAsia="宋体"/>
                <w:color w:val="auto"/>
                <w:lang w:bidi="ar"/>
              </w:rPr>
              <w:br w:type="textWrapping"/>
            </w:r>
            <w:r>
              <w:rPr>
                <w:rStyle w:val="64"/>
                <w:rFonts w:hint="default"/>
                <w:color w:val="auto"/>
                <w:lang w:bidi="ar"/>
              </w:rPr>
              <w:t>二总线电压：</w:t>
            </w:r>
            <w:r>
              <w:rPr>
                <w:rStyle w:val="63"/>
                <w:rFonts w:ascii="宋体" w:hAnsi="宋体" w:eastAsia="宋体"/>
                <w:color w:val="auto"/>
                <w:lang w:bidi="ar"/>
              </w:rPr>
              <w:t>DC 18V</w:t>
            </w:r>
            <w:r>
              <w:rPr>
                <w:rStyle w:val="63"/>
                <w:rFonts w:ascii="宋体" w:hAnsi="宋体" w:eastAsia="宋体"/>
                <w:color w:val="auto"/>
                <w:lang w:bidi="ar"/>
              </w:rPr>
              <w:br w:type="textWrapping"/>
            </w:r>
            <w:r>
              <w:rPr>
                <w:rStyle w:val="64"/>
                <w:rFonts w:hint="default"/>
                <w:color w:val="auto"/>
                <w:lang w:bidi="ar"/>
              </w:rPr>
              <w:t>输出信号：有源（电压）</w:t>
            </w:r>
            <w:r>
              <w:rPr>
                <w:rStyle w:val="63"/>
                <w:rFonts w:ascii="宋体" w:hAnsi="宋体" w:eastAsia="宋体"/>
                <w:color w:val="auto"/>
                <w:lang w:bidi="ar"/>
              </w:rPr>
              <w:t xml:space="preserve">DC 24V/2A </w:t>
            </w:r>
            <w:r>
              <w:rPr>
                <w:rStyle w:val="63"/>
                <w:rFonts w:ascii="宋体" w:hAnsi="宋体" w:eastAsia="宋体"/>
                <w:color w:val="auto"/>
                <w:lang w:bidi="ar"/>
              </w:rPr>
              <w:br w:type="textWrapping"/>
            </w:r>
            <w:r>
              <w:rPr>
                <w:rStyle w:val="64"/>
                <w:rFonts w:hint="default"/>
                <w:color w:val="auto"/>
                <w:lang w:bidi="ar"/>
              </w:rPr>
              <w:t>输入信号：无源开关量信号输入</w:t>
            </w:r>
            <w:r>
              <w:rPr>
                <w:rStyle w:val="63"/>
                <w:rFonts w:ascii="宋体" w:hAnsi="宋体" w:eastAsia="宋体"/>
                <w:color w:val="auto"/>
                <w:lang w:bidi="ar"/>
              </w:rPr>
              <w:br w:type="textWrapping"/>
            </w:r>
            <w:r>
              <w:rPr>
                <w:rStyle w:val="64"/>
                <w:rFonts w:hint="default"/>
                <w:color w:val="auto"/>
                <w:lang w:bidi="ar"/>
              </w:rPr>
              <w:t>工作环境温度：</w:t>
            </w:r>
            <w:r>
              <w:rPr>
                <w:rStyle w:val="63"/>
                <w:rFonts w:ascii="宋体" w:hAnsi="宋体" w:eastAsia="宋体"/>
                <w:color w:val="auto"/>
                <w:lang w:bidi="ar"/>
              </w:rPr>
              <w:t>-40</w:t>
            </w:r>
            <w:r>
              <w:rPr>
                <w:rStyle w:val="64"/>
                <w:rFonts w:hint="default"/>
                <w:color w:val="auto"/>
                <w:lang w:bidi="ar"/>
              </w:rPr>
              <w:t>℃～</w:t>
            </w:r>
            <w:r>
              <w:rPr>
                <w:rStyle w:val="63"/>
                <w:rFonts w:ascii="宋体" w:hAnsi="宋体" w:eastAsia="宋体"/>
                <w:color w:val="auto"/>
                <w:lang w:bidi="ar"/>
              </w:rPr>
              <w:t>+55</w:t>
            </w:r>
            <w:r>
              <w:rPr>
                <w:rStyle w:val="64"/>
                <w:rFonts w:hint="default"/>
                <w:color w:val="auto"/>
                <w:lang w:bidi="ar"/>
              </w:rPr>
              <w:t>℃</w:t>
            </w:r>
            <w:r>
              <w:rPr>
                <w:rStyle w:val="63"/>
                <w:rFonts w:ascii="宋体" w:hAnsi="宋体" w:eastAsia="宋体"/>
                <w:color w:val="auto"/>
                <w:lang w:bidi="ar"/>
              </w:rPr>
              <w:br w:type="textWrapping"/>
            </w:r>
            <w:r>
              <w:rPr>
                <w:rStyle w:val="64"/>
                <w:rFonts w:hint="default"/>
                <w:color w:val="auto"/>
                <w:lang w:bidi="ar"/>
              </w:rPr>
              <w:t>工作环境相对湿度：</w:t>
            </w:r>
            <w:r>
              <w:rPr>
                <w:rStyle w:val="63"/>
                <w:rFonts w:ascii="宋体" w:hAnsi="宋体" w:eastAsia="宋体"/>
                <w:color w:val="auto"/>
                <w:lang w:bidi="ar"/>
              </w:rPr>
              <w:t>≤95</w:t>
            </w:r>
            <w:r>
              <w:rPr>
                <w:rStyle w:val="64"/>
                <w:rFonts w:hint="default"/>
                <w:color w:val="auto"/>
                <w:lang w:bidi="ar"/>
              </w:rPr>
              <w:t>％（（</w:t>
            </w:r>
            <w:r>
              <w:rPr>
                <w:rStyle w:val="63"/>
                <w:rFonts w:ascii="宋体" w:hAnsi="宋体" w:eastAsia="宋体"/>
                <w:color w:val="auto"/>
                <w:lang w:bidi="ar"/>
              </w:rPr>
              <w:t>40±2</w:t>
            </w:r>
            <w:r>
              <w:rPr>
                <w:rStyle w:val="64"/>
                <w:rFonts w:hint="default"/>
                <w:color w:val="auto"/>
                <w:lang w:bidi="ar"/>
              </w:rPr>
              <w:t>）℃，无凝露）</w:t>
            </w:r>
            <w:r>
              <w:rPr>
                <w:rStyle w:val="63"/>
                <w:rFonts w:ascii="宋体" w:hAnsi="宋体" w:eastAsia="宋体"/>
                <w:color w:val="auto"/>
                <w:lang w:bidi="ar"/>
              </w:rPr>
              <w:br w:type="textWrapping"/>
            </w:r>
            <w:r>
              <w:rPr>
                <w:rStyle w:val="64"/>
                <w:rFonts w:hint="default"/>
                <w:color w:val="auto"/>
                <w:lang w:bidi="ar"/>
              </w:rPr>
              <w:t>输出动作指示灯：输出动作时红色常亮</w:t>
            </w:r>
            <w:r>
              <w:rPr>
                <w:rStyle w:val="63"/>
                <w:rFonts w:ascii="宋体" w:hAnsi="宋体" w:eastAsia="宋体"/>
                <w:color w:val="auto"/>
                <w:lang w:bidi="ar"/>
              </w:rPr>
              <w:br w:type="textWrapping"/>
            </w:r>
            <w:r>
              <w:rPr>
                <w:rStyle w:val="64"/>
                <w:rFonts w:hint="default"/>
                <w:color w:val="auto"/>
                <w:lang w:bidi="ar"/>
              </w:rPr>
              <w:t>输入动作指示灯：输入动作时红色常亮</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消防信号线配线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ZR-RVS2*1.5mm²（纯铜国标）</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500</w:t>
            </w:r>
          </w:p>
        </w:tc>
      </w:tr>
    </w:tbl>
    <w:p>
      <w:pPr>
        <w:pStyle w:val="2"/>
        <w:ind w:firstLine="320"/>
        <w:jc w:val="center"/>
        <w:rPr>
          <w:rFonts w:ascii="仿宋_GB2312" w:eastAsia="仿宋_GB2312"/>
          <w:b/>
          <w:color w:val="auto"/>
          <w:sz w:val="32"/>
          <w:szCs w:val="32"/>
        </w:rPr>
      </w:pPr>
    </w:p>
    <w:p>
      <w:pPr>
        <w:adjustRightInd w:val="0"/>
        <w:snapToGrid w:val="0"/>
        <w:spacing w:line="450" w:lineRule="exact"/>
        <w:ind w:firstLine="723" w:firstLineChars="200"/>
        <w:jc w:val="center"/>
        <w:rPr>
          <w:b/>
          <w:color w:val="auto"/>
          <w:sz w:val="36"/>
          <w:szCs w:val="36"/>
        </w:rPr>
      </w:pPr>
      <w:r>
        <w:rPr>
          <w:rFonts w:hint="eastAsia"/>
          <w:b/>
          <w:color w:val="auto"/>
          <w:sz w:val="36"/>
          <w:szCs w:val="36"/>
        </w:rPr>
        <w:t>指挥大厅采购清单</w:t>
      </w:r>
    </w:p>
    <w:tbl>
      <w:tblPr>
        <w:tblStyle w:val="24"/>
        <w:tblW w:w="9675" w:type="dxa"/>
        <w:tblInd w:w="0" w:type="dxa"/>
        <w:tblLayout w:type="autofit"/>
        <w:tblCellMar>
          <w:top w:w="0" w:type="dxa"/>
          <w:left w:w="0" w:type="dxa"/>
          <w:bottom w:w="0" w:type="dxa"/>
          <w:right w:w="0" w:type="dxa"/>
        </w:tblCellMar>
      </w:tblPr>
      <w:tblGrid>
        <w:gridCol w:w="332"/>
        <w:gridCol w:w="2730"/>
        <w:gridCol w:w="5733"/>
        <w:gridCol w:w="416"/>
        <w:gridCol w:w="464"/>
      </w:tblGrid>
      <w:tr>
        <w:tblPrEx>
          <w:tblCellMar>
            <w:top w:w="0" w:type="dxa"/>
            <w:left w:w="0" w:type="dxa"/>
            <w:bottom w:w="0" w:type="dxa"/>
            <w:right w:w="0"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产品名称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一、大屏</w:t>
            </w:r>
          </w:p>
        </w:tc>
      </w:tr>
      <w:tr>
        <w:tblPrEx>
          <w:tblCellMar>
            <w:top w:w="0" w:type="dxa"/>
            <w:left w:w="0" w:type="dxa"/>
            <w:bottom w:w="0" w:type="dxa"/>
            <w:right w:w="0" w:type="dxa"/>
          </w:tblCellMar>
        </w:tblPrEx>
        <w:trPr>
          <w:trHeight w:val="22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全彩色LED显示屏，8.00m× 2.4m</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像素密度</w:t>
            </w:r>
            <w:r>
              <w:rPr>
                <w:rFonts w:ascii="宋体" w:hAnsi="宋体" w:cs="Calibri"/>
                <w:color w:val="auto"/>
                <w:kern w:val="0"/>
                <w:sz w:val="18"/>
                <w:szCs w:val="18"/>
                <w:lang w:bidi="ar"/>
              </w:rPr>
              <w:t xml:space="preserve"> 422500Dots/</w:t>
            </w:r>
            <w:r>
              <w:rPr>
                <w:rStyle w:val="65"/>
                <w:rFonts w:hint="default"/>
                <w:color w:val="auto"/>
                <w:sz w:val="18"/>
                <w:szCs w:val="18"/>
                <w:lang w:bidi="ar"/>
              </w:rPr>
              <w:t>㎡像数点间距</w:t>
            </w:r>
            <w:r>
              <w:rPr>
                <w:rFonts w:ascii="宋体" w:hAnsi="宋体" w:cs="Calibri"/>
                <w:color w:val="auto"/>
                <w:kern w:val="0"/>
                <w:sz w:val="18"/>
                <w:szCs w:val="18"/>
                <w:lang w:bidi="ar"/>
              </w:rPr>
              <w:t xml:space="preserve">1.538mm </w:t>
            </w:r>
            <w:r>
              <w:rPr>
                <w:rFonts w:ascii="宋体" w:hAnsi="宋体" w:cs="Calibri"/>
                <w:color w:val="auto"/>
                <w:kern w:val="0"/>
                <w:sz w:val="18"/>
                <w:szCs w:val="18"/>
                <w:lang w:bidi="ar"/>
              </w:rPr>
              <w:br w:type="textWrapping"/>
            </w:r>
            <w:r>
              <w:rPr>
                <w:rStyle w:val="65"/>
                <w:rFonts w:hint="default"/>
                <w:color w:val="auto"/>
                <w:sz w:val="18"/>
                <w:szCs w:val="18"/>
                <w:lang w:bidi="ar"/>
              </w:rPr>
              <w:t>为保证产品的稳定使用，产品可靠性试验要求：本次所投</w:t>
            </w:r>
            <w:r>
              <w:rPr>
                <w:rFonts w:ascii="宋体" w:hAnsi="宋体" w:cs="Calibri"/>
                <w:color w:val="auto"/>
                <w:kern w:val="0"/>
                <w:sz w:val="18"/>
                <w:szCs w:val="18"/>
                <w:lang w:bidi="ar"/>
              </w:rPr>
              <w:t>LED</w:t>
            </w:r>
            <w:r>
              <w:rPr>
                <w:rStyle w:val="65"/>
                <w:rFonts w:hint="default"/>
                <w:color w:val="auto"/>
                <w:sz w:val="18"/>
                <w:szCs w:val="18"/>
                <w:lang w:bidi="ar"/>
              </w:rPr>
              <w:t>显示屏达到平均无故障时间（</w:t>
            </w:r>
            <w:r>
              <w:rPr>
                <w:rFonts w:ascii="宋体" w:hAnsi="宋体" w:cs="Calibri"/>
                <w:color w:val="auto"/>
                <w:kern w:val="0"/>
                <w:sz w:val="18"/>
                <w:szCs w:val="18"/>
                <w:lang w:bidi="ar"/>
              </w:rPr>
              <w:t>MTBF</w:t>
            </w:r>
            <w:r>
              <w:rPr>
                <w:rStyle w:val="65"/>
                <w:rFonts w:hint="default"/>
                <w:color w:val="auto"/>
                <w:sz w:val="18"/>
                <w:szCs w:val="18"/>
                <w:lang w:bidi="ar"/>
              </w:rPr>
              <w:t>）</w:t>
            </w:r>
            <w:r>
              <w:rPr>
                <w:rFonts w:ascii="宋体" w:hAnsi="宋体" w:cs="Calibri"/>
                <w:color w:val="auto"/>
                <w:kern w:val="0"/>
                <w:sz w:val="18"/>
                <w:szCs w:val="18"/>
                <w:lang w:bidi="ar"/>
              </w:rPr>
              <w:t>m</w:t>
            </w:r>
            <w:r>
              <w:rPr>
                <w:rFonts w:ascii="Cambria Math" w:hAnsi="Cambria Math" w:cs="Cambria Math"/>
                <w:color w:val="auto"/>
                <w:kern w:val="0"/>
                <w:sz w:val="18"/>
                <w:szCs w:val="18"/>
                <w:lang w:bidi="ar"/>
              </w:rPr>
              <w:t>₁</w:t>
            </w:r>
            <w:r>
              <w:rPr>
                <w:rFonts w:ascii="宋体" w:hAnsi="宋体" w:cs="Calibri"/>
                <w:color w:val="auto"/>
                <w:kern w:val="0"/>
                <w:sz w:val="18"/>
                <w:szCs w:val="18"/>
                <w:lang w:bidi="ar"/>
              </w:rPr>
              <w:t xml:space="preserve">≥10000h </w:t>
            </w:r>
            <w:r>
              <w:rPr>
                <w:rStyle w:val="65"/>
                <w:rFonts w:hint="default"/>
                <w:color w:val="auto"/>
                <w:sz w:val="18"/>
                <w:szCs w:val="18"/>
                <w:lang w:bidi="ar"/>
              </w:rPr>
              <w:t>；</w:t>
            </w:r>
            <w:r>
              <w:rPr>
                <w:rFonts w:ascii="宋体" w:hAnsi="宋体" w:cs="Calibri"/>
                <w:color w:val="auto"/>
                <w:kern w:val="0"/>
                <w:sz w:val="18"/>
                <w:szCs w:val="18"/>
                <w:lang w:bidi="ar"/>
              </w:rPr>
              <w:br w:type="textWrapping"/>
            </w:r>
            <w:r>
              <w:rPr>
                <w:rStyle w:val="65"/>
                <w:rFonts w:hint="default"/>
                <w:color w:val="auto"/>
                <w:sz w:val="18"/>
                <w:szCs w:val="18"/>
                <w:lang w:bidi="ar"/>
              </w:rPr>
              <w:t>为保证产品在不同环境使用</w:t>
            </w:r>
            <w:r>
              <w:rPr>
                <w:rFonts w:ascii="宋体" w:hAnsi="宋体" w:cs="Calibri"/>
                <w:color w:val="auto"/>
                <w:kern w:val="0"/>
                <w:sz w:val="18"/>
                <w:szCs w:val="18"/>
                <w:lang w:bidi="ar"/>
              </w:rPr>
              <w:t>,</w:t>
            </w:r>
            <w:r>
              <w:rPr>
                <w:rStyle w:val="65"/>
                <w:rFonts w:hint="default"/>
                <w:color w:val="auto"/>
                <w:sz w:val="18"/>
                <w:szCs w:val="18"/>
                <w:lang w:bidi="ar"/>
              </w:rPr>
              <w:t>本次所投</w:t>
            </w:r>
            <w:r>
              <w:rPr>
                <w:rFonts w:ascii="宋体" w:hAnsi="宋体" w:cs="Calibri"/>
                <w:color w:val="auto"/>
                <w:kern w:val="0"/>
                <w:sz w:val="18"/>
                <w:szCs w:val="18"/>
                <w:lang w:bidi="ar"/>
              </w:rPr>
              <w:t>LED</w:t>
            </w:r>
            <w:r>
              <w:rPr>
                <w:rStyle w:val="65"/>
                <w:rFonts w:hint="default"/>
                <w:color w:val="auto"/>
                <w:sz w:val="18"/>
                <w:szCs w:val="18"/>
                <w:lang w:bidi="ar"/>
              </w:rPr>
              <w:t>显示屏通过低温</w:t>
            </w:r>
            <w:r>
              <w:rPr>
                <w:rFonts w:ascii="宋体" w:hAnsi="宋体" w:cs="Calibri"/>
                <w:color w:val="auto"/>
                <w:kern w:val="0"/>
                <w:sz w:val="18"/>
                <w:szCs w:val="18"/>
                <w:lang w:bidi="ar"/>
              </w:rPr>
              <w:t>-40</w:t>
            </w:r>
            <w:r>
              <w:rPr>
                <w:rStyle w:val="65"/>
                <w:rFonts w:hint="default"/>
                <w:color w:val="auto"/>
                <w:sz w:val="18"/>
                <w:szCs w:val="18"/>
                <w:lang w:bidi="ar"/>
              </w:rPr>
              <w:t>℃</w:t>
            </w:r>
            <w:r>
              <w:rPr>
                <w:rFonts w:ascii="宋体" w:hAnsi="宋体" w:cs="Calibri"/>
                <w:color w:val="auto"/>
                <w:kern w:val="0"/>
                <w:sz w:val="18"/>
                <w:szCs w:val="18"/>
                <w:lang w:bidi="ar"/>
              </w:rPr>
              <w:t>-</w:t>
            </w:r>
            <w:r>
              <w:rPr>
                <w:rStyle w:val="65"/>
                <w:rFonts w:hint="default"/>
                <w:color w:val="auto"/>
                <w:sz w:val="18"/>
                <w:szCs w:val="18"/>
                <w:lang w:bidi="ar"/>
              </w:rPr>
              <w:t>高温</w:t>
            </w:r>
            <w:r>
              <w:rPr>
                <w:rFonts w:ascii="宋体" w:hAnsi="宋体" w:cs="Calibri"/>
                <w:color w:val="auto"/>
                <w:kern w:val="0"/>
                <w:sz w:val="18"/>
                <w:szCs w:val="18"/>
                <w:lang w:bidi="ar"/>
              </w:rPr>
              <w:t>100</w:t>
            </w:r>
            <w:r>
              <w:rPr>
                <w:rStyle w:val="65"/>
                <w:rFonts w:hint="default"/>
                <w:color w:val="auto"/>
                <w:sz w:val="18"/>
                <w:szCs w:val="18"/>
                <w:lang w:bidi="ar"/>
              </w:rPr>
              <w:t>℃实验室循环冷热冲击并检测通过；提供由第三方权威机构出具的检测报告；</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平方米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19.2</w:t>
            </w:r>
          </w:p>
        </w:tc>
      </w:tr>
      <w:tr>
        <w:tblPrEx>
          <w:tblCellMar>
            <w:top w:w="0" w:type="dxa"/>
            <w:left w:w="0" w:type="dxa"/>
            <w:bottom w:w="0" w:type="dxa"/>
            <w:right w:w="0" w:type="dxa"/>
          </w:tblCellMar>
        </w:tblPrEx>
        <w:trPr>
          <w:trHeight w:val="255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屏幕控制电脑，带HDMI一体机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CPU</w:t>
            </w:r>
            <w:r>
              <w:rPr>
                <w:rStyle w:val="65"/>
                <w:rFonts w:hint="default"/>
                <w:color w:val="auto"/>
                <w:sz w:val="18"/>
                <w:szCs w:val="18"/>
                <w:lang w:bidi="ar"/>
              </w:rPr>
              <w:t>：</w:t>
            </w:r>
            <w:r>
              <w:rPr>
                <w:rFonts w:ascii="宋体" w:hAnsi="宋体" w:cs="Calibri"/>
                <w:color w:val="auto"/>
                <w:kern w:val="0"/>
                <w:sz w:val="18"/>
                <w:szCs w:val="18"/>
                <w:lang w:bidi="ar"/>
              </w:rPr>
              <w:t xml:space="preserve">Intel </w:t>
            </w:r>
            <w:r>
              <w:rPr>
                <w:rStyle w:val="65"/>
                <w:rFonts w:hint="default"/>
                <w:color w:val="auto"/>
                <w:sz w:val="18"/>
                <w:szCs w:val="18"/>
                <w:lang w:bidi="ar"/>
              </w:rPr>
              <w:t>酷睿</w:t>
            </w:r>
            <w:r>
              <w:rPr>
                <w:rFonts w:ascii="宋体" w:hAnsi="宋体" w:cs="Calibri"/>
                <w:color w:val="auto"/>
                <w:kern w:val="0"/>
                <w:sz w:val="18"/>
                <w:szCs w:val="18"/>
                <w:lang w:bidi="ar"/>
              </w:rPr>
              <w:t xml:space="preserve"> i5</w:t>
            </w:r>
            <w:r>
              <w:rPr>
                <w:rStyle w:val="65"/>
                <w:rFonts w:hint="default"/>
                <w:color w:val="auto"/>
                <w:sz w:val="18"/>
                <w:szCs w:val="18"/>
                <w:lang w:bidi="ar"/>
              </w:rPr>
              <w:t>处理器或其他同性能及以上产品；</w:t>
            </w:r>
            <w:r>
              <w:rPr>
                <w:rFonts w:ascii="宋体" w:hAnsi="宋体" w:cs="Calibri"/>
                <w:color w:val="auto"/>
                <w:kern w:val="0"/>
                <w:sz w:val="18"/>
                <w:szCs w:val="18"/>
                <w:lang w:bidi="ar"/>
              </w:rPr>
              <w:br w:type="textWrapping"/>
            </w:r>
            <w:r>
              <w:rPr>
                <w:rStyle w:val="65"/>
                <w:rFonts w:hint="default"/>
                <w:color w:val="auto"/>
                <w:sz w:val="18"/>
                <w:szCs w:val="18"/>
                <w:lang w:bidi="ar"/>
              </w:rPr>
              <w:t>内存：</w:t>
            </w:r>
            <w:r>
              <w:rPr>
                <w:rFonts w:ascii="宋体" w:hAnsi="宋体" w:cs="Calibri"/>
                <w:color w:val="auto"/>
                <w:kern w:val="0"/>
                <w:sz w:val="18"/>
                <w:szCs w:val="18"/>
                <w:lang w:bidi="ar"/>
              </w:rPr>
              <w:t>≥4GB DDR3</w:t>
            </w:r>
            <w:r>
              <w:rPr>
                <w:rStyle w:val="65"/>
                <w:rFonts w:hint="default"/>
                <w:color w:val="auto"/>
                <w:sz w:val="18"/>
                <w:szCs w:val="18"/>
                <w:lang w:bidi="ar"/>
              </w:rPr>
              <w:t>；</w:t>
            </w:r>
            <w:r>
              <w:rPr>
                <w:rFonts w:ascii="宋体" w:hAnsi="宋体" w:cs="Calibri"/>
                <w:color w:val="auto"/>
                <w:kern w:val="0"/>
                <w:sz w:val="18"/>
                <w:szCs w:val="18"/>
                <w:lang w:bidi="ar"/>
              </w:rPr>
              <w:br w:type="textWrapping"/>
            </w:r>
            <w:r>
              <w:rPr>
                <w:rStyle w:val="65"/>
                <w:rFonts w:hint="default"/>
                <w:color w:val="auto"/>
                <w:sz w:val="18"/>
                <w:szCs w:val="18"/>
                <w:lang w:bidi="ar"/>
              </w:rPr>
              <w:t>主板：集成声卡、</w:t>
            </w:r>
            <w:r>
              <w:rPr>
                <w:rFonts w:ascii="宋体" w:hAnsi="宋体" w:cs="Calibri"/>
                <w:color w:val="auto"/>
                <w:kern w:val="0"/>
                <w:sz w:val="18"/>
                <w:szCs w:val="18"/>
                <w:lang w:bidi="ar"/>
              </w:rPr>
              <w:t>10/100M/1000M</w:t>
            </w:r>
            <w:r>
              <w:rPr>
                <w:rStyle w:val="65"/>
                <w:rFonts w:hint="default"/>
                <w:color w:val="auto"/>
                <w:sz w:val="18"/>
                <w:szCs w:val="18"/>
                <w:lang w:bidi="ar"/>
              </w:rPr>
              <w:t>网卡；</w:t>
            </w:r>
            <w:r>
              <w:rPr>
                <w:rFonts w:ascii="宋体" w:hAnsi="宋体" w:cs="Calibri"/>
                <w:color w:val="auto"/>
                <w:kern w:val="0"/>
                <w:sz w:val="18"/>
                <w:szCs w:val="18"/>
                <w:lang w:bidi="ar"/>
              </w:rPr>
              <w:br w:type="textWrapping"/>
            </w:r>
            <w:r>
              <w:rPr>
                <w:rStyle w:val="65"/>
                <w:rFonts w:hint="default"/>
                <w:color w:val="auto"/>
                <w:sz w:val="18"/>
                <w:szCs w:val="18"/>
                <w:lang w:bidi="ar"/>
              </w:rPr>
              <w:t>光驱：</w:t>
            </w:r>
            <w:r>
              <w:rPr>
                <w:rFonts w:ascii="宋体" w:hAnsi="宋体" w:cs="Calibri"/>
                <w:color w:val="auto"/>
                <w:kern w:val="0"/>
                <w:sz w:val="18"/>
                <w:szCs w:val="18"/>
                <w:lang w:bidi="ar"/>
              </w:rPr>
              <w:t>DVD</w:t>
            </w:r>
            <w:r>
              <w:rPr>
                <w:rFonts w:ascii="宋体" w:hAnsi="宋体" w:cs="Calibri"/>
                <w:color w:val="auto"/>
                <w:kern w:val="0"/>
                <w:sz w:val="18"/>
                <w:szCs w:val="18"/>
                <w:lang w:bidi="ar"/>
              </w:rPr>
              <w:br w:type="textWrapping"/>
            </w:r>
            <w:r>
              <w:rPr>
                <w:rStyle w:val="65"/>
                <w:rFonts w:hint="default"/>
                <w:color w:val="auto"/>
                <w:sz w:val="18"/>
                <w:szCs w:val="18"/>
                <w:lang w:bidi="ar"/>
              </w:rPr>
              <w:t>显卡：独立显卡</w:t>
            </w:r>
            <w:r>
              <w:rPr>
                <w:rFonts w:ascii="宋体" w:hAnsi="宋体" w:cs="Calibri"/>
                <w:color w:val="auto"/>
                <w:kern w:val="0"/>
                <w:sz w:val="18"/>
                <w:szCs w:val="18"/>
                <w:lang w:bidi="ar"/>
              </w:rPr>
              <w:t>/512MB</w:t>
            </w:r>
            <w:r>
              <w:rPr>
                <w:rFonts w:ascii="宋体" w:hAnsi="宋体" w:cs="Calibri"/>
                <w:color w:val="auto"/>
                <w:kern w:val="0"/>
                <w:sz w:val="18"/>
                <w:szCs w:val="18"/>
                <w:lang w:bidi="ar"/>
              </w:rPr>
              <w:br w:type="textWrapping"/>
            </w:r>
            <w:r>
              <w:rPr>
                <w:rStyle w:val="65"/>
                <w:rFonts w:hint="default"/>
                <w:color w:val="auto"/>
                <w:sz w:val="18"/>
                <w:szCs w:val="18"/>
                <w:lang w:bidi="ar"/>
              </w:rPr>
              <w:t>硬盘：</w:t>
            </w:r>
            <w:r>
              <w:rPr>
                <w:rFonts w:ascii="宋体" w:hAnsi="宋体" w:cs="Calibri"/>
                <w:color w:val="auto"/>
                <w:kern w:val="0"/>
                <w:sz w:val="18"/>
                <w:szCs w:val="18"/>
                <w:lang w:bidi="ar"/>
              </w:rPr>
              <w:t>≥500GB SATA3</w:t>
            </w:r>
            <w:r>
              <w:rPr>
                <w:rStyle w:val="65"/>
                <w:rFonts w:hint="default"/>
                <w:color w:val="auto"/>
                <w:sz w:val="18"/>
                <w:szCs w:val="18"/>
                <w:lang w:bidi="ar"/>
              </w:rPr>
              <w:t>；</w:t>
            </w:r>
            <w:r>
              <w:rPr>
                <w:rFonts w:ascii="宋体" w:hAnsi="宋体" w:cs="Calibri"/>
                <w:color w:val="auto"/>
                <w:kern w:val="0"/>
                <w:sz w:val="18"/>
                <w:szCs w:val="18"/>
                <w:lang w:bidi="ar"/>
              </w:rPr>
              <w:br w:type="textWrapping"/>
            </w:r>
            <w:r>
              <w:rPr>
                <w:rStyle w:val="65"/>
                <w:rFonts w:hint="default"/>
                <w:color w:val="auto"/>
                <w:sz w:val="18"/>
                <w:szCs w:val="18"/>
                <w:lang w:bidi="ar"/>
              </w:rPr>
              <w:t>键鼠：标准键盘，光电鼠标；</w:t>
            </w:r>
            <w:r>
              <w:rPr>
                <w:rFonts w:ascii="宋体" w:hAnsi="宋体" w:cs="Calibri"/>
                <w:color w:val="auto"/>
                <w:kern w:val="0"/>
                <w:sz w:val="18"/>
                <w:szCs w:val="18"/>
                <w:lang w:bidi="ar"/>
              </w:rPr>
              <w:br w:type="textWrapping"/>
            </w:r>
            <w:r>
              <w:rPr>
                <w:rStyle w:val="65"/>
                <w:rFonts w:hint="default"/>
                <w:color w:val="auto"/>
                <w:sz w:val="18"/>
                <w:szCs w:val="18"/>
                <w:lang w:bidi="ar"/>
              </w:rPr>
              <w:t>显示器：</w:t>
            </w:r>
            <w:r>
              <w:rPr>
                <w:rFonts w:ascii="宋体" w:hAnsi="宋体" w:cs="Calibri"/>
                <w:color w:val="auto"/>
                <w:kern w:val="0"/>
                <w:sz w:val="18"/>
                <w:szCs w:val="18"/>
                <w:lang w:bidi="ar"/>
              </w:rPr>
              <w:t>≥19</w:t>
            </w:r>
            <w:r>
              <w:rPr>
                <w:rStyle w:val="65"/>
                <w:rFonts w:hint="default"/>
                <w:color w:val="auto"/>
                <w:sz w:val="18"/>
                <w:szCs w:val="18"/>
                <w:lang w:bidi="ar"/>
              </w:rPr>
              <w:t>英寸宽屏液晶显示器；</w:t>
            </w:r>
            <w:r>
              <w:rPr>
                <w:rFonts w:ascii="宋体" w:hAnsi="宋体" w:cs="Calibri"/>
                <w:color w:val="auto"/>
                <w:kern w:val="0"/>
                <w:sz w:val="18"/>
                <w:szCs w:val="18"/>
                <w:lang w:bidi="ar"/>
              </w:rPr>
              <w:br w:type="textWrapping"/>
            </w:r>
            <w:r>
              <w:rPr>
                <w:rStyle w:val="65"/>
                <w:rFonts w:hint="default"/>
                <w:color w:val="auto"/>
                <w:sz w:val="18"/>
                <w:szCs w:val="18"/>
                <w:lang w:bidi="ar"/>
              </w:rPr>
              <w:t>接口：前置</w:t>
            </w:r>
            <w:r>
              <w:rPr>
                <w:rFonts w:ascii="宋体" w:hAnsi="宋体" w:cs="Calibri"/>
                <w:color w:val="auto"/>
                <w:kern w:val="0"/>
                <w:sz w:val="18"/>
                <w:szCs w:val="18"/>
                <w:lang w:bidi="ar"/>
              </w:rPr>
              <w:t>USB≥4</w:t>
            </w:r>
            <w:r>
              <w:rPr>
                <w:rStyle w:val="65"/>
                <w:rFonts w:hint="default"/>
                <w:color w:val="auto"/>
                <w:sz w:val="18"/>
                <w:szCs w:val="18"/>
                <w:lang w:bidi="ar"/>
              </w:rPr>
              <w:t>、</w:t>
            </w:r>
            <w:r>
              <w:rPr>
                <w:rFonts w:ascii="宋体" w:hAnsi="宋体" w:cs="Calibri"/>
                <w:color w:val="auto"/>
                <w:kern w:val="0"/>
                <w:sz w:val="18"/>
                <w:szCs w:val="18"/>
                <w:lang w:bidi="ar"/>
              </w:rPr>
              <w:t>VGA</w:t>
            </w:r>
            <w:r>
              <w:rPr>
                <w:rStyle w:val="65"/>
                <w:rFonts w:hint="default"/>
                <w:color w:val="auto"/>
                <w:sz w:val="18"/>
                <w:szCs w:val="18"/>
                <w:lang w:bidi="ar"/>
              </w:rPr>
              <w:t>输出、标准</w:t>
            </w:r>
            <w:r>
              <w:rPr>
                <w:rFonts w:ascii="宋体" w:hAnsi="宋体" w:cs="Calibri"/>
                <w:color w:val="auto"/>
                <w:kern w:val="0"/>
                <w:sz w:val="18"/>
                <w:szCs w:val="18"/>
                <w:lang w:bidi="ar"/>
              </w:rPr>
              <w:t>3.5</w:t>
            </w:r>
            <w:r>
              <w:rPr>
                <w:rStyle w:val="65"/>
                <w:rFonts w:hint="default"/>
                <w:color w:val="auto"/>
                <w:sz w:val="18"/>
                <w:szCs w:val="18"/>
                <w:lang w:bidi="ar"/>
              </w:rPr>
              <w:t>音频输入输出、</w:t>
            </w:r>
            <w:r>
              <w:rPr>
                <w:rFonts w:ascii="宋体" w:hAnsi="宋体" w:cs="Calibri"/>
                <w:color w:val="auto"/>
                <w:kern w:val="0"/>
                <w:sz w:val="18"/>
                <w:szCs w:val="18"/>
                <w:lang w:bidi="ar"/>
              </w:rPr>
              <w:t>RJ45</w:t>
            </w:r>
            <w:r>
              <w:rPr>
                <w:rStyle w:val="65"/>
                <w:rFonts w:hint="default"/>
                <w:color w:val="auto"/>
                <w:sz w:val="18"/>
                <w:szCs w:val="18"/>
                <w:lang w:bidi="ar"/>
              </w:rPr>
              <w:t>；</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BIOS</w:t>
            </w:r>
            <w:r>
              <w:rPr>
                <w:rStyle w:val="65"/>
                <w:rFonts w:hint="default"/>
                <w:color w:val="auto"/>
                <w:sz w:val="18"/>
                <w:szCs w:val="18"/>
                <w:lang w:bidi="ar"/>
              </w:rPr>
              <w:t>开机显示厂家服务信息并预装</w:t>
            </w:r>
            <w:r>
              <w:rPr>
                <w:rFonts w:ascii="宋体" w:hAnsi="宋体" w:cs="Calibri"/>
                <w:color w:val="auto"/>
                <w:kern w:val="0"/>
                <w:sz w:val="18"/>
                <w:szCs w:val="18"/>
                <w:lang w:bidi="ar"/>
              </w:rPr>
              <w:t>Windows xp</w:t>
            </w:r>
            <w:r>
              <w:rPr>
                <w:rStyle w:val="65"/>
                <w:rFonts w:hint="default"/>
                <w:color w:val="auto"/>
                <w:sz w:val="18"/>
                <w:szCs w:val="18"/>
                <w:lang w:bidi="ar"/>
              </w:rPr>
              <w:t>及以上操作系统；</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226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控制系统</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Style w:val="65"/>
                <w:rFonts w:hint="default"/>
                <w:color w:val="auto"/>
                <w:sz w:val="18"/>
                <w:szCs w:val="18"/>
                <w:lang w:bidi="ar"/>
              </w:rPr>
            </w:pPr>
            <w:r>
              <w:rPr>
                <w:rFonts w:ascii="宋体" w:hAnsi="宋体" w:cs="Calibri"/>
                <w:color w:val="auto"/>
                <w:kern w:val="0"/>
                <w:sz w:val="18"/>
                <w:szCs w:val="18"/>
                <w:lang w:bidi="ar"/>
              </w:rPr>
              <w:t>1</w:t>
            </w:r>
            <w:r>
              <w:rPr>
                <w:rStyle w:val="65"/>
                <w:rFonts w:hint="default"/>
                <w:color w:val="auto"/>
                <w:sz w:val="18"/>
                <w:szCs w:val="18"/>
                <w:lang w:bidi="ar"/>
              </w:rPr>
              <w:t>、单卡支持</w:t>
            </w:r>
            <w:r>
              <w:rPr>
                <w:rFonts w:ascii="宋体" w:hAnsi="宋体" w:cs="Calibri"/>
                <w:color w:val="auto"/>
                <w:kern w:val="0"/>
                <w:sz w:val="18"/>
                <w:szCs w:val="18"/>
                <w:lang w:bidi="ar"/>
              </w:rPr>
              <w:t xml:space="preserve">32 </w:t>
            </w:r>
            <w:r>
              <w:rPr>
                <w:rStyle w:val="65"/>
                <w:rFonts w:hint="default"/>
                <w:color w:val="auto"/>
                <w:sz w:val="18"/>
                <w:szCs w:val="18"/>
                <w:lang w:bidi="ar"/>
              </w:rPr>
              <w:t>组</w:t>
            </w:r>
            <w:r>
              <w:rPr>
                <w:rFonts w:ascii="宋体" w:hAnsi="宋体" w:cs="Calibri"/>
                <w:color w:val="auto"/>
                <w:kern w:val="0"/>
                <w:sz w:val="18"/>
                <w:szCs w:val="18"/>
                <w:lang w:bidi="ar"/>
              </w:rPr>
              <w:t xml:space="preserve">RGB </w:t>
            </w:r>
            <w:r>
              <w:rPr>
                <w:rStyle w:val="65"/>
                <w:rFonts w:hint="default"/>
                <w:color w:val="auto"/>
                <w:sz w:val="18"/>
                <w:szCs w:val="18"/>
                <w:lang w:bidi="ar"/>
              </w:rPr>
              <w:t>信号并行输出</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 xml:space="preserve">2 </w:t>
            </w:r>
            <w:r>
              <w:rPr>
                <w:rStyle w:val="65"/>
                <w:rFonts w:hint="default"/>
                <w:color w:val="auto"/>
                <w:sz w:val="18"/>
                <w:szCs w:val="18"/>
                <w:lang w:bidi="ar"/>
              </w:rPr>
              <w:t>、单卡最大带载</w:t>
            </w:r>
            <w:r>
              <w:rPr>
                <w:rFonts w:ascii="宋体" w:hAnsi="宋体" w:cs="Calibri"/>
                <w:color w:val="auto"/>
                <w:kern w:val="0"/>
                <w:sz w:val="18"/>
                <w:szCs w:val="18"/>
                <w:lang w:bidi="ar"/>
              </w:rPr>
              <w:t xml:space="preserve">512×512 </w:t>
            </w:r>
            <w:r>
              <w:rPr>
                <w:rStyle w:val="65"/>
                <w:rFonts w:hint="default"/>
                <w:color w:val="auto"/>
                <w:sz w:val="18"/>
                <w:szCs w:val="18"/>
                <w:lang w:bidi="ar"/>
              </w:rPr>
              <w:t>像素点</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3</w:t>
            </w:r>
            <w:r>
              <w:rPr>
                <w:rStyle w:val="65"/>
                <w:rFonts w:hint="default"/>
                <w:color w:val="auto"/>
                <w:sz w:val="18"/>
                <w:szCs w:val="18"/>
                <w:lang w:bidi="ar"/>
              </w:rPr>
              <w:t>、支持色度、亮度一体化逐点校正</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4</w:t>
            </w:r>
            <w:r>
              <w:rPr>
                <w:rStyle w:val="65"/>
                <w:rFonts w:hint="default"/>
                <w:color w:val="auto"/>
                <w:sz w:val="18"/>
                <w:szCs w:val="18"/>
                <w:lang w:bidi="ar"/>
              </w:rPr>
              <w:t>、支持网线检测</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5</w:t>
            </w:r>
            <w:r>
              <w:rPr>
                <w:rStyle w:val="65"/>
                <w:rFonts w:hint="default"/>
                <w:color w:val="auto"/>
                <w:sz w:val="18"/>
                <w:szCs w:val="18"/>
                <w:lang w:bidi="ar"/>
              </w:rPr>
              <w:t>、快速升级和快速发送校正系数</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 xml:space="preserve">6 </w:t>
            </w:r>
            <w:r>
              <w:rPr>
                <w:rStyle w:val="65"/>
                <w:rFonts w:hint="default"/>
                <w:color w:val="auto"/>
                <w:sz w:val="18"/>
                <w:szCs w:val="18"/>
                <w:lang w:bidi="ar"/>
              </w:rPr>
              <w:t>、支持低亮高灰以及色温调节</w:t>
            </w:r>
            <w:r>
              <w:rPr>
                <w:rFonts w:ascii="宋体" w:hAnsi="宋体" w:cs="Calibri"/>
                <w:color w:val="auto"/>
                <w:kern w:val="0"/>
                <w:sz w:val="18"/>
                <w:szCs w:val="18"/>
                <w:lang w:bidi="ar"/>
              </w:rPr>
              <w:br w:type="textWrapping"/>
            </w:r>
            <w:r>
              <w:rPr>
                <w:rStyle w:val="65"/>
                <w:rFonts w:hint="default"/>
                <w:color w:val="auto"/>
                <w:sz w:val="18"/>
                <w:szCs w:val="18"/>
                <w:lang w:bidi="ar"/>
              </w:rPr>
              <w:t>7、提供厂家售后服务承诺书和项目授权书；</w:t>
            </w:r>
          </w:p>
          <w:p>
            <w:pPr>
              <w:widowControl/>
              <w:jc w:val="left"/>
              <w:textAlignment w:val="center"/>
              <w:rPr>
                <w:rFonts w:ascii="宋体" w:hAnsi="宋体" w:cs="Calibri"/>
                <w:color w:val="auto"/>
                <w:sz w:val="18"/>
                <w:szCs w:val="18"/>
              </w:rPr>
            </w:pPr>
            <w:r>
              <w:rPr>
                <w:rStyle w:val="65"/>
                <w:rFonts w:hint="default"/>
                <w:color w:val="auto"/>
                <w:sz w:val="18"/>
                <w:szCs w:val="18"/>
                <w:lang w:bidi="ar"/>
              </w:rPr>
              <w:t>8、为保证信号传输的稳定性，接收卡需支持一帧延迟，发送端到显示端延迟达到一帧</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r>
      <w:tr>
        <w:tblPrEx>
          <w:tblCellMar>
            <w:top w:w="0" w:type="dxa"/>
            <w:left w:w="0" w:type="dxa"/>
            <w:bottom w:w="0" w:type="dxa"/>
            <w:right w:w="0"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信号线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国标六类网线</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22</w:t>
            </w:r>
          </w:p>
        </w:tc>
      </w:tr>
      <w:tr>
        <w:tblPrEx>
          <w:tblCellMar>
            <w:top w:w="0" w:type="dxa"/>
            <w:left w:w="0" w:type="dxa"/>
            <w:bottom w:w="0" w:type="dxa"/>
            <w:right w:w="0"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电源线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国标1.5mm2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30</w:t>
            </w:r>
          </w:p>
        </w:tc>
      </w:tr>
      <w:tr>
        <w:tblPrEx>
          <w:tblCellMar>
            <w:top w:w="0" w:type="dxa"/>
            <w:left w:w="0" w:type="dxa"/>
            <w:bottom w:w="0" w:type="dxa"/>
            <w:right w:w="0" w:type="dxa"/>
          </w:tblCellMar>
        </w:tblPrEx>
        <w:trPr>
          <w:trHeight w:val="17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视频拼接器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w:t>
            </w:r>
            <w:r>
              <w:rPr>
                <w:rStyle w:val="65"/>
                <w:rFonts w:hint="default"/>
                <w:color w:val="auto"/>
                <w:sz w:val="18"/>
                <w:szCs w:val="18"/>
                <w:lang w:bidi="ar"/>
              </w:rPr>
              <w:t>支持配置备份和恢复，备份信息可下载保存备份，断电记忆功能，无需担心配置丟失</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w:t>
            </w:r>
            <w:r>
              <w:rPr>
                <w:rStyle w:val="65"/>
                <w:rFonts w:hint="default"/>
                <w:color w:val="auto"/>
                <w:sz w:val="18"/>
                <w:szCs w:val="18"/>
                <w:lang w:bidi="ar"/>
              </w:rPr>
              <w:t>支持设备主机高温报警和智能风扇调节</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w:t>
            </w:r>
            <w:r>
              <w:rPr>
                <w:rStyle w:val="65"/>
                <w:rFonts w:hint="default"/>
                <w:color w:val="auto"/>
                <w:sz w:val="18"/>
                <w:szCs w:val="18"/>
                <w:lang w:bidi="ar"/>
              </w:rPr>
              <w:t>支持设备在现场使用期限的授权管理</w:t>
            </w:r>
            <w:r>
              <w:rPr>
                <w:rFonts w:ascii="宋体" w:hAnsi="宋体" w:cs="Calibri"/>
                <w:color w:val="auto"/>
                <w:kern w:val="0"/>
                <w:sz w:val="18"/>
                <w:szCs w:val="18"/>
                <w:lang w:bidi="ar"/>
              </w:rPr>
              <w:br w:type="textWrapping"/>
            </w:r>
            <w:r>
              <w:rPr>
                <w:rStyle w:val="65"/>
                <w:rFonts w:hint="default"/>
                <w:color w:val="auto"/>
                <w:sz w:val="18"/>
                <w:szCs w:val="18"/>
                <w:lang w:bidi="ar"/>
              </w:rPr>
              <w:t>为防止其他人员误操作的现象发生，拼接器可支持具备用户权限管理功能，支持用户分级、分权管理，各司其职，可以为不同的操作人员设置不同权限。</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16</w:t>
            </w:r>
          </w:p>
        </w:tc>
      </w:tr>
      <w:tr>
        <w:tblPrEx>
          <w:tblCellMar>
            <w:top w:w="0" w:type="dxa"/>
            <w:left w:w="0" w:type="dxa"/>
            <w:bottom w:w="0" w:type="dxa"/>
            <w:right w:w="0" w:type="dxa"/>
          </w:tblCellMar>
        </w:tblPrEx>
        <w:trPr>
          <w:trHeight w:val="124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配电柜</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Calibri"/>
                <w:color w:val="auto"/>
                <w:sz w:val="18"/>
                <w:szCs w:val="18"/>
              </w:rPr>
            </w:pPr>
            <w:r>
              <w:rPr>
                <w:rFonts w:ascii="宋体" w:hAnsi="宋体" w:cs="Calibri"/>
                <w:color w:val="auto"/>
                <w:kern w:val="0"/>
                <w:sz w:val="18"/>
                <w:szCs w:val="18"/>
                <w:lang w:bidi="ar"/>
              </w:rPr>
              <w:t>1</w:t>
            </w:r>
            <w:r>
              <w:rPr>
                <w:rStyle w:val="65"/>
                <w:rFonts w:hint="default"/>
                <w:color w:val="auto"/>
                <w:sz w:val="18"/>
                <w:szCs w:val="18"/>
                <w:lang w:bidi="ar"/>
              </w:rPr>
              <w:t>、具备手动控制设备供电的开启和关闭。</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2</w:t>
            </w:r>
            <w:r>
              <w:rPr>
                <w:rStyle w:val="65"/>
                <w:rFonts w:hint="default"/>
                <w:color w:val="auto"/>
                <w:sz w:val="18"/>
                <w:szCs w:val="18"/>
                <w:lang w:bidi="ar"/>
              </w:rPr>
              <w:t>、多组回路输出，每组可独立控制；标配为手动控制，可添加多种控制方式；</w:t>
            </w:r>
            <w:r>
              <w:rPr>
                <w:rFonts w:ascii="宋体" w:hAnsi="宋体" w:cs="Calibri"/>
                <w:color w:val="auto"/>
                <w:kern w:val="0"/>
                <w:sz w:val="18"/>
                <w:szCs w:val="18"/>
                <w:lang w:bidi="ar"/>
              </w:rPr>
              <w:br w:type="textWrapping"/>
            </w:r>
            <w:r>
              <w:rPr>
                <w:rFonts w:ascii="宋体" w:hAnsi="宋体" w:cs="Calibri"/>
                <w:color w:val="auto"/>
                <w:kern w:val="0"/>
                <w:sz w:val="18"/>
                <w:szCs w:val="18"/>
                <w:lang w:bidi="ar"/>
              </w:rPr>
              <w:t>3</w:t>
            </w:r>
            <w:r>
              <w:rPr>
                <w:rStyle w:val="65"/>
                <w:rFonts w:hint="default"/>
                <w:color w:val="auto"/>
                <w:sz w:val="18"/>
                <w:szCs w:val="18"/>
                <w:lang w:bidi="ar"/>
              </w:rPr>
              <w:t>、系统采用三相五线制供电</w:t>
            </w:r>
            <w:r>
              <w:rPr>
                <w:rFonts w:ascii="宋体" w:hAnsi="宋体" w:cs="Calibri"/>
                <w:color w:val="auto"/>
                <w:kern w:val="0"/>
                <w:sz w:val="18"/>
                <w:szCs w:val="18"/>
                <w:lang w:bidi="ar"/>
              </w:rPr>
              <w:t>,</w:t>
            </w:r>
            <w:r>
              <w:rPr>
                <w:rStyle w:val="65"/>
                <w:rFonts w:hint="default"/>
                <w:color w:val="auto"/>
                <w:sz w:val="18"/>
                <w:szCs w:val="18"/>
                <w:lang w:bidi="ar"/>
              </w:rPr>
              <w:t>控制箱工业</w:t>
            </w:r>
            <w:r>
              <w:rPr>
                <w:rFonts w:ascii="宋体" w:hAnsi="宋体" w:cs="Calibri"/>
                <w:color w:val="auto"/>
                <w:kern w:val="0"/>
                <w:sz w:val="18"/>
                <w:szCs w:val="18"/>
                <w:lang w:bidi="ar"/>
              </w:rPr>
              <w:t>PLC</w:t>
            </w:r>
            <w:r>
              <w:rPr>
                <w:rStyle w:val="65"/>
                <w:rFonts w:hint="default"/>
                <w:color w:val="auto"/>
                <w:sz w:val="18"/>
                <w:szCs w:val="18"/>
                <w:lang w:bidi="ar"/>
              </w:rPr>
              <w:t>系统控制，为了降低电网的瞬间启动电流，具有延时通断电功能，具有过热、过湿、过压、过流、短路等保护装置；</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二、扩声系统（本地/远程）</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专业功放</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输出功率:8Ω----2x650W；4Ω----2x850W；桥接8Ω----1550W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频率响应:20Hz-20KHz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输入方式：卡龙母平衡输入，6.35插座输入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输出方式：音箱接线柱，音箱卡龙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功能：适合各种场合的声音放大传输，对扬声器有保护电路，电源软启动，搞保真，声音清晰，人声表现力强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信噪比:&gt;90dB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谐波失真:&lt;0.05%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通道串音:&lt;-70dB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输出阻抗:4-16Ω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机箱规格：2U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专业音箱（含支架BY-01B）</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频率响应:65Hz~22KHz(±3dB)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单元数量:LF:1x10"(2"voice coil),HF:1x1"(1.75"voice coil)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承受功率:200W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灵敏度:96dB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最大声压级:118dB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标称阻抗:8 ohms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指向性:90°Hx40°V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分频点：2KHz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箱体板材 ： Birch plywood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连接插座 ： 2xNeutrik NL4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专业功放</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输出功率:8Ω----2x350W；4Ω----2x550W；桥接8Ω----850W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频率响应:20Hz-20KHz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输入方式：卡龙母平衡输入，6.35插座输入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输出方式：音箱接线柱，音箱卡龙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功能：适合各种场合的声音放大传输，对扬声器有保护电路，电源软启动，搞保真，声音清晰，人声表现力强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信噪比:&gt;90dB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谐波失真:&lt;0.05%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通道串音:&lt;-70dB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输出阻抗:4-16Ω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机箱规格：2U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专业音箱（含支架BY-01B）</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频率响应：65Hz~22KHz(±3dB)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单元数量：LF:1x8"(2"voice coil),HF:1x1"(1.75"voice coil)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承受功率：150W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灵敏度:95dB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最大声压级:115dB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标称阻抗:8 ohms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指向性:90°Hx40°V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分频点：2KHz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箱体板材：Birch plywood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连接插座：2xNeutrik NL4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调音台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8路平衡式话筒输入及2路立体声输入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高品质、低噪音的话筒输入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低噪音的前置放大，具有强大的抗干扰能力</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话筒提供优质的+48V幻像电源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配备高档调音台才具有的信号输入点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中频扫频的三段均衡, MF频段的范围是从140Hz到3kHz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三组AUX辅助输出可选择为推子前推子后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内置DSP数字效果器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4组母线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电路板采用双面SMT贴片技术，使性能稳定可靠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100MM行程高分析度推子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MP3播放器带USB输入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1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抑制器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输出电压：输出幻象48V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输入电压：AC220V/50Hz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输出电流：6.5mA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话筒连接匹配：幻象和非幻象供电话筒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话筒连接方式：不少于5路卡龙母插座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外接输入连接：不少于5路话筒卡龙公、线路莲花单声道，效果单声道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输出连接：卡龙平衡、线路莲花单声道，效果单声道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功能：不少于1路外接输入移频手动切换，5路话筒移频手动切换，5路话筒幻象供电选择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功率：15W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开关/指示：船型开关，面板电源指示灯，移频切换指示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音频处理器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8路平衡式话筒\线路输入，采用裸线接口端子；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8路平衡式输出，采用裸线接口端子；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120db的 A/D与D/A转换， 最高可达96kHz/48K采样率；高速DSP处理芯片 DSP处理内核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输入源：输入方式可切换平衡话筒或线路，采用凤凰插接口；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通道拷贝、粘贴、联控功能、DSP音频处理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输入每通道：前级放大、信号发生器、扩展器、压缩器、5段参量均衡、自动增益、AM自动混音功能；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输出每通道：音箱管理器（31段参量均衡器、延时器、分频器、高低通滤波器、限幅器）；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内置Dante网络传输模块、AFC自适应反馈消除；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兼容多方平台控制管理，支持windows系统、iOS系统（iPAD、Iphone)以及Andriod系统；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Enternet多用途数据传输及控制端口，可以支持实时管理单台及多台设备；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直观形象、简洁易懂的图形化软件控制界面，为客户带来快捷、实时的操作体验；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设备无需光盘，自带安装软件，一台设备对于一个软件版本，解决因为安装光盘丢失以及多个软件版本混乱引起的烦恼；</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可扩展USB接口，不仅可以实现设备升级功能，还可以实现USB录音与播音的功能；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全功能矩阵混音功能，不单单是混音和自动混音功能，还具备混音分量控制功能；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配置RS485接口、标准以太网控制接口、8通道可编程GPIO控制接口（可自定义输入输出）；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支持平板界面操作控制；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支持场景预设功能；直观、图形化软件控制界面，可工作在XP/Windows7、8、10等系统环境下。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无线话筒</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采用世界先进的DPLL数字锁相环多信道频率合成技术及杂讯自动控制技术(带导频)；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使用UHF550MHz～980MHz频段，避免干扰频率；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全新节能模式设置，全自动EQ控制功能，自动校正音色全自动开关机模式自动红外线对频系统，全自动扫描；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真分集式接收电路，保证有效距离内不断迅，消除死角；使用高增益天线，有效开阔使5、采用最新型的高频声表面滤波器，最大限度地滤除带外干扰信号；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采用二次变频的高频电路设计，具有极高的灵敏度；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调制方式： 宽带FM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信道数目： 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信道间隔： 250kHz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动态范围： 100dB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音频频率响应：20Hz～20kHz (±3dB)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综合信噪比： ＞105dB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综合失真：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话筒呼叫控制嵌入软件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话筒呼叫控制嵌入软件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三、大厅指挥系统</w:t>
            </w:r>
          </w:p>
        </w:tc>
      </w:tr>
      <w:tr>
        <w:tblPrEx>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指挥系统主机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4.3英寸真彩色触摸屏，内嵌式Linux智能控制系统，采用数字阵列集成电路技术，低功耗、高保真、极稳定；中/英文操作界面切换功能。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主机具有摄像跟踪、会议讨论、表决功能,可触摸设置不少于6种会议模式、AUX音量调节、单元喇叭音量调节、单元编号、系统高频补偿调节、视像跟踪设置和倒计时设置等。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发言人数限制(可自由设定1-9支)、可全开放。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会议系统主机可设置不少于七种发言模式：“主席专用”模式、“自由”模式、“限制”模式、“轮替”模式、“申请”模式、“声控”模式；“倒计时”模式；。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自动关机(A. Off)：即是可以选择麦克风发言完毕后是否在45秒内自动关闭。（会场声压低于40dB时才触发）。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开机自检功能,连接状态不正常时主机产生锋鸣。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断电智能记忆功能，可记忆程序运行状态。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内置电话偶合器可用来召开远程电话会议。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具有4路8芯接口，可连接120席单元，可无限增加电源扩展功能。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系统单元采用T型接法，即使系统中某支话筒出故障也不会导致系统死机和瘫痪，确保系统能高效正常使用，具有RS485接口，可进行远程控制及远程协助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通过触摸屏触摸可控制菜单功能、音量调节、电话输入和总音量输出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具有不少于1路TCP/IP网口接口，连接网络分线盒同步传输音频和控制信号。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具有不少于1组光纤音频接口。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★具有不少于1路Dante接口，音频可扩展至整个Dante系统。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★具有不少于1路5V消防联动警报接口，此接口为扩展接口，可用于消防警报连接端口。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★具有USB录播功能，可对会议进行录音，并能播放U盘存贮的音频文件。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具有电脑USB声卡播放功能，可同步播放电脑播放的音乐。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具有WIFI控制功能，配合WIFI接收器，可通过手机APP控制主控机。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支持单元复位功能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具有DATA网络控制接口，控制网线可延长至1000米连接管理会议。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支持RS232中控控制，且具有双向收发码功能，与中控系统实现完美配合。</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多元化会场布控功能，连接电脑可进行模拟现场会议情景布图，可随时点击开启或关闭所有的列席话筒。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智能自动EQ调节功能，系统开启不同数量的话筒时，总音量输出的声压保持不变。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高频补偿调节功能，当系统话筒连接数量过多时，可针对发言者的声音特点进行高音补偿调节，直至达到完美的效果。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不少于内置4进2出标清AV视频信号自动切换矩阵和和4进1出高清HDMI视频信号自动无缝切换矩阵。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连接摄像机可实现摄像跟踪功能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单机多达512个摄像机位置自动跟踪控制点。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兼容性极强，支持多种摄像球控制协议。（Pelco_P 、Pelco-D波特率9600、VISCA波特率9600）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支持三种摄像机控制接口。（RS232、RS422和RS485）。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RS232端口可外接PC设置结合加密型软件同步联动操作，可实现计算机管理功能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脱离电脑时，可通过主控机面板触摸屏或手机APP进行摄像位置预设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具一组AUX音频讯号输入端子，可外接CD播放机等音源输入设备。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具3组音频讯号输出端子，可外接录音或音响设备。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频率响应：40HZ～16KHZ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总谐波失真：0.1％@1kHz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信噪比：&gt;96dB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输出负载：&lt;1KΩ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全数字指挥系统音频传输内嵌软件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指系统主机音频管理软件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主席单元</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麦克风具有发言键与指示灯，可控制/指示本机状态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单指向性，具防气爆音功能，配有防风防护罩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系统中主席单元不受限制功能的限制，具主席优先控制按键，可启动系统提示音提醒出席人员注意，可设永久终止或暂停终止所有发言代表麦克风的发言状态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系统中主席单元数量不受限制，并可置于回路中任意位置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可绕式电容麦克风杆，并具有发言指示光环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单元由系统主机供电，输入电压18V属安全范围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单元采用8芯线“T”型连接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可具有自动视像跟踪功能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频率响应：50-16kHz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灵敏度：-42dB±2dB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液晶显示，简、繁、英三种语言可选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主席控制内嵌软件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主席控制内嵌软件(与指挥系统主机配套)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代表单元</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麦克风具有发言键与指示灯，可控制/指示本机状态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单指向性，具防气爆音功能，配有防风防护罩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可绕式电容麦克风杆，并具有发言指示光环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单元由系统主机供电，输入电压18V属安全范围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单元采用8芯线“T”型连接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可具有自动视像跟踪功能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频率响应：50-16kHz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灵敏度：-42dB±2dB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液晶显示，简、繁、英三种语言可选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手拉手代表控制内嵌软件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手拉手代表控制内嵌软件(与指挥系统主机配套)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17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20米8芯数字手拉手会议专用电缆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5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插座</w:t>
            </w:r>
          </w:p>
        </w:tc>
        <w:tc>
          <w:tcPr>
            <w:tcW w:w="6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8芯专用地插盒：一进三出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5 </w:t>
            </w:r>
          </w:p>
        </w:tc>
      </w:tr>
      <w:tr>
        <w:tblPrEx>
          <w:tblCellMar>
            <w:top w:w="0" w:type="dxa"/>
            <w:left w:w="0" w:type="dxa"/>
            <w:bottom w:w="0" w:type="dxa"/>
            <w:right w:w="0" w:type="dxa"/>
          </w:tblCellMar>
        </w:tblPrEx>
        <w:trPr>
          <w:trHeight w:val="4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指挥系统主机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4.3英寸真彩色触摸屏，内嵌式Linux智能控制系统，采用数字阵列集成电路技术，低功耗、高保真、极稳定；中/英文操作界面切换功能。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主机具有摄像跟踪、会议讨论、表决功能,可触摸设置不少于6种会议模式、AUX音量调节、单元喇叭音量调节、单元编号、系统高频补偿调节、视像跟踪设置和倒计时设置等。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发言人数限制(可自由设定1-9支)、可全开放。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会议系统主机可设置不少于七种发言模式：“主席专用”模式、“自由”模式、“限制”模式、“轮替”模式、“申请”模式、“声控”模式；“倒计时”模式；。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自动关机(A. Off)：即是可以选择麦克风发言完毕后是否在45秒内自动关闭。（会场声压低于40dB时才触发）。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开机自检功能,连接状态不正常时主机产生锋鸣。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断电智能记忆功能，可记忆程序运行状态。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内置电话偶合器可用来召开远程电话会议。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具有4路8芯接口，可连接120席单元，可无限增加电源扩展功能。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系统单元采用T型接法，即使系统中某支话筒出故障也不会导致系统死机和瘫痪，确保系统能高效正常使用，具有RS485接口，可进行远程控制及远程协助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通过触摸屏触摸可控制菜单功能、音量调节、电话输入和总音量输出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具有不少于1路TCP/IP网口接口，连接网络分线盒同步传输音频和控制信号。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具有不少于1组光纤音频接口。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具有不少于1路Dante接口，音频可扩展至整个Dante系统。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具有不少于1路5V消防联动警报接口，此接口为扩展接口，可用于消防警报连接端口。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具有USB录播功能，可对会议进行录音，并能播放U盘存贮的音频文件。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具有电脑USB声卡播放功能，可同步播放电脑播放的音乐。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具有WIFI控制功能，配合WIFI接收器，可通过手机APP控制主控机。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支持单元复位功能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具有DATA网络控制接口，控制网线可延长至1000米连接管理会议。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支持RS232中控控制，且具有双向收发码功能，与中控系统实现完美配合。</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多元化会场布控功能，连接电脑可进行模拟现场会议情景布图，可随时点击开启或关闭所有的列席话筒。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智能自动EQ调节功能，系统开启不同数量的话筒时，总音量输出的声压保持不变。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高频补偿调节功能，当系统话筒连接数量过多时，可针对发言者的声音特点进行高音补偿调节，直至达到完美的效果。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不少于内置4进2出标清AV视频信号自动切换矩阵和和4进1出高清HDMI视频信号自动无缝切换矩阵。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连接摄像机可实现摄像跟踪功能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单机多达512个摄像机位置自动跟踪控制点。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兼容性极强，支持多种摄像球控制协议。（Pelco_P 、Pelco-D波特率9600、VISCA波特率9600）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支持三种摄像机控制接口。（RS232、RS422和RS485）。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RS232端口可外接PC设置结合加密型软件同步联动操作，可实现计算机管理功能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脱离电脑时，可通过主控机面板触摸屏或手机APP进行摄像位置预设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具一组AUX音频讯号输入端子，可外接CD播放机等音源输入设备。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具3组音频讯号输出端子，可外接录音或音响设备。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频率响应：40HZ～16KHZ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总谐波失真：0.1％@1kHz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信噪比：&gt;96dB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输出负载：&lt;1KΩ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全数字指挥系统音频传输内嵌软件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指系统主机音频管理软件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四、信号处理及中控</w:t>
            </w:r>
          </w:p>
        </w:tc>
      </w:tr>
      <w:tr>
        <w:tblPrEx>
          <w:tblCellMar>
            <w:top w:w="0" w:type="dxa"/>
            <w:left w:w="0" w:type="dxa"/>
            <w:bottom w:w="0" w:type="dxa"/>
            <w:right w:w="0" w:type="dxa"/>
          </w:tblCellMar>
        </w:tblPrEx>
        <w:trPr>
          <w:trHeight w:val="21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分布式综合管理平台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云服务系统软件中实现集成管理，整体音视频交互所见即所得管理，实时数据库以及后台数据库构成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采用托拽式控制，实时图像可通过多点触摸放大和缩小。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系统集成应用可通过内附的云网络通讯开发包API和网络控制协议进行支持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支持C/S和B/S架构，提供IPAD，ANDORID及PC平台软件，提供基于TCP/IP协议的SDK和HTTP的SDK；</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音视频设备管理，具有大屏开窗、叠加功能、漫游功能、信号切换、KVM切换、音频切换；(附省级或国家级带有CMA及CAL标识的电子信息产品质量监督院出具的检测报告证明复印件并加盖制造商公章）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IT设备管理及数据采集；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★需支持会议预约系统（制造商须具国家版权局颁发的会议预约查询系统软件著作权证书并附复印件加盖制造商公章）；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需支持信息发布系统（制造商须具国家版权局颁发的信息发布展示系统软件著作权证书并附复印件加盖制造商公章）；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需支持视频会议和网络视频流媒体管理；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需支持BA楼控系统管理；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应具有监控视频系统管理，可调用监控摄像头视频信号及控制；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消防、安防系统管理；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支持IP电话系统包；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支持智能语音识别实现图像上墙，切换，音量控制和环境控制；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支持内置GIS地图及高分8K上墙；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字幕OSD上墙；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网络摄像机云台，缩放及预置位调用；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具有信号源触摸手势滑动推送至虚拟墙功能；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具有信号源检索功能；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具有摄像头云台控制功能；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具有数据备份功能；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具有场景导航功能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制造商须具国家版权局颁发的可视化逻辑设计软件著作权证书(附复印件并加盖制造商公章)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 </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可视化系统软件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定制化的图形界面；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视频回放及拖拽控制；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应急预案及处理控制；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信息发布及预约信息；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云平台远程管理；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照明控制；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资产管理及报表；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 </w:t>
            </w:r>
          </w:p>
        </w:tc>
      </w:tr>
      <w:tr>
        <w:tblPrEx>
          <w:tblCellMar>
            <w:top w:w="0" w:type="dxa"/>
            <w:left w:w="0" w:type="dxa"/>
            <w:bottom w:w="0" w:type="dxa"/>
            <w:right w:w="0"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分布式输入节点</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u w:val="none"/>
                <w:lang w:bidi="ar"/>
              </w:rPr>
              <w:fldChar w:fldCharType="begin"/>
            </w:r>
            <w:r>
              <w:rPr>
                <w:rFonts w:hint="eastAsia" w:ascii="宋体" w:hAnsi="宋体" w:cs="宋体"/>
                <w:color w:val="auto"/>
                <w:kern w:val="0"/>
                <w:sz w:val="18"/>
                <w:szCs w:val="18"/>
                <w:u w:val="none"/>
                <w:lang w:bidi="ar"/>
              </w:rPr>
              <w:instrText xml:space="preserve"> HYPERLINK ""</w:instrText>
            </w:r>
            <w:r>
              <w:rPr>
                <w:rFonts w:hint="eastAsia" w:ascii="宋体" w:hAnsi="宋体" w:cs="宋体"/>
                <w:color w:val="auto"/>
                <w:kern w:val="0"/>
                <w:sz w:val="18"/>
                <w:szCs w:val="18"/>
                <w:u w:val="none"/>
                <w:lang w:bidi="ar"/>
              </w:rPr>
              <w:fldChar w:fldCharType="separate"/>
            </w:r>
            <w:r>
              <w:rPr>
                <w:rStyle w:val="28"/>
                <w:rFonts w:hint="eastAsia" w:ascii="宋体" w:hAnsi="宋体" w:cs="宋体"/>
                <w:color w:val="auto"/>
                <w:sz w:val="18"/>
                <w:szCs w:val="18"/>
                <w:u w:val="none"/>
              </w:rPr>
              <w:t>全网络相连，包括音频，视频，控制信号，自带POE供电RJ45接口；</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采用分布式设计，无中心单元，降低系统运行风险，减少维护成本；</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单个分布式输入单元，支持HDMI，YPbPr、DVI、VGA、网络、SDI、音频输入， 支持两个USB接口输入（附省级或国家级电子信息产品质量监督院出具的检测报告证明复印件并加盖制造商公章）</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★单个分布式输入单元具有一路串口、一路红外、一路IO信号及路NET口；（附省级或国家级电子信息产品质量监督院出具的检测报告证明复印件并加盖制造商公章）</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支持4k H.265码流输入，4k@60P输出，兼容2K H.264输入；支持4K@30P HDMI输入并编码。</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双网络备份，双网口备份机制，实现双物理网络实时备份；</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每个单元均带有IO端口，做输出使用时可以提供5V电压做弱电控制配合接触器可以控制大电流设备，也可以做输入使用，与各种传感器连接；</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每个输入单元均采用强大性能的逻辑处理芯片以及数据流编解码芯片，保证系统运行的流畅性，音视频传输的无损化；</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分布式输入单元已经对输入信号进行了高画质编码并数据流化，可以实现整系统的录播功能；</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 xml:space="preserve">完美的可视化操作，配合定制APP,在iPad，ANDORID，PC上能看到每个输入节点的视频，系统具有双流监看功能。   </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带USB*2接口，支持无线键盘鼠标实现KVM功能（定制），还支持外接移动硬盘进行数据存储</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具有3C认证证书(附复印件加盖制造商公章)</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制造商应具有武器装备质量管理体系认证证书、全国质量检验稳定合格产品证书、信息安全管理体系认证证书、全国产品和服务质量诚信示范企业证书、高新企业证书(附复印件加盖制造商公章)</w:t>
            </w:r>
            <w:r>
              <w:rPr>
                <w:rFonts w:hint="eastAsia" w:ascii="宋体" w:hAnsi="宋体" w:cs="宋体"/>
                <w:color w:val="auto"/>
                <w:kern w:val="0"/>
                <w:sz w:val="18"/>
                <w:szCs w:val="18"/>
                <w:u w:val="none"/>
                <w:lang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31 </w:t>
            </w:r>
          </w:p>
        </w:tc>
      </w:tr>
      <w:tr>
        <w:tblPrEx>
          <w:tblCellMar>
            <w:top w:w="0" w:type="dxa"/>
            <w:left w:w="0" w:type="dxa"/>
            <w:bottom w:w="0" w:type="dxa"/>
            <w:right w:w="0"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分布式输出节点</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全网络相连，包括音频，视频，控制信号，自带POE供电RJ45接口；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采用分布式设计，无中心单元，降低系统运行风险，减少维护成本；</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单个分布式输出单元，支持HDMI，YPbPr、DVI、VGA、网络、SDI、音频输出，支持两个USB接口输出（附省级或国家级电子信息产品质量监督院出具的检测报告证明复印件并加盖制造商公章）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单个分布式输出单元具有一路串口、一路红外、一路IO信号及路NET口；（附省级或国家级电子信息产品质量监督院出具的检测报告证明复印件并加盖制造商公章）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支持4k H.265码流输入，4k@60P输出，兼容2K H.264输入；支持4K@30P HDMI输入并编码。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双网络备份，双网口备份机制，实现双物理网络实时备份；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每个单元均带有IO端口，做输出使用时可以提供5V电压做弱电控制配合接触器可以控制大电流设备，也可以做输入使用，与各种传感器连接；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每个输入单元均采用强大性能的逻辑处理芯片以及数据流编解码芯片，保证系统运行的流畅性，音视频传输的无损化；</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分布式输入单元已经对输入信号进行了高画质编码并数据流化，可以实现整系统的录播功能；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实现拼接处理器功能，可叠加、漫游、跨屏、单屏开64个窗口。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完美的可视化操作，配合定制APP,在iPad，ANDORID，PC上能看到每个输入节点的视频，系统具有双流监看功能。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支持通过语音识别，实现图像缩放，切换和移动；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带USB*2接口，其中一个可以外接无线键盘鼠标实现KVM功能，另外一个外接硬盘进行图像录像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3C认证证书、武器装备质量管理体系认证证书、全国质量检验稳定合格产品证书、信息安全管理体系认证证书、全国产品和服务质量诚信示范企业证书、高新企业证书(附复印件加盖制造商公章)(附复印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32 </w:t>
            </w:r>
          </w:p>
        </w:tc>
      </w:tr>
      <w:tr>
        <w:tblPrEx>
          <w:tblCellMar>
            <w:top w:w="0" w:type="dxa"/>
            <w:left w:w="0" w:type="dxa"/>
            <w:bottom w:w="0" w:type="dxa"/>
            <w:right w:w="0"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网络中控</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ARM11 1GHZ CPU，1G内存，2G Flash闪存；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ARM11 1GHZ CPU，1G内存，2G Flash闪存；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支持SSL加密技术、A-Control技术；支持SNMP，内置防火墙；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内置WEB SERVER，兼容KNX EIB成员的产品，支持楼控协议MODBUS，BACNET等；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支持浏览器B/S模式控制，支持IPAD、ANDROID C/S控制模式；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支持模块及COMPILER+语言编程方式，使系统更加智能、方便、稳定；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 OA OUTLOOK会议预约，FLASH、虚拟仿真二次接口编程；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支持受控设备双向实时状态反馈功能及WIFI视频回放；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A-NET、A-NET2双总线技术, 可扩充达1024个网络设备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至少8路RS-232/485串行接口（带有CMA及CAL标识的检测报告证明复印件证明并加盖制造商公章）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8路红外接口、8路弱电继电器接口、8路数字输I/O接口（带有CMA及CAL标识的检测报告证明复印件证明并加盖制造商公章）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接触电流&lt;3.5mA（带有CMA及CAL标识的检测报告证明复印件证明并加盖制造商公章）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1500V交流情况下至少1min无飞弧无击穿（带有CMA及CAL标识的检测报告证明复印件证明并加盖制造商公章）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1个USB通用编程接口（带有CMA及CAL标识的检测报告证明复印件证明并加盖制造商公章）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支持系统自动云诊断、云备份、云恢复；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1个网络通用编程接口，可通过交换机实现远端至少256台PC的开关机管理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高新企业证书、3C、CE、ROHS、集中控制十大品牌证书、全国产品和服务质量诚信示范企业证书、全国质量检验稳定合格产品证书、信息安全管理体系认证证书(附复印件加盖制造商公章)(附复印件加盖制造商公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★制造商应提供可视化界面设计软件著作权证书(附复印件并加盖制造商公章)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 </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分布式中控系统逻辑处理内嵌软件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全面对接中控主机编程，实现各种动作的功能；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兼容所有电气信号，进行相应的转换；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自定义lua模块编程，实现更个性化的逻辑功能；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特殊模块可以组合，适应更复杂的逻辑场景；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提供计算机软件著作权登记证书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 </w:t>
            </w:r>
          </w:p>
        </w:tc>
      </w:tr>
      <w:tr>
        <w:tblPrEx>
          <w:tblCellMar>
            <w:top w:w="0" w:type="dxa"/>
            <w:left w:w="0" w:type="dxa"/>
            <w:bottom w:w="0" w:type="dxa"/>
            <w:right w:w="0"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控制器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8通道电源开关，最大电流值16A，单路最大负载3200W；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提供1路A-NET网络控制接口，PCI-8通过A-NET与可编程控制主机通讯；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提供1路RS-485接口，可实现通过独立PC机控制，可同时对多台PCI-8实现通信控制；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节点走线可实现下走线，侧走线等多种出线方式，美观大方；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可由多媒体控制系统的DC24V或AC100-240V两种供电模式；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8路独立节点控制接口，每路都有常开，常闭两种接口选择；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指示全面，支持POWER电源指示，ID网络连接指示，接收数据指示；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ID CODE可调节网络ID，实现与可编程控制主机A-NET网络通讯；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内置光电隔离模块，可保障负载和主机安全可靠；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自带A-NET和RS-232通讯协议；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能通过机身的按键自由控制。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具备手动强制开关，可脱离主机手动控制，紧急情况下可以手动控制继电器的开关，很好的保护其他的设备。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协议兼容：兼容目前市面上用得网络协议；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ID选择:旋转的ID切换设置网络ID身份代码；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 </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音量控制器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数码控制4声道声音衰减器，每个声道有独立的音量、高音、低音和静音设置。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可提供完整的系统音频控制而无需红外线控制集成接收器。选择你的混音器、前置功放和功放，然后增加一个调音模块完成一个系统。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在某些应用中，高低音独立控制甚至可以省去一个图形等化器。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 </w:t>
            </w:r>
          </w:p>
        </w:tc>
      </w:tr>
      <w:tr>
        <w:tblPrEx>
          <w:tblCellMar>
            <w:top w:w="0" w:type="dxa"/>
            <w:left w:w="0" w:type="dxa"/>
            <w:bottom w:w="0" w:type="dxa"/>
            <w:right w:w="0"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10英寸彩色触摸屏</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10英寸16:9屏幕显示；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1280x800 IPS全视角触控屏幕；</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Cortex A9/ATOM 处理器，1G RAM的硬件组合，支持1080P硬件解码，3D效果快速流畅播放高清影视视频；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LAN以太网络通讯；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视频回放功能；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支持有线控制方式；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支持嵌墙、挂墙安装方式；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外置电源适配器功率AC100-240V，输出12V 3A；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嵌入式操作系统；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开放式的可编程控制平台Visual Panel Studio™、人性化的操作界面和强大的交互式控制逻辑结构。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★E-CLUSTER云平台服务，动态IP实现远程控制；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支架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固定分布式设备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16 </w:t>
            </w:r>
          </w:p>
        </w:tc>
      </w:tr>
      <w:tr>
        <w:tblPrEx>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平板  8.4英寸平板电脑</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材质/工艺U形天线加金属机身设计；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正面2.5D玻璃.翻新类型全新.网络连接WiFi版</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续航时间以实际使用环境为准.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其他接口支持USB Type-C转3.5mm耳机孔.</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连接方式WiFi功能；蓝牙功能.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扬声器2个.</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特性指纹导航、学生模式、护眼模式、游戏模式.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处理器海思麒麟960.核心数量八核.显示芯片Mali G71 MP8.存储容量64GB.运行内存4GB.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无线接入点AP</w:t>
            </w:r>
          </w:p>
        </w:tc>
        <w:tc>
          <w:tcPr>
            <w:tcW w:w="6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吸顶式AP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最高传输速率1766Mbps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覆盖范围2.4GHz频段：450Mbps(2.4G-1)+450Mbps(2.4G-2)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5GHz频段(11AC)：433Mbps(5G-1)+433Mbps(5G-2)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频率范围双频（2.4GHz，5GHz）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网络接口1个10/100/1000M RJ45接口（LAN1/PoE）</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1个10/100/1000M RJ45接口（LAN2）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其它接口1个Reset按钮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1个FAT/FIT模式拨动开关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网络管理FIT AP模式：由TP-LINK 无线控制器(AC)统一管理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FAT AP模式：独立web页面管理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无线控制器AC</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无线AC控制器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工作频段：2.4G，5G</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供电方式：DC供电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6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交换机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产品类型 POE交换机，千兆以太网交换机，企业级交换机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应用层级 三层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传输速率 10/100/1000Mbps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交换方式 存储-转发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背板带宽 598Gbps/5.98Tbps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包转发率 252Mpps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MAC地址表 32K</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端口结构 非模块化</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端口数量 28个</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端口描述 48个10/100/1000Base-T自适应以太网端口（PoE+），4个万兆SFP+口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扩展模块 1个扩展卡槽：2端口万兆SFP+接口板卡，2端口万兆电接口板卡，2端口QSFP+堆叠接口板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堆叠功能 可堆叠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VLAN 支持基于端口的VLAN，支持基于MAC的VLAN，基于协议的VLAN，基于IP子网的VLAN，支持QinQ，灵活QinQ，支持VLAN Mapping，支持Voice VLAN，支持GVRP</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QOS 支持L2（Layer 2）~L4（Layer 4）包过滤功能，提供基于源MAC地址、目的MAC地址、源IP(IPv4/IPv6)地址、目的IP(IPv4/IPv6)地址、TCP/UDP端口号、VLAN的流分类，支持时间段（Time Range）ACL，支持入方向和出方向的双向ACL策略，支持基于VLAN下发ACL，支持对端口接收报文的速率和发送报文的速率进行限制，最小粒度为8Kbps，支持报文重定向，支持报文的802.1p和DSCP优先级重新标记，支持CAR（Committed Access Rate）功能，每个端口支持8个输出队列，CPU口支持48个队列，支持灵活的队列调度算法，可以同时基于端口和队列进行设置，支持SP、WRR、WFQ、SP+WRR、WDRR五种模式，支持WRED</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组播管理 支持IGMP Snooping v1/v2/v3，MLD Snooping v1/v2，支持PIM Snooping，支持MLD Proxy，支持组播VLAN，支持PIM SM PIM DM，支持MSDP，支持双向PIM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网络管理 支持XModem/FTP/TFTP加载升级，支持命令行接口（CLI），Telnet，Console口进行配置，支持SNMPv1/v2/v3，WEB网管，支持RMON （Remote Monitoring）告警、事件、历史记录，支持iMC智能管理中心，支持系统日志，分级告警，调试信息输出，支持NTP，支持电源的告警功能，温度告警，支持Ping、Tracert，支持VCT（Virtual Cable Test）电缆检测功能，支持DLDP（Device Link Detection Protocol）单向链路检测协议，支持LLDP，支持Loopback-detection 端口环回检测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安全管理 支持用户分级管理和口令保护，支持802.1X认证/集中式MAC地址认证，支持Guest VLAN，支持RADIUS认证，支持SSH 2.0，支持端口隔离，支持端口安全，支持PORTAL认证，支持EAD，可支持DHCP Snooping，防止欺骗的DHCP服务器，支持动态ARP检测，防止中间人攻击和ARP拒绝服务，支持BPDU guard， Root guard，支持uRPF(单播反向路径检测)，杜绝IP源地址欺骗，防范病毒和攻击，支持IP/Port/MAC的绑定功能，支持MD5密文认证，支持PKI（Public Key Infrastructure，公钥基础设施），支持CPU防护功能纠错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6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高清摄像头</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全高清图像：采用1/2.8英寸207万像素高品质图像传感器，最大分辨率可达1920x1080，输出帧率高达60帧/秒。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多种光学变倍镜头：具有5X、10X、12X、20X、30X等多种光学变倍镜头选择，镜头具有83.7°无畸变宽视角。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领先的自动聚焦技术：先进的自动聚焦算法使得镜头快速、准确、稳定地完成自动聚焦。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低噪声高信噪比：低噪声CMOS有效地保证了摄像机视频的超高信噪比。采用先进的2D、3D降噪技术，进一步降低了噪声，同时又能确保图像清晰度。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多种视频输出接口：支持DVI、HDMI、3G-SDI、USB3.0、USB2.0、有线LAN、无线LAN接口（5GWiFi模块）、HB-BASE等多种接口可选，支持至少任意三种高清接口同时输出，SDI支持在1080P60格式下传输100米。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多种音视频压缩标准：支持H.265/H.264视频压缩，支持AAC、MP3、G.711A音频压缩；支持高达1920x1080分辨率60帧/秒压缩；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音频输入接口：支持8000、16000、32000、44100、48000采样频率，支持AAC、MP3、G.711A音频编码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多种网络协议：支持ONVIF、GB/T28181、RTSP、RTMP协议；支持RTMP推送模式，轻松链接流媒体服务器(Wowza、FMS)；支持RTP组播模式，支持网络全命令VISCA控制协议。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控制接口：RS485、RS232；RS232支持级联，方便工程安装使用。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多种控制协议：支持VISCA、PELCO-D、PELCO-P协议，支持自动识别协议。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超级静音云台：采用高精度步进电机以及精密电机驱动控制器，确保云台低速运行平稳，并且无噪声。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低功耗休眠功能：支持低功耗休眠/唤醒，休眠时功耗低于400mW。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多预置位：支持多达255个预置位(遥控器设置调用为10个)。</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多种遥控器：用户可以根据所使用的环境条件，选择红外遥控器或无线遥控器。2.4G无线遥控器不受角度、距离、红外干扰影响。支持遥控器信号透传功能，方便后端设备使用。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应用场所多：远程教育、教学录播、会议系统、远程培训、远程医疗、庭审系统、应急指挥系统系统等。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检测报告：提供国家广电有效检测报告，有软著证书。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厂商认证：通过ISO9001、ISO14001质量管理体系认证,高新技术企业证书，外观设计专利证书，实用新型专利证书等,提供产品CE、FCC、ROHS认证证书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3 </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控制键盘</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采用RS485、RS422、RS232多种接口控制信号，最多可接255个摄像机。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支持PELCO-D、PELCO-P、VISCA控制协议。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金属壳体，电脑键盘按键设计。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采用三维控制杆，对摄像机变速调控。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可控制摄像机转动、变焦、光圈、聚焦及摄像机其它参数设置。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液晶中英文显示，实时显示解码器和矩阵的工作状态。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具有按键声音提示功能。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独特的控制码学习功能，可以让客户自行修改控制码指令。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RS485总线上的任何设备，可以单独设置不一样的协议、波特率。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RS422通讯接口具有短路过流保护自动恢复功能。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最长通信距离达1200M（0.5MM 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五、AV系统辅助配件</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设备机柜</w:t>
            </w:r>
          </w:p>
        </w:tc>
        <w:tc>
          <w:tcPr>
            <w:tcW w:w="6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42U网络服务器机柜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时序电源</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输入电压：AC220V/50Hz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输出功率：每路插座最大输出电流10A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交流电压指示表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多媒体电源插座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输入方式：3*2.5平方交流电源线，不带插头，与空气开关连接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输出方式：8路电源输出，标准通用三芯插座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功能：打开时由前级到后级逐个顺序启动，关闭时由后级到前级逐个顺序关闭，每路之间动作时间1.5秒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开关/指示：船型开关，面板电源指示灯，每路通电后指示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桌面集成桌插</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免焊线弹起式办公会议桌面接线盒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黑色面板（短线对插型）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G音频连接线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卡侬公母音频线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F音频连接线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K音频连接线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3.5转莲花音频线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3.5转卡侬音频线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Cat.6 FTP 屏蔽千兆网线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7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Cat.6 FTP 屏蔽配线架 24口</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 </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Cat.6 FTP 屏蔽模块 RJ45 白色</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32 </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Cat.6 FTP 屏蔽跳线 RJ45~RJ45 3米</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64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86型RJ45配套面板 白色</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双口86型信息面板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1U金属理线器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1U翻转盖理线架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4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200芯 无氧铜专业音箱线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200芯 无氧铜专业音箱线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200</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HDMI 3米线材 V2.0版本高清</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HDMI 15米线材 V2.0版本高清</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15米V2.0版本高清HDMI连接线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D型信号配线架 16口 1U</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D型信号网线配线架16口 1U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D型86面板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D型模块底座86面板信息盒：AV、卡侬、RCA、网络、HDMI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 SpeakON 插座</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电器五孔插座、网线插座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 HDMI插座</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HDMI2.0高清模块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六、不间断电源</w:t>
            </w:r>
          </w:p>
        </w:tc>
      </w:tr>
      <w:tr>
        <w:tblPrEx>
          <w:tblCellMar>
            <w:top w:w="0" w:type="dxa"/>
            <w:left w:w="0" w:type="dxa"/>
            <w:bottom w:w="0" w:type="dxa"/>
            <w:right w:w="0"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20KVA UPS主机（消控室用）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额定容量 20KVA/16KW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输入配线 三相四线＋地线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电压范围 210~475V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频率范围 46~64Hz50/60HZ自适应</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输入功因 &gt;0.99</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电压范围 220×（1±1%）VAC</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频率范围 市电模式：(46~54)Hz/(56~64)Hz(与输入市电频率同步); 电池模式：(50×(±0.1%)Hz/60(±0.1%)Hz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电流峰值比 3：1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额定功率因数 0.8</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超载能力 Load&lt;105%,长期运行;105%&lt;Load≤125%&gt;1min;125%&lt;Load≤150%&gt;30sec</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效率 upto90%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转换时间 零中断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电池电压 192VDC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1小时后备延时 12V-65AH</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额定容量 1kVA/0.8kW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输入电压 (165~300)VAC</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输入频率 (40~60)Hz(软件可调)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输出电压 220×(1±2％)VAC</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输出频率 与输入同步〔市电模式〕，当市电频率超出(46~54)Hz范围时，输出频率为50×(1±0.2%)Hz 50×(1±0.2%)Hz〔电池模式〕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输出波形 正弦波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备用时间（满载/半载） &gt;5'/14</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电池形式 阀控式铅蓄电池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外接电池标称电压 内置12V7AH电池 36VDC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转换时间 零中断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超载能力 110％－150％维持30秒钟后输出转为旁路，150%以上维持300ms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通讯界面 RS-232 + Intelligent Slot</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操作环境 温度 0℃～40℃  湿度 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电池柜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UPS不间断电源定制化加厚蓄电池柜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电池连接线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国产优质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UPS输入输出电缆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国产优质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七、人面识别门禁系统</w:t>
            </w:r>
          </w:p>
        </w:tc>
      </w:tr>
      <w:tr>
        <w:tblPrEx>
          <w:tblCellMar>
            <w:top w:w="0" w:type="dxa"/>
            <w:left w:w="0" w:type="dxa"/>
            <w:bottom w:w="0" w:type="dxa"/>
            <w:right w:w="0" w:type="dxa"/>
          </w:tblCellMar>
        </w:tblPrEx>
        <w:trPr>
          <w:trHeight w:val="28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人面识别主机 8000人面识别库 一体机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（1）动态人脸识别</w:t>
            </w:r>
            <w:r>
              <w:rPr>
                <w:rFonts w:ascii="宋体" w:hAnsi="宋体" w:cs="等线"/>
                <w:color w:val="auto"/>
                <w:kern w:val="0"/>
                <w:sz w:val="18"/>
                <w:szCs w:val="18"/>
                <w:lang w:bidi="ar"/>
              </w:rPr>
              <w:br w:type="textWrapping"/>
            </w:r>
            <w:r>
              <w:rPr>
                <w:rFonts w:ascii="宋体" w:hAnsi="宋体" w:cs="等线"/>
                <w:color w:val="auto"/>
                <w:kern w:val="0"/>
                <w:sz w:val="18"/>
                <w:szCs w:val="18"/>
                <w:lang w:bidi="ar"/>
              </w:rPr>
              <w:t>产品能够实时抓拍通关者人脸并与人脸库做比对，比对成功后会在显示屏上显示比中结果。</w:t>
            </w:r>
            <w:r>
              <w:rPr>
                <w:rFonts w:ascii="宋体" w:hAnsi="宋体" w:cs="等线"/>
                <w:color w:val="auto"/>
                <w:kern w:val="0"/>
                <w:sz w:val="18"/>
                <w:szCs w:val="18"/>
                <w:lang w:bidi="ar"/>
              </w:rPr>
              <w:br w:type="textWrapping"/>
            </w:r>
            <w:r>
              <w:rPr>
                <w:rFonts w:ascii="宋体" w:hAnsi="宋体" w:cs="等线"/>
                <w:color w:val="auto"/>
                <w:kern w:val="0"/>
                <w:sz w:val="18"/>
                <w:szCs w:val="18"/>
                <w:lang w:bidi="ar"/>
              </w:rPr>
              <w:t>（2）人证核验</w:t>
            </w:r>
            <w:r>
              <w:rPr>
                <w:rFonts w:ascii="宋体" w:hAnsi="宋体" w:cs="等线"/>
                <w:color w:val="auto"/>
                <w:kern w:val="0"/>
                <w:sz w:val="18"/>
                <w:szCs w:val="18"/>
                <w:lang w:bidi="ar"/>
              </w:rPr>
              <w:br w:type="textWrapping"/>
            </w:r>
            <w:r>
              <w:rPr>
                <w:rFonts w:ascii="宋体" w:hAnsi="宋体" w:cs="等线"/>
                <w:color w:val="auto"/>
                <w:kern w:val="0"/>
                <w:sz w:val="18"/>
                <w:szCs w:val="18"/>
                <w:lang w:bidi="ar"/>
              </w:rPr>
              <w:t>产品可以通过读卡器读取身份证或IC卡中通关者证件照，与摄像头抓拍的照片做人脸1：1比对；</w:t>
            </w:r>
            <w:r>
              <w:rPr>
                <w:rFonts w:ascii="宋体" w:hAnsi="宋体" w:cs="等线"/>
                <w:color w:val="auto"/>
                <w:kern w:val="0"/>
                <w:sz w:val="18"/>
                <w:szCs w:val="18"/>
                <w:lang w:bidi="ar"/>
              </w:rPr>
              <w:br w:type="textWrapping"/>
            </w:r>
            <w:r>
              <w:rPr>
                <w:rFonts w:ascii="宋体" w:hAnsi="宋体" w:cs="等线"/>
                <w:color w:val="auto"/>
                <w:kern w:val="0"/>
                <w:sz w:val="18"/>
                <w:szCs w:val="18"/>
                <w:lang w:bidi="ar"/>
              </w:rPr>
              <w:t>（3）人员通行记录管理</w:t>
            </w:r>
            <w:r>
              <w:rPr>
                <w:rFonts w:ascii="宋体" w:hAnsi="宋体" w:cs="等线"/>
                <w:color w:val="auto"/>
                <w:kern w:val="0"/>
                <w:sz w:val="18"/>
                <w:szCs w:val="18"/>
                <w:lang w:bidi="ar"/>
              </w:rPr>
              <w:br w:type="textWrapping"/>
            </w:r>
            <w:r>
              <w:rPr>
                <w:rFonts w:ascii="宋体" w:hAnsi="宋体" w:cs="等线"/>
                <w:color w:val="auto"/>
                <w:kern w:val="0"/>
                <w:sz w:val="18"/>
                <w:szCs w:val="18"/>
                <w:lang w:bidi="ar"/>
              </w:rPr>
              <w:t>产品可以保存人员通行记录信息，所记录的信息能够发给后台管理平台供用户进行查询统计；</w:t>
            </w:r>
            <w:r>
              <w:rPr>
                <w:rFonts w:ascii="宋体" w:hAnsi="宋体" w:cs="等线"/>
                <w:color w:val="auto"/>
                <w:kern w:val="0"/>
                <w:sz w:val="18"/>
                <w:szCs w:val="18"/>
                <w:lang w:bidi="ar"/>
              </w:rPr>
              <w:br w:type="textWrapping"/>
            </w:r>
            <w:r>
              <w:rPr>
                <w:rFonts w:ascii="宋体" w:hAnsi="宋体" w:cs="等线"/>
                <w:color w:val="auto"/>
                <w:kern w:val="0"/>
                <w:sz w:val="18"/>
                <w:szCs w:val="18"/>
                <w:lang w:bidi="ar"/>
              </w:rPr>
              <w:t>（4）人脸库管理</w:t>
            </w:r>
            <w:r>
              <w:rPr>
                <w:rFonts w:ascii="宋体" w:hAnsi="宋体" w:cs="等线"/>
                <w:color w:val="auto"/>
                <w:kern w:val="0"/>
                <w:sz w:val="18"/>
                <w:szCs w:val="18"/>
                <w:lang w:bidi="ar"/>
              </w:rPr>
              <w:br w:type="textWrapping"/>
            </w:r>
            <w:r>
              <w:rPr>
                <w:rFonts w:ascii="宋体" w:hAnsi="宋体" w:cs="等线"/>
                <w:color w:val="auto"/>
                <w:kern w:val="0"/>
                <w:sz w:val="18"/>
                <w:szCs w:val="18"/>
                <w:lang w:bidi="ar"/>
              </w:rPr>
              <w:t>用户可在产品的后台管理软件的人脸库中新增、修改、删除容许通行的人脸照片，人脸库的更新数据会自动同步至设备；</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pPr>
              <w:widowControl/>
              <w:jc w:val="center"/>
              <w:textAlignment w:val="bottom"/>
              <w:rPr>
                <w:rFonts w:ascii="宋体" w:hAnsi="宋体" w:cs="等线"/>
                <w:color w:val="auto"/>
                <w:sz w:val="18"/>
                <w:szCs w:val="18"/>
              </w:rPr>
            </w:pPr>
            <w:r>
              <w:rPr>
                <w:rFonts w:ascii="宋体" w:hAnsi="宋体" w:cs="等线"/>
                <w:color w:val="auto"/>
                <w:kern w:val="0"/>
                <w:sz w:val="18"/>
                <w:szCs w:val="18"/>
                <w:lang w:bidi="ar"/>
              </w:rPr>
              <w:t>4</w:t>
            </w:r>
          </w:p>
        </w:tc>
      </w:tr>
      <w:tr>
        <w:tblPrEx>
          <w:tblCellMar>
            <w:top w:w="0" w:type="dxa"/>
            <w:left w:w="0" w:type="dxa"/>
            <w:bottom w:w="0" w:type="dxa"/>
            <w:right w:w="0"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电源模块</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人面识别机配套电源</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pPr>
              <w:widowControl/>
              <w:jc w:val="center"/>
              <w:textAlignment w:val="bottom"/>
              <w:rPr>
                <w:rFonts w:ascii="宋体" w:hAnsi="宋体" w:cs="等线"/>
                <w:color w:val="auto"/>
                <w:sz w:val="18"/>
                <w:szCs w:val="18"/>
              </w:rPr>
            </w:pPr>
            <w:r>
              <w:rPr>
                <w:rFonts w:ascii="宋体" w:hAnsi="宋体" w:cs="等线"/>
                <w:color w:val="auto"/>
                <w:kern w:val="0"/>
                <w:sz w:val="18"/>
                <w:szCs w:val="18"/>
                <w:lang w:bidi="ar"/>
              </w:rPr>
              <w:t>4</w:t>
            </w:r>
          </w:p>
        </w:tc>
      </w:tr>
    </w:tbl>
    <w:p>
      <w:pPr>
        <w:adjustRightInd w:val="0"/>
        <w:snapToGrid w:val="0"/>
        <w:spacing w:line="450" w:lineRule="exact"/>
        <w:jc w:val="center"/>
        <w:rPr>
          <w:b/>
          <w:color w:val="auto"/>
          <w:sz w:val="36"/>
          <w:szCs w:val="36"/>
        </w:rPr>
      </w:pPr>
      <w:r>
        <w:rPr>
          <w:rFonts w:hint="eastAsia"/>
          <w:b/>
          <w:color w:val="auto"/>
          <w:sz w:val="36"/>
          <w:szCs w:val="36"/>
        </w:rPr>
        <w:t>多功能会议厅采购清单</w:t>
      </w:r>
    </w:p>
    <w:tbl>
      <w:tblPr>
        <w:tblStyle w:val="24"/>
        <w:tblW w:w="9675" w:type="dxa"/>
        <w:tblInd w:w="0" w:type="dxa"/>
        <w:tblLayout w:type="autofit"/>
        <w:tblCellMar>
          <w:top w:w="0" w:type="dxa"/>
          <w:left w:w="0" w:type="dxa"/>
          <w:bottom w:w="0" w:type="dxa"/>
          <w:right w:w="0" w:type="dxa"/>
        </w:tblCellMar>
      </w:tblPr>
      <w:tblGrid>
        <w:gridCol w:w="312"/>
        <w:gridCol w:w="2460"/>
        <w:gridCol w:w="5615"/>
        <w:gridCol w:w="447"/>
        <w:gridCol w:w="841"/>
      </w:tblGrid>
      <w:tr>
        <w:tblPrEx>
          <w:tblCellMar>
            <w:top w:w="0" w:type="dxa"/>
            <w:left w:w="0" w:type="dxa"/>
            <w:bottom w:w="0" w:type="dxa"/>
            <w:right w:w="0" w:type="dxa"/>
          </w:tblCellMar>
        </w:tblPrEx>
        <w:trPr>
          <w:trHeight w:val="48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产品名称</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一、大屏</w:t>
            </w:r>
          </w:p>
        </w:tc>
      </w:tr>
      <w:tr>
        <w:tblPrEx>
          <w:tblCellMar>
            <w:top w:w="0" w:type="dxa"/>
            <w:left w:w="0" w:type="dxa"/>
            <w:bottom w:w="0" w:type="dxa"/>
            <w:right w:w="0" w:type="dxa"/>
          </w:tblCellMar>
        </w:tblPrEx>
        <w:trPr>
          <w:trHeight w:val="265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全彩色LED显示屏，4.80m× 2.1m</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像素密度  360000Dots/㎡  像数点间距 ≤1.667mm   像数点间距 1.666mm    单元板分辨率 192*96=18432Dots</w:t>
            </w:r>
            <w:r>
              <w:rPr>
                <w:rFonts w:ascii="宋体" w:hAnsi="宋体" w:cs="等线"/>
                <w:color w:val="auto"/>
                <w:kern w:val="0"/>
                <w:sz w:val="18"/>
                <w:szCs w:val="18"/>
                <w:lang w:bidi="ar"/>
              </w:rPr>
              <w:br w:type="textWrapping"/>
            </w:r>
            <w:r>
              <w:rPr>
                <w:rFonts w:ascii="宋体" w:hAnsi="宋体" w:cs="等线"/>
                <w:color w:val="auto"/>
                <w:kern w:val="0"/>
                <w:sz w:val="18"/>
                <w:szCs w:val="18"/>
                <w:lang w:bidi="ar"/>
              </w:rPr>
              <w:t>为保证产品的稳定使用，产品可靠性试验要求：本次所投LED显示屏达到平均无故障时间（MTBF）m</w:t>
            </w:r>
            <w:r>
              <w:rPr>
                <w:rStyle w:val="66"/>
                <w:rFonts w:ascii="Cambria Math" w:hAnsi="Cambria Math" w:cs="Cambria Math"/>
                <w:color w:val="auto"/>
                <w:sz w:val="18"/>
                <w:szCs w:val="18"/>
                <w:lang w:bidi="ar"/>
              </w:rPr>
              <w:t>₁</w:t>
            </w:r>
            <w:r>
              <w:rPr>
                <w:rFonts w:ascii="宋体" w:hAnsi="宋体" w:cs="等线"/>
                <w:color w:val="auto"/>
                <w:kern w:val="0"/>
                <w:sz w:val="18"/>
                <w:szCs w:val="18"/>
                <w:lang w:bidi="ar"/>
              </w:rPr>
              <w:t>≥10000h ；</w:t>
            </w:r>
            <w:r>
              <w:rPr>
                <w:rStyle w:val="65"/>
                <w:rFonts w:hint="default"/>
                <w:color w:val="auto"/>
                <w:sz w:val="18"/>
                <w:szCs w:val="18"/>
                <w:lang w:bidi="ar"/>
              </w:rPr>
              <w:t>为保证产品在不同环境使用</w:t>
            </w:r>
            <w:r>
              <w:rPr>
                <w:rFonts w:ascii="宋体" w:hAnsi="宋体" w:cs="Calibri"/>
                <w:color w:val="auto"/>
                <w:kern w:val="0"/>
                <w:sz w:val="18"/>
                <w:szCs w:val="18"/>
                <w:lang w:bidi="ar"/>
              </w:rPr>
              <w:t>,</w:t>
            </w:r>
            <w:r>
              <w:rPr>
                <w:rStyle w:val="65"/>
                <w:rFonts w:hint="default"/>
                <w:color w:val="auto"/>
                <w:sz w:val="18"/>
                <w:szCs w:val="18"/>
                <w:lang w:bidi="ar"/>
              </w:rPr>
              <w:t>本次所投</w:t>
            </w:r>
            <w:r>
              <w:rPr>
                <w:rFonts w:ascii="宋体" w:hAnsi="宋体" w:cs="Calibri"/>
                <w:color w:val="auto"/>
                <w:kern w:val="0"/>
                <w:sz w:val="18"/>
                <w:szCs w:val="18"/>
                <w:lang w:bidi="ar"/>
              </w:rPr>
              <w:t>LED</w:t>
            </w:r>
            <w:r>
              <w:rPr>
                <w:rStyle w:val="65"/>
                <w:rFonts w:hint="default"/>
                <w:color w:val="auto"/>
                <w:sz w:val="18"/>
                <w:szCs w:val="18"/>
                <w:lang w:bidi="ar"/>
              </w:rPr>
              <w:t>显示屏通过低温</w:t>
            </w:r>
            <w:r>
              <w:rPr>
                <w:rFonts w:ascii="宋体" w:hAnsi="宋体" w:cs="Calibri"/>
                <w:color w:val="auto"/>
                <w:kern w:val="0"/>
                <w:sz w:val="18"/>
                <w:szCs w:val="18"/>
                <w:lang w:bidi="ar"/>
              </w:rPr>
              <w:t>-40</w:t>
            </w:r>
            <w:r>
              <w:rPr>
                <w:rStyle w:val="65"/>
                <w:rFonts w:hint="default"/>
                <w:color w:val="auto"/>
                <w:sz w:val="18"/>
                <w:szCs w:val="18"/>
                <w:lang w:bidi="ar"/>
              </w:rPr>
              <w:t>℃</w:t>
            </w:r>
            <w:r>
              <w:rPr>
                <w:rFonts w:ascii="宋体" w:hAnsi="宋体" w:cs="Calibri"/>
                <w:color w:val="auto"/>
                <w:kern w:val="0"/>
                <w:sz w:val="18"/>
                <w:szCs w:val="18"/>
                <w:lang w:bidi="ar"/>
              </w:rPr>
              <w:t>-</w:t>
            </w:r>
            <w:r>
              <w:rPr>
                <w:rStyle w:val="65"/>
                <w:rFonts w:hint="default"/>
                <w:color w:val="auto"/>
                <w:sz w:val="18"/>
                <w:szCs w:val="18"/>
                <w:lang w:bidi="ar"/>
              </w:rPr>
              <w:t>高温</w:t>
            </w:r>
            <w:r>
              <w:rPr>
                <w:rFonts w:ascii="宋体" w:hAnsi="宋体" w:cs="Calibri"/>
                <w:color w:val="auto"/>
                <w:kern w:val="0"/>
                <w:sz w:val="18"/>
                <w:szCs w:val="18"/>
                <w:lang w:bidi="ar"/>
              </w:rPr>
              <w:t>100</w:t>
            </w:r>
            <w:r>
              <w:rPr>
                <w:rStyle w:val="65"/>
                <w:rFonts w:hint="default"/>
                <w:color w:val="auto"/>
                <w:sz w:val="18"/>
                <w:szCs w:val="18"/>
                <w:lang w:bidi="ar"/>
              </w:rPr>
              <w:t>℃实验室循环冷热冲击并检测通过；提供由第三方权威机构出具的检测报告；</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平方米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10.08 </w:t>
            </w:r>
          </w:p>
        </w:tc>
      </w:tr>
      <w:tr>
        <w:tblPrEx>
          <w:tblCellMar>
            <w:top w:w="0" w:type="dxa"/>
            <w:left w:w="0" w:type="dxa"/>
            <w:bottom w:w="0" w:type="dxa"/>
            <w:right w:w="0" w:type="dxa"/>
          </w:tblCellMar>
        </w:tblPrEx>
        <w:trPr>
          <w:trHeight w:val="13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屏幕控制电脑，带HDMI一体机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CPU：Intel 酷睿 i5处理器或其他同性能及以上产品；</w:t>
            </w:r>
            <w:r>
              <w:rPr>
                <w:rFonts w:ascii="宋体" w:hAnsi="宋体" w:cs="等线"/>
                <w:color w:val="auto"/>
                <w:kern w:val="0"/>
                <w:sz w:val="18"/>
                <w:szCs w:val="18"/>
                <w:lang w:bidi="ar"/>
              </w:rPr>
              <w:br w:type="textWrapping"/>
            </w:r>
            <w:r>
              <w:rPr>
                <w:rFonts w:ascii="宋体" w:hAnsi="宋体" w:cs="等线"/>
                <w:color w:val="auto"/>
                <w:kern w:val="0"/>
                <w:sz w:val="18"/>
                <w:szCs w:val="18"/>
                <w:lang w:bidi="ar"/>
              </w:rPr>
              <w:t>内存：≥4GB DDR3；</w:t>
            </w:r>
            <w:r>
              <w:rPr>
                <w:rFonts w:ascii="宋体" w:hAnsi="宋体" w:cs="等线"/>
                <w:color w:val="auto"/>
                <w:kern w:val="0"/>
                <w:sz w:val="18"/>
                <w:szCs w:val="18"/>
                <w:lang w:bidi="ar"/>
              </w:rPr>
              <w:br w:type="textWrapping"/>
            </w:r>
            <w:r>
              <w:rPr>
                <w:rFonts w:ascii="宋体" w:hAnsi="宋体" w:cs="等线"/>
                <w:color w:val="auto"/>
                <w:kern w:val="0"/>
                <w:sz w:val="18"/>
                <w:szCs w:val="18"/>
                <w:lang w:bidi="ar"/>
              </w:rPr>
              <w:t>主板：集成声卡、10/100M/1000M网卡；</w:t>
            </w:r>
            <w:r>
              <w:rPr>
                <w:rFonts w:ascii="宋体" w:hAnsi="宋体" w:cs="等线"/>
                <w:color w:val="auto"/>
                <w:kern w:val="0"/>
                <w:sz w:val="18"/>
                <w:szCs w:val="18"/>
                <w:lang w:bidi="ar"/>
              </w:rPr>
              <w:br w:type="textWrapping"/>
            </w:r>
            <w:r>
              <w:rPr>
                <w:rFonts w:ascii="宋体" w:hAnsi="宋体" w:cs="等线"/>
                <w:color w:val="auto"/>
                <w:kern w:val="0"/>
                <w:sz w:val="18"/>
                <w:szCs w:val="18"/>
                <w:lang w:bidi="ar"/>
              </w:rPr>
              <w:t>光驱：DVD</w:t>
            </w:r>
            <w:r>
              <w:rPr>
                <w:rFonts w:ascii="宋体" w:hAnsi="宋体" w:cs="等线"/>
                <w:color w:val="auto"/>
                <w:kern w:val="0"/>
                <w:sz w:val="18"/>
                <w:szCs w:val="18"/>
                <w:lang w:bidi="ar"/>
              </w:rPr>
              <w:br w:type="textWrapping"/>
            </w:r>
            <w:r>
              <w:rPr>
                <w:rFonts w:ascii="宋体" w:hAnsi="宋体" w:cs="等线"/>
                <w:color w:val="auto"/>
                <w:kern w:val="0"/>
                <w:sz w:val="18"/>
                <w:szCs w:val="18"/>
                <w:lang w:bidi="ar"/>
              </w:rPr>
              <w:t>显卡：独立显卡/512MB</w:t>
            </w:r>
            <w:r>
              <w:rPr>
                <w:rFonts w:ascii="宋体" w:hAnsi="宋体" w:cs="等线"/>
                <w:color w:val="auto"/>
                <w:kern w:val="0"/>
                <w:sz w:val="18"/>
                <w:szCs w:val="18"/>
                <w:lang w:bidi="ar"/>
              </w:rPr>
              <w:br w:type="textWrapping"/>
            </w:r>
            <w:r>
              <w:rPr>
                <w:rFonts w:ascii="宋体" w:hAnsi="宋体" w:cs="等线"/>
                <w:color w:val="auto"/>
                <w:kern w:val="0"/>
                <w:sz w:val="18"/>
                <w:szCs w:val="18"/>
                <w:lang w:bidi="ar"/>
              </w:rPr>
              <w:t>硬盘：≥500GB SATA3；</w:t>
            </w:r>
            <w:r>
              <w:rPr>
                <w:rFonts w:ascii="宋体" w:hAnsi="宋体" w:cs="等线"/>
                <w:color w:val="auto"/>
                <w:kern w:val="0"/>
                <w:sz w:val="18"/>
                <w:szCs w:val="18"/>
                <w:lang w:bidi="ar"/>
              </w:rPr>
              <w:br w:type="textWrapping"/>
            </w:r>
            <w:r>
              <w:rPr>
                <w:rFonts w:ascii="宋体" w:hAnsi="宋体" w:cs="等线"/>
                <w:color w:val="auto"/>
                <w:kern w:val="0"/>
                <w:sz w:val="18"/>
                <w:szCs w:val="18"/>
                <w:lang w:bidi="ar"/>
              </w:rPr>
              <w:t>键鼠：标准键盘，光电鼠标；</w:t>
            </w:r>
            <w:r>
              <w:rPr>
                <w:rFonts w:ascii="宋体" w:hAnsi="宋体" w:cs="等线"/>
                <w:color w:val="auto"/>
                <w:kern w:val="0"/>
                <w:sz w:val="18"/>
                <w:szCs w:val="18"/>
                <w:lang w:bidi="ar"/>
              </w:rPr>
              <w:br w:type="textWrapping"/>
            </w:r>
            <w:r>
              <w:rPr>
                <w:rFonts w:ascii="宋体" w:hAnsi="宋体" w:cs="等线"/>
                <w:color w:val="auto"/>
                <w:kern w:val="0"/>
                <w:sz w:val="18"/>
                <w:szCs w:val="18"/>
                <w:lang w:bidi="ar"/>
              </w:rPr>
              <w:t>显示器：≥19英寸宽屏液晶显示器；</w:t>
            </w:r>
            <w:r>
              <w:rPr>
                <w:rFonts w:ascii="宋体" w:hAnsi="宋体" w:cs="等线"/>
                <w:color w:val="auto"/>
                <w:kern w:val="0"/>
                <w:sz w:val="18"/>
                <w:szCs w:val="18"/>
                <w:lang w:bidi="ar"/>
              </w:rPr>
              <w:br w:type="textWrapping"/>
            </w:r>
            <w:r>
              <w:rPr>
                <w:rFonts w:ascii="宋体" w:hAnsi="宋体" w:cs="等线"/>
                <w:color w:val="auto"/>
                <w:kern w:val="0"/>
                <w:sz w:val="18"/>
                <w:szCs w:val="18"/>
                <w:lang w:bidi="ar"/>
              </w:rPr>
              <w:t>接口：前置USB≥4、VGA输出、标准3.5音频输入输出、RJ45；</w:t>
            </w:r>
            <w:r>
              <w:rPr>
                <w:rFonts w:ascii="宋体" w:hAnsi="宋体" w:cs="等线"/>
                <w:color w:val="auto"/>
                <w:kern w:val="0"/>
                <w:sz w:val="18"/>
                <w:szCs w:val="18"/>
                <w:lang w:bidi="ar"/>
              </w:rPr>
              <w:br w:type="textWrapping"/>
            </w:r>
            <w:r>
              <w:rPr>
                <w:rFonts w:ascii="宋体" w:hAnsi="宋体" w:cs="等线"/>
                <w:color w:val="auto"/>
                <w:kern w:val="0"/>
                <w:sz w:val="18"/>
                <w:szCs w:val="18"/>
                <w:lang w:bidi="ar"/>
              </w:rPr>
              <w:t>BIOS开机显示厂家服务信息并预装Windows xp及以上操作系统；</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168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控制系统</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1、单卡支持32 组RGB 信号并行输出</w:t>
            </w:r>
            <w:r>
              <w:rPr>
                <w:rFonts w:ascii="宋体" w:hAnsi="宋体" w:cs="等线"/>
                <w:color w:val="auto"/>
                <w:kern w:val="0"/>
                <w:sz w:val="18"/>
                <w:szCs w:val="18"/>
                <w:lang w:bidi="ar"/>
              </w:rPr>
              <w:br w:type="textWrapping"/>
            </w:r>
            <w:r>
              <w:rPr>
                <w:rFonts w:ascii="宋体" w:hAnsi="宋体" w:cs="等线"/>
                <w:color w:val="auto"/>
                <w:kern w:val="0"/>
                <w:sz w:val="18"/>
                <w:szCs w:val="18"/>
                <w:lang w:bidi="ar"/>
              </w:rPr>
              <w:t>2 、单卡最大带载512×512 像素点</w:t>
            </w:r>
            <w:r>
              <w:rPr>
                <w:rFonts w:ascii="宋体" w:hAnsi="宋体" w:cs="等线"/>
                <w:color w:val="auto"/>
                <w:kern w:val="0"/>
                <w:sz w:val="18"/>
                <w:szCs w:val="18"/>
                <w:lang w:bidi="ar"/>
              </w:rPr>
              <w:br w:type="textWrapping"/>
            </w:r>
            <w:r>
              <w:rPr>
                <w:rFonts w:ascii="宋体" w:hAnsi="宋体" w:cs="等线"/>
                <w:color w:val="auto"/>
                <w:kern w:val="0"/>
                <w:sz w:val="18"/>
                <w:szCs w:val="18"/>
                <w:lang w:bidi="ar"/>
              </w:rPr>
              <w:t>3、支持色度、亮度一体化逐点校正</w:t>
            </w:r>
            <w:r>
              <w:rPr>
                <w:rFonts w:ascii="宋体" w:hAnsi="宋体" w:cs="等线"/>
                <w:color w:val="auto"/>
                <w:kern w:val="0"/>
                <w:sz w:val="18"/>
                <w:szCs w:val="18"/>
                <w:lang w:bidi="ar"/>
              </w:rPr>
              <w:br w:type="textWrapping"/>
            </w:r>
            <w:r>
              <w:rPr>
                <w:rFonts w:ascii="宋体" w:hAnsi="宋体" w:cs="等线"/>
                <w:color w:val="auto"/>
                <w:kern w:val="0"/>
                <w:sz w:val="18"/>
                <w:szCs w:val="18"/>
                <w:lang w:bidi="ar"/>
              </w:rPr>
              <w:t>4、支持网线检测</w:t>
            </w:r>
            <w:r>
              <w:rPr>
                <w:rFonts w:ascii="宋体" w:hAnsi="宋体" w:cs="等线"/>
                <w:color w:val="auto"/>
                <w:kern w:val="0"/>
                <w:sz w:val="18"/>
                <w:szCs w:val="18"/>
                <w:lang w:bidi="ar"/>
              </w:rPr>
              <w:br w:type="textWrapping"/>
            </w:r>
            <w:r>
              <w:rPr>
                <w:rFonts w:ascii="宋体" w:hAnsi="宋体" w:cs="等线"/>
                <w:color w:val="auto"/>
                <w:kern w:val="0"/>
                <w:sz w:val="18"/>
                <w:szCs w:val="18"/>
                <w:lang w:bidi="ar"/>
              </w:rPr>
              <w:t>5、 快速升级和快速发送校正系数</w:t>
            </w:r>
            <w:r>
              <w:rPr>
                <w:rFonts w:ascii="宋体" w:hAnsi="宋体" w:cs="等线"/>
                <w:color w:val="auto"/>
                <w:kern w:val="0"/>
                <w:sz w:val="18"/>
                <w:szCs w:val="18"/>
                <w:lang w:bidi="ar"/>
              </w:rPr>
              <w:br w:type="textWrapping"/>
            </w:r>
            <w:r>
              <w:rPr>
                <w:rFonts w:ascii="宋体" w:hAnsi="宋体" w:cs="等线"/>
                <w:color w:val="auto"/>
                <w:kern w:val="0"/>
                <w:sz w:val="18"/>
                <w:szCs w:val="18"/>
                <w:lang w:bidi="ar"/>
              </w:rPr>
              <w:t>6 、支持低亮高灰以及色温调节</w:t>
            </w:r>
            <w:r>
              <w:rPr>
                <w:rFonts w:ascii="宋体" w:hAnsi="宋体" w:cs="等线"/>
                <w:color w:val="auto"/>
                <w:kern w:val="0"/>
                <w:sz w:val="18"/>
                <w:szCs w:val="18"/>
                <w:lang w:bidi="ar"/>
              </w:rPr>
              <w:br w:type="textWrapping"/>
            </w:r>
            <w:r>
              <w:rPr>
                <w:rFonts w:hint="eastAsia" w:ascii="宋体" w:hAnsi="宋体" w:cs="等线"/>
                <w:color w:val="auto"/>
                <w:kern w:val="0"/>
                <w:sz w:val="18"/>
                <w:szCs w:val="18"/>
                <w:lang w:bidi="ar"/>
              </w:rPr>
              <w:t>7、</w:t>
            </w:r>
            <w:r>
              <w:rPr>
                <w:rFonts w:ascii="宋体" w:hAnsi="宋体" w:cs="等线"/>
                <w:color w:val="auto"/>
                <w:kern w:val="0"/>
                <w:sz w:val="18"/>
                <w:szCs w:val="18"/>
                <w:lang w:bidi="ar"/>
              </w:rPr>
              <w:t>提供厂家售后服务承诺书和项目授权书；</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4.00 </w:t>
            </w:r>
          </w:p>
        </w:tc>
      </w:tr>
      <w:tr>
        <w:tblPrEx>
          <w:tblCellMar>
            <w:top w:w="0" w:type="dxa"/>
            <w:left w:w="0" w:type="dxa"/>
            <w:bottom w:w="0" w:type="dxa"/>
            <w:right w:w="0" w:type="dxa"/>
          </w:tblCellMar>
        </w:tblPrEx>
        <w:trPr>
          <w:trHeight w:val="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信号线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国标六类网线</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18.00 </w:t>
            </w:r>
          </w:p>
        </w:tc>
      </w:tr>
      <w:tr>
        <w:tblPrEx>
          <w:tblCellMar>
            <w:top w:w="0" w:type="dxa"/>
            <w:left w:w="0" w:type="dxa"/>
            <w:bottom w:w="0" w:type="dxa"/>
            <w:right w:w="0" w:type="dxa"/>
          </w:tblCellMar>
        </w:tblPrEx>
        <w:trPr>
          <w:trHeight w:val="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电源线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国标1.5mm2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30.00 </w:t>
            </w:r>
          </w:p>
        </w:tc>
      </w:tr>
      <w:tr>
        <w:tblPrEx>
          <w:tblCellMar>
            <w:top w:w="0" w:type="dxa"/>
            <w:left w:w="0" w:type="dxa"/>
            <w:bottom w:w="0" w:type="dxa"/>
            <w:right w:w="0" w:type="dxa"/>
          </w:tblCellMar>
        </w:tblPrEx>
        <w:trPr>
          <w:trHeight w:val="21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视频拼接器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1.具备丰富的视频信号接口，支持SDI、HDMI、DVI等高清数字接口，多路信号间无缝切换；</w:t>
            </w:r>
            <w:r>
              <w:rPr>
                <w:rFonts w:ascii="宋体" w:hAnsi="宋体" w:cs="等线"/>
                <w:color w:val="auto"/>
                <w:kern w:val="0"/>
                <w:sz w:val="18"/>
                <w:szCs w:val="18"/>
                <w:lang w:bidi="ar"/>
              </w:rPr>
              <w:br w:type="textWrapping"/>
            </w:r>
            <w:r>
              <w:rPr>
                <w:rFonts w:ascii="宋体" w:hAnsi="宋体" w:cs="等线"/>
                <w:color w:val="auto"/>
                <w:kern w:val="0"/>
                <w:sz w:val="18"/>
                <w:szCs w:val="18"/>
                <w:lang w:bidi="ar"/>
              </w:rPr>
              <w:t>2.支持广播级缩放及多画面显示。</w:t>
            </w:r>
            <w:r>
              <w:rPr>
                <w:rFonts w:ascii="宋体" w:hAnsi="宋体" w:cs="等线"/>
                <w:color w:val="auto"/>
                <w:kern w:val="0"/>
                <w:sz w:val="18"/>
                <w:szCs w:val="18"/>
                <w:lang w:bidi="ar"/>
              </w:rPr>
              <w:br w:type="textWrapping"/>
            </w:r>
            <w:r>
              <w:rPr>
                <w:rFonts w:ascii="宋体" w:hAnsi="宋体" w:cs="等线"/>
                <w:color w:val="auto"/>
                <w:kern w:val="0"/>
                <w:sz w:val="18"/>
                <w:szCs w:val="18"/>
                <w:lang w:bidi="ar"/>
              </w:rPr>
              <w:t>3.具备6个千兆网口输出，单机可支持最宽8192像素，或最高8192像素的LED显示屏。</w:t>
            </w:r>
            <w:r>
              <w:rPr>
                <w:rFonts w:ascii="宋体" w:hAnsi="宋体" w:cs="等线"/>
                <w:color w:val="auto"/>
                <w:kern w:val="0"/>
                <w:sz w:val="18"/>
                <w:szCs w:val="18"/>
                <w:lang w:bidi="ar"/>
              </w:rPr>
              <w:br w:type="textWrapping"/>
            </w:r>
            <w:r>
              <w:rPr>
                <w:rFonts w:ascii="宋体" w:hAnsi="宋体" w:cs="等线"/>
                <w:color w:val="auto"/>
                <w:kern w:val="0"/>
                <w:sz w:val="18"/>
                <w:szCs w:val="18"/>
                <w:lang w:bidi="ar"/>
              </w:rPr>
              <w:t>4.最大输入分辨率1920*1200@60Hz，支持分辨率任意设置；</w:t>
            </w:r>
            <w:r>
              <w:rPr>
                <w:rFonts w:ascii="宋体" w:hAnsi="宋体" w:cs="等线"/>
                <w:color w:val="auto"/>
                <w:kern w:val="0"/>
                <w:sz w:val="18"/>
                <w:szCs w:val="18"/>
                <w:lang w:bidi="ar"/>
              </w:rPr>
              <w:br w:type="textWrapping"/>
            </w:r>
            <w:r>
              <w:rPr>
                <w:rFonts w:ascii="宋体" w:hAnsi="宋体" w:cs="等线"/>
                <w:color w:val="auto"/>
                <w:kern w:val="0"/>
                <w:sz w:val="18"/>
                <w:szCs w:val="18"/>
                <w:lang w:bidi="ar"/>
              </w:rPr>
              <w:t>5.支持丰富的数字信号接口，包括1路SDI，1路HDMI，2路DVI；</w:t>
            </w:r>
            <w:r>
              <w:rPr>
                <w:rFonts w:ascii="宋体" w:hAnsi="宋体" w:cs="等线"/>
                <w:color w:val="auto"/>
                <w:kern w:val="0"/>
                <w:sz w:val="18"/>
                <w:szCs w:val="18"/>
                <w:lang w:bidi="ar"/>
              </w:rPr>
              <w:br w:type="textWrapping"/>
            </w:r>
            <w:r>
              <w:rPr>
                <w:rFonts w:ascii="宋体" w:hAnsi="宋体" w:cs="等线"/>
                <w:color w:val="auto"/>
                <w:kern w:val="0"/>
                <w:sz w:val="18"/>
                <w:szCs w:val="18"/>
                <w:lang w:bidi="ar"/>
              </w:rPr>
              <w:t>6.最大带载390万像素，最宽可达8192点，或最高可达8192点；</w:t>
            </w:r>
            <w:r>
              <w:rPr>
                <w:rFonts w:ascii="宋体" w:hAnsi="宋体" w:cs="等线"/>
                <w:color w:val="auto"/>
                <w:kern w:val="0"/>
                <w:sz w:val="18"/>
                <w:szCs w:val="18"/>
                <w:lang w:bidi="ar"/>
              </w:rPr>
              <w:br w:type="textWrapping"/>
            </w:r>
            <w:r>
              <w:rPr>
                <w:rFonts w:ascii="宋体" w:hAnsi="宋体" w:cs="等线"/>
                <w:color w:val="auto"/>
                <w:kern w:val="0"/>
                <w:sz w:val="18"/>
                <w:szCs w:val="18"/>
                <w:lang w:bidi="ar"/>
              </w:rPr>
              <w:t>★设备通过3C认证、ROHS并可提供相应证书。</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8.00 </w:t>
            </w:r>
          </w:p>
        </w:tc>
      </w:tr>
      <w:tr>
        <w:tblPrEx>
          <w:tblCellMar>
            <w:top w:w="0" w:type="dxa"/>
            <w:left w:w="0" w:type="dxa"/>
            <w:bottom w:w="0" w:type="dxa"/>
            <w:right w:w="0" w:type="dxa"/>
          </w:tblCellMar>
        </w:tblPrEx>
        <w:trPr>
          <w:trHeight w:val="14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配电柜</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1、具备手动控制设备供电的开启和关闭。</w:t>
            </w:r>
            <w:r>
              <w:rPr>
                <w:rFonts w:ascii="宋体" w:hAnsi="宋体" w:cs="等线"/>
                <w:color w:val="auto"/>
                <w:kern w:val="0"/>
                <w:sz w:val="18"/>
                <w:szCs w:val="18"/>
                <w:lang w:bidi="ar"/>
              </w:rPr>
              <w:br w:type="textWrapping"/>
            </w:r>
            <w:r>
              <w:rPr>
                <w:rFonts w:ascii="宋体" w:hAnsi="宋体" w:cs="等线"/>
                <w:color w:val="auto"/>
                <w:kern w:val="0"/>
                <w:sz w:val="18"/>
                <w:szCs w:val="18"/>
                <w:lang w:bidi="ar"/>
              </w:rPr>
              <w:t>2、多组回路输出，每组可独立控制；标配为手动控制，可添加多种控制方式；</w:t>
            </w:r>
            <w:r>
              <w:rPr>
                <w:rFonts w:ascii="宋体" w:hAnsi="宋体" w:cs="等线"/>
                <w:color w:val="auto"/>
                <w:kern w:val="0"/>
                <w:sz w:val="18"/>
                <w:szCs w:val="18"/>
                <w:lang w:bidi="ar"/>
              </w:rPr>
              <w:br w:type="textWrapping"/>
            </w:r>
            <w:r>
              <w:rPr>
                <w:rFonts w:ascii="宋体" w:hAnsi="宋体" w:cs="等线"/>
                <w:color w:val="auto"/>
                <w:kern w:val="0"/>
                <w:sz w:val="18"/>
                <w:szCs w:val="18"/>
                <w:lang w:bidi="ar"/>
              </w:rPr>
              <w:t>3、系统采用三相五线制供电,控制箱工业PLC系统控制，为了降低电网的瞬间启动电流，具有延时通断电功能，具有过热、过湿、过压、过流、短路等保护装置；</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二、音频录播扩声系统（本地/远程）</w:t>
            </w:r>
          </w:p>
        </w:tc>
      </w:tr>
      <w:tr>
        <w:tblPrEx>
          <w:tblCellMar>
            <w:top w:w="0" w:type="dxa"/>
            <w:left w:w="0" w:type="dxa"/>
            <w:bottom w:w="0" w:type="dxa"/>
            <w:right w:w="0"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专业功放</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输出功率:8Ω----2x350W；4Ω----2x550W；桥接8Ω----850W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频率响应:20Hz-20KHz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输入方式：卡龙母平衡输入，6.35插座输入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输出方式：音箱接线柱，音箱卡龙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功能：适合各种场合的声音放大传输，对扬声器有保护电路，电源软启动，搞保真，声音清晰，人声表现力强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信噪比:&gt;90dB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谐波失真:&lt;0.05%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通道串音:&lt;-70dB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输出阻抗:4-16Ω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机箱规格：2U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录音器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存储容量  32GB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录音功能  WAV，MP3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电池类型  锂电池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供电时间  210小时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专业音箱（含支架BY-01B）</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频率响应：65Hz~22KHz(±3dB)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单元数量：LF:1x8"(2"voice coil),HF:1x1"(1.75"voice coil)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承受功率：150W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灵敏度:95dB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最大声压级:115dB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标称阻抗:8 ohms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指向性:90°Hx40°V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分频点：2KHz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箱体板材：Birch plywood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连接插座：2xNeutrik NL4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专业音箱（含支架BY-01B）</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频率响应：65Hz~22KHz(±3dB)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单元数量：LF:1x8"(2"voice coil),HF:1x1"(1.75"voice coil)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承受功率：150W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灵敏度:95dB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最大声压级:115dB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标称阻抗:8 ohms</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指向性:90°Hx40°V</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分频点：2KHz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箱体板材：Birch plywood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连接插座：2xNeutrik NL4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4.00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调音台</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8路平衡式话筒输入及2路立体声输入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高品质、低噪音的话筒输入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低噪音的前置放大，具有强大的抗干扰能力</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话筒提供优质的+48V幻像电源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配备高档调音台才具有的信号输入点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中频扫频的三段均衡, MF频段的范围是从140Hz到3kHz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三组AUX辅助输出可选择为推子前推子后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内置DSP数字效果器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4组母线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电路板采用双面SMT贴片技术，使性能稳定可靠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100MM行程高分析度推子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MP3播放器带USB输入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抑制器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输出电压：输出幻象48V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输入电压：AC220V/50Hz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输出电流：6.5mA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话筒连接匹配：幻象和非幻象供电话筒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话筒连接方式：不少于5路卡龙母插座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外接输入连接：不少于5路话筒卡龙公、线路莲花单声道，效果单声道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输出连接：卡龙平衡、线路莲花单声道，效果单声道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功能：不少于1路外接输入移频手动切换，5路话筒移频手动切换，5路话筒幻象供电选择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功率：15W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开关/指示：船型开关，面板电源指示灯，移频切换指示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提供3C及第三方检测报告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6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音频处理器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8路平衡式话筒\线路输入，采用裸线接口端子；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8路平衡式输出，采用裸线接口端子；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120db的 A/D与D/A转换， 最高可达96kHz/48K采样率；高速DSP处理芯片 DSP处理内核</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输入源：输入方式可切换平衡话筒或线路，采用凤凰插接口；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通道拷贝、粘贴、联控功能、DSP音频处理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输入每通道：前级放大、信号发生器、扩展器、压缩器、5段参量均衡、自动增益、AM自动混音功能；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输出每通道：音箱管理器（31段参量均衡器、延时器、分频器、高低通滤波器、限幅器）；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内置Dante网络传输模块、AFC自适应反馈消除；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兼容多方平台控制管理，支持windows系统、iOS系统（iPAD、Iphone)以及Andriod系统；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Enternet多用途数据传输及控制端口，可以支持实时管理单台及多台设备；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直观形象、简洁易懂的图形化软件控制界面，为客户带来快捷、实时的操作体验；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设备无需光盘，自带安装软件，一台设备对于一个软件版本，解决因为安装光盘丢失以及多个软件版本混乱引起的烦恼；</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可扩展USB接口，不仅可以实现设备升级功能，还可以实现USB录音与播音的功能；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全功能矩阵混音功能，不单单是混音和自动混音功能，还具备混音分量控制功能；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配置RS485接口、标准以太网控制接口、8通道可编程GPIO控制接口（可自定义输入输出）；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支持平板界面操作控制；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支持场景预设功能；直观、图形化软件控制界面，可工作在XP/Windows7、8、10等系统环境下。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无线话筒</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采用世界先进的DPLL数字锁相环多信道频率合成技术及杂讯自动控制技术(带导频)；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使用UHF550MHz～980MHz频段，避免干扰频率；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全新节能模式设置，全自动EQ控制功能，自动校正音色全自动开关机模式自动红外线对频系统，全自动扫描；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真分集式接收电路，保证有效距离内不断迅，消除死角；使用高增益天线，有效开阔使5、采用最新型的高频声表面滤波器，最大限度地滤除带外干扰信号；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采用二次变频的高频电路设计，具有极高的灵敏度；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调制方式： 宽带FM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信道数目： 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信道间隔： 250kHz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动态范围： 100dB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音频频率响应：20Hz～20kHz (±3dB)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综合信噪比： ＞105dB</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综合失真：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三、视频（录转播）会议系统</w:t>
            </w:r>
          </w:p>
        </w:tc>
      </w:tr>
      <w:tr>
        <w:tblPrEx>
          <w:tblCellMar>
            <w:top w:w="0" w:type="dxa"/>
            <w:left w:w="0" w:type="dxa"/>
            <w:bottom w:w="0" w:type="dxa"/>
            <w:right w:w="0"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视频会议终端</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兼容性好，支持</w:t>
            </w:r>
            <w:r>
              <w:rPr>
                <w:rFonts w:ascii="宋体" w:hAnsi="宋体" w:cs="等线"/>
                <w:color w:val="auto"/>
                <w:kern w:val="0"/>
                <w:sz w:val="18"/>
                <w:szCs w:val="18"/>
                <w:lang w:bidi="ar"/>
              </w:rPr>
              <w:t>H.323/SIP</w:t>
            </w:r>
            <w:r>
              <w:rPr>
                <w:rFonts w:hint="eastAsia" w:ascii="宋体" w:hAnsi="宋体" w:cs="宋体"/>
                <w:color w:val="auto"/>
                <w:kern w:val="0"/>
                <w:sz w:val="18"/>
                <w:szCs w:val="18"/>
                <w:lang w:bidi="ar"/>
              </w:rPr>
              <w:t>双协议栈，可以与业界标准终端、</w:t>
            </w:r>
            <w:r>
              <w:rPr>
                <w:rFonts w:ascii="宋体" w:hAnsi="宋体" w:cs="等线"/>
                <w:color w:val="auto"/>
                <w:kern w:val="0"/>
                <w:sz w:val="18"/>
                <w:szCs w:val="18"/>
                <w:lang w:bidi="ar"/>
              </w:rPr>
              <w:t>MCU</w:t>
            </w:r>
            <w:r>
              <w:rPr>
                <w:rFonts w:hint="eastAsia" w:ascii="宋体" w:hAnsi="宋体" w:cs="宋体"/>
                <w:color w:val="auto"/>
                <w:kern w:val="0"/>
                <w:sz w:val="18"/>
                <w:szCs w:val="18"/>
                <w:lang w:bidi="ar"/>
              </w:rPr>
              <w:t>、</w:t>
            </w:r>
            <w:r>
              <w:rPr>
                <w:rFonts w:ascii="宋体" w:hAnsi="宋体" w:cs="等线"/>
                <w:color w:val="auto"/>
                <w:kern w:val="0"/>
                <w:sz w:val="18"/>
                <w:szCs w:val="18"/>
                <w:lang w:bidi="ar"/>
              </w:rPr>
              <w:t>GK</w:t>
            </w:r>
            <w:r>
              <w:rPr>
                <w:rFonts w:hint="eastAsia" w:ascii="宋体" w:hAnsi="宋体" w:cs="宋体"/>
                <w:color w:val="auto"/>
                <w:kern w:val="0"/>
                <w:sz w:val="18"/>
                <w:szCs w:val="18"/>
                <w:lang w:bidi="ar"/>
              </w:rPr>
              <w:t>等实现互连互通，方便客户的扩容及升级改造；丰富的接口配置，充分考虑各种使用场景，兼容市场主流音视频输入、输出设备，实现快速部署，减少后续修改布线。</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优异的性能，提供极致的用户体验。内置高性能数字信号处理芯片，视频最高支持到主流和辅流双路</w:t>
            </w:r>
            <w:r>
              <w:rPr>
                <w:rFonts w:ascii="宋体" w:hAnsi="宋体" w:cs="等线"/>
                <w:color w:val="auto"/>
                <w:kern w:val="0"/>
                <w:sz w:val="18"/>
                <w:szCs w:val="18"/>
                <w:lang w:bidi="ar"/>
              </w:rPr>
              <w:t>1080P60</w:t>
            </w:r>
            <w:r>
              <w:rPr>
                <w:rFonts w:hint="eastAsia" w:ascii="宋体" w:hAnsi="宋体" w:cs="宋体"/>
                <w:color w:val="auto"/>
                <w:kern w:val="0"/>
                <w:sz w:val="18"/>
                <w:szCs w:val="18"/>
                <w:lang w:bidi="ar"/>
              </w:rPr>
              <w:t>同时编解码（可选），提供单显、双显以及丰富的视频窗口布局，提升了用户体验；语音支持</w:t>
            </w:r>
            <w:r>
              <w:rPr>
                <w:rFonts w:ascii="宋体" w:hAnsi="宋体" w:cs="等线"/>
                <w:color w:val="auto"/>
                <w:kern w:val="0"/>
                <w:sz w:val="18"/>
                <w:szCs w:val="18"/>
                <w:lang w:bidi="ar"/>
              </w:rPr>
              <w:t>AAC-LD</w:t>
            </w:r>
            <w:r>
              <w:rPr>
                <w:rFonts w:hint="eastAsia" w:ascii="宋体" w:hAnsi="宋体" w:cs="宋体"/>
                <w:color w:val="auto"/>
                <w:kern w:val="0"/>
                <w:sz w:val="18"/>
                <w:szCs w:val="18"/>
                <w:lang w:bidi="ar"/>
              </w:rPr>
              <w:t>宽频编解码，运用优化算法实现回声抵消、噪音抑制及自动增益控制，从而保证高保真、低延时的音频传输；</w:t>
            </w:r>
            <w:r>
              <w:rPr>
                <w:rFonts w:ascii="宋体" w:hAnsi="宋体" w:cs="等线"/>
                <w:color w:val="auto"/>
                <w:kern w:val="0"/>
                <w:sz w:val="18"/>
                <w:szCs w:val="18"/>
                <w:lang w:bidi="ar"/>
              </w:rPr>
              <w:t>QoS</w:t>
            </w:r>
            <w:r>
              <w:rPr>
                <w:rFonts w:hint="eastAsia" w:ascii="宋体" w:hAnsi="宋体" w:cs="宋体"/>
                <w:color w:val="auto"/>
                <w:kern w:val="0"/>
                <w:sz w:val="18"/>
                <w:szCs w:val="18"/>
                <w:lang w:bidi="ar"/>
              </w:rPr>
              <w:t>设置及独特的媒体纠错</w:t>
            </w:r>
            <w:r>
              <w:rPr>
                <w:rFonts w:ascii="宋体" w:hAnsi="宋体" w:cs="等线"/>
                <w:color w:val="auto"/>
                <w:kern w:val="0"/>
                <w:sz w:val="18"/>
                <w:szCs w:val="18"/>
                <w:lang w:bidi="ar"/>
              </w:rPr>
              <w:t>MEC</w:t>
            </w:r>
            <w:r>
              <w:rPr>
                <w:rFonts w:hint="eastAsia" w:ascii="宋体" w:hAnsi="宋体" w:cs="宋体"/>
                <w:color w:val="auto"/>
                <w:kern w:val="0"/>
                <w:sz w:val="18"/>
                <w:szCs w:val="18"/>
                <w:lang w:bidi="ar"/>
              </w:rPr>
              <w:t>（</w:t>
            </w:r>
            <w:r>
              <w:rPr>
                <w:rFonts w:ascii="宋体" w:hAnsi="宋体" w:cs="等线"/>
                <w:color w:val="auto"/>
                <w:kern w:val="0"/>
                <w:sz w:val="18"/>
                <w:szCs w:val="18"/>
                <w:lang w:bidi="ar"/>
              </w:rPr>
              <w:t>Media Error Correction</w:t>
            </w:r>
            <w:r>
              <w:rPr>
                <w:rFonts w:hint="eastAsia" w:ascii="宋体" w:hAnsi="宋体" w:cs="宋体"/>
                <w:color w:val="auto"/>
                <w:kern w:val="0"/>
                <w:sz w:val="18"/>
                <w:szCs w:val="18"/>
                <w:lang w:bidi="ar"/>
              </w:rPr>
              <w:t>）技术，在高误码率的情况下，依然能保证流畅的音视频效果（网络劣化下，优先确保音频质量）。高品质</w:t>
            </w:r>
            <w:r>
              <w:rPr>
                <w:rFonts w:ascii="宋体" w:hAnsi="宋体" w:cs="等线"/>
                <w:color w:val="auto"/>
                <w:kern w:val="0"/>
                <w:sz w:val="18"/>
                <w:szCs w:val="18"/>
                <w:lang w:bidi="ar"/>
              </w:rPr>
              <w:t>360</w:t>
            </w:r>
            <w:r>
              <w:rPr>
                <w:rFonts w:hint="eastAsia" w:ascii="宋体" w:hAnsi="宋体" w:cs="宋体"/>
                <w:color w:val="auto"/>
                <w:kern w:val="0"/>
                <w:sz w:val="18"/>
                <w:szCs w:val="18"/>
                <w:lang w:bidi="ar"/>
              </w:rPr>
              <w:t>度全向数字麦克风阵列，专业级音效。</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人性化的设计，方便用户的操作与维护。采用一体化高集成度（集成摄像机）的结构设计，外观简洁时尚，提供配套支架，支持墙壁安装及吊顶安装；内置重力感应传感器，吊装模式图像自动翻转；扁平化界面（</w:t>
            </w:r>
            <w:r>
              <w:rPr>
                <w:rFonts w:ascii="宋体" w:hAnsi="宋体" w:cs="等线"/>
                <w:color w:val="auto"/>
                <w:kern w:val="0"/>
                <w:sz w:val="18"/>
                <w:szCs w:val="18"/>
                <w:lang w:bidi="ar"/>
              </w:rPr>
              <w:t>UI</w:t>
            </w:r>
            <w:r>
              <w:rPr>
                <w:rFonts w:hint="eastAsia" w:ascii="宋体" w:hAnsi="宋体" w:cs="宋体"/>
                <w:color w:val="auto"/>
                <w:kern w:val="0"/>
                <w:sz w:val="18"/>
                <w:szCs w:val="18"/>
                <w:lang w:bidi="ar"/>
              </w:rPr>
              <w:t>）风格设计，使用者易于上手操作；遥控器集成部分功能按钮，常用功能一键可达，方便实用；</w:t>
            </w:r>
            <w:r>
              <w:rPr>
                <w:rFonts w:ascii="宋体" w:hAnsi="宋体" w:cs="等线"/>
                <w:color w:val="auto"/>
                <w:kern w:val="0"/>
                <w:sz w:val="18"/>
                <w:szCs w:val="18"/>
                <w:lang w:bidi="ar"/>
              </w:rPr>
              <w:t>U</w:t>
            </w:r>
            <w:r>
              <w:rPr>
                <w:rFonts w:hint="eastAsia" w:ascii="宋体" w:hAnsi="宋体" w:cs="宋体"/>
                <w:color w:val="auto"/>
                <w:kern w:val="0"/>
                <w:sz w:val="18"/>
                <w:szCs w:val="18"/>
                <w:lang w:bidi="ar"/>
              </w:rPr>
              <w:t>盘、网页等多种升级方式，易于后期维护与系统升级；</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多重安全机制，充分保证传输内容的安全性。系统采用</w:t>
            </w:r>
            <w:r>
              <w:rPr>
                <w:rFonts w:ascii="宋体" w:hAnsi="宋体" w:cs="等线"/>
                <w:color w:val="auto"/>
                <w:kern w:val="0"/>
                <w:sz w:val="18"/>
                <w:szCs w:val="18"/>
                <w:lang w:bidi="ar"/>
              </w:rPr>
              <w:t>AES</w:t>
            </w:r>
            <w:r>
              <w:rPr>
                <w:rFonts w:hint="eastAsia" w:ascii="宋体" w:hAnsi="宋体" w:cs="宋体"/>
                <w:color w:val="auto"/>
                <w:kern w:val="0"/>
                <w:sz w:val="18"/>
                <w:szCs w:val="18"/>
                <w:lang w:bidi="ar"/>
              </w:rPr>
              <w:t>媒体加密技术；用户证书，密码保护，</w:t>
            </w:r>
            <w:r>
              <w:rPr>
                <w:rFonts w:ascii="宋体" w:hAnsi="宋体" w:cs="等线"/>
                <w:color w:val="auto"/>
                <w:kern w:val="0"/>
                <w:sz w:val="18"/>
                <w:szCs w:val="18"/>
                <w:lang w:bidi="ar"/>
              </w:rPr>
              <w:t>HTTPS</w:t>
            </w:r>
            <w:r>
              <w:rPr>
                <w:rFonts w:hint="eastAsia" w:ascii="宋体" w:hAnsi="宋体" w:cs="宋体"/>
                <w:color w:val="auto"/>
                <w:kern w:val="0"/>
                <w:sz w:val="18"/>
                <w:szCs w:val="18"/>
                <w:lang w:bidi="ar"/>
              </w:rPr>
              <w:t>安全链接等加密措施保障系统安全运行；支持</w:t>
            </w:r>
            <w:r>
              <w:rPr>
                <w:rFonts w:ascii="宋体" w:hAnsi="宋体" w:cs="等线"/>
                <w:color w:val="auto"/>
                <w:kern w:val="0"/>
                <w:sz w:val="18"/>
                <w:szCs w:val="18"/>
                <w:lang w:bidi="ar"/>
              </w:rPr>
              <w:t>H.460</w:t>
            </w:r>
            <w:r>
              <w:rPr>
                <w:rFonts w:hint="eastAsia" w:ascii="宋体" w:hAnsi="宋体" w:cs="宋体"/>
                <w:color w:val="auto"/>
                <w:kern w:val="0"/>
                <w:sz w:val="18"/>
                <w:szCs w:val="18"/>
                <w:lang w:bidi="ar"/>
              </w:rPr>
              <w:t>、</w:t>
            </w:r>
            <w:r>
              <w:rPr>
                <w:rFonts w:ascii="宋体" w:hAnsi="宋体" w:cs="等线"/>
                <w:color w:val="auto"/>
                <w:kern w:val="0"/>
                <w:sz w:val="18"/>
                <w:szCs w:val="18"/>
                <w:lang w:bidi="ar"/>
              </w:rPr>
              <w:t>NAT</w:t>
            </w:r>
            <w:r>
              <w:rPr>
                <w:rFonts w:hint="eastAsia" w:ascii="宋体" w:hAnsi="宋体" w:cs="宋体"/>
                <w:color w:val="auto"/>
                <w:kern w:val="0"/>
                <w:sz w:val="18"/>
                <w:szCs w:val="18"/>
                <w:lang w:bidi="ar"/>
              </w:rPr>
              <w:t>和可配置端口范围，可实现防火墙穿越。</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提供</w:t>
            </w:r>
            <w:r>
              <w:rPr>
                <w:rFonts w:ascii="宋体" w:hAnsi="宋体" w:cs="等线"/>
                <w:color w:val="auto"/>
                <w:kern w:val="0"/>
                <w:sz w:val="18"/>
                <w:szCs w:val="18"/>
                <w:lang w:bidi="ar"/>
              </w:rPr>
              <w:t>EMC</w:t>
            </w:r>
            <w:r>
              <w:rPr>
                <w:rFonts w:hint="eastAsia" w:ascii="宋体" w:hAnsi="宋体" w:cs="宋体"/>
                <w:color w:val="auto"/>
                <w:kern w:val="0"/>
                <w:sz w:val="18"/>
                <w:szCs w:val="18"/>
                <w:lang w:bidi="ar"/>
              </w:rPr>
              <w:t>描述报告和雷击测试报告</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具有国家强制性产品</w:t>
            </w:r>
            <w:r>
              <w:rPr>
                <w:rFonts w:ascii="宋体" w:hAnsi="宋体" w:cs="等线"/>
                <w:color w:val="auto"/>
                <w:kern w:val="0"/>
                <w:sz w:val="18"/>
                <w:szCs w:val="18"/>
                <w:lang w:bidi="ar"/>
              </w:rPr>
              <w:t>3C</w:t>
            </w:r>
            <w:r>
              <w:rPr>
                <w:rFonts w:hint="eastAsia" w:ascii="宋体" w:hAnsi="宋体" w:cs="宋体"/>
                <w:color w:val="auto"/>
                <w:kern w:val="0"/>
                <w:sz w:val="18"/>
                <w:szCs w:val="18"/>
                <w:lang w:bidi="ar"/>
              </w:rPr>
              <w:t>认证和产品描述报告</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电信设备进网许可证和进网检测报告、</w:t>
            </w:r>
            <w:r>
              <w:rPr>
                <w:rFonts w:ascii="宋体" w:hAnsi="宋体" w:cs="等线"/>
                <w:color w:val="auto"/>
                <w:kern w:val="0"/>
                <w:sz w:val="18"/>
                <w:szCs w:val="18"/>
                <w:lang w:bidi="ar"/>
              </w:rPr>
              <w:t>ROSH</w:t>
            </w:r>
            <w:r>
              <w:rPr>
                <w:rFonts w:hint="eastAsia" w:ascii="宋体" w:hAnsi="宋体" w:cs="宋体"/>
                <w:color w:val="auto"/>
                <w:kern w:val="0"/>
                <w:sz w:val="18"/>
                <w:szCs w:val="18"/>
                <w:lang w:bidi="ar"/>
              </w:rPr>
              <w:t>报告</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生产厂商是国家高新技术企业</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内置</w:t>
            </w:r>
            <w:r>
              <w:rPr>
                <w:rFonts w:ascii="宋体" w:hAnsi="宋体" w:cs="等线"/>
                <w:color w:val="auto"/>
                <w:kern w:val="0"/>
                <w:sz w:val="18"/>
                <w:szCs w:val="18"/>
                <w:lang w:bidi="ar"/>
              </w:rPr>
              <w:t>MCU</w:t>
            </w:r>
            <w:r>
              <w:rPr>
                <w:rFonts w:hint="eastAsia" w:ascii="宋体" w:hAnsi="宋体" w:cs="宋体"/>
                <w:color w:val="auto"/>
                <w:kern w:val="0"/>
                <w:sz w:val="18"/>
                <w:szCs w:val="18"/>
                <w:lang w:bidi="ar"/>
              </w:rPr>
              <w:t>，支持配置为</w:t>
            </w:r>
            <w:r>
              <w:rPr>
                <w:rFonts w:ascii="宋体" w:hAnsi="宋体" w:cs="等线"/>
                <w:color w:val="auto"/>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高清摄像头</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全高清图像：采用</w:t>
            </w:r>
            <w:r>
              <w:rPr>
                <w:rFonts w:ascii="宋体" w:hAnsi="宋体" w:cs="等线"/>
                <w:color w:val="auto"/>
                <w:kern w:val="0"/>
                <w:sz w:val="18"/>
                <w:szCs w:val="18"/>
                <w:lang w:bidi="ar"/>
              </w:rPr>
              <w:t>1/2.8</w:t>
            </w:r>
            <w:r>
              <w:rPr>
                <w:rFonts w:hint="eastAsia" w:ascii="宋体" w:hAnsi="宋体" w:cs="宋体"/>
                <w:color w:val="auto"/>
                <w:kern w:val="0"/>
                <w:sz w:val="18"/>
                <w:szCs w:val="18"/>
                <w:lang w:bidi="ar"/>
              </w:rPr>
              <w:t>英寸</w:t>
            </w:r>
            <w:r>
              <w:rPr>
                <w:rFonts w:ascii="宋体" w:hAnsi="宋体" w:cs="等线"/>
                <w:color w:val="auto"/>
                <w:kern w:val="0"/>
                <w:sz w:val="18"/>
                <w:szCs w:val="18"/>
                <w:lang w:bidi="ar"/>
              </w:rPr>
              <w:t>207</w:t>
            </w:r>
            <w:r>
              <w:rPr>
                <w:rFonts w:hint="eastAsia" w:ascii="宋体" w:hAnsi="宋体" w:cs="宋体"/>
                <w:color w:val="auto"/>
                <w:kern w:val="0"/>
                <w:sz w:val="18"/>
                <w:szCs w:val="18"/>
                <w:lang w:bidi="ar"/>
              </w:rPr>
              <w:t>万像素高品质图像传感器，最大分辨率可达</w:t>
            </w:r>
            <w:r>
              <w:rPr>
                <w:rFonts w:ascii="宋体" w:hAnsi="宋体" w:cs="等线"/>
                <w:color w:val="auto"/>
                <w:kern w:val="0"/>
                <w:sz w:val="18"/>
                <w:szCs w:val="18"/>
                <w:lang w:bidi="ar"/>
              </w:rPr>
              <w:t>1920x1080</w:t>
            </w:r>
            <w:r>
              <w:rPr>
                <w:rFonts w:hint="eastAsia" w:ascii="宋体" w:hAnsi="宋体" w:cs="宋体"/>
                <w:color w:val="auto"/>
                <w:kern w:val="0"/>
                <w:sz w:val="18"/>
                <w:szCs w:val="18"/>
                <w:lang w:bidi="ar"/>
              </w:rPr>
              <w:t>，输出帧率高达</w:t>
            </w:r>
            <w:r>
              <w:rPr>
                <w:rFonts w:ascii="宋体" w:hAnsi="宋体" w:cs="等线"/>
                <w:color w:val="auto"/>
                <w:kern w:val="0"/>
                <w:sz w:val="18"/>
                <w:szCs w:val="18"/>
                <w:lang w:bidi="ar"/>
              </w:rPr>
              <w:t>60</w:t>
            </w:r>
            <w:r>
              <w:rPr>
                <w:rFonts w:hint="eastAsia" w:ascii="宋体" w:hAnsi="宋体" w:cs="宋体"/>
                <w:color w:val="auto"/>
                <w:kern w:val="0"/>
                <w:sz w:val="18"/>
                <w:szCs w:val="18"/>
                <w:lang w:bidi="ar"/>
              </w:rPr>
              <w:t>帧</w:t>
            </w:r>
            <w:r>
              <w:rPr>
                <w:rFonts w:ascii="宋体" w:hAnsi="宋体" w:cs="等线"/>
                <w:color w:val="auto"/>
                <w:kern w:val="0"/>
                <w:sz w:val="18"/>
                <w:szCs w:val="18"/>
                <w:lang w:bidi="ar"/>
              </w:rPr>
              <w:t>/</w:t>
            </w:r>
            <w:r>
              <w:rPr>
                <w:rFonts w:hint="eastAsia" w:ascii="宋体" w:hAnsi="宋体" w:cs="宋体"/>
                <w:color w:val="auto"/>
                <w:kern w:val="0"/>
                <w:sz w:val="18"/>
                <w:szCs w:val="18"/>
                <w:lang w:bidi="ar"/>
              </w:rPr>
              <w:t>秒。</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多种光学变倍镜头：具有</w:t>
            </w:r>
            <w:r>
              <w:rPr>
                <w:rFonts w:ascii="宋体" w:hAnsi="宋体" w:cs="等线"/>
                <w:color w:val="auto"/>
                <w:kern w:val="0"/>
                <w:sz w:val="18"/>
                <w:szCs w:val="18"/>
                <w:lang w:bidi="ar"/>
              </w:rPr>
              <w:t>5X</w:t>
            </w:r>
            <w:r>
              <w:rPr>
                <w:rFonts w:hint="eastAsia" w:ascii="宋体" w:hAnsi="宋体" w:cs="宋体"/>
                <w:color w:val="auto"/>
                <w:kern w:val="0"/>
                <w:sz w:val="18"/>
                <w:szCs w:val="18"/>
                <w:lang w:bidi="ar"/>
              </w:rPr>
              <w:t>、</w:t>
            </w:r>
            <w:r>
              <w:rPr>
                <w:rFonts w:ascii="宋体" w:hAnsi="宋体" w:cs="等线"/>
                <w:color w:val="auto"/>
                <w:kern w:val="0"/>
                <w:sz w:val="18"/>
                <w:szCs w:val="18"/>
                <w:lang w:bidi="ar"/>
              </w:rPr>
              <w:t>10X</w:t>
            </w:r>
            <w:r>
              <w:rPr>
                <w:rFonts w:hint="eastAsia" w:ascii="宋体" w:hAnsi="宋体" w:cs="宋体"/>
                <w:color w:val="auto"/>
                <w:kern w:val="0"/>
                <w:sz w:val="18"/>
                <w:szCs w:val="18"/>
                <w:lang w:bidi="ar"/>
              </w:rPr>
              <w:t>、</w:t>
            </w:r>
            <w:r>
              <w:rPr>
                <w:rFonts w:ascii="宋体" w:hAnsi="宋体" w:cs="等线"/>
                <w:color w:val="auto"/>
                <w:kern w:val="0"/>
                <w:sz w:val="18"/>
                <w:szCs w:val="18"/>
                <w:lang w:bidi="ar"/>
              </w:rPr>
              <w:t>12X</w:t>
            </w:r>
            <w:r>
              <w:rPr>
                <w:rFonts w:hint="eastAsia" w:ascii="宋体" w:hAnsi="宋体" w:cs="宋体"/>
                <w:color w:val="auto"/>
                <w:kern w:val="0"/>
                <w:sz w:val="18"/>
                <w:szCs w:val="18"/>
                <w:lang w:bidi="ar"/>
              </w:rPr>
              <w:t>、</w:t>
            </w:r>
            <w:r>
              <w:rPr>
                <w:rFonts w:ascii="宋体" w:hAnsi="宋体" w:cs="等线"/>
                <w:color w:val="auto"/>
                <w:kern w:val="0"/>
                <w:sz w:val="18"/>
                <w:szCs w:val="18"/>
                <w:lang w:bidi="ar"/>
              </w:rPr>
              <w:t>20X</w:t>
            </w:r>
            <w:r>
              <w:rPr>
                <w:rFonts w:hint="eastAsia" w:ascii="宋体" w:hAnsi="宋体" w:cs="宋体"/>
                <w:color w:val="auto"/>
                <w:kern w:val="0"/>
                <w:sz w:val="18"/>
                <w:szCs w:val="18"/>
                <w:lang w:bidi="ar"/>
              </w:rPr>
              <w:t>、</w:t>
            </w:r>
            <w:r>
              <w:rPr>
                <w:rFonts w:ascii="宋体" w:hAnsi="宋体" w:cs="等线"/>
                <w:color w:val="auto"/>
                <w:kern w:val="0"/>
                <w:sz w:val="18"/>
                <w:szCs w:val="18"/>
                <w:lang w:bidi="ar"/>
              </w:rPr>
              <w:t>30X</w:t>
            </w:r>
            <w:r>
              <w:rPr>
                <w:rFonts w:hint="eastAsia" w:ascii="宋体" w:hAnsi="宋体" w:cs="宋体"/>
                <w:color w:val="auto"/>
                <w:kern w:val="0"/>
                <w:sz w:val="18"/>
                <w:szCs w:val="18"/>
                <w:lang w:bidi="ar"/>
              </w:rPr>
              <w:t>等多种光学变倍镜头选择，镜头具有</w:t>
            </w:r>
            <w:r>
              <w:rPr>
                <w:rFonts w:ascii="宋体" w:hAnsi="宋体" w:cs="等线"/>
                <w:color w:val="auto"/>
                <w:kern w:val="0"/>
                <w:sz w:val="18"/>
                <w:szCs w:val="18"/>
                <w:lang w:bidi="ar"/>
              </w:rPr>
              <w:t>83.7°</w:t>
            </w:r>
            <w:r>
              <w:rPr>
                <w:rFonts w:hint="eastAsia" w:ascii="宋体" w:hAnsi="宋体" w:cs="宋体"/>
                <w:color w:val="auto"/>
                <w:kern w:val="0"/>
                <w:sz w:val="18"/>
                <w:szCs w:val="18"/>
                <w:lang w:bidi="ar"/>
              </w:rPr>
              <w:t>无畸变宽视角。</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领先的自动聚焦技术：先进的自动聚焦算法使得镜头快速、准确、稳定地完成自动聚焦。</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低噪声高信噪比：低噪声</w:t>
            </w:r>
            <w:r>
              <w:rPr>
                <w:rFonts w:ascii="宋体" w:hAnsi="宋体" w:cs="等线"/>
                <w:color w:val="auto"/>
                <w:kern w:val="0"/>
                <w:sz w:val="18"/>
                <w:szCs w:val="18"/>
                <w:lang w:bidi="ar"/>
              </w:rPr>
              <w:t>CMOS</w:t>
            </w:r>
            <w:r>
              <w:rPr>
                <w:rFonts w:hint="eastAsia" w:ascii="宋体" w:hAnsi="宋体" w:cs="宋体"/>
                <w:color w:val="auto"/>
                <w:kern w:val="0"/>
                <w:sz w:val="18"/>
                <w:szCs w:val="18"/>
                <w:lang w:bidi="ar"/>
              </w:rPr>
              <w:t>有效地保证了摄像机视频的超高信噪比。采用先进的</w:t>
            </w:r>
            <w:r>
              <w:rPr>
                <w:rFonts w:ascii="宋体" w:hAnsi="宋体" w:cs="等线"/>
                <w:color w:val="auto"/>
                <w:kern w:val="0"/>
                <w:sz w:val="18"/>
                <w:szCs w:val="18"/>
                <w:lang w:bidi="ar"/>
              </w:rPr>
              <w:t>2D</w:t>
            </w:r>
            <w:r>
              <w:rPr>
                <w:rFonts w:hint="eastAsia" w:ascii="宋体" w:hAnsi="宋体" w:cs="宋体"/>
                <w:color w:val="auto"/>
                <w:kern w:val="0"/>
                <w:sz w:val="18"/>
                <w:szCs w:val="18"/>
                <w:lang w:bidi="ar"/>
              </w:rPr>
              <w:t>、</w:t>
            </w:r>
            <w:r>
              <w:rPr>
                <w:rFonts w:ascii="宋体" w:hAnsi="宋体" w:cs="等线"/>
                <w:color w:val="auto"/>
                <w:kern w:val="0"/>
                <w:sz w:val="18"/>
                <w:szCs w:val="18"/>
                <w:lang w:bidi="ar"/>
              </w:rPr>
              <w:t>3D</w:t>
            </w:r>
            <w:r>
              <w:rPr>
                <w:rFonts w:hint="eastAsia" w:ascii="宋体" w:hAnsi="宋体" w:cs="宋体"/>
                <w:color w:val="auto"/>
                <w:kern w:val="0"/>
                <w:sz w:val="18"/>
                <w:szCs w:val="18"/>
                <w:lang w:bidi="ar"/>
              </w:rPr>
              <w:t>降噪技术，进一步降低了噪声，同时又能确保图像清晰度。</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多种视频输出接口：支持</w:t>
            </w:r>
            <w:r>
              <w:rPr>
                <w:rFonts w:ascii="宋体" w:hAnsi="宋体" w:cs="等线"/>
                <w:color w:val="auto"/>
                <w:kern w:val="0"/>
                <w:sz w:val="18"/>
                <w:szCs w:val="18"/>
                <w:lang w:bidi="ar"/>
              </w:rPr>
              <w:t>DVI</w:t>
            </w:r>
            <w:r>
              <w:rPr>
                <w:rFonts w:hint="eastAsia" w:ascii="宋体" w:hAnsi="宋体" w:cs="宋体"/>
                <w:color w:val="auto"/>
                <w:kern w:val="0"/>
                <w:sz w:val="18"/>
                <w:szCs w:val="18"/>
                <w:lang w:bidi="ar"/>
              </w:rPr>
              <w:t>、</w:t>
            </w:r>
            <w:r>
              <w:rPr>
                <w:rFonts w:ascii="宋体" w:hAnsi="宋体" w:cs="等线"/>
                <w:color w:val="auto"/>
                <w:kern w:val="0"/>
                <w:sz w:val="18"/>
                <w:szCs w:val="18"/>
                <w:lang w:bidi="ar"/>
              </w:rPr>
              <w:t>HDMI</w:t>
            </w:r>
            <w:r>
              <w:rPr>
                <w:rFonts w:hint="eastAsia" w:ascii="宋体" w:hAnsi="宋体" w:cs="宋体"/>
                <w:color w:val="auto"/>
                <w:kern w:val="0"/>
                <w:sz w:val="18"/>
                <w:szCs w:val="18"/>
                <w:lang w:bidi="ar"/>
              </w:rPr>
              <w:t>、</w:t>
            </w:r>
            <w:r>
              <w:rPr>
                <w:rFonts w:ascii="宋体" w:hAnsi="宋体" w:cs="等线"/>
                <w:color w:val="auto"/>
                <w:kern w:val="0"/>
                <w:sz w:val="18"/>
                <w:szCs w:val="18"/>
                <w:lang w:bidi="ar"/>
              </w:rPr>
              <w:t>3G-SDI</w:t>
            </w:r>
            <w:r>
              <w:rPr>
                <w:rFonts w:hint="eastAsia" w:ascii="宋体" w:hAnsi="宋体" w:cs="宋体"/>
                <w:color w:val="auto"/>
                <w:kern w:val="0"/>
                <w:sz w:val="18"/>
                <w:szCs w:val="18"/>
                <w:lang w:bidi="ar"/>
              </w:rPr>
              <w:t>、</w:t>
            </w:r>
            <w:r>
              <w:rPr>
                <w:rFonts w:ascii="宋体" w:hAnsi="宋体" w:cs="等线"/>
                <w:color w:val="auto"/>
                <w:kern w:val="0"/>
                <w:sz w:val="18"/>
                <w:szCs w:val="18"/>
                <w:lang w:bidi="ar"/>
              </w:rPr>
              <w:t>USB3.0</w:t>
            </w:r>
            <w:r>
              <w:rPr>
                <w:rFonts w:hint="eastAsia" w:ascii="宋体" w:hAnsi="宋体" w:cs="宋体"/>
                <w:color w:val="auto"/>
                <w:kern w:val="0"/>
                <w:sz w:val="18"/>
                <w:szCs w:val="18"/>
                <w:lang w:bidi="ar"/>
              </w:rPr>
              <w:t>、</w:t>
            </w:r>
            <w:r>
              <w:rPr>
                <w:rFonts w:ascii="宋体" w:hAnsi="宋体" w:cs="等线"/>
                <w:color w:val="auto"/>
                <w:kern w:val="0"/>
                <w:sz w:val="18"/>
                <w:szCs w:val="18"/>
                <w:lang w:bidi="ar"/>
              </w:rPr>
              <w:t>USB2.0</w:t>
            </w:r>
            <w:r>
              <w:rPr>
                <w:rFonts w:hint="eastAsia" w:ascii="宋体" w:hAnsi="宋体" w:cs="宋体"/>
                <w:color w:val="auto"/>
                <w:kern w:val="0"/>
                <w:sz w:val="18"/>
                <w:szCs w:val="18"/>
                <w:lang w:bidi="ar"/>
              </w:rPr>
              <w:t>、有线</w:t>
            </w:r>
            <w:r>
              <w:rPr>
                <w:rFonts w:ascii="宋体" w:hAnsi="宋体" w:cs="等线"/>
                <w:color w:val="auto"/>
                <w:kern w:val="0"/>
                <w:sz w:val="18"/>
                <w:szCs w:val="18"/>
                <w:lang w:bidi="ar"/>
              </w:rPr>
              <w:t>LAN</w:t>
            </w:r>
            <w:r>
              <w:rPr>
                <w:rFonts w:hint="eastAsia" w:ascii="宋体" w:hAnsi="宋体" w:cs="宋体"/>
                <w:color w:val="auto"/>
                <w:kern w:val="0"/>
                <w:sz w:val="18"/>
                <w:szCs w:val="18"/>
                <w:lang w:bidi="ar"/>
              </w:rPr>
              <w:t>、无线</w:t>
            </w:r>
            <w:r>
              <w:rPr>
                <w:rFonts w:ascii="宋体" w:hAnsi="宋体" w:cs="等线"/>
                <w:color w:val="auto"/>
                <w:kern w:val="0"/>
                <w:sz w:val="18"/>
                <w:szCs w:val="18"/>
                <w:lang w:bidi="ar"/>
              </w:rPr>
              <w:t>LAN</w:t>
            </w:r>
            <w:r>
              <w:rPr>
                <w:rFonts w:hint="eastAsia" w:ascii="宋体" w:hAnsi="宋体" w:cs="宋体"/>
                <w:color w:val="auto"/>
                <w:kern w:val="0"/>
                <w:sz w:val="18"/>
                <w:szCs w:val="18"/>
                <w:lang w:bidi="ar"/>
              </w:rPr>
              <w:t>接口（</w:t>
            </w:r>
            <w:r>
              <w:rPr>
                <w:rFonts w:ascii="宋体" w:hAnsi="宋体" w:cs="等线"/>
                <w:color w:val="auto"/>
                <w:kern w:val="0"/>
                <w:sz w:val="18"/>
                <w:szCs w:val="18"/>
                <w:lang w:bidi="ar"/>
              </w:rPr>
              <w:t>5GWiFi</w:t>
            </w:r>
            <w:r>
              <w:rPr>
                <w:rFonts w:hint="eastAsia" w:ascii="宋体" w:hAnsi="宋体" w:cs="宋体"/>
                <w:color w:val="auto"/>
                <w:kern w:val="0"/>
                <w:sz w:val="18"/>
                <w:szCs w:val="18"/>
                <w:lang w:bidi="ar"/>
              </w:rPr>
              <w:t>模块）、</w:t>
            </w:r>
            <w:r>
              <w:rPr>
                <w:rFonts w:ascii="宋体" w:hAnsi="宋体" w:cs="等线"/>
                <w:color w:val="auto"/>
                <w:kern w:val="0"/>
                <w:sz w:val="18"/>
                <w:szCs w:val="18"/>
                <w:lang w:bidi="ar"/>
              </w:rPr>
              <w:t>HB-BASE</w:t>
            </w:r>
            <w:r>
              <w:rPr>
                <w:rFonts w:hint="eastAsia" w:ascii="宋体" w:hAnsi="宋体" w:cs="宋体"/>
                <w:color w:val="auto"/>
                <w:kern w:val="0"/>
                <w:sz w:val="18"/>
                <w:szCs w:val="18"/>
                <w:lang w:bidi="ar"/>
              </w:rPr>
              <w:t>等多种接口可选，支持至少任意三种高清接口同时输出，</w:t>
            </w:r>
            <w:r>
              <w:rPr>
                <w:rFonts w:ascii="宋体" w:hAnsi="宋体" w:cs="等线"/>
                <w:color w:val="auto"/>
                <w:kern w:val="0"/>
                <w:sz w:val="18"/>
                <w:szCs w:val="18"/>
                <w:lang w:bidi="ar"/>
              </w:rPr>
              <w:t>SDI</w:t>
            </w:r>
            <w:r>
              <w:rPr>
                <w:rFonts w:hint="eastAsia" w:ascii="宋体" w:hAnsi="宋体" w:cs="宋体"/>
                <w:color w:val="auto"/>
                <w:kern w:val="0"/>
                <w:sz w:val="18"/>
                <w:szCs w:val="18"/>
                <w:lang w:bidi="ar"/>
              </w:rPr>
              <w:t>支持在</w:t>
            </w:r>
            <w:r>
              <w:rPr>
                <w:rFonts w:ascii="宋体" w:hAnsi="宋体" w:cs="等线"/>
                <w:color w:val="auto"/>
                <w:kern w:val="0"/>
                <w:sz w:val="18"/>
                <w:szCs w:val="18"/>
                <w:lang w:bidi="ar"/>
              </w:rPr>
              <w:t>1080P60</w:t>
            </w:r>
            <w:r>
              <w:rPr>
                <w:rFonts w:hint="eastAsia" w:ascii="宋体" w:hAnsi="宋体" w:cs="宋体"/>
                <w:color w:val="auto"/>
                <w:kern w:val="0"/>
                <w:sz w:val="18"/>
                <w:szCs w:val="18"/>
                <w:lang w:bidi="ar"/>
              </w:rPr>
              <w:t>格式下传输</w:t>
            </w:r>
            <w:r>
              <w:rPr>
                <w:rFonts w:ascii="宋体" w:hAnsi="宋体" w:cs="等线"/>
                <w:color w:val="auto"/>
                <w:kern w:val="0"/>
                <w:sz w:val="18"/>
                <w:szCs w:val="18"/>
                <w:lang w:bidi="ar"/>
              </w:rPr>
              <w:t>100</w:t>
            </w:r>
            <w:r>
              <w:rPr>
                <w:rFonts w:hint="eastAsia" w:ascii="宋体" w:hAnsi="宋体" w:cs="宋体"/>
                <w:color w:val="auto"/>
                <w:kern w:val="0"/>
                <w:sz w:val="18"/>
                <w:szCs w:val="18"/>
                <w:lang w:bidi="ar"/>
              </w:rPr>
              <w:t>米。</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多种音视频压缩标准：支持</w:t>
            </w:r>
            <w:r>
              <w:rPr>
                <w:rFonts w:ascii="宋体" w:hAnsi="宋体" w:cs="等线"/>
                <w:color w:val="auto"/>
                <w:kern w:val="0"/>
                <w:sz w:val="18"/>
                <w:szCs w:val="18"/>
                <w:lang w:bidi="ar"/>
              </w:rPr>
              <w:t>H.265/H.264</w:t>
            </w:r>
            <w:r>
              <w:rPr>
                <w:rFonts w:hint="eastAsia" w:ascii="宋体" w:hAnsi="宋体" w:cs="宋体"/>
                <w:color w:val="auto"/>
                <w:kern w:val="0"/>
                <w:sz w:val="18"/>
                <w:szCs w:val="18"/>
                <w:lang w:bidi="ar"/>
              </w:rPr>
              <w:t>视频压缩，支持</w:t>
            </w:r>
            <w:r>
              <w:rPr>
                <w:rFonts w:ascii="宋体" w:hAnsi="宋体" w:cs="等线"/>
                <w:color w:val="auto"/>
                <w:kern w:val="0"/>
                <w:sz w:val="18"/>
                <w:szCs w:val="18"/>
                <w:lang w:bidi="ar"/>
              </w:rPr>
              <w:t>AAC</w:t>
            </w:r>
            <w:r>
              <w:rPr>
                <w:rFonts w:hint="eastAsia" w:ascii="宋体" w:hAnsi="宋体" w:cs="宋体"/>
                <w:color w:val="auto"/>
                <w:kern w:val="0"/>
                <w:sz w:val="18"/>
                <w:szCs w:val="18"/>
                <w:lang w:bidi="ar"/>
              </w:rPr>
              <w:t>、</w:t>
            </w:r>
            <w:r>
              <w:rPr>
                <w:rFonts w:ascii="宋体" w:hAnsi="宋体" w:cs="等线"/>
                <w:color w:val="auto"/>
                <w:kern w:val="0"/>
                <w:sz w:val="18"/>
                <w:szCs w:val="18"/>
                <w:lang w:bidi="ar"/>
              </w:rPr>
              <w:t>MP3</w:t>
            </w:r>
            <w:r>
              <w:rPr>
                <w:rFonts w:hint="eastAsia" w:ascii="宋体" w:hAnsi="宋体" w:cs="宋体"/>
                <w:color w:val="auto"/>
                <w:kern w:val="0"/>
                <w:sz w:val="18"/>
                <w:szCs w:val="18"/>
                <w:lang w:bidi="ar"/>
              </w:rPr>
              <w:t>、</w:t>
            </w:r>
            <w:r>
              <w:rPr>
                <w:rFonts w:ascii="宋体" w:hAnsi="宋体" w:cs="等线"/>
                <w:color w:val="auto"/>
                <w:kern w:val="0"/>
                <w:sz w:val="18"/>
                <w:szCs w:val="18"/>
                <w:lang w:bidi="ar"/>
              </w:rPr>
              <w:t>G.711A</w:t>
            </w:r>
            <w:r>
              <w:rPr>
                <w:rFonts w:hint="eastAsia" w:ascii="宋体" w:hAnsi="宋体" w:cs="宋体"/>
                <w:color w:val="auto"/>
                <w:kern w:val="0"/>
                <w:sz w:val="18"/>
                <w:szCs w:val="18"/>
                <w:lang w:bidi="ar"/>
              </w:rPr>
              <w:t>音频压缩；支持高达</w:t>
            </w:r>
            <w:r>
              <w:rPr>
                <w:rFonts w:ascii="宋体" w:hAnsi="宋体" w:cs="等线"/>
                <w:color w:val="auto"/>
                <w:kern w:val="0"/>
                <w:sz w:val="18"/>
                <w:szCs w:val="18"/>
                <w:lang w:bidi="ar"/>
              </w:rPr>
              <w:t>1920x1080</w:t>
            </w:r>
            <w:r>
              <w:rPr>
                <w:rFonts w:hint="eastAsia" w:ascii="宋体" w:hAnsi="宋体" w:cs="宋体"/>
                <w:color w:val="auto"/>
                <w:kern w:val="0"/>
                <w:sz w:val="18"/>
                <w:szCs w:val="18"/>
                <w:lang w:bidi="ar"/>
              </w:rPr>
              <w:t>分辨率</w:t>
            </w:r>
            <w:r>
              <w:rPr>
                <w:rFonts w:ascii="宋体" w:hAnsi="宋体" w:cs="等线"/>
                <w:color w:val="auto"/>
                <w:kern w:val="0"/>
                <w:sz w:val="18"/>
                <w:szCs w:val="18"/>
                <w:lang w:bidi="ar"/>
              </w:rPr>
              <w:t>60</w:t>
            </w:r>
            <w:r>
              <w:rPr>
                <w:rFonts w:hint="eastAsia" w:ascii="宋体" w:hAnsi="宋体" w:cs="宋体"/>
                <w:color w:val="auto"/>
                <w:kern w:val="0"/>
                <w:sz w:val="18"/>
                <w:szCs w:val="18"/>
                <w:lang w:bidi="ar"/>
              </w:rPr>
              <w:t>帧</w:t>
            </w:r>
            <w:r>
              <w:rPr>
                <w:rFonts w:ascii="宋体" w:hAnsi="宋体" w:cs="等线"/>
                <w:color w:val="auto"/>
                <w:kern w:val="0"/>
                <w:sz w:val="18"/>
                <w:szCs w:val="18"/>
                <w:lang w:bidi="ar"/>
              </w:rPr>
              <w:t>/</w:t>
            </w:r>
            <w:r>
              <w:rPr>
                <w:rFonts w:hint="eastAsia" w:ascii="宋体" w:hAnsi="宋体" w:cs="宋体"/>
                <w:color w:val="auto"/>
                <w:kern w:val="0"/>
                <w:sz w:val="18"/>
                <w:szCs w:val="18"/>
                <w:lang w:bidi="ar"/>
              </w:rPr>
              <w:t>秒压缩；</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音频输入接口：支持</w:t>
            </w:r>
            <w:r>
              <w:rPr>
                <w:rFonts w:ascii="宋体" w:hAnsi="宋体" w:cs="等线"/>
                <w:color w:val="auto"/>
                <w:kern w:val="0"/>
                <w:sz w:val="18"/>
                <w:szCs w:val="18"/>
                <w:lang w:bidi="ar"/>
              </w:rPr>
              <w:t>8000</w:t>
            </w:r>
            <w:r>
              <w:rPr>
                <w:rFonts w:hint="eastAsia" w:ascii="宋体" w:hAnsi="宋体" w:cs="宋体"/>
                <w:color w:val="auto"/>
                <w:kern w:val="0"/>
                <w:sz w:val="18"/>
                <w:szCs w:val="18"/>
                <w:lang w:bidi="ar"/>
              </w:rPr>
              <w:t>、</w:t>
            </w:r>
            <w:r>
              <w:rPr>
                <w:rFonts w:ascii="宋体" w:hAnsi="宋体" w:cs="等线"/>
                <w:color w:val="auto"/>
                <w:kern w:val="0"/>
                <w:sz w:val="18"/>
                <w:szCs w:val="18"/>
                <w:lang w:bidi="ar"/>
              </w:rPr>
              <w:t>16000</w:t>
            </w:r>
            <w:r>
              <w:rPr>
                <w:rFonts w:hint="eastAsia" w:ascii="宋体" w:hAnsi="宋体" w:cs="宋体"/>
                <w:color w:val="auto"/>
                <w:kern w:val="0"/>
                <w:sz w:val="18"/>
                <w:szCs w:val="18"/>
                <w:lang w:bidi="ar"/>
              </w:rPr>
              <w:t>、</w:t>
            </w:r>
            <w:r>
              <w:rPr>
                <w:rFonts w:ascii="宋体" w:hAnsi="宋体" w:cs="等线"/>
                <w:color w:val="auto"/>
                <w:kern w:val="0"/>
                <w:sz w:val="18"/>
                <w:szCs w:val="18"/>
                <w:lang w:bidi="ar"/>
              </w:rPr>
              <w:t>32000</w:t>
            </w:r>
            <w:r>
              <w:rPr>
                <w:rFonts w:hint="eastAsia" w:ascii="宋体" w:hAnsi="宋体" w:cs="宋体"/>
                <w:color w:val="auto"/>
                <w:kern w:val="0"/>
                <w:sz w:val="18"/>
                <w:szCs w:val="18"/>
                <w:lang w:bidi="ar"/>
              </w:rPr>
              <w:t>、</w:t>
            </w:r>
            <w:r>
              <w:rPr>
                <w:rFonts w:ascii="宋体" w:hAnsi="宋体" w:cs="等线"/>
                <w:color w:val="auto"/>
                <w:kern w:val="0"/>
                <w:sz w:val="18"/>
                <w:szCs w:val="18"/>
                <w:lang w:bidi="ar"/>
              </w:rPr>
              <w:t>44100</w:t>
            </w:r>
            <w:r>
              <w:rPr>
                <w:rFonts w:hint="eastAsia" w:ascii="宋体" w:hAnsi="宋体" w:cs="宋体"/>
                <w:color w:val="auto"/>
                <w:kern w:val="0"/>
                <w:sz w:val="18"/>
                <w:szCs w:val="18"/>
                <w:lang w:bidi="ar"/>
              </w:rPr>
              <w:t>、</w:t>
            </w:r>
            <w:r>
              <w:rPr>
                <w:rFonts w:ascii="宋体" w:hAnsi="宋体" w:cs="等线"/>
                <w:color w:val="auto"/>
                <w:kern w:val="0"/>
                <w:sz w:val="18"/>
                <w:szCs w:val="18"/>
                <w:lang w:bidi="ar"/>
              </w:rPr>
              <w:t>48000</w:t>
            </w:r>
            <w:r>
              <w:rPr>
                <w:rFonts w:hint="eastAsia" w:ascii="宋体" w:hAnsi="宋体" w:cs="宋体"/>
                <w:color w:val="auto"/>
                <w:kern w:val="0"/>
                <w:sz w:val="18"/>
                <w:szCs w:val="18"/>
                <w:lang w:bidi="ar"/>
              </w:rPr>
              <w:t>采样频率，支持</w:t>
            </w:r>
            <w:r>
              <w:rPr>
                <w:rFonts w:ascii="宋体" w:hAnsi="宋体" w:cs="等线"/>
                <w:color w:val="auto"/>
                <w:kern w:val="0"/>
                <w:sz w:val="18"/>
                <w:szCs w:val="18"/>
                <w:lang w:bidi="ar"/>
              </w:rPr>
              <w:t>AAC</w:t>
            </w:r>
            <w:r>
              <w:rPr>
                <w:rFonts w:hint="eastAsia" w:ascii="宋体" w:hAnsi="宋体" w:cs="宋体"/>
                <w:color w:val="auto"/>
                <w:kern w:val="0"/>
                <w:sz w:val="18"/>
                <w:szCs w:val="18"/>
                <w:lang w:bidi="ar"/>
              </w:rPr>
              <w:t>、</w:t>
            </w:r>
            <w:r>
              <w:rPr>
                <w:rFonts w:ascii="宋体" w:hAnsi="宋体" w:cs="等线"/>
                <w:color w:val="auto"/>
                <w:kern w:val="0"/>
                <w:sz w:val="18"/>
                <w:szCs w:val="18"/>
                <w:lang w:bidi="ar"/>
              </w:rPr>
              <w:t>MP3</w:t>
            </w:r>
            <w:r>
              <w:rPr>
                <w:rFonts w:hint="eastAsia" w:ascii="宋体" w:hAnsi="宋体" w:cs="宋体"/>
                <w:color w:val="auto"/>
                <w:kern w:val="0"/>
                <w:sz w:val="18"/>
                <w:szCs w:val="18"/>
                <w:lang w:bidi="ar"/>
              </w:rPr>
              <w:t>、</w:t>
            </w:r>
            <w:r>
              <w:rPr>
                <w:rFonts w:ascii="宋体" w:hAnsi="宋体" w:cs="等线"/>
                <w:color w:val="auto"/>
                <w:kern w:val="0"/>
                <w:sz w:val="18"/>
                <w:szCs w:val="18"/>
                <w:lang w:bidi="ar"/>
              </w:rPr>
              <w:t>G.711A</w:t>
            </w:r>
            <w:r>
              <w:rPr>
                <w:rFonts w:hint="eastAsia" w:ascii="宋体" w:hAnsi="宋体" w:cs="宋体"/>
                <w:color w:val="auto"/>
                <w:kern w:val="0"/>
                <w:sz w:val="18"/>
                <w:szCs w:val="18"/>
                <w:lang w:bidi="ar"/>
              </w:rPr>
              <w:t>音频编码</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多种网络协议：支持</w:t>
            </w:r>
            <w:r>
              <w:rPr>
                <w:rFonts w:ascii="宋体" w:hAnsi="宋体" w:cs="等线"/>
                <w:color w:val="auto"/>
                <w:kern w:val="0"/>
                <w:sz w:val="18"/>
                <w:szCs w:val="18"/>
                <w:lang w:bidi="ar"/>
              </w:rPr>
              <w:t>ONVIF</w:t>
            </w:r>
            <w:r>
              <w:rPr>
                <w:rFonts w:hint="eastAsia" w:ascii="宋体" w:hAnsi="宋体" w:cs="宋体"/>
                <w:color w:val="auto"/>
                <w:kern w:val="0"/>
                <w:sz w:val="18"/>
                <w:szCs w:val="18"/>
                <w:lang w:bidi="ar"/>
              </w:rPr>
              <w:t>、</w:t>
            </w:r>
            <w:r>
              <w:rPr>
                <w:rFonts w:ascii="宋体" w:hAnsi="宋体" w:cs="等线"/>
                <w:color w:val="auto"/>
                <w:kern w:val="0"/>
                <w:sz w:val="18"/>
                <w:szCs w:val="18"/>
                <w:lang w:bidi="ar"/>
              </w:rPr>
              <w:t>GB/T28181</w:t>
            </w:r>
            <w:r>
              <w:rPr>
                <w:rFonts w:hint="eastAsia" w:ascii="宋体" w:hAnsi="宋体" w:cs="宋体"/>
                <w:color w:val="auto"/>
                <w:kern w:val="0"/>
                <w:sz w:val="18"/>
                <w:szCs w:val="18"/>
                <w:lang w:bidi="ar"/>
              </w:rPr>
              <w:t>、</w:t>
            </w:r>
            <w:r>
              <w:rPr>
                <w:rFonts w:ascii="宋体" w:hAnsi="宋体" w:cs="等线"/>
                <w:color w:val="auto"/>
                <w:kern w:val="0"/>
                <w:sz w:val="18"/>
                <w:szCs w:val="18"/>
                <w:lang w:bidi="ar"/>
              </w:rPr>
              <w:t>RTSP</w:t>
            </w:r>
            <w:r>
              <w:rPr>
                <w:rFonts w:hint="eastAsia" w:ascii="宋体" w:hAnsi="宋体" w:cs="宋体"/>
                <w:color w:val="auto"/>
                <w:kern w:val="0"/>
                <w:sz w:val="18"/>
                <w:szCs w:val="18"/>
                <w:lang w:bidi="ar"/>
              </w:rPr>
              <w:t>、</w:t>
            </w:r>
            <w:r>
              <w:rPr>
                <w:rFonts w:ascii="宋体" w:hAnsi="宋体" w:cs="等线"/>
                <w:color w:val="auto"/>
                <w:kern w:val="0"/>
                <w:sz w:val="18"/>
                <w:szCs w:val="18"/>
                <w:lang w:bidi="ar"/>
              </w:rPr>
              <w:t>RTMP</w:t>
            </w:r>
            <w:r>
              <w:rPr>
                <w:rFonts w:hint="eastAsia" w:ascii="宋体" w:hAnsi="宋体" w:cs="宋体"/>
                <w:color w:val="auto"/>
                <w:kern w:val="0"/>
                <w:sz w:val="18"/>
                <w:szCs w:val="18"/>
                <w:lang w:bidi="ar"/>
              </w:rPr>
              <w:t>协议；支持</w:t>
            </w:r>
            <w:r>
              <w:rPr>
                <w:rFonts w:ascii="宋体" w:hAnsi="宋体" w:cs="等线"/>
                <w:color w:val="auto"/>
                <w:kern w:val="0"/>
                <w:sz w:val="18"/>
                <w:szCs w:val="18"/>
                <w:lang w:bidi="ar"/>
              </w:rPr>
              <w:t>RTMP</w:t>
            </w:r>
            <w:r>
              <w:rPr>
                <w:rFonts w:hint="eastAsia" w:ascii="宋体" w:hAnsi="宋体" w:cs="宋体"/>
                <w:color w:val="auto"/>
                <w:kern w:val="0"/>
                <w:sz w:val="18"/>
                <w:szCs w:val="18"/>
                <w:lang w:bidi="ar"/>
              </w:rPr>
              <w:t>推送模式，轻松链接流媒体服务器</w:t>
            </w:r>
            <w:r>
              <w:rPr>
                <w:rFonts w:ascii="宋体" w:hAnsi="宋体" w:cs="等线"/>
                <w:color w:val="auto"/>
                <w:kern w:val="0"/>
                <w:sz w:val="18"/>
                <w:szCs w:val="18"/>
                <w:lang w:bidi="ar"/>
              </w:rPr>
              <w:t>(Wowza</w:t>
            </w:r>
            <w:r>
              <w:rPr>
                <w:rFonts w:hint="eastAsia" w:ascii="宋体" w:hAnsi="宋体" w:cs="宋体"/>
                <w:color w:val="auto"/>
                <w:kern w:val="0"/>
                <w:sz w:val="18"/>
                <w:szCs w:val="18"/>
                <w:lang w:bidi="ar"/>
              </w:rPr>
              <w:t>、</w:t>
            </w:r>
            <w:r>
              <w:rPr>
                <w:rFonts w:ascii="宋体" w:hAnsi="宋体" w:cs="等线"/>
                <w:color w:val="auto"/>
                <w:kern w:val="0"/>
                <w:sz w:val="18"/>
                <w:szCs w:val="18"/>
                <w:lang w:bidi="ar"/>
              </w:rPr>
              <w:t>FMS)</w:t>
            </w:r>
            <w:r>
              <w:rPr>
                <w:rFonts w:hint="eastAsia" w:ascii="宋体" w:hAnsi="宋体" w:cs="宋体"/>
                <w:color w:val="auto"/>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4.00 </w:t>
            </w:r>
          </w:p>
        </w:tc>
      </w:tr>
      <w:tr>
        <w:tblPrEx>
          <w:tblCellMar>
            <w:top w:w="0" w:type="dxa"/>
            <w:left w:w="0" w:type="dxa"/>
            <w:bottom w:w="0" w:type="dxa"/>
            <w:right w:w="0" w:type="dxa"/>
          </w:tblCellMar>
        </w:tblPrEx>
        <w:trPr>
          <w:trHeight w:val="1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控制键盘</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采用</w:t>
            </w:r>
            <w:r>
              <w:rPr>
                <w:rFonts w:ascii="宋体" w:hAnsi="宋体" w:cs="等线"/>
                <w:color w:val="auto"/>
                <w:kern w:val="0"/>
                <w:sz w:val="18"/>
                <w:szCs w:val="18"/>
                <w:lang w:bidi="ar"/>
              </w:rPr>
              <w:t>RS485</w:t>
            </w:r>
            <w:r>
              <w:rPr>
                <w:rFonts w:hint="eastAsia" w:ascii="宋体" w:hAnsi="宋体" w:cs="宋体"/>
                <w:color w:val="auto"/>
                <w:kern w:val="0"/>
                <w:sz w:val="18"/>
                <w:szCs w:val="18"/>
                <w:lang w:bidi="ar"/>
              </w:rPr>
              <w:t>、</w:t>
            </w:r>
            <w:r>
              <w:rPr>
                <w:rFonts w:ascii="宋体" w:hAnsi="宋体" w:cs="等线"/>
                <w:color w:val="auto"/>
                <w:kern w:val="0"/>
                <w:sz w:val="18"/>
                <w:szCs w:val="18"/>
                <w:lang w:bidi="ar"/>
              </w:rPr>
              <w:t>RS422</w:t>
            </w:r>
            <w:r>
              <w:rPr>
                <w:rFonts w:hint="eastAsia" w:ascii="宋体" w:hAnsi="宋体" w:cs="宋体"/>
                <w:color w:val="auto"/>
                <w:kern w:val="0"/>
                <w:sz w:val="18"/>
                <w:szCs w:val="18"/>
                <w:lang w:bidi="ar"/>
              </w:rPr>
              <w:t>、</w:t>
            </w:r>
            <w:r>
              <w:rPr>
                <w:rFonts w:ascii="宋体" w:hAnsi="宋体" w:cs="等线"/>
                <w:color w:val="auto"/>
                <w:kern w:val="0"/>
                <w:sz w:val="18"/>
                <w:szCs w:val="18"/>
                <w:lang w:bidi="ar"/>
              </w:rPr>
              <w:t>RS232</w:t>
            </w:r>
            <w:r>
              <w:rPr>
                <w:rFonts w:hint="eastAsia" w:ascii="宋体" w:hAnsi="宋体" w:cs="宋体"/>
                <w:color w:val="auto"/>
                <w:kern w:val="0"/>
                <w:sz w:val="18"/>
                <w:szCs w:val="18"/>
                <w:lang w:bidi="ar"/>
              </w:rPr>
              <w:t>多种接口控制信号，最多可接</w:t>
            </w:r>
            <w:r>
              <w:rPr>
                <w:rFonts w:ascii="宋体" w:hAnsi="宋体" w:cs="等线"/>
                <w:color w:val="auto"/>
                <w:kern w:val="0"/>
                <w:sz w:val="18"/>
                <w:szCs w:val="18"/>
                <w:lang w:bidi="ar"/>
              </w:rPr>
              <w:t>255</w:t>
            </w:r>
            <w:r>
              <w:rPr>
                <w:rFonts w:hint="eastAsia" w:ascii="宋体" w:hAnsi="宋体" w:cs="宋体"/>
                <w:color w:val="auto"/>
                <w:kern w:val="0"/>
                <w:sz w:val="18"/>
                <w:szCs w:val="18"/>
                <w:lang w:bidi="ar"/>
              </w:rPr>
              <w:t>个摄像机。</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支持</w:t>
            </w:r>
            <w:r>
              <w:rPr>
                <w:rFonts w:ascii="宋体" w:hAnsi="宋体" w:cs="等线"/>
                <w:color w:val="auto"/>
                <w:kern w:val="0"/>
                <w:sz w:val="18"/>
                <w:szCs w:val="18"/>
                <w:lang w:bidi="ar"/>
              </w:rPr>
              <w:t>PELCO-D</w:t>
            </w:r>
            <w:r>
              <w:rPr>
                <w:rFonts w:hint="eastAsia" w:ascii="宋体" w:hAnsi="宋体" w:cs="宋体"/>
                <w:color w:val="auto"/>
                <w:kern w:val="0"/>
                <w:sz w:val="18"/>
                <w:szCs w:val="18"/>
                <w:lang w:bidi="ar"/>
              </w:rPr>
              <w:t>、</w:t>
            </w:r>
            <w:r>
              <w:rPr>
                <w:rFonts w:ascii="宋体" w:hAnsi="宋体" w:cs="等线"/>
                <w:color w:val="auto"/>
                <w:kern w:val="0"/>
                <w:sz w:val="18"/>
                <w:szCs w:val="18"/>
                <w:lang w:bidi="ar"/>
              </w:rPr>
              <w:t>PELCO-P</w:t>
            </w:r>
            <w:r>
              <w:rPr>
                <w:rFonts w:hint="eastAsia" w:ascii="宋体" w:hAnsi="宋体" w:cs="宋体"/>
                <w:color w:val="auto"/>
                <w:kern w:val="0"/>
                <w:sz w:val="18"/>
                <w:szCs w:val="18"/>
                <w:lang w:bidi="ar"/>
              </w:rPr>
              <w:t>、</w:t>
            </w:r>
            <w:r>
              <w:rPr>
                <w:rFonts w:ascii="宋体" w:hAnsi="宋体" w:cs="等线"/>
                <w:color w:val="auto"/>
                <w:kern w:val="0"/>
                <w:sz w:val="18"/>
                <w:szCs w:val="18"/>
                <w:lang w:bidi="ar"/>
              </w:rPr>
              <w:t>VISCA</w:t>
            </w:r>
            <w:r>
              <w:rPr>
                <w:rFonts w:hint="eastAsia" w:ascii="宋体" w:hAnsi="宋体" w:cs="宋体"/>
                <w:color w:val="auto"/>
                <w:kern w:val="0"/>
                <w:sz w:val="18"/>
                <w:szCs w:val="18"/>
                <w:lang w:bidi="ar"/>
              </w:rPr>
              <w:t>控制协议。</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金属壳体，电脑键盘按键设计。</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采用三维控制杆，对摄像机变速调控。</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可控制摄像机转动、变焦、光圈、聚焦及摄像机其它参数设置。</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液晶中英文显示，实时显示解码器和矩阵的工作状态。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四、信号处理及中控</w:t>
            </w:r>
          </w:p>
        </w:tc>
      </w:tr>
      <w:tr>
        <w:tblPrEx>
          <w:tblCellMar>
            <w:top w:w="0" w:type="dxa"/>
            <w:left w:w="0" w:type="dxa"/>
            <w:bottom w:w="0" w:type="dxa"/>
            <w:right w:w="0" w:type="dxa"/>
          </w:tblCellMar>
        </w:tblPrEx>
        <w:trPr>
          <w:trHeight w:val="6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分布式综合管理平台</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云服务系统软件中实现集成管理，整体音视频交互所见即所得管理，实时数据库以及后台数据库构成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采用托拽式控制，实时图像可通过多点触摸放大和缩小。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系统集成应用可通过内附的云网络通讯开发包API和网络控制协议进行支持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支持C/S和B/S架构，提供IPAD，ANDORID及PC平台软件，提供基于TCP/IP协议的SDK和HTTP的SDK；</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音视频设备管理，具有大屏开窗、叠加功能、漫游功能、信号切换、KVM切换、音频切换；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IT设备管理及数据采集；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需支持会议预约系统；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需支持信息发布系统；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需支持视频会议和网络视频流媒体管理；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需支持BA楼控系统管理；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应具有监控视频系统管理，可调用监控摄像头视频信号及控制；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消防、安防系统管理；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支持IP电话系统包；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支持智能语音识别实现图像上墙，切换，音量控制和环境控制；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支持内置GIS地图及高分8K上墙；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字幕OSD上墙；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网络摄像机云台，缩放及预置位调用；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具有信号源触摸手势滑动推送至虚拟墙功能；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具有信号源检索功能；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具有摄像头云台控制功能；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具有数据备份功能；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具有场景导航功能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14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可视化系统软件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定制化的图形界面；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视频回放及拖拽控制；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应急预案及处理控制；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信息发布及预约信息；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云照明控制；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资产管理及报表；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45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分布式输入节点</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fldChar w:fldCharType="begin"/>
            </w:r>
            <w:r>
              <w:rPr>
                <w:rFonts w:hint="eastAsia" w:ascii="宋体" w:hAnsi="宋体" w:cs="宋体"/>
                <w:color w:val="auto"/>
                <w:kern w:val="0"/>
                <w:sz w:val="18"/>
                <w:szCs w:val="18"/>
                <w:lang w:bidi="ar"/>
              </w:rPr>
              <w:instrText xml:space="preserve"> HYPERLINK ""</w:instrText>
            </w:r>
            <w:r>
              <w:rPr>
                <w:rFonts w:hint="eastAsia" w:ascii="宋体" w:hAnsi="宋体" w:cs="宋体"/>
                <w:color w:val="auto"/>
                <w:kern w:val="0"/>
                <w:sz w:val="18"/>
                <w:szCs w:val="18"/>
                <w:lang w:bidi="ar"/>
              </w:rPr>
              <w:fldChar w:fldCharType="separate"/>
            </w:r>
            <w:r>
              <w:rPr>
                <w:rFonts w:hint="eastAsia" w:ascii="宋体" w:hAnsi="宋体" w:cs="宋体"/>
                <w:color w:val="auto"/>
                <w:kern w:val="0"/>
                <w:sz w:val="18"/>
                <w:szCs w:val="18"/>
                <w:lang w:bidi="ar"/>
              </w:rPr>
              <w:t>全网络相连，包括音频，视频，控制信号，自带POE供电RJ45接口；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采用分布式设计，无中心单元，降低系统运行风险，减少维护成本；</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单个分布式输入单元，支持HDMI，YPbPr、DVI、VGA、网络、SDI、音频输入， 支持两个USB接口输入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单个分布式输入单元具有一路串口、一路红外、一路IO信号及路NET口；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支持4k H.265码流输入，4k@60P输出，兼容2K H.264输入；支持4K@30P HDMI输入并编码。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双网络备份，双网口备份机制，实现双物理网络实时备份；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每个单元均带有IO端口，做输出使用时可以提供5V电压做弱电控制配合接触器可以控制大电流设备，也可以做输入使用，与各种传感器连接；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每个输入单元均采用强大性能的逻辑处理芯片以及数据流编解码芯片，保证系统运行的流畅性，音视频传输的无损化；</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分布式输入单元已经对输入信号进行了高画质编码并数据流化，可以实现整系统的录播功能；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完美的可视化操作，配合定制APP,在iPad，ANDORID，PC上能看到每个输入节点的视频，系统具有双流监看功能。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带USB*2接口，支持无线键盘鼠标实现KVM功能（定制），还支持外接移动硬盘进行数据存储</w:t>
            </w:r>
            <w:r>
              <w:rPr>
                <w:rFonts w:hint="eastAsia" w:ascii="宋体" w:hAnsi="宋体" w:cs="宋体"/>
                <w:color w:val="auto"/>
                <w:kern w:val="0"/>
                <w:sz w:val="18"/>
                <w:szCs w:val="18"/>
                <w:lang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15.00 </w:t>
            </w:r>
          </w:p>
        </w:tc>
      </w:tr>
      <w:tr>
        <w:tblPrEx>
          <w:tblCellMar>
            <w:top w:w="0" w:type="dxa"/>
            <w:left w:w="0" w:type="dxa"/>
            <w:bottom w:w="0" w:type="dxa"/>
            <w:right w:w="0" w:type="dxa"/>
          </w:tblCellMar>
        </w:tblPrEx>
        <w:trPr>
          <w:trHeight w:val="1579"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分布式输出节点</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全网络相连，包括音频，视频，控制信号，自带POE供电RJ45接口；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采用分布式设计，无中心单元，降低系统运行风险，减少维护成本；</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单个分布式输出单元，支持HDMI，YPbPr、DVI、VGA、网络、SDI、音频输出，支持两个USB接口输出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单个分布式输出单元具有一路串口、一路红外、一路IO信号及路NET口；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支持4k H.265码流输入，4k@60P输出，兼容2K H.264输入；支持4K@30P HDMI输入并编码。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双网络备份，双网口备份机制，实现双物理网络实时备份；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每个单元均带有IO端口，做输出使用时可以提供5V电压做弱电控制配合接触器可以控制大电流设备，也可以做输入使用，与各种传感器连接；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每个输入单元均采用强大性能的逻辑处理芯片以及数据流编解码芯片，保证系统运行的流畅性，音视频传输的无损化；</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分布式输入单元已经对输入信号进行了高画质编码并数据流化，可以实现整系统的录播功能；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实现拼接处理器功能，可叠加、漫游、跨屏、单屏开64个窗口。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完美的可视化操作，配合定制APP,在iPad，ANDORID，PC上能看到每个输入节点的视频，系统具有双流监看功能。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支持通过语音识别，实现图像缩放，切换和移动；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带USB*2接口，其中一个可以外接无线键盘鼠标实现KVM功能，另外一个外接硬盘进行图像录像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8.00 </w:t>
            </w:r>
          </w:p>
        </w:tc>
      </w:tr>
      <w:tr>
        <w:tblPrEx>
          <w:tblCellMar>
            <w:top w:w="0" w:type="dxa"/>
            <w:left w:w="0" w:type="dxa"/>
            <w:bottom w:w="0" w:type="dxa"/>
            <w:right w:w="0" w:type="dxa"/>
          </w:tblCellMar>
        </w:tblPrEx>
        <w:trPr>
          <w:trHeight w:val="432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网络中控</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ARM11 1GHZ CPU，1G内存，2G Flash闪存；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ARM11 1GHZ CPU，1G内存，2G Flash闪存；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支持SSL加密技术、A-Control技术；支持SNMP，内置防火墙；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内置WEB SERVER，兼容KNX EIB成员的产品，支持楼控协议MODBUS，BACNET等；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支持浏览器B/S模式控制，支持IPAD、ANDROID C/S控制模式；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支持模块及COMPILER+语言编程方式，使系统更加智能、方便、稳定；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 OA OUTLOOK会议预约，FLASH、虚拟仿真二次接口编程；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支持受控设备双向实时状态反馈功能及WIFI视频回放；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A-NET、A-NET2双总线技术, 可扩充达1024个网络设备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至少8路RS-232/485串行接口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8路红外接口、8路弱电继电器接口、8路数字输I/O接口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接触电流&lt;3.5mA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1500V交流情况下至少1min无飞弧无击穿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1个USB通用编程接口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支持系统自动云诊断、云备份、云恢复；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1个网络通用编程接口，可通过交换机实现远端至少256台PC的开关机管理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9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分布式中控系统逻辑处理内嵌软件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全面对接中控主机编程，实现各种动作的功能；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兼容所有电气信号，进行相应的转换；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自定义lua模块编程，实现更个性化的逻辑功能；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特殊模块可以组合，适应更复杂的逻辑场景；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408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控制器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8通道电源开关，最大电流值16A，单路最大负载3200W；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提供1路A-NET网络控制接口，PCI-8通过A-NET与可编程控制主机通讯；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提供1路RS-485接口，可实现通过独立PC机控制，可同时对多台PCI-8实现通信控制；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节点走线可实现下走线，侧走线等多种出线方式，美观大方；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可由多媒体控制系统的DC24V或AC100-240V两种供电模式；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8路独立节点控制接口，每路都有常开，常闭两种接口选择；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指示全面，支持POWER电源指示，ID网络连接指示，接收数据指示；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ID CODE可调节网络ID，实现与可编程控制主机A-NET网络通讯；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内置光电隔离模块，可保障负载和主机安全可靠；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自带A-NET和RS-232通讯协议；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能通过机身的按键自由控制。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具备手动强制开关，可脱离主机手动控制，紧急情况下可以手动控制继电器的开关，很好的保护其他的设备。</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协议兼容：兼容目前市面上用得网络协议；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ID选择:旋转的ID切换设置网络ID身份代码；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120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音量控制器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数码控制4声道声音衰减器，每个声道有独立的音量、高音、低音和静音设置。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可提供完整的系统音频控制而无需红外线控制集成接收器。选择你的混音器、前置功放和功放，然后增加一个调音模块完成一个系统。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在某些应用中，高低音独立控制甚至可以省去一个图形等化器。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312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10英寸彩色触摸屏</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10英寸16:9屏幕显示；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1280x800 IPS全视角触控屏幕；</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Cortex A9/ATOM 处理器，1G RAM的硬件组合，支持1080P硬件解码，3D效果快速流畅播放高清影视视频；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LAN以太网络通讯；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视频回放功能；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支持有线控制方式；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支持嵌墙、挂墙安装方式；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外置电源适配器功率AC100-240V，输出12V 3A；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嵌入式操作系统；</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开放式的可编程控制平台Visual Panel Studio™、人性化的操作界面和强大的交互式控制逻辑结构。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E-CLUSTER云平台服务，动态IP实现远程控制；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固定分布式设备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auto"/>
                <w:sz w:val="18"/>
                <w:szCs w:val="18"/>
              </w:rPr>
            </w:pPr>
            <w:r>
              <w:rPr>
                <w:rFonts w:ascii="宋体" w:hAnsi="宋体" w:cs="等线"/>
                <w:color w:val="auto"/>
                <w:kern w:val="0"/>
                <w:sz w:val="18"/>
                <w:szCs w:val="18"/>
                <w:lang w:bidi="ar"/>
              </w:rPr>
              <w:t xml:space="preserve">8.00 </w:t>
            </w:r>
          </w:p>
        </w:tc>
      </w:tr>
      <w:tr>
        <w:tblPrEx>
          <w:tblCellMar>
            <w:top w:w="0" w:type="dxa"/>
            <w:left w:w="0" w:type="dxa"/>
            <w:bottom w:w="0" w:type="dxa"/>
            <w:right w:w="0" w:type="dxa"/>
          </w:tblCellMar>
        </w:tblPrEx>
        <w:trPr>
          <w:trHeight w:val="2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平板  8.4英寸平板电脑</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材质</w:t>
            </w:r>
            <w:r>
              <w:rPr>
                <w:rFonts w:ascii="宋体" w:hAnsi="宋体" w:cs="等线"/>
                <w:color w:val="auto"/>
                <w:kern w:val="0"/>
                <w:sz w:val="18"/>
                <w:szCs w:val="18"/>
                <w:lang w:bidi="ar"/>
              </w:rPr>
              <w:t>/</w:t>
            </w:r>
            <w:r>
              <w:rPr>
                <w:rFonts w:hint="eastAsia" w:ascii="宋体" w:hAnsi="宋体" w:cs="宋体"/>
                <w:color w:val="auto"/>
                <w:kern w:val="0"/>
                <w:sz w:val="18"/>
                <w:szCs w:val="18"/>
                <w:lang w:bidi="ar"/>
              </w:rPr>
              <w:t>工艺</w:t>
            </w:r>
            <w:r>
              <w:rPr>
                <w:rFonts w:ascii="宋体" w:hAnsi="宋体" w:cs="等线"/>
                <w:color w:val="auto"/>
                <w:kern w:val="0"/>
                <w:sz w:val="18"/>
                <w:szCs w:val="18"/>
                <w:lang w:bidi="ar"/>
              </w:rPr>
              <w:t>U</w:t>
            </w:r>
            <w:r>
              <w:rPr>
                <w:rFonts w:hint="eastAsia" w:ascii="宋体" w:hAnsi="宋体" w:cs="宋体"/>
                <w:color w:val="auto"/>
                <w:kern w:val="0"/>
                <w:sz w:val="18"/>
                <w:szCs w:val="18"/>
                <w:lang w:bidi="ar"/>
              </w:rPr>
              <w:t>形天线加金属机身设计；</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正面</w:t>
            </w:r>
            <w:r>
              <w:rPr>
                <w:rFonts w:ascii="宋体" w:hAnsi="宋体" w:cs="等线"/>
                <w:color w:val="auto"/>
                <w:kern w:val="0"/>
                <w:sz w:val="18"/>
                <w:szCs w:val="18"/>
                <w:lang w:bidi="ar"/>
              </w:rPr>
              <w:t>2.5D</w:t>
            </w:r>
            <w:r>
              <w:rPr>
                <w:rFonts w:hint="eastAsia" w:ascii="宋体" w:hAnsi="宋体" w:cs="宋体"/>
                <w:color w:val="auto"/>
                <w:kern w:val="0"/>
                <w:sz w:val="18"/>
                <w:szCs w:val="18"/>
                <w:lang w:bidi="ar"/>
              </w:rPr>
              <w:t>玻璃</w:t>
            </w:r>
            <w:r>
              <w:rPr>
                <w:rFonts w:ascii="宋体" w:hAnsi="宋体" w:cs="等线"/>
                <w:color w:val="auto"/>
                <w:kern w:val="0"/>
                <w:sz w:val="18"/>
                <w:szCs w:val="18"/>
                <w:lang w:bidi="ar"/>
              </w:rPr>
              <w:t>.</w:t>
            </w:r>
            <w:r>
              <w:rPr>
                <w:rFonts w:hint="eastAsia" w:ascii="宋体" w:hAnsi="宋体" w:cs="宋体"/>
                <w:color w:val="auto"/>
                <w:kern w:val="0"/>
                <w:sz w:val="18"/>
                <w:szCs w:val="18"/>
                <w:lang w:bidi="ar"/>
              </w:rPr>
              <w:t>翻新类型全新</w:t>
            </w:r>
            <w:r>
              <w:rPr>
                <w:rFonts w:ascii="宋体" w:hAnsi="宋体" w:cs="等线"/>
                <w:color w:val="auto"/>
                <w:kern w:val="0"/>
                <w:sz w:val="18"/>
                <w:szCs w:val="18"/>
                <w:lang w:bidi="ar"/>
              </w:rPr>
              <w:t>.</w:t>
            </w:r>
            <w:r>
              <w:rPr>
                <w:rFonts w:hint="eastAsia" w:ascii="宋体" w:hAnsi="宋体" w:cs="宋体"/>
                <w:color w:val="auto"/>
                <w:kern w:val="0"/>
                <w:sz w:val="18"/>
                <w:szCs w:val="18"/>
                <w:lang w:bidi="ar"/>
              </w:rPr>
              <w:t>网络连接</w:t>
            </w:r>
            <w:r>
              <w:rPr>
                <w:rFonts w:ascii="宋体" w:hAnsi="宋体" w:cs="等线"/>
                <w:color w:val="auto"/>
                <w:kern w:val="0"/>
                <w:sz w:val="18"/>
                <w:szCs w:val="18"/>
                <w:lang w:bidi="ar"/>
              </w:rPr>
              <w:t>WiFi</w:t>
            </w:r>
            <w:r>
              <w:rPr>
                <w:rFonts w:hint="eastAsia" w:ascii="宋体" w:hAnsi="宋体" w:cs="宋体"/>
                <w:color w:val="auto"/>
                <w:kern w:val="0"/>
                <w:sz w:val="18"/>
                <w:szCs w:val="18"/>
                <w:lang w:bidi="ar"/>
              </w:rPr>
              <w:t>版</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续航时间以实际使用环境为准</w:t>
            </w:r>
            <w:r>
              <w:rPr>
                <w:rFonts w:ascii="宋体" w:hAnsi="宋体" w:cs="等线"/>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其他接口支持</w:t>
            </w:r>
            <w:r>
              <w:rPr>
                <w:rFonts w:ascii="宋体" w:hAnsi="宋体" w:cs="等线"/>
                <w:color w:val="auto"/>
                <w:kern w:val="0"/>
                <w:sz w:val="18"/>
                <w:szCs w:val="18"/>
                <w:lang w:bidi="ar"/>
              </w:rPr>
              <w:t>USB Type-C</w:t>
            </w:r>
            <w:r>
              <w:rPr>
                <w:rFonts w:hint="eastAsia" w:ascii="宋体" w:hAnsi="宋体" w:cs="宋体"/>
                <w:color w:val="auto"/>
                <w:kern w:val="0"/>
                <w:sz w:val="18"/>
                <w:szCs w:val="18"/>
                <w:lang w:bidi="ar"/>
              </w:rPr>
              <w:t>转</w:t>
            </w:r>
            <w:r>
              <w:rPr>
                <w:rFonts w:ascii="宋体" w:hAnsi="宋体" w:cs="等线"/>
                <w:color w:val="auto"/>
                <w:kern w:val="0"/>
                <w:sz w:val="18"/>
                <w:szCs w:val="18"/>
                <w:lang w:bidi="ar"/>
              </w:rPr>
              <w:t>3.5mm</w:t>
            </w:r>
            <w:r>
              <w:rPr>
                <w:rFonts w:hint="eastAsia" w:ascii="宋体" w:hAnsi="宋体" w:cs="宋体"/>
                <w:color w:val="auto"/>
                <w:kern w:val="0"/>
                <w:sz w:val="18"/>
                <w:szCs w:val="18"/>
                <w:lang w:bidi="ar"/>
              </w:rPr>
              <w:t>耳机孔</w:t>
            </w:r>
            <w:r>
              <w:rPr>
                <w:rFonts w:ascii="宋体" w:hAnsi="宋体" w:cs="等线"/>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连接方式</w:t>
            </w:r>
            <w:r>
              <w:rPr>
                <w:rFonts w:ascii="宋体" w:hAnsi="宋体" w:cs="等线"/>
                <w:color w:val="auto"/>
                <w:kern w:val="0"/>
                <w:sz w:val="18"/>
                <w:szCs w:val="18"/>
                <w:lang w:bidi="ar"/>
              </w:rPr>
              <w:t>WiFi</w:t>
            </w:r>
            <w:r>
              <w:rPr>
                <w:rFonts w:hint="eastAsia" w:ascii="宋体" w:hAnsi="宋体" w:cs="宋体"/>
                <w:color w:val="auto"/>
                <w:kern w:val="0"/>
                <w:sz w:val="18"/>
                <w:szCs w:val="18"/>
                <w:lang w:bidi="ar"/>
              </w:rPr>
              <w:t>功能；蓝牙功能</w:t>
            </w:r>
            <w:r>
              <w:rPr>
                <w:rFonts w:ascii="宋体" w:hAnsi="宋体" w:cs="等线"/>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扬声器</w:t>
            </w:r>
            <w:r>
              <w:rPr>
                <w:rFonts w:ascii="宋体" w:hAnsi="宋体" w:cs="等线"/>
                <w:color w:val="auto"/>
                <w:kern w:val="0"/>
                <w:sz w:val="18"/>
                <w:szCs w:val="18"/>
                <w:lang w:bidi="ar"/>
              </w:rPr>
              <w:t>2</w:t>
            </w:r>
            <w:r>
              <w:rPr>
                <w:rFonts w:hint="eastAsia" w:ascii="宋体" w:hAnsi="宋体" w:cs="宋体"/>
                <w:color w:val="auto"/>
                <w:kern w:val="0"/>
                <w:sz w:val="18"/>
                <w:szCs w:val="18"/>
                <w:lang w:bidi="ar"/>
              </w:rPr>
              <w:t>个</w:t>
            </w:r>
            <w:r>
              <w:rPr>
                <w:rFonts w:ascii="宋体" w:hAnsi="宋体" w:cs="等线"/>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特性指纹导航、学生模式、护眼模式、游戏模式</w:t>
            </w:r>
            <w:r>
              <w:rPr>
                <w:rFonts w:ascii="宋体" w:hAnsi="宋体" w:cs="等线"/>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处理器海思麒麟</w:t>
            </w:r>
            <w:r>
              <w:rPr>
                <w:rFonts w:ascii="宋体" w:hAnsi="宋体" w:cs="等线"/>
                <w:color w:val="auto"/>
                <w:kern w:val="0"/>
                <w:sz w:val="18"/>
                <w:szCs w:val="18"/>
                <w:lang w:bidi="ar"/>
              </w:rPr>
              <w:t>960.</w:t>
            </w:r>
            <w:r>
              <w:rPr>
                <w:rFonts w:hint="eastAsia" w:ascii="宋体" w:hAnsi="宋体" w:cs="宋体"/>
                <w:color w:val="auto"/>
                <w:kern w:val="0"/>
                <w:sz w:val="18"/>
                <w:szCs w:val="18"/>
                <w:lang w:bidi="ar"/>
              </w:rPr>
              <w:t>核心数量八核</w:t>
            </w:r>
            <w:r>
              <w:rPr>
                <w:rFonts w:ascii="宋体" w:hAnsi="宋体" w:cs="等线"/>
                <w:color w:val="auto"/>
                <w:kern w:val="0"/>
                <w:sz w:val="18"/>
                <w:szCs w:val="18"/>
                <w:lang w:bidi="ar"/>
              </w:rPr>
              <w:t>.</w:t>
            </w:r>
            <w:r>
              <w:rPr>
                <w:rFonts w:hint="eastAsia" w:ascii="宋体" w:hAnsi="宋体" w:cs="宋体"/>
                <w:color w:val="auto"/>
                <w:kern w:val="0"/>
                <w:sz w:val="18"/>
                <w:szCs w:val="18"/>
                <w:lang w:bidi="ar"/>
              </w:rPr>
              <w:t>显示芯片</w:t>
            </w:r>
            <w:r>
              <w:rPr>
                <w:rFonts w:ascii="宋体" w:hAnsi="宋体" w:cs="等线"/>
                <w:color w:val="auto"/>
                <w:kern w:val="0"/>
                <w:sz w:val="18"/>
                <w:szCs w:val="18"/>
                <w:lang w:bidi="ar"/>
              </w:rPr>
              <w:t>Mali G71 MP8.</w:t>
            </w:r>
            <w:r>
              <w:rPr>
                <w:rFonts w:hint="eastAsia" w:ascii="宋体" w:hAnsi="宋体" w:cs="宋体"/>
                <w:color w:val="auto"/>
                <w:kern w:val="0"/>
                <w:sz w:val="18"/>
                <w:szCs w:val="18"/>
                <w:lang w:bidi="ar"/>
              </w:rPr>
              <w:t>存储容量</w:t>
            </w:r>
            <w:r>
              <w:rPr>
                <w:rFonts w:ascii="宋体" w:hAnsi="宋体" w:cs="等线"/>
                <w:color w:val="auto"/>
                <w:kern w:val="0"/>
                <w:sz w:val="18"/>
                <w:szCs w:val="18"/>
                <w:lang w:bidi="ar"/>
              </w:rPr>
              <w:t>64GB.</w:t>
            </w:r>
            <w:r>
              <w:rPr>
                <w:rFonts w:hint="eastAsia" w:ascii="宋体" w:hAnsi="宋体" w:cs="宋体"/>
                <w:color w:val="auto"/>
                <w:kern w:val="0"/>
                <w:sz w:val="18"/>
                <w:szCs w:val="18"/>
                <w:lang w:bidi="ar"/>
              </w:rPr>
              <w:t>运行内存</w:t>
            </w:r>
            <w:r>
              <w:rPr>
                <w:rFonts w:ascii="宋体" w:hAnsi="宋体" w:cs="等线"/>
                <w:color w:val="auto"/>
                <w:kern w:val="0"/>
                <w:sz w:val="18"/>
                <w:szCs w:val="18"/>
                <w:lang w:bidi="ar"/>
              </w:rPr>
              <w:t>4GB.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无线接入点AP</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吸顶式</w:t>
            </w:r>
            <w:r>
              <w:rPr>
                <w:rFonts w:ascii="宋体" w:hAnsi="宋体" w:cs="等线"/>
                <w:color w:val="auto"/>
                <w:kern w:val="0"/>
                <w:sz w:val="18"/>
                <w:szCs w:val="18"/>
                <w:lang w:bidi="ar"/>
              </w:rPr>
              <w:t>AP</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最高传输速率</w:t>
            </w:r>
            <w:r>
              <w:rPr>
                <w:rFonts w:ascii="宋体" w:hAnsi="宋体" w:cs="等线"/>
                <w:color w:val="auto"/>
                <w:kern w:val="0"/>
                <w:sz w:val="18"/>
                <w:szCs w:val="18"/>
                <w:lang w:bidi="ar"/>
              </w:rPr>
              <w:t>1766Mbps</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覆盖范围</w:t>
            </w:r>
            <w:r>
              <w:rPr>
                <w:rFonts w:ascii="宋体" w:hAnsi="宋体" w:cs="等线"/>
                <w:color w:val="auto"/>
                <w:kern w:val="0"/>
                <w:sz w:val="18"/>
                <w:szCs w:val="18"/>
                <w:lang w:bidi="ar"/>
              </w:rPr>
              <w:t>2.4GHz</w:t>
            </w:r>
            <w:r>
              <w:rPr>
                <w:rFonts w:hint="eastAsia" w:ascii="宋体" w:hAnsi="宋体" w:cs="宋体"/>
                <w:color w:val="auto"/>
                <w:kern w:val="0"/>
                <w:sz w:val="18"/>
                <w:szCs w:val="18"/>
                <w:lang w:bidi="ar"/>
              </w:rPr>
              <w:t>频段：</w:t>
            </w:r>
            <w:r>
              <w:rPr>
                <w:rFonts w:ascii="宋体" w:hAnsi="宋体" w:cs="等线"/>
                <w:color w:val="auto"/>
                <w:kern w:val="0"/>
                <w:sz w:val="18"/>
                <w:szCs w:val="18"/>
                <w:lang w:bidi="ar"/>
              </w:rPr>
              <w:t>450Mbps(2.4G-1)+450Mbps(2.4G-2)</w:t>
            </w:r>
            <w:r>
              <w:rPr>
                <w:rFonts w:ascii="宋体" w:hAnsi="宋体" w:cs="等线"/>
                <w:color w:val="auto"/>
                <w:kern w:val="0"/>
                <w:sz w:val="18"/>
                <w:szCs w:val="18"/>
                <w:lang w:bidi="ar"/>
              </w:rPr>
              <w:br w:type="textWrapping"/>
            </w:r>
            <w:r>
              <w:rPr>
                <w:rFonts w:ascii="宋体" w:hAnsi="宋体" w:cs="等线"/>
                <w:color w:val="auto"/>
                <w:kern w:val="0"/>
                <w:sz w:val="18"/>
                <w:szCs w:val="18"/>
                <w:lang w:bidi="ar"/>
              </w:rPr>
              <w:t>5GHz</w:t>
            </w:r>
            <w:r>
              <w:rPr>
                <w:rFonts w:hint="eastAsia" w:ascii="宋体" w:hAnsi="宋体" w:cs="宋体"/>
                <w:color w:val="auto"/>
                <w:kern w:val="0"/>
                <w:sz w:val="18"/>
                <w:szCs w:val="18"/>
                <w:lang w:bidi="ar"/>
              </w:rPr>
              <w:t>频段</w:t>
            </w:r>
            <w:r>
              <w:rPr>
                <w:rFonts w:ascii="宋体" w:hAnsi="宋体" w:cs="等线"/>
                <w:color w:val="auto"/>
                <w:kern w:val="0"/>
                <w:sz w:val="18"/>
                <w:szCs w:val="18"/>
                <w:lang w:bidi="ar"/>
              </w:rPr>
              <w:t>(11AC)</w:t>
            </w:r>
            <w:r>
              <w:rPr>
                <w:rFonts w:hint="eastAsia" w:ascii="宋体" w:hAnsi="宋体" w:cs="宋体"/>
                <w:color w:val="auto"/>
                <w:kern w:val="0"/>
                <w:sz w:val="18"/>
                <w:szCs w:val="18"/>
                <w:lang w:bidi="ar"/>
              </w:rPr>
              <w:t>：</w:t>
            </w:r>
            <w:r>
              <w:rPr>
                <w:rFonts w:ascii="宋体" w:hAnsi="宋体" w:cs="等线"/>
                <w:color w:val="auto"/>
                <w:kern w:val="0"/>
                <w:sz w:val="18"/>
                <w:szCs w:val="18"/>
                <w:lang w:bidi="ar"/>
              </w:rPr>
              <w:t>433Mbps(5G-1)+433Mbps(5G-2)</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频率范围双频（</w:t>
            </w:r>
            <w:r>
              <w:rPr>
                <w:rFonts w:ascii="宋体" w:hAnsi="宋体" w:cs="等线"/>
                <w:color w:val="auto"/>
                <w:kern w:val="0"/>
                <w:sz w:val="18"/>
                <w:szCs w:val="18"/>
                <w:lang w:bidi="ar"/>
              </w:rPr>
              <w:t>2.4GHz</w:t>
            </w:r>
            <w:r>
              <w:rPr>
                <w:rFonts w:hint="eastAsia" w:ascii="宋体" w:hAnsi="宋体" w:cs="宋体"/>
                <w:color w:val="auto"/>
                <w:kern w:val="0"/>
                <w:sz w:val="18"/>
                <w:szCs w:val="18"/>
                <w:lang w:bidi="ar"/>
              </w:rPr>
              <w:t>，</w:t>
            </w:r>
            <w:r>
              <w:rPr>
                <w:rFonts w:ascii="宋体" w:hAnsi="宋体" w:cs="等线"/>
                <w:color w:val="auto"/>
                <w:kern w:val="0"/>
                <w:sz w:val="18"/>
                <w:szCs w:val="18"/>
                <w:lang w:bidi="ar"/>
              </w:rPr>
              <w:t>5GHz</w:t>
            </w:r>
            <w:r>
              <w:rPr>
                <w:rFonts w:hint="eastAsia" w:ascii="宋体" w:hAnsi="宋体" w:cs="宋体"/>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网络接口</w:t>
            </w:r>
            <w:r>
              <w:rPr>
                <w:rFonts w:ascii="宋体" w:hAnsi="宋体" w:cs="等线"/>
                <w:color w:val="auto"/>
                <w:kern w:val="0"/>
                <w:sz w:val="18"/>
                <w:szCs w:val="18"/>
                <w:lang w:bidi="ar"/>
              </w:rPr>
              <w:t>1</w:t>
            </w:r>
            <w:r>
              <w:rPr>
                <w:rFonts w:hint="eastAsia" w:ascii="宋体" w:hAnsi="宋体" w:cs="宋体"/>
                <w:color w:val="auto"/>
                <w:kern w:val="0"/>
                <w:sz w:val="18"/>
                <w:szCs w:val="18"/>
                <w:lang w:bidi="ar"/>
              </w:rPr>
              <w:t>个</w:t>
            </w:r>
            <w:r>
              <w:rPr>
                <w:rFonts w:ascii="宋体" w:hAnsi="宋体" w:cs="等线"/>
                <w:color w:val="auto"/>
                <w:kern w:val="0"/>
                <w:sz w:val="18"/>
                <w:szCs w:val="18"/>
                <w:lang w:bidi="ar"/>
              </w:rPr>
              <w:t>10/100/1000M RJ45</w:t>
            </w:r>
            <w:r>
              <w:rPr>
                <w:rFonts w:hint="eastAsia" w:ascii="宋体" w:hAnsi="宋体" w:cs="宋体"/>
                <w:color w:val="auto"/>
                <w:kern w:val="0"/>
                <w:sz w:val="18"/>
                <w:szCs w:val="18"/>
                <w:lang w:bidi="ar"/>
              </w:rPr>
              <w:t>接口（</w:t>
            </w:r>
            <w:r>
              <w:rPr>
                <w:rFonts w:ascii="宋体" w:hAnsi="宋体" w:cs="等线"/>
                <w:color w:val="auto"/>
                <w:kern w:val="0"/>
                <w:sz w:val="18"/>
                <w:szCs w:val="18"/>
                <w:lang w:bidi="ar"/>
              </w:rPr>
              <w:t>LAN1/PoE</w:t>
            </w:r>
            <w:r>
              <w:rPr>
                <w:rFonts w:hint="eastAsia" w:ascii="宋体" w:hAnsi="宋体" w:cs="宋体"/>
                <w:color w:val="auto"/>
                <w:kern w:val="0"/>
                <w:sz w:val="18"/>
                <w:szCs w:val="18"/>
                <w:lang w:bidi="ar"/>
              </w:rPr>
              <w:t>）</w:t>
            </w:r>
            <w:r>
              <w:rPr>
                <w:rFonts w:ascii="宋体" w:hAnsi="宋体" w:cs="等线"/>
                <w:color w:val="auto"/>
                <w:kern w:val="0"/>
                <w:sz w:val="18"/>
                <w:szCs w:val="18"/>
                <w:lang w:bidi="ar"/>
              </w:rPr>
              <w:br w:type="textWrapping"/>
            </w:r>
            <w:r>
              <w:rPr>
                <w:rFonts w:ascii="宋体" w:hAnsi="宋体" w:cs="等线"/>
                <w:color w:val="auto"/>
                <w:kern w:val="0"/>
                <w:sz w:val="18"/>
                <w:szCs w:val="18"/>
                <w:lang w:bidi="ar"/>
              </w:rPr>
              <w:t>1</w:t>
            </w:r>
            <w:r>
              <w:rPr>
                <w:rFonts w:hint="eastAsia" w:ascii="宋体" w:hAnsi="宋体" w:cs="宋体"/>
                <w:color w:val="auto"/>
                <w:kern w:val="0"/>
                <w:sz w:val="18"/>
                <w:szCs w:val="18"/>
                <w:lang w:bidi="ar"/>
              </w:rPr>
              <w:t>个</w:t>
            </w:r>
            <w:r>
              <w:rPr>
                <w:rFonts w:ascii="宋体" w:hAnsi="宋体" w:cs="等线"/>
                <w:color w:val="auto"/>
                <w:kern w:val="0"/>
                <w:sz w:val="18"/>
                <w:szCs w:val="18"/>
                <w:lang w:bidi="ar"/>
              </w:rPr>
              <w:t>10/100/1000M RJ45</w:t>
            </w:r>
            <w:r>
              <w:rPr>
                <w:rFonts w:hint="eastAsia" w:ascii="宋体" w:hAnsi="宋体" w:cs="宋体"/>
                <w:color w:val="auto"/>
                <w:kern w:val="0"/>
                <w:sz w:val="18"/>
                <w:szCs w:val="18"/>
                <w:lang w:bidi="ar"/>
              </w:rPr>
              <w:t>接口（</w:t>
            </w:r>
            <w:r>
              <w:rPr>
                <w:rFonts w:ascii="宋体" w:hAnsi="宋体" w:cs="等线"/>
                <w:color w:val="auto"/>
                <w:kern w:val="0"/>
                <w:sz w:val="18"/>
                <w:szCs w:val="18"/>
                <w:lang w:bidi="ar"/>
              </w:rPr>
              <w:t>LAN2</w:t>
            </w:r>
            <w:r>
              <w:rPr>
                <w:rFonts w:hint="eastAsia" w:ascii="宋体" w:hAnsi="宋体" w:cs="宋体"/>
                <w:color w:val="auto"/>
                <w:kern w:val="0"/>
                <w:sz w:val="18"/>
                <w:szCs w:val="18"/>
                <w:lang w:bidi="ar"/>
              </w:rPr>
              <w:t>）</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其它接口</w:t>
            </w:r>
            <w:r>
              <w:rPr>
                <w:rFonts w:ascii="宋体" w:hAnsi="宋体" w:cs="等线"/>
                <w:color w:val="auto"/>
                <w:kern w:val="0"/>
                <w:sz w:val="18"/>
                <w:szCs w:val="18"/>
                <w:lang w:bidi="ar"/>
              </w:rPr>
              <w:t>1</w:t>
            </w:r>
            <w:r>
              <w:rPr>
                <w:rFonts w:hint="eastAsia" w:ascii="宋体" w:hAnsi="宋体" w:cs="宋体"/>
                <w:color w:val="auto"/>
                <w:kern w:val="0"/>
                <w:sz w:val="18"/>
                <w:szCs w:val="18"/>
                <w:lang w:bidi="ar"/>
              </w:rPr>
              <w:t>个</w:t>
            </w:r>
            <w:r>
              <w:rPr>
                <w:rFonts w:ascii="宋体" w:hAnsi="宋体" w:cs="等线"/>
                <w:color w:val="auto"/>
                <w:kern w:val="0"/>
                <w:sz w:val="18"/>
                <w:szCs w:val="18"/>
                <w:lang w:bidi="ar"/>
              </w:rPr>
              <w:t>Reset</w:t>
            </w:r>
            <w:r>
              <w:rPr>
                <w:rFonts w:hint="eastAsia" w:ascii="宋体" w:hAnsi="宋体" w:cs="宋体"/>
                <w:color w:val="auto"/>
                <w:kern w:val="0"/>
                <w:sz w:val="18"/>
                <w:szCs w:val="18"/>
                <w:lang w:bidi="ar"/>
              </w:rPr>
              <w:t>按钮</w:t>
            </w:r>
            <w:r>
              <w:rPr>
                <w:rFonts w:ascii="宋体" w:hAnsi="宋体" w:cs="等线"/>
                <w:color w:val="auto"/>
                <w:kern w:val="0"/>
                <w:sz w:val="18"/>
                <w:szCs w:val="18"/>
                <w:lang w:bidi="ar"/>
              </w:rPr>
              <w:br w:type="textWrapping"/>
            </w:r>
            <w:r>
              <w:rPr>
                <w:rFonts w:ascii="宋体" w:hAnsi="宋体" w:cs="等线"/>
                <w:color w:val="auto"/>
                <w:kern w:val="0"/>
                <w:sz w:val="18"/>
                <w:szCs w:val="18"/>
                <w:lang w:bidi="ar"/>
              </w:rPr>
              <w:t>1</w:t>
            </w:r>
            <w:r>
              <w:rPr>
                <w:rFonts w:hint="eastAsia" w:ascii="宋体" w:hAnsi="宋体" w:cs="宋体"/>
                <w:color w:val="auto"/>
                <w:kern w:val="0"/>
                <w:sz w:val="18"/>
                <w:szCs w:val="18"/>
                <w:lang w:bidi="ar"/>
              </w:rPr>
              <w:t>个</w:t>
            </w:r>
            <w:r>
              <w:rPr>
                <w:rFonts w:ascii="宋体" w:hAnsi="宋体" w:cs="等线"/>
                <w:color w:val="auto"/>
                <w:kern w:val="0"/>
                <w:sz w:val="18"/>
                <w:szCs w:val="18"/>
                <w:lang w:bidi="ar"/>
              </w:rPr>
              <w:t>FAT/FIT</w:t>
            </w:r>
            <w:r>
              <w:rPr>
                <w:rFonts w:hint="eastAsia" w:ascii="宋体" w:hAnsi="宋体" w:cs="宋体"/>
                <w:color w:val="auto"/>
                <w:kern w:val="0"/>
                <w:sz w:val="18"/>
                <w:szCs w:val="18"/>
                <w:lang w:bidi="ar"/>
              </w:rPr>
              <w:t>模式拨动开关</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网络管理</w:t>
            </w:r>
            <w:r>
              <w:rPr>
                <w:rFonts w:ascii="宋体" w:hAnsi="宋体" w:cs="等线"/>
                <w:color w:val="auto"/>
                <w:kern w:val="0"/>
                <w:sz w:val="18"/>
                <w:szCs w:val="18"/>
                <w:lang w:bidi="ar"/>
              </w:rPr>
              <w:t>FIT AP</w:t>
            </w:r>
            <w:r>
              <w:rPr>
                <w:rFonts w:hint="eastAsia" w:ascii="宋体" w:hAnsi="宋体" w:cs="宋体"/>
                <w:color w:val="auto"/>
                <w:kern w:val="0"/>
                <w:sz w:val="18"/>
                <w:szCs w:val="18"/>
                <w:lang w:bidi="ar"/>
              </w:rPr>
              <w:t>模式：由</w:t>
            </w:r>
            <w:r>
              <w:rPr>
                <w:rFonts w:ascii="宋体" w:hAnsi="宋体" w:cs="等线"/>
                <w:color w:val="auto"/>
                <w:kern w:val="0"/>
                <w:sz w:val="18"/>
                <w:szCs w:val="18"/>
                <w:lang w:bidi="ar"/>
              </w:rPr>
              <w:t xml:space="preserve">TP-LINK </w:t>
            </w:r>
            <w:r>
              <w:rPr>
                <w:rFonts w:hint="eastAsia" w:ascii="宋体" w:hAnsi="宋体" w:cs="宋体"/>
                <w:color w:val="auto"/>
                <w:kern w:val="0"/>
                <w:sz w:val="18"/>
                <w:szCs w:val="18"/>
                <w:lang w:bidi="ar"/>
              </w:rPr>
              <w:t>无线控制器</w:t>
            </w:r>
            <w:r>
              <w:rPr>
                <w:rFonts w:ascii="宋体" w:hAnsi="宋体" w:cs="等线"/>
                <w:color w:val="auto"/>
                <w:kern w:val="0"/>
                <w:sz w:val="18"/>
                <w:szCs w:val="18"/>
                <w:lang w:bidi="ar"/>
              </w:rPr>
              <w:t>(AC)</w:t>
            </w:r>
            <w:r>
              <w:rPr>
                <w:rFonts w:hint="eastAsia" w:ascii="宋体" w:hAnsi="宋体" w:cs="宋体"/>
                <w:color w:val="auto"/>
                <w:kern w:val="0"/>
                <w:sz w:val="18"/>
                <w:szCs w:val="18"/>
                <w:lang w:bidi="ar"/>
              </w:rPr>
              <w:t>统一管理</w:t>
            </w:r>
            <w:r>
              <w:rPr>
                <w:rFonts w:ascii="宋体" w:hAnsi="宋体" w:cs="等线"/>
                <w:color w:val="auto"/>
                <w:kern w:val="0"/>
                <w:sz w:val="18"/>
                <w:szCs w:val="18"/>
                <w:lang w:bidi="ar"/>
              </w:rPr>
              <w:br w:type="textWrapping"/>
            </w:r>
            <w:r>
              <w:rPr>
                <w:rFonts w:ascii="宋体" w:hAnsi="宋体" w:cs="等线"/>
                <w:color w:val="auto"/>
                <w:kern w:val="0"/>
                <w:sz w:val="18"/>
                <w:szCs w:val="18"/>
                <w:lang w:bidi="ar"/>
              </w:rPr>
              <w:t>FAT AP</w:t>
            </w:r>
            <w:r>
              <w:rPr>
                <w:rFonts w:hint="eastAsia" w:ascii="宋体" w:hAnsi="宋体" w:cs="宋体"/>
                <w:color w:val="auto"/>
                <w:kern w:val="0"/>
                <w:sz w:val="18"/>
                <w:szCs w:val="18"/>
                <w:lang w:bidi="ar"/>
              </w:rPr>
              <w:t>模式：独立</w:t>
            </w:r>
            <w:r>
              <w:rPr>
                <w:rFonts w:ascii="宋体" w:hAnsi="宋体" w:cs="等线"/>
                <w:color w:val="auto"/>
                <w:kern w:val="0"/>
                <w:sz w:val="18"/>
                <w:szCs w:val="18"/>
                <w:lang w:bidi="ar"/>
              </w:rPr>
              <w:t>web</w:t>
            </w:r>
            <w:r>
              <w:rPr>
                <w:rFonts w:hint="eastAsia" w:ascii="宋体" w:hAnsi="宋体" w:cs="宋体"/>
                <w:color w:val="auto"/>
                <w:kern w:val="0"/>
                <w:sz w:val="18"/>
                <w:szCs w:val="18"/>
                <w:lang w:bidi="ar"/>
              </w:rPr>
              <w:t>页面管理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交换机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品类型智能交换机：应用层级三层 </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48口千兆电+2口万兆SFP</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交换方式存储</w:t>
            </w:r>
            <w:r>
              <w:rPr>
                <w:rFonts w:ascii="宋体" w:hAnsi="宋体" w:cs="等线"/>
                <w:color w:val="auto"/>
                <w:kern w:val="0"/>
                <w:sz w:val="18"/>
                <w:szCs w:val="18"/>
                <w:lang w:bidi="ar"/>
              </w:rPr>
              <w:t>-</w:t>
            </w:r>
            <w:r>
              <w:rPr>
                <w:rFonts w:hint="eastAsia" w:ascii="宋体" w:hAnsi="宋体" w:cs="宋体"/>
                <w:color w:val="auto"/>
                <w:kern w:val="0"/>
                <w:sz w:val="18"/>
                <w:szCs w:val="18"/>
                <w:lang w:bidi="ar"/>
              </w:rPr>
              <w:t>转发</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背板带宽</w:t>
            </w:r>
            <w:r>
              <w:rPr>
                <w:rFonts w:ascii="宋体" w:hAnsi="宋体" w:cs="等线"/>
                <w:color w:val="auto"/>
                <w:kern w:val="0"/>
                <w:sz w:val="18"/>
                <w:szCs w:val="18"/>
                <w:lang w:bidi="ar"/>
              </w:rPr>
              <w:t>240Gbps</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包转发率</w:t>
            </w:r>
            <w:r>
              <w:rPr>
                <w:rFonts w:ascii="宋体" w:hAnsi="宋体" w:cs="等线"/>
                <w:color w:val="auto"/>
                <w:kern w:val="0"/>
                <w:sz w:val="18"/>
                <w:szCs w:val="18"/>
                <w:lang w:bidi="ar"/>
              </w:rPr>
              <w:t>72Mpps</w:t>
            </w:r>
            <w:r>
              <w:rPr>
                <w:rFonts w:ascii="宋体" w:hAnsi="宋体" w:cs="等线"/>
                <w:color w:val="auto"/>
                <w:kern w:val="0"/>
                <w:sz w:val="18"/>
                <w:szCs w:val="18"/>
                <w:lang w:bidi="ar"/>
              </w:rPr>
              <w:br w:type="textWrapping"/>
            </w:r>
            <w:r>
              <w:rPr>
                <w:rFonts w:ascii="宋体" w:hAnsi="宋体" w:cs="等线"/>
                <w:color w:val="auto"/>
                <w:kern w:val="0"/>
                <w:sz w:val="18"/>
                <w:szCs w:val="18"/>
                <w:lang w:bidi="ar"/>
              </w:rPr>
              <w:t>MAC</w:t>
            </w:r>
            <w:r>
              <w:rPr>
                <w:rFonts w:hint="eastAsia" w:ascii="宋体" w:hAnsi="宋体" w:cs="宋体"/>
                <w:color w:val="auto"/>
                <w:kern w:val="0"/>
                <w:sz w:val="18"/>
                <w:szCs w:val="18"/>
                <w:lang w:bidi="ar"/>
              </w:rPr>
              <w:t>地址表</w:t>
            </w:r>
            <w:r>
              <w:rPr>
                <w:rFonts w:ascii="宋体" w:hAnsi="宋体" w:cs="等线"/>
                <w:color w:val="auto"/>
                <w:kern w:val="0"/>
                <w:sz w:val="18"/>
                <w:szCs w:val="18"/>
                <w:lang w:bidi="ar"/>
              </w:rPr>
              <w:t>16K</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端口结构非模块化</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端口数量</w:t>
            </w:r>
            <w:r>
              <w:rPr>
                <w:rFonts w:ascii="宋体" w:hAnsi="宋体" w:cs="等线"/>
                <w:color w:val="auto"/>
                <w:kern w:val="0"/>
                <w:sz w:val="18"/>
                <w:szCs w:val="18"/>
                <w:lang w:bidi="ar"/>
              </w:rPr>
              <w:t>52</w:t>
            </w:r>
            <w:r>
              <w:rPr>
                <w:rFonts w:hint="eastAsia" w:ascii="宋体" w:hAnsi="宋体" w:cs="宋体"/>
                <w:color w:val="auto"/>
                <w:kern w:val="0"/>
                <w:sz w:val="18"/>
                <w:szCs w:val="18"/>
                <w:lang w:bidi="ar"/>
              </w:rPr>
              <w:t>个</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端口描述</w:t>
            </w:r>
            <w:r>
              <w:rPr>
                <w:rFonts w:ascii="宋体" w:hAnsi="宋体" w:cs="等线"/>
                <w:color w:val="auto"/>
                <w:kern w:val="0"/>
                <w:sz w:val="18"/>
                <w:szCs w:val="18"/>
                <w:lang w:bidi="ar"/>
              </w:rPr>
              <w:t>48</w:t>
            </w:r>
            <w:r>
              <w:rPr>
                <w:rFonts w:hint="eastAsia" w:ascii="宋体" w:hAnsi="宋体" w:cs="宋体"/>
                <w:color w:val="auto"/>
                <w:kern w:val="0"/>
                <w:sz w:val="18"/>
                <w:szCs w:val="18"/>
                <w:lang w:bidi="ar"/>
              </w:rPr>
              <w:t>个</w:t>
            </w:r>
            <w:r>
              <w:rPr>
                <w:rFonts w:ascii="宋体" w:hAnsi="宋体" w:cs="等线"/>
                <w:color w:val="auto"/>
                <w:kern w:val="0"/>
                <w:sz w:val="18"/>
                <w:szCs w:val="18"/>
                <w:lang w:bidi="ar"/>
              </w:rPr>
              <w:t>10/100/1000Base-T</w:t>
            </w:r>
            <w:r>
              <w:rPr>
                <w:rFonts w:hint="eastAsia" w:ascii="宋体" w:hAnsi="宋体" w:cs="宋体"/>
                <w:color w:val="auto"/>
                <w:kern w:val="0"/>
                <w:sz w:val="18"/>
                <w:szCs w:val="18"/>
                <w:lang w:bidi="ar"/>
              </w:rPr>
              <w:t>以太网端口，</w:t>
            </w:r>
            <w:r>
              <w:rPr>
                <w:rFonts w:ascii="宋体" w:hAnsi="宋体" w:cs="等线"/>
                <w:color w:val="auto"/>
                <w:kern w:val="0"/>
                <w:sz w:val="18"/>
                <w:szCs w:val="18"/>
                <w:lang w:bidi="ar"/>
              </w:rPr>
              <w:t>4</w:t>
            </w:r>
            <w:r>
              <w:rPr>
                <w:rFonts w:hint="eastAsia" w:ascii="宋体" w:hAnsi="宋体" w:cs="宋体"/>
                <w:color w:val="auto"/>
                <w:kern w:val="0"/>
                <w:sz w:val="18"/>
                <w:szCs w:val="18"/>
                <w:lang w:bidi="ar"/>
              </w:rPr>
              <w:t>个复用的</w:t>
            </w:r>
            <w:r>
              <w:rPr>
                <w:rFonts w:ascii="宋体" w:hAnsi="宋体" w:cs="等线"/>
                <w:color w:val="auto"/>
                <w:kern w:val="0"/>
                <w:sz w:val="18"/>
                <w:szCs w:val="18"/>
                <w:lang w:bidi="ar"/>
              </w:rPr>
              <w:t>1000Base-X</w:t>
            </w:r>
            <w:r>
              <w:rPr>
                <w:rFonts w:hint="eastAsia" w:ascii="宋体" w:hAnsi="宋体" w:cs="宋体"/>
                <w:color w:val="auto"/>
                <w:kern w:val="0"/>
                <w:sz w:val="18"/>
                <w:szCs w:val="18"/>
                <w:lang w:bidi="ar"/>
              </w:rPr>
              <w:t>千兆</w:t>
            </w:r>
            <w:r>
              <w:rPr>
                <w:rFonts w:ascii="宋体" w:hAnsi="宋体" w:cs="等线"/>
                <w:color w:val="auto"/>
                <w:kern w:val="0"/>
                <w:sz w:val="18"/>
                <w:szCs w:val="18"/>
                <w:lang w:bidi="ar"/>
              </w:rPr>
              <w:t>SFP</w:t>
            </w:r>
            <w:r>
              <w:rPr>
                <w:rFonts w:hint="eastAsia" w:ascii="宋体" w:hAnsi="宋体" w:cs="宋体"/>
                <w:color w:val="auto"/>
                <w:kern w:val="0"/>
                <w:sz w:val="18"/>
                <w:szCs w:val="18"/>
                <w:lang w:bidi="ar"/>
              </w:rPr>
              <w:t>端口</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控制端口</w:t>
            </w:r>
            <w:r>
              <w:rPr>
                <w:rFonts w:ascii="宋体" w:hAnsi="宋体" w:cs="等线"/>
                <w:color w:val="auto"/>
                <w:kern w:val="0"/>
                <w:sz w:val="18"/>
                <w:szCs w:val="18"/>
                <w:lang w:bidi="ar"/>
              </w:rPr>
              <w:t>1</w:t>
            </w:r>
            <w:r>
              <w:rPr>
                <w:rFonts w:hint="eastAsia" w:ascii="宋体" w:hAnsi="宋体" w:cs="宋体"/>
                <w:color w:val="auto"/>
                <w:kern w:val="0"/>
                <w:sz w:val="18"/>
                <w:szCs w:val="18"/>
                <w:lang w:bidi="ar"/>
              </w:rPr>
              <w:t>个</w:t>
            </w:r>
            <w:r>
              <w:rPr>
                <w:rFonts w:ascii="宋体" w:hAnsi="宋体" w:cs="等线"/>
                <w:color w:val="auto"/>
                <w:kern w:val="0"/>
                <w:sz w:val="18"/>
                <w:szCs w:val="18"/>
                <w:lang w:bidi="ar"/>
              </w:rPr>
              <w:t>Console</w:t>
            </w:r>
            <w:r>
              <w:rPr>
                <w:rFonts w:hint="eastAsia" w:ascii="宋体" w:hAnsi="宋体" w:cs="宋体"/>
                <w:color w:val="auto"/>
                <w:kern w:val="0"/>
                <w:sz w:val="18"/>
                <w:szCs w:val="18"/>
                <w:lang w:bidi="ar"/>
              </w:rPr>
              <w:t>口</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传输模式支持全双工</w:t>
            </w:r>
            <w:r>
              <w:rPr>
                <w:rFonts w:ascii="宋体" w:hAnsi="宋体" w:cs="等线"/>
                <w:color w:val="auto"/>
                <w:kern w:val="0"/>
                <w:sz w:val="18"/>
                <w:szCs w:val="18"/>
                <w:lang w:bidi="ar"/>
              </w:rPr>
              <w:br w:type="textWrapping"/>
            </w:r>
            <w:r>
              <w:rPr>
                <w:rFonts w:hint="eastAsia" w:ascii="宋体" w:hAnsi="宋体" w:cs="宋体"/>
                <w:color w:val="auto"/>
                <w:kern w:val="0"/>
                <w:sz w:val="18"/>
                <w:szCs w:val="18"/>
                <w:lang w:bidi="ar"/>
              </w:rPr>
              <w:t>堆叠功能可堆叠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五、AV系统辅助配件</w:t>
            </w:r>
          </w:p>
        </w:tc>
      </w:tr>
      <w:tr>
        <w:tblPrEx>
          <w:tblCellMar>
            <w:top w:w="0" w:type="dxa"/>
            <w:left w:w="0" w:type="dxa"/>
            <w:bottom w:w="0" w:type="dxa"/>
            <w:right w:w="0" w:type="dxa"/>
          </w:tblCellMar>
        </w:tblPrEx>
        <w:trPr>
          <w:trHeight w:val="1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时序电源</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输入电压：AC220V/50Hz</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输出功率：每路插座最大输出电流10A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交流电压指示表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多媒体电源插座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输入方式：3*2.5平方交流电源线，不带插头，与空气开关连接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输出方式：8路电源输出，标准通用三芯插座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功能：打开时由前级到后级逐个顺序启动，关闭时由后级到前级逐个顺序关闭，每路之间动作时间1.5秒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开关/指示：船型开关，面板电源指示灯，每路通电后指示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4.00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桌面集成桌插</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免焊线弹起式办公会议桌面接线盒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黑色面板（短线对插型）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4.00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G音频连接线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卡侬公母音频线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18.00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F音频连接线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K音频连接线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3.5转莲花音频线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P音频连接线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3.5转卡侬音频线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2.00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Cat.6 FTP 屏蔽千兆网线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7.00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Cat.6 FTP 屏蔽配线架 24口</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2.00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Cat.6 FTP 屏蔽模块 RJ45 白色</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32.00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Cat.6 FTP 屏蔽跳线 RJ45~RJ45 3米</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64.00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86型RJ45配套面板 白色</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双口86型信息面板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20.00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1U金属理线器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1U翻转盖理线架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4.00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200芯 无氧铜专业音箱线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200芯 无氧铜专业音箱线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200.00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HDMI 3米线材 V2.0版本高清</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8.00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HDMI 15米线材 V2.0版本高清</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15米V2.0版本高清HDMI连接线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8.00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D型信号配线架 16口 1U</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D型信号网线配线架16口 1U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D型86面板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D型模块底座86面板信息盒：AV、卡侬、RCA、网络、HDMI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12.00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 SpeakON 插座</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电器五孔插座、网线插座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6.00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auto"/>
                <w:sz w:val="18"/>
                <w:szCs w:val="18"/>
              </w:rPr>
            </w:pPr>
            <w:r>
              <w:rPr>
                <w:rFonts w:ascii="宋体" w:hAnsi="宋体" w:cs="等线"/>
                <w:color w:val="auto"/>
                <w:kern w:val="0"/>
                <w:sz w:val="18"/>
                <w:szCs w:val="18"/>
                <w:lang w:bidi="ar"/>
              </w:rPr>
              <w:t>D型 HDMI插座</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HDMI2.0高清模块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 xml:space="preserve">6.00 </w:t>
            </w:r>
          </w:p>
        </w:tc>
      </w:tr>
    </w:tbl>
    <w:p>
      <w:pPr>
        <w:adjustRightInd w:val="0"/>
        <w:snapToGrid w:val="0"/>
        <w:spacing w:line="450" w:lineRule="exact"/>
        <w:jc w:val="center"/>
        <w:rPr>
          <w:b/>
          <w:color w:val="auto"/>
          <w:sz w:val="36"/>
          <w:szCs w:val="36"/>
        </w:rPr>
      </w:pPr>
      <w:r>
        <w:rPr>
          <w:rFonts w:hint="eastAsia"/>
          <w:b/>
          <w:color w:val="auto"/>
          <w:sz w:val="36"/>
          <w:szCs w:val="36"/>
        </w:rPr>
        <w:t>大数据采购清单</w:t>
      </w:r>
    </w:p>
    <w:tbl>
      <w:tblPr>
        <w:tblStyle w:val="24"/>
        <w:tblW w:w="9660" w:type="dxa"/>
        <w:tblInd w:w="0" w:type="dxa"/>
        <w:tblLayout w:type="autofit"/>
        <w:tblCellMar>
          <w:top w:w="0" w:type="dxa"/>
          <w:left w:w="0" w:type="dxa"/>
          <w:bottom w:w="0" w:type="dxa"/>
          <w:right w:w="0" w:type="dxa"/>
        </w:tblCellMar>
      </w:tblPr>
      <w:tblGrid>
        <w:gridCol w:w="300"/>
        <w:gridCol w:w="570"/>
        <w:gridCol w:w="1485"/>
        <w:gridCol w:w="6315"/>
        <w:gridCol w:w="495"/>
        <w:gridCol w:w="495"/>
      </w:tblGrid>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大数据-机房设备</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类型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指标项</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指标要求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数量</w:t>
            </w:r>
          </w:p>
        </w:tc>
      </w:tr>
      <w:tr>
        <w:tblPrEx>
          <w:tblCellMar>
            <w:top w:w="0" w:type="dxa"/>
            <w:left w:w="0" w:type="dxa"/>
            <w:bottom w:w="0" w:type="dxa"/>
            <w:right w:w="0" w:type="dxa"/>
          </w:tblCellMar>
        </w:tblPrEx>
        <w:trPr>
          <w:trHeight w:val="14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核心交换机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硬件规格</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为保证设备后续性能的可扩展性并提高设备的稳定性，投标产品的硬件架构需要交换网板与线卡成垂直90°正交连接。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采用CLOS交换架构，交换网板有独立插槽且与主控引擎、业务板硬件分离，业务板槽位采用竖插槽方式设计，便于通风；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独立主控引擎插槽≥2个，独立业务插槽≥10个，独立交换网板插槽≥4个，主控引擎故障情况下，不能影响整机转发能力。</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性能参数</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交换容量≥500Tbps，包转发性能≥120,000Mpps  单跳报文最小转发时延＜1μs，整机MAC地址表项≥512K，整机IPV4路由表项≥512K</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336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数据中心功能</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N:1虚拟化：可将多台物理设备虚拟化为1台逻辑设备，虚拟组内设备具备统一的二层及三层转发表项，统一的管理界面，并可实现跨设备链路聚合。 为保障实际应用需求，要求支持≥1000终端每秒的802.1X认证报文处理速度   1：N虚拟化：可将一台物理设备最大虚拟化为8台逻辑设备，各虚拟交换机间具备独立的转发表项及配置界面，各虚拟交换机的配置/重启互不影响。且支持设备先“多虚一”再“一虚多”的功能联动，彻底实现资源池化    支持L2-GRE国际标准MAC in IP数据封装技（或同类其他技术），可实现跨广域网数据中心间二层数据通信，扩大虚拟机漂移范围    支持多对一镜像,基于流的镜像，一对多镜像。支持SPAN、RSPAN远程镜像，支持VLAN的镜像                                                                                                                 支持IPv6静态路由、RIPng、OSPF v3、BGP4+ 等路由协议、支持ICMP、ICMPv6、支持ND（neighbor discover）、手工配置（自动创建）本地地址、IPv6 Ping、IPv6 Tracert。支持手动隧道，自动隧道，ISATAP，IPv4 over IPv6。</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7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安全及可靠性</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为保障核心设备的安全可靠性，要求所投产品端口浪涌抗扰度≥6KV（即具备6KV的防雷能力），要求提供权威第三方测试报告复印件，加盖原厂投标专用章或公章</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多业务支持</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支持无线控制器插卡，满足无线控制的需求。</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7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绿色低功耗</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为了满足下一代数据中心建设要求，核心交换机40G端口在负载100%的情况下每端口功率需要≤10W，要求提供权威第三方测试报告复印件，加盖原厂投标专用章或公章。 </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7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配置要求</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单台配置：高性能引擎≥2个、交换网板≥4个、1600W模块化电源≥4个、万兆以太网光接口≥48个，万兆多模光模块≥48个，5米10G Base SFP+ 光纤线缆（包含两边的模块）≥1根</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72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业务交换机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硬件指标及性能</w:t>
            </w:r>
          </w:p>
        </w:tc>
        <w:tc>
          <w:tcPr>
            <w:tcW w:w="631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10G接口数≥48个，40G QSFP+接口接口数≥6个；支持模块化电源冗余、模块化风扇冗余，电压及风扇支持热拔插。交换容量≥2.56Tbps，包转发率≥1050Mpps</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1</w:t>
            </w:r>
          </w:p>
        </w:tc>
      </w:tr>
      <w:tr>
        <w:tblPrEx>
          <w:tblCellMar>
            <w:top w:w="0" w:type="dxa"/>
            <w:left w:w="0" w:type="dxa"/>
            <w:bottom w:w="0" w:type="dxa"/>
            <w:right w:w="0" w:type="dxa"/>
          </w:tblCellMar>
        </w:tblPrEx>
        <w:trPr>
          <w:trHeight w:val="31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产品功能</w:t>
            </w:r>
          </w:p>
        </w:tc>
        <w:tc>
          <w:tcPr>
            <w:tcW w:w="631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支持VXLAN routing 和VXLAN bridging，支持EVPN VXLAN     支持EVPN-VXLAN第三方对接；                                                                            实配支持VXLAN功能，无需另外购买授权，提供原厂证明材料，加盖原厂投标专用章或公章。                                                                                                            满端口支持三层VXLAN报文线速             支持RIP、OSPF、IS-IS、BGP-4等三层路由协议                                                                 支持PIM-SM、IGMP 等组播路由协议        支持端口镜像功能，支持多对一端口镜像及一对多端口镜像，支持跨交换机的远程端口镜像功能 RSPAN，支持聚合链路的镜像         支持多虚一技术，可将多台物理设备虚拟化为一台逻辑设备统一管理，支持跨设备链路聚合及最快50ms 级故障链路收敛。                                                                           支持软件定义网络SDN，符合OpenFlow 1.3协议标准，支持SDN和SDN Ready功能</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配置要求</w:t>
            </w:r>
          </w:p>
        </w:tc>
        <w:tc>
          <w:tcPr>
            <w:tcW w:w="631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★单台配置：模块化风扇≥3个，模块化电源≥2个，5米10G Base SFP+ 光纤线缆（包含两边的模块）≥1根；万兆多模光模块≥4个。</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服务器</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指标项目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指标要求</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10</w:t>
            </w: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总体架构</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国产自研品牌，非</w:t>
            </w:r>
            <w:r>
              <w:rPr>
                <w:rFonts w:ascii="宋体" w:hAnsi="宋体" w:cs="Calibri"/>
                <w:color w:val="auto"/>
                <w:kern w:val="0"/>
                <w:sz w:val="18"/>
                <w:szCs w:val="18"/>
                <w:lang w:bidi="ar"/>
              </w:rPr>
              <w:t>OEM</w:t>
            </w:r>
            <w:r>
              <w:rPr>
                <w:rFonts w:hint="eastAsia" w:ascii="宋体" w:hAnsi="宋体" w:cs="宋体"/>
                <w:color w:val="auto"/>
                <w:kern w:val="0"/>
                <w:sz w:val="18"/>
                <w:szCs w:val="18"/>
                <w:lang w:bidi="ar"/>
              </w:rPr>
              <w:t>，标准</w:t>
            </w:r>
            <w:r>
              <w:rPr>
                <w:rFonts w:ascii="宋体" w:hAnsi="宋体" w:cs="Calibri"/>
                <w:color w:val="auto"/>
                <w:kern w:val="0"/>
                <w:sz w:val="18"/>
                <w:szCs w:val="18"/>
                <w:lang w:bidi="ar"/>
              </w:rPr>
              <w:t>2U</w:t>
            </w:r>
            <w:r>
              <w:rPr>
                <w:rFonts w:hint="eastAsia" w:ascii="宋体" w:hAnsi="宋体" w:cs="宋体"/>
                <w:color w:val="auto"/>
                <w:kern w:val="0"/>
                <w:sz w:val="18"/>
                <w:szCs w:val="18"/>
                <w:lang w:bidi="ar"/>
              </w:rPr>
              <w:t>机架式服务器，机箱长度</w:t>
            </w:r>
            <w:r>
              <w:rPr>
                <w:rFonts w:ascii="宋体" w:hAnsi="宋体" w:cs="Calibri"/>
                <w:color w:val="auto"/>
                <w:kern w:val="0"/>
                <w:sz w:val="18"/>
                <w:szCs w:val="18"/>
                <w:lang w:bidi="ar"/>
              </w:rPr>
              <w:t>&lt;780mm</w:t>
            </w:r>
            <w:r>
              <w:rPr>
                <w:rFonts w:hint="eastAsia" w:ascii="宋体" w:hAnsi="宋体" w:cs="宋体"/>
                <w:color w:val="auto"/>
                <w:kern w:val="0"/>
                <w:sz w:val="18"/>
                <w:szCs w:val="18"/>
                <w:lang w:bidi="ar"/>
              </w:rPr>
              <w:t>，满配重量</w:t>
            </w:r>
            <w:r>
              <w:rPr>
                <w:rFonts w:ascii="宋体" w:hAnsi="宋体" w:cs="Calibri"/>
                <w:color w:val="auto"/>
                <w:kern w:val="0"/>
                <w:sz w:val="18"/>
                <w:szCs w:val="18"/>
                <w:lang w:bidi="ar"/>
              </w:rPr>
              <w:t>&lt;31kg</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处理器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w:t>
            </w:r>
            <w:r>
              <w:rPr>
                <w:rFonts w:ascii="宋体" w:hAnsi="宋体" w:cs="Calibri"/>
                <w:color w:val="auto"/>
                <w:kern w:val="0"/>
                <w:sz w:val="18"/>
                <w:szCs w:val="18"/>
                <w:lang w:bidi="ar"/>
              </w:rPr>
              <w:t>2</w:t>
            </w:r>
            <w:r>
              <w:rPr>
                <w:rFonts w:hint="eastAsia" w:ascii="宋体" w:hAnsi="宋体" w:cs="宋体"/>
                <w:color w:val="auto"/>
                <w:kern w:val="0"/>
                <w:sz w:val="18"/>
                <w:szCs w:val="18"/>
                <w:lang w:bidi="ar"/>
              </w:rPr>
              <w:t>颗</w:t>
            </w:r>
            <w:r>
              <w:rPr>
                <w:rFonts w:ascii="宋体" w:hAnsi="宋体" w:cs="Calibri"/>
                <w:color w:val="auto"/>
                <w:kern w:val="0"/>
                <w:sz w:val="18"/>
                <w:szCs w:val="18"/>
                <w:lang w:bidi="ar"/>
              </w:rPr>
              <w:t xml:space="preserve">Intel Xeon Gold 5218 </w:t>
            </w:r>
            <w:r>
              <w:rPr>
                <w:rFonts w:hint="eastAsia" w:ascii="宋体" w:hAnsi="宋体" w:cs="宋体"/>
                <w:color w:val="auto"/>
                <w:kern w:val="0"/>
                <w:sz w:val="18"/>
                <w:szCs w:val="18"/>
                <w:lang w:bidi="ar"/>
              </w:rPr>
              <w:t>可扩展处理器，单处理器核心≥</w:t>
            </w:r>
            <w:r>
              <w:rPr>
                <w:rFonts w:ascii="宋体" w:hAnsi="宋体" w:cs="Calibri"/>
                <w:color w:val="auto"/>
                <w:kern w:val="0"/>
                <w:sz w:val="18"/>
                <w:szCs w:val="18"/>
                <w:lang w:bidi="ar"/>
              </w:rPr>
              <w:t>16</w:t>
            </w:r>
            <w:r>
              <w:rPr>
                <w:rFonts w:hint="eastAsia" w:ascii="宋体" w:hAnsi="宋体" w:cs="宋体"/>
                <w:color w:val="auto"/>
                <w:kern w:val="0"/>
                <w:sz w:val="18"/>
                <w:szCs w:val="18"/>
                <w:lang w:bidi="ar"/>
              </w:rPr>
              <w:t>，主频≥</w:t>
            </w:r>
            <w:r>
              <w:rPr>
                <w:rFonts w:ascii="宋体" w:hAnsi="宋体" w:cs="Calibri"/>
                <w:color w:val="auto"/>
                <w:kern w:val="0"/>
                <w:sz w:val="18"/>
                <w:szCs w:val="18"/>
                <w:lang w:bidi="ar"/>
              </w:rPr>
              <w:t>2.3GHz</w:t>
            </w:r>
            <w:r>
              <w:rPr>
                <w:rFonts w:hint="eastAsia" w:ascii="宋体" w:hAnsi="宋体" w:cs="宋体"/>
                <w:color w:val="auto"/>
                <w:kern w:val="0"/>
                <w:sz w:val="18"/>
                <w:szCs w:val="18"/>
                <w:lang w:bidi="ar"/>
              </w:rPr>
              <w:t>，支持铂金、金牌、银牌、铜牌全系列级别</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内存</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w:t>
            </w:r>
            <w:r>
              <w:rPr>
                <w:rFonts w:ascii="宋体" w:hAnsi="宋体" w:cs="Calibri"/>
                <w:color w:val="auto"/>
                <w:kern w:val="0"/>
                <w:sz w:val="18"/>
                <w:szCs w:val="18"/>
                <w:lang w:bidi="ar"/>
              </w:rPr>
              <w:t>2</w:t>
            </w:r>
            <w:r>
              <w:rPr>
                <w:rFonts w:hint="eastAsia" w:ascii="宋体" w:hAnsi="宋体" w:cs="宋体"/>
                <w:color w:val="auto"/>
                <w:kern w:val="0"/>
                <w:sz w:val="18"/>
                <w:szCs w:val="18"/>
                <w:lang w:bidi="ar"/>
              </w:rPr>
              <w:t>条</w:t>
            </w:r>
            <w:r>
              <w:rPr>
                <w:rFonts w:ascii="宋体" w:hAnsi="宋体" w:cs="Calibri"/>
                <w:color w:val="auto"/>
                <w:kern w:val="0"/>
                <w:sz w:val="18"/>
                <w:szCs w:val="18"/>
                <w:lang w:bidi="ar"/>
              </w:rPr>
              <w:t>16GB 2666MT/s DDR4</w:t>
            </w:r>
            <w:r>
              <w:rPr>
                <w:rFonts w:hint="eastAsia" w:ascii="宋体" w:hAnsi="宋体" w:cs="宋体"/>
                <w:color w:val="auto"/>
                <w:kern w:val="0"/>
                <w:sz w:val="18"/>
                <w:szCs w:val="18"/>
                <w:lang w:bidi="ar"/>
              </w:rPr>
              <w:t>内存，最大支持</w:t>
            </w:r>
            <w:r>
              <w:rPr>
                <w:rFonts w:ascii="宋体" w:hAnsi="宋体" w:cs="Calibri"/>
                <w:color w:val="auto"/>
                <w:kern w:val="0"/>
                <w:sz w:val="18"/>
                <w:szCs w:val="18"/>
                <w:lang w:bidi="ar"/>
              </w:rPr>
              <w:t>24</w:t>
            </w:r>
            <w:r>
              <w:rPr>
                <w:rFonts w:hint="eastAsia" w:ascii="宋体" w:hAnsi="宋体" w:cs="宋体"/>
                <w:color w:val="auto"/>
                <w:kern w:val="0"/>
                <w:sz w:val="18"/>
                <w:szCs w:val="18"/>
                <w:lang w:bidi="ar"/>
              </w:rPr>
              <w:t>个内存插槽；支持高级内存纠错、内存镜像、内存热备等高级功能；</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存储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w:t>
            </w:r>
            <w:r>
              <w:rPr>
                <w:rFonts w:ascii="宋体" w:hAnsi="宋体" w:cs="Calibri"/>
                <w:color w:val="auto"/>
                <w:kern w:val="0"/>
                <w:sz w:val="18"/>
                <w:szCs w:val="18"/>
                <w:lang w:bidi="ar"/>
              </w:rPr>
              <w:t>3</w:t>
            </w:r>
            <w:r>
              <w:rPr>
                <w:rFonts w:hint="eastAsia" w:ascii="宋体" w:hAnsi="宋体" w:cs="宋体"/>
                <w:color w:val="auto"/>
                <w:kern w:val="0"/>
                <w:sz w:val="18"/>
                <w:szCs w:val="18"/>
                <w:lang w:bidi="ar"/>
              </w:rPr>
              <w:t>块</w:t>
            </w:r>
            <w:r>
              <w:rPr>
                <w:rFonts w:ascii="宋体" w:hAnsi="宋体" w:cs="Calibri"/>
                <w:color w:val="auto"/>
                <w:kern w:val="0"/>
                <w:sz w:val="18"/>
                <w:szCs w:val="18"/>
                <w:lang w:bidi="ar"/>
              </w:rPr>
              <w:t>600GB 10K 2.5</w:t>
            </w:r>
            <w:r>
              <w:rPr>
                <w:rFonts w:hint="eastAsia" w:ascii="宋体" w:hAnsi="宋体" w:cs="宋体"/>
                <w:color w:val="auto"/>
                <w:kern w:val="0"/>
                <w:sz w:val="18"/>
                <w:szCs w:val="18"/>
                <w:lang w:bidi="ar"/>
              </w:rPr>
              <w:t>寸</w:t>
            </w:r>
            <w:r>
              <w:rPr>
                <w:rFonts w:ascii="宋体" w:hAnsi="宋体" w:cs="Calibri"/>
                <w:color w:val="auto"/>
                <w:kern w:val="0"/>
                <w:sz w:val="18"/>
                <w:szCs w:val="18"/>
                <w:lang w:bidi="ar"/>
              </w:rPr>
              <w:t>SAS</w:t>
            </w:r>
            <w:r>
              <w:rPr>
                <w:rFonts w:hint="eastAsia" w:ascii="宋体" w:hAnsi="宋体" w:cs="宋体"/>
                <w:color w:val="auto"/>
                <w:kern w:val="0"/>
                <w:sz w:val="18"/>
                <w:szCs w:val="18"/>
                <w:lang w:bidi="ar"/>
              </w:rPr>
              <w:t>硬盘，硬盘支持热插拔；</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存储扩展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可支持最大</w:t>
            </w:r>
            <w:r>
              <w:rPr>
                <w:rFonts w:ascii="宋体" w:hAnsi="宋体" w:cs="Calibri"/>
                <w:color w:val="auto"/>
                <w:kern w:val="0"/>
                <w:sz w:val="18"/>
                <w:szCs w:val="18"/>
                <w:lang w:bidi="ar"/>
              </w:rPr>
              <w:t>31</w:t>
            </w:r>
            <w:r>
              <w:rPr>
                <w:rFonts w:hint="eastAsia" w:ascii="宋体" w:hAnsi="宋体" w:cs="宋体"/>
                <w:color w:val="auto"/>
                <w:kern w:val="0"/>
                <w:sz w:val="18"/>
                <w:szCs w:val="18"/>
                <w:lang w:bidi="ar"/>
              </w:rPr>
              <w:t>个标准硬盘槽位，最大支持</w:t>
            </w:r>
            <w:r>
              <w:rPr>
                <w:rFonts w:ascii="宋体" w:hAnsi="宋体" w:cs="Calibri"/>
                <w:color w:val="auto"/>
                <w:kern w:val="0"/>
                <w:sz w:val="18"/>
                <w:szCs w:val="18"/>
                <w:lang w:bidi="ar"/>
              </w:rPr>
              <w:t>24</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U.2 NVMe</w:t>
            </w:r>
            <w:r>
              <w:rPr>
                <w:rFonts w:hint="eastAsia" w:ascii="宋体" w:hAnsi="宋体" w:cs="宋体"/>
                <w:color w:val="auto"/>
                <w:kern w:val="0"/>
                <w:sz w:val="18"/>
                <w:szCs w:val="18"/>
                <w:lang w:bidi="ar"/>
              </w:rPr>
              <w:t>前置硬盘，支持</w:t>
            </w:r>
            <w:r>
              <w:rPr>
                <w:rFonts w:ascii="宋体" w:hAnsi="宋体" w:cs="Calibri"/>
                <w:color w:val="auto"/>
                <w:kern w:val="0"/>
                <w:sz w:val="18"/>
                <w:szCs w:val="18"/>
                <w:lang w:bidi="ar"/>
              </w:rPr>
              <w:t>2</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M.2 SSD</w:t>
            </w:r>
            <w:r>
              <w:rPr>
                <w:rFonts w:hint="eastAsia" w:ascii="宋体" w:hAnsi="宋体" w:cs="宋体"/>
                <w:color w:val="auto"/>
                <w:kern w:val="0"/>
                <w:sz w:val="18"/>
                <w:szCs w:val="18"/>
                <w:lang w:bidi="ar"/>
              </w:rPr>
              <w:t>硬盘，支持</w:t>
            </w:r>
            <w:r>
              <w:rPr>
                <w:rFonts w:ascii="宋体" w:hAnsi="宋体" w:cs="Calibri"/>
                <w:color w:val="auto"/>
                <w:kern w:val="0"/>
                <w:sz w:val="18"/>
                <w:szCs w:val="18"/>
                <w:lang w:bidi="ar"/>
              </w:rPr>
              <w:t>2</w:t>
            </w:r>
            <w:r>
              <w:rPr>
                <w:rFonts w:hint="eastAsia" w:ascii="宋体" w:hAnsi="宋体" w:cs="宋体"/>
                <w:color w:val="auto"/>
                <w:kern w:val="0"/>
                <w:sz w:val="18"/>
                <w:szCs w:val="18"/>
                <w:lang w:bidi="ar"/>
              </w:rPr>
              <w:t>个内置</w:t>
            </w:r>
            <w:r>
              <w:rPr>
                <w:rFonts w:ascii="宋体" w:hAnsi="宋体" w:cs="Calibri"/>
                <w:color w:val="auto"/>
                <w:kern w:val="0"/>
                <w:sz w:val="18"/>
                <w:szCs w:val="18"/>
                <w:lang w:bidi="ar"/>
              </w:rPr>
              <w:t>SD</w:t>
            </w:r>
            <w:r>
              <w:rPr>
                <w:rFonts w:hint="eastAsia" w:ascii="宋体" w:hAnsi="宋体" w:cs="宋体"/>
                <w:color w:val="auto"/>
                <w:kern w:val="0"/>
                <w:sz w:val="18"/>
                <w:szCs w:val="18"/>
                <w:lang w:bidi="ar"/>
              </w:rPr>
              <w:t>存储器</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标准接口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提供</w:t>
            </w:r>
            <w:r>
              <w:rPr>
                <w:rFonts w:ascii="宋体" w:hAnsi="宋体" w:cs="Calibri"/>
                <w:color w:val="auto"/>
                <w:kern w:val="0"/>
                <w:sz w:val="18"/>
                <w:szCs w:val="18"/>
                <w:lang w:bidi="ar"/>
              </w:rPr>
              <w:t>6</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USB</w:t>
            </w:r>
            <w:r>
              <w:rPr>
                <w:rFonts w:hint="eastAsia" w:ascii="宋体" w:hAnsi="宋体" w:cs="宋体"/>
                <w:color w:val="auto"/>
                <w:kern w:val="0"/>
                <w:sz w:val="18"/>
                <w:szCs w:val="18"/>
                <w:lang w:bidi="ar"/>
              </w:rPr>
              <w:t>接口，</w:t>
            </w:r>
            <w:r>
              <w:rPr>
                <w:rFonts w:ascii="宋体" w:hAnsi="宋体" w:cs="Calibri"/>
                <w:color w:val="auto"/>
                <w:kern w:val="0"/>
                <w:sz w:val="18"/>
                <w:szCs w:val="18"/>
                <w:lang w:bidi="ar"/>
              </w:rPr>
              <w:t>2</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VGA</w:t>
            </w:r>
            <w:r>
              <w:rPr>
                <w:rFonts w:hint="eastAsia" w:ascii="宋体" w:hAnsi="宋体" w:cs="宋体"/>
                <w:color w:val="auto"/>
                <w:kern w:val="0"/>
                <w:sz w:val="18"/>
                <w:szCs w:val="18"/>
                <w:lang w:bidi="ar"/>
              </w:rPr>
              <w:t xml:space="preserve">接口， </w:t>
            </w:r>
            <w:r>
              <w:rPr>
                <w:rFonts w:ascii="宋体" w:hAnsi="宋体" w:cs="Calibri"/>
                <w:color w:val="auto"/>
                <w:kern w:val="0"/>
                <w:sz w:val="18"/>
                <w:szCs w:val="18"/>
                <w:lang w:bidi="ar"/>
              </w:rPr>
              <w:t>1</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UART</w:t>
            </w:r>
            <w:r>
              <w:rPr>
                <w:rFonts w:hint="eastAsia" w:ascii="宋体" w:hAnsi="宋体" w:cs="宋体"/>
                <w:color w:val="auto"/>
                <w:kern w:val="0"/>
                <w:sz w:val="18"/>
                <w:szCs w:val="18"/>
                <w:lang w:bidi="ar"/>
              </w:rPr>
              <w:t>串口，</w:t>
            </w:r>
            <w:r>
              <w:rPr>
                <w:rFonts w:ascii="宋体" w:hAnsi="宋体" w:cs="Calibri"/>
                <w:color w:val="auto"/>
                <w:kern w:val="0"/>
                <w:sz w:val="18"/>
                <w:szCs w:val="18"/>
                <w:lang w:bidi="ar"/>
              </w:rPr>
              <w:t>1</w:t>
            </w:r>
            <w:r>
              <w:rPr>
                <w:rFonts w:hint="eastAsia" w:ascii="宋体" w:hAnsi="宋体" w:cs="宋体"/>
                <w:color w:val="auto"/>
                <w:kern w:val="0"/>
                <w:sz w:val="18"/>
                <w:szCs w:val="18"/>
                <w:lang w:bidi="ar"/>
              </w:rPr>
              <w:t>个独立管理口；支持外插</w:t>
            </w:r>
            <w:r>
              <w:rPr>
                <w:rFonts w:ascii="宋体" w:hAnsi="宋体" w:cs="Calibri"/>
                <w:color w:val="auto"/>
                <w:kern w:val="0"/>
                <w:sz w:val="18"/>
                <w:szCs w:val="18"/>
                <w:lang w:bidi="ar"/>
              </w:rPr>
              <w:t>LCD</w:t>
            </w:r>
            <w:r>
              <w:rPr>
                <w:rFonts w:hint="eastAsia" w:ascii="宋体" w:hAnsi="宋体" w:cs="宋体"/>
                <w:color w:val="auto"/>
                <w:kern w:val="0"/>
                <w:sz w:val="18"/>
                <w:szCs w:val="18"/>
                <w:lang w:bidi="ar"/>
              </w:rPr>
              <w:t>液晶管理模块；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RAID支持</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配置独立</w:t>
            </w:r>
            <w:r>
              <w:rPr>
                <w:rFonts w:ascii="宋体" w:hAnsi="宋体" w:cs="Calibri"/>
                <w:color w:val="auto"/>
                <w:kern w:val="0"/>
                <w:sz w:val="18"/>
                <w:szCs w:val="18"/>
                <w:lang w:bidi="ar"/>
              </w:rPr>
              <w:t>12Gb/s RAID</w:t>
            </w:r>
            <w:r>
              <w:rPr>
                <w:rFonts w:hint="eastAsia" w:ascii="宋体" w:hAnsi="宋体" w:cs="宋体"/>
                <w:color w:val="auto"/>
                <w:kern w:val="0"/>
                <w:sz w:val="18"/>
                <w:szCs w:val="18"/>
                <w:lang w:bidi="ar"/>
              </w:rPr>
              <w:t>控制卡，，支持</w:t>
            </w:r>
            <w:r>
              <w:rPr>
                <w:rFonts w:ascii="宋体" w:hAnsi="宋体" w:cs="Calibri"/>
                <w:color w:val="auto"/>
                <w:kern w:val="0"/>
                <w:sz w:val="18"/>
                <w:szCs w:val="18"/>
                <w:lang w:bidi="ar"/>
              </w:rPr>
              <w:t>RAID 0/1/5/6/10</w:t>
            </w:r>
            <w:r>
              <w:rPr>
                <w:rFonts w:hint="eastAsia" w:ascii="宋体" w:hAnsi="宋体" w:cs="宋体"/>
                <w:color w:val="auto"/>
                <w:kern w:val="0"/>
                <w:sz w:val="18"/>
                <w:szCs w:val="18"/>
                <w:lang w:bidi="ar"/>
              </w:rPr>
              <w:t>等，支持</w:t>
            </w:r>
            <w:r>
              <w:rPr>
                <w:rFonts w:ascii="宋体" w:hAnsi="宋体" w:cs="Calibri"/>
                <w:color w:val="auto"/>
                <w:kern w:val="0"/>
                <w:sz w:val="18"/>
                <w:szCs w:val="18"/>
                <w:lang w:bidi="ar"/>
              </w:rPr>
              <w:t>SAS/SATA/NVME</w:t>
            </w:r>
            <w:r>
              <w:rPr>
                <w:rFonts w:hint="eastAsia" w:ascii="宋体" w:hAnsi="宋体" w:cs="宋体"/>
                <w:color w:val="auto"/>
                <w:kern w:val="0"/>
                <w:sz w:val="18"/>
                <w:szCs w:val="18"/>
                <w:lang w:bidi="ar"/>
              </w:rPr>
              <w:t>混合模式；</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网络接口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w:t>
            </w:r>
            <w:r>
              <w:rPr>
                <w:rFonts w:ascii="宋体" w:hAnsi="宋体" w:cs="Calibri"/>
                <w:color w:val="auto"/>
                <w:kern w:val="0"/>
                <w:sz w:val="18"/>
                <w:szCs w:val="18"/>
                <w:lang w:bidi="ar"/>
              </w:rPr>
              <w:t>4</w:t>
            </w:r>
            <w:r>
              <w:rPr>
                <w:rFonts w:hint="eastAsia" w:ascii="宋体" w:hAnsi="宋体" w:cs="宋体"/>
                <w:color w:val="auto"/>
                <w:kern w:val="0"/>
                <w:sz w:val="18"/>
                <w:szCs w:val="18"/>
                <w:lang w:bidi="ar"/>
              </w:rPr>
              <w:t>个千兆以太网</w:t>
            </w:r>
            <w:r>
              <w:rPr>
                <w:rFonts w:ascii="宋体" w:hAnsi="宋体" w:cs="Calibri"/>
                <w:color w:val="auto"/>
                <w:kern w:val="0"/>
                <w:sz w:val="18"/>
                <w:szCs w:val="18"/>
                <w:lang w:bidi="ar"/>
              </w:rPr>
              <w:t>RJ45</w:t>
            </w:r>
            <w:r>
              <w:rPr>
                <w:rFonts w:hint="eastAsia" w:ascii="宋体" w:hAnsi="宋体" w:cs="宋体"/>
                <w:color w:val="auto"/>
                <w:kern w:val="0"/>
                <w:sz w:val="18"/>
                <w:szCs w:val="18"/>
                <w:lang w:bidi="ar"/>
              </w:rPr>
              <w:t>接口；支持</w:t>
            </w:r>
            <w:r>
              <w:rPr>
                <w:rFonts w:ascii="宋体" w:hAnsi="宋体" w:cs="Calibri"/>
                <w:color w:val="auto"/>
                <w:kern w:val="0"/>
                <w:sz w:val="18"/>
                <w:szCs w:val="18"/>
                <w:lang w:bidi="ar"/>
              </w:rPr>
              <w:t>OCP</w:t>
            </w:r>
            <w:r>
              <w:rPr>
                <w:rFonts w:hint="eastAsia" w:ascii="宋体" w:hAnsi="宋体" w:cs="宋体"/>
                <w:color w:val="auto"/>
                <w:kern w:val="0"/>
                <w:sz w:val="18"/>
                <w:szCs w:val="18"/>
                <w:lang w:bidi="ar"/>
              </w:rPr>
              <w:t>网络模块，支持</w:t>
            </w:r>
            <w:r>
              <w:rPr>
                <w:rFonts w:ascii="宋体" w:hAnsi="宋体" w:cs="Calibri"/>
                <w:color w:val="auto"/>
                <w:kern w:val="0"/>
                <w:sz w:val="18"/>
                <w:szCs w:val="18"/>
                <w:lang w:bidi="ar"/>
              </w:rPr>
              <w:t>1Gb/10Gb/25Gb</w:t>
            </w:r>
            <w:r>
              <w:rPr>
                <w:rFonts w:hint="eastAsia" w:ascii="宋体" w:hAnsi="宋体" w:cs="宋体"/>
                <w:color w:val="auto"/>
                <w:kern w:val="0"/>
                <w:sz w:val="18"/>
                <w:szCs w:val="18"/>
                <w:lang w:bidi="ar"/>
              </w:rPr>
              <w:t>速率；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I/O扩展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支持≥</w:t>
            </w:r>
            <w:r>
              <w:rPr>
                <w:rFonts w:ascii="宋体" w:hAnsi="宋体" w:cs="Calibri"/>
                <w:color w:val="auto"/>
                <w:kern w:val="0"/>
                <w:sz w:val="18"/>
                <w:szCs w:val="18"/>
                <w:lang w:bidi="ar"/>
              </w:rPr>
              <w:t>9</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PCIE</w:t>
            </w:r>
            <w:r>
              <w:rPr>
                <w:rFonts w:hint="eastAsia" w:ascii="宋体" w:hAnsi="宋体" w:cs="宋体"/>
                <w:color w:val="auto"/>
                <w:kern w:val="0"/>
                <w:sz w:val="18"/>
                <w:szCs w:val="18"/>
                <w:lang w:bidi="ar"/>
              </w:rPr>
              <w:t>插槽（含</w:t>
            </w:r>
            <w:r>
              <w:rPr>
                <w:rFonts w:ascii="宋体" w:hAnsi="宋体" w:cs="Calibri"/>
                <w:color w:val="auto"/>
                <w:kern w:val="0"/>
                <w:sz w:val="18"/>
                <w:szCs w:val="18"/>
                <w:lang w:bidi="ar"/>
              </w:rPr>
              <w:t>1</w:t>
            </w:r>
            <w:r>
              <w:rPr>
                <w:rFonts w:hint="eastAsia" w:ascii="宋体" w:hAnsi="宋体" w:cs="宋体"/>
                <w:color w:val="auto"/>
                <w:kern w:val="0"/>
                <w:sz w:val="18"/>
                <w:szCs w:val="18"/>
                <w:lang w:bidi="ar"/>
              </w:rPr>
              <w:t>个</w:t>
            </w:r>
            <w:r>
              <w:rPr>
                <w:rFonts w:ascii="宋体" w:hAnsi="宋体" w:cs="Calibri"/>
                <w:color w:val="auto"/>
                <w:kern w:val="0"/>
                <w:sz w:val="18"/>
                <w:szCs w:val="18"/>
                <w:lang w:bidi="ar"/>
              </w:rPr>
              <w:t>OCP/PHY</w:t>
            </w:r>
            <w:r>
              <w:rPr>
                <w:rFonts w:hint="eastAsia" w:ascii="宋体" w:hAnsi="宋体" w:cs="宋体"/>
                <w:color w:val="auto"/>
                <w:kern w:val="0"/>
                <w:sz w:val="18"/>
                <w:szCs w:val="18"/>
                <w:lang w:bidi="ar"/>
              </w:rPr>
              <w:t>槽位）</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异构加速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支持</w:t>
            </w:r>
            <w:r>
              <w:rPr>
                <w:rFonts w:ascii="宋体" w:hAnsi="宋体" w:cs="Calibri"/>
                <w:color w:val="auto"/>
                <w:kern w:val="0"/>
                <w:sz w:val="18"/>
                <w:szCs w:val="18"/>
                <w:lang w:bidi="ar"/>
              </w:rPr>
              <w:t>4</w:t>
            </w:r>
            <w:r>
              <w:rPr>
                <w:rFonts w:hint="eastAsia" w:ascii="宋体" w:hAnsi="宋体" w:cs="宋体"/>
                <w:color w:val="auto"/>
                <w:kern w:val="0"/>
                <w:sz w:val="18"/>
                <w:szCs w:val="18"/>
                <w:lang w:bidi="ar"/>
              </w:rPr>
              <w:t>个双宽</w:t>
            </w:r>
            <w:r>
              <w:rPr>
                <w:rFonts w:ascii="宋体" w:hAnsi="宋体" w:cs="Calibri"/>
                <w:color w:val="auto"/>
                <w:kern w:val="0"/>
                <w:sz w:val="18"/>
                <w:szCs w:val="18"/>
                <w:lang w:bidi="ar"/>
              </w:rPr>
              <w:t>GPU</w:t>
            </w:r>
            <w:r>
              <w:rPr>
                <w:rFonts w:hint="eastAsia" w:ascii="宋体" w:hAnsi="宋体" w:cs="宋体"/>
                <w:color w:val="auto"/>
                <w:kern w:val="0"/>
                <w:sz w:val="18"/>
                <w:szCs w:val="18"/>
                <w:lang w:bidi="ar"/>
              </w:rPr>
              <w:t>或</w:t>
            </w:r>
            <w:r>
              <w:rPr>
                <w:rFonts w:ascii="宋体" w:hAnsi="宋体" w:cs="Calibri"/>
                <w:color w:val="auto"/>
                <w:kern w:val="0"/>
                <w:sz w:val="18"/>
                <w:szCs w:val="18"/>
                <w:lang w:bidi="ar"/>
              </w:rPr>
              <w:t>8</w:t>
            </w:r>
            <w:r>
              <w:rPr>
                <w:rFonts w:hint="eastAsia" w:ascii="宋体" w:hAnsi="宋体" w:cs="宋体"/>
                <w:color w:val="auto"/>
                <w:kern w:val="0"/>
                <w:sz w:val="18"/>
                <w:szCs w:val="18"/>
                <w:lang w:bidi="ar"/>
              </w:rPr>
              <w:t>个单宽</w:t>
            </w:r>
            <w:r>
              <w:rPr>
                <w:rFonts w:ascii="宋体" w:hAnsi="宋体" w:cs="Calibri"/>
                <w:color w:val="auto"/>
                <w:kern w:val="0"/>
                <w:sz w:val="18"/>
                <w:szCs w:val="18"/>
                <w:lang w:bidi="ar"/>
              </w:rPr>
              <w:t>GPU</w:t>
            </w:r>
            <w:r>
              <w:rPr>
                <w:rFonts w:hint="eastAsia" w:ascii="宋体" w:hAnsi="宋体" w:cs="宋体"/>
                <w:color w:val="auto"/>
                <w:kern w:val="0"/>
                <w:sz w:val="18"/>
                <w:szCs w:val="18"/>
                <w:lang w:bidi="ar"/>
              </w:rPr>
              <w:t>，提供电源接口</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电源模块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配置两个冗余热插拔</w:t>
            </w:r>
            <w:r>
              <w:rPr>
                <w:rFonts w:ascii="宋体" w:hAnsi="宋体" w:cs="Calibri"/>
                <w:color w:val="auto"/>
                <w:kern w:val="0"/>
                <w:sz w:val="18"/>
                <w:szCs w:val="18"/>
                <w:lang w:bidi="ar"/>
              </w:rPr>
              <w:t xml:space="preserve">550W </w:t>
            </w:r>
            <w:r>
              <w:rPr>
                <w:rFonts w:hint="eastAsia" w:ascii="宋体" w:hAnsi="宋体" w:cs="宋体"/>
                <w:color w:val="auto"/>
                <w:kern w:val="0"/>
                <w:sz w:val="18"/>
                <w:szCs w:val="18"/>
                <w:lang w:bidi="ar"/>
              </w:rPr>
              <w:t>高效铂金交流电源，支持</w:t>
            </w:r>
            <w:r>
              <w:rPr>
                <w:rFonts w:ascii="宋体" w:hAnsi="宋体" w:cs="Calibri"/>
                <w:color w:val="auto"/>
                <w:kern w:val="0"/>
                <w:sz w:val="18"/>
                <w:szCs w:val="18"/>
                <w:lang w:bidi="ar"/>
              </w:rPr>
              <w:t>-48V / 336V</w:t>
            </w:r>
            <w:r>
              <w:rPr>
                <w:rFonts w:hint="eastAsia" w:ascii="宋体" w:hAnsi="宋体" w:cs="宋体"/>
                <w:color w:val="auto"/>
                <w:kern w:val="0"/>
                <w:sz w:val="18"/>
                <w:szCs w:val="18"/>
                <w:lang w:bidi="ar"/>
              </w:rPr>
              <w:t>直流电源；</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散热</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配置</w:t>
            </w:r>
            <w:r>
              <w:rPr>
                <w:rFonts w:ascii="宋体" w:hAnsi="宋体" w:cs="Calibri"/>
                <w:color w:val="auto"/>
                <w:kern w:val="0"/>
                <w:sz w:val="18"/>
                <w:szCs w:val="18"/>
                <w:lang w:bidi="ar"/>
              </w:rPr>
              <w:t>4</w:t>
            </w:r>
            <w:r>
              <w:rPr>
                <w:rFonts w:hint="eastAsia" w:ascii="宋体" w:hAnsi="宋体" w:cs="宋体"/>
                <w:color w:val="auto"/>
                <w:kern w:val="0"/>
                <w:sz w:val="18"/>
                <w:szCs w:val="18"/>
                <w:lang w:bidi="ar"/>
              </w:rPr>
              <w:t>个冗余双转子风扇，支持免工具热插拔维护。风扇转速自动调节；风流向前进后出；具备防回流设计。</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管理功能</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集成系统管理芯片，支持</w:t>
            </w:r>
            <w:r>
              <w:rPr>
                <w:rFonts w:ascii="宋体" w:hAnsi="宋体" w:cs="Calibri"/>
                <w:color w:val="auto"/>
                <w:kern w:val="0"/>
                <w:sz w:val="18"/>
                <w:szCs w:val="18"/>
                <w:lang w:bidi="ar"/>
              </w:rPr>
              <w:t>IPMI2.0</w:t>
            </w:r>
            <w:r>
              <w:rPr>
                <w:rFonts w:hint="eastAsia" w:ascii="宋体" w:hAnsi="宋体" w:cs="宋体"/>
                <w:color w:val="auto"/>
                <w:kern w:val="0"/>
                <w:sz w:val="18"/>
                <w:szCs w:val="18"/>
                <w:lang w:bidi="ar"/>
              </w:rPr>
              <w:t>、</w:t>
            </w:r>
            <w:r>
              <w:rPr>
                <w:rFonts w:ascii="宋体" w:hAnsi="宋体" w:cs="Calibri"/>
                <w:color w:val="auto"/>
                <w:kern w:val="0"/>
                <w:sz w:val="18"/>
                <w:szCs w:val="18"/>
                <w:lang w:bidi="ar"/>
              </w:rPr>
              <w:t>KVM over IP</w:t>
            </w:r>
            <w:r>
              <w:rPr>
                <w:rFonts w:hint="eastAsia" w:ascii="宋体" w:hAnsi="宋体" w:cs="宋体"/>
                <w:color w:val="auto"/>
                <w:kern w:val="0"/>
                <w:sz w:val="18"/>
                <w:szCs w:val="18"/>
                <w:lang w:bidi="ar"/>
              </w:rPr>
              <w:t>、虚拟媒体等管理功能，提供原厂服务器管理套件。</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安全可信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支持</w:t>
            </w:r>
            <w:r>
              <w:rPr>
                <w:rFonts w:ascii="宋体" w:hAnsi="宋体" w:cs="Calibri"/>
                <w:color w:val="auto"/>
                <w:kern w:val="0"/>
                <w:sz w:val="18"/>
                <w:szCs w:val="18"/>
                <w:lang w:bidi="ar"/>
              </w:rPr>
              <w:t>TPM</w:t>
            </w:r>
            <w:r>
              <w:rPr>
                <w:rFonts w:hint="eastAsia" w:ascii="宋体" w:hAnsi="宋体" w:cs="宋体"/>
                <w:color w:val="auto"/>
                <w:kern w:val="0"/>
                <w:sz w:val="18"/>
                <w:szCs w:val="18"/>
                <w:lang w:bidi="ar"/>
              </w:rPr>
              <w:t>安全可信模块，支持主机安全增强系统；</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服务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三年免费硬件保修，原厂工程师上门服务，厂商授权</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厂商资质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1.2017及</w:t>
            </w:r>
            <w:r>
              <w:rPr>
                <w:rFonts w:ascii="宋体" w:hAnsi="宋体" w:cs="Calibri"/>
                <w:color w:val="auto"/>
                <w:kern w:val="0"/>
                <w:sz w:val="18"/>
                <w:szCs w:val="18"/>
                <w:lang w:bidi="ar"/>
              </w:rPr>
              <w:t>2018</w:t>
            </w:r>
            <w:r>
              <w:rPr>
                <w:rFonts w:hint="eastAsia" w:ascii="宋体" w:hAnsi="宋体" w:cs="宋体"/>
                <w:color w:val="auto"/>
                <w:kern w:val="0"/>
                <w:sz w:val="18"/>
                <w:szCs w:val="18"/>
                <w:lang w:bidi="ar"/>
              </w:rPr>
              <w:t>年</w:t>
            </w:r>
            <w:r>
              <w:rPr>
                <w:rFonts w:ascii="宋体" w:hAnsi="宋体" w:cs="Calibri"/>
                <w:color w:val="auto"/>
                <w:kern w:val="0"/>
                <w:sz w:val="18"/>
                <w:szCs w:val="18"/>
                <w:lang w:bidi="ar"/>
              </w:rPr>
              <w:t>X86</w:t>
            </w:r>
            <w:r>
              <w:rPr>
                <w:rFonts w:hint="eastAsia" w:ascii="宋体" w:hAnsi="宋体" w:cs="宋体"/>
                <w:color w:val="auto"/>
                <w:kern w:val="0"/>
                <w:sz w:val="18"/>
                <w:szCs w:val="18"/>
                <w:lang w:bidi="ar"/>
              </w:rPr>
              <w:t>服务器中国市场销售市场占有率前三，提供</w:t>
            </w:r>
            <w:r>
              <w:rPr>
                <w:rFonts w:ascii="宋体" w:hAnsi="宋体" w:cs="Calibri"/>
                <w:color w:val="auto"/>
                <w:kern w:val="0"/>
                <w:sz w:val="18"/>
                <w:szCs w:val="18"/>
                <w:lang w:bidi="ar"/>
              </w:rPr>
              <w:t>IDC</w:t>
            </w:r>
            <w:r>
              <w:rPr>
                <w:rFonts w:hint="eastAsia" w:ascii="宋体" w:hAnsi="宋体" w:cs="宋体"/>
                <w:color w:val="auto"/>
                <w:kern w:val="0"/>
                <w:sz w:val="18"/>
                <w:szCs w:val="18"/>
                <w:lang w:bidi="ar"/>
              </w:rPr>
              <w:t>出具的证明文件</w:t>
            </w:r>
            <w:r>
              <w:rPr>
                <w:rFonts w:ascii="宋体" w:hAnsi="宋体" w:cs="Calibri"/>
                <w:color w:val="auto"/>
                <w:kern w:val="0"/>
                <w:sz w:val="18"/>
                <w:szCs w:val="18"/>
                <w:lang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等线"/>
                <w:color w:val="auto"/>
                <w:sz w:val="18"/>
                <w:szCs w:val="18"/>
              </w:rPr>
            </w:pP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2.为保证系统可持续发展及架构领先，制造厂商具备业界引导实力，为</w:t>
            </w:r>
            <w:r>
              <w:rPr>
                <w:rFonts w:ascii="宋体" w:hAnsi="宋体" w:cs="Calibri"/>
                <w:color w:val="auto"/>
                <w:kern w:val="0"/>
                <w:sz w:val="18"/>
                <w:szCs w:val="18"/>
                <w:lang w:bidi="ar"/>
              </w:rPr>
              <w:t xml:space="preserve">SPEC OSSC </w:t>
            </w:r>
            <w:r>
              <w:rPr>
                <w:rFonts w:hint="eastAsia" w:ascii="宋体" w:hAnsi="宋体" w:cs="宋体"/>
                <w:color w:val="auto"/>
                <w:kern w:val="0"/>
                <w:sz w:val="18"/>
                <w:szCs w:val="18"/>
                <w:lang w:bidi="ar"/>
              </w:rPr>
              <w:t>执行委员，提供组织方证明文件，并加盖厂商公章；</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等线"/>
                <w:color w:val="auto"/>
                <w:sz w:val="18"/>
                <w:szCs w:val="18"/>
              </w:rPr>
            </w:pP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3.为保证技术成熟度，制造商在计算机系统领域获得过国家科学进步一等奖，并出具证明文件</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auto"/>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安全可靠</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支持原厂商服务器系统安全加固软件，提供服务器操作系统安全增强软件的公安部销售许可证。</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auto"/>
                <w:sz w:val="20"/>
                <w:szCs w:val="20"/>
              </w:rPr>
            </w:pP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大数据-安全</w:t>
            </w:r>
          </w:p>
        </w:tc>
      </w:tr>
      <w:tr>
        <w:tblPrEx>
          <w:tblCellMar>
            <w:top w:w="0" w:type="dxa"/>
            <w:left w:w="0" w:type="dxa"/>
            <w:bottom w:w="0" w:type="dxa"/>
            <w:right w:w="0" w:type="dxa"/>
          </w:tblCellMar>
        </w:tblPrEx>
        <w:trPr>
          <w:trHeight w:val="2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类型</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指标要求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168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全流量深度威胁检测平台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标准2U机架式平台和安全操作系统，6个千兆电口（1个管理口，含2个探针口），支持1个接口板扩展槽位，存储容量4TB，冗余电源。可支持2.5G网络流量的实时接收采集（多路），以深度流分析技术为基础， 结合DPI、日志分析等技术以一体化融合的威胁识别技术为客户提供资产持续监测、恶意流量发现、违规流量检测、故障流量定位，网络流量分析、历史流量回溯取证等功能，本次配置20个资产管理数，提供三年免费软件维护升级服务，提供三年硬件保修和技术支持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12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WEB</w:t>
            </w:r>
            <w:r>
              <w:rPr>
                <w:rFonts w:hint="eastAsia" w:ascii="宋体" w:hAnsi="宋体" w:cs="宋体"/>
                <w:color w:val="auto"/>
                <w:kern w:val="0"/>
                <w:sz w:val="18"/>
                <w:szCs w:val="18"/>
                <w:lang w:bidi="ar"/>
              </w:rPr>
              <w:t>应用防火墙</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标准1U设备，单电源，具备1个10/100M管理接口，1个10/100/1000M HA口，4个10/100/1000M 业务口（支持bypass），含3个接口永久使用授权，支持一个扩展插槽。设备网络层吞吐率：5G，应用层吞吐率：</w:t>
            </w:r>
            <w:r>
              <w:rPr>
                <w:rFonts w:ascii="宋体" w:hAnsi="宋体" w:cs="等线"/>
                <w:color w:val="auto"/>
                <w:kern w:val="0"/>
                <w:sz w:val="18"/>
                <w:szCs w:val="18"/>
                <w:lang w:bidi="ar"/>
              </w:rPr>
              <w:t>2G</w:t>
            </w:r>
            <w:r>
              <w:rPr>
                <w:rFonts w:hint="eastAsia" w:ascii="宋体" w:hAnsi="宋体" w:cs="宋体"/>
                <w:color w:val="auto"/>
                <w:kern w:val="0"/>
                <w:sz w:val="18"/>
                <w:szCs w:val="18"/>
                <w:lang w:bidi="ar"/>
              </w:rPr>
              <w:t>，最大HTTP并发连接数：280万，每秒新建HTTP连接数：3万，提供硬件三年保修和技术支持服务，提供三年应用特征库升级服务。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EDR</w:t>
            </w:r>
            <w:r>
              <w:rPr>
                <w:rFonts w:hint="eastAsia" w:ascii="宋体" w:hAnsi="宋体" w:cs="宋体"/>
                <w:color w:val="auto"/>
                <w:kern w:val="0"/>
                <w:sz w:val="18"/>
                <w:szCs w:val="18"/>
                <w:lang w:bidi="ar"/>
              </w:rPr>
              <w:t>系统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支持Windows客户端，Linux客户端，虚拟化平台，支持统一管理平台，终端威胁管理，支持漏洞修复及补丁分发，支持与APT联动，支持病毒库更新，提供三年技术支持服务，三年应用特征库升级服务。本次配置100个终端资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12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大数据态势感知系统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硬件平台2U上架设备，1个RJ45 Console口，4个10/100/1000 Base-T网络接口，冗余电源，8T容量硬盘，含嵌入式软件，具有4个扩展卡插槽，含第一年的功能模块（包括但不限于：APT检测引擎模块、IDS检测引擎模块、专业WEB服务器攻击检测模块、病毒检测引擎模块等）升级授权。默认开启整机监听口授权，提供三年硬件保修和技术支持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32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堡垒机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标准1U机架式软硬一体设备，单电源，内存：4G；物理存储：1TB；具备：6个千兆电口，一个扩展插槽，并发会话数：字符协议700个；图形协议200个；可管理设备数不少于500台；本次配置50台个资源管理数，提供硬件三年保修和技术支持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192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auto"/>
                <w:sz w:val="18"/>
                <w:szCs w:val="18"/>
              </w:rPr>
            </w:pPr>
            <w:r>
              <w:rPr>
                <w:rFonts w:ascii="宋体" w:hAnsi="宋体" w:cs="等线"/>
                <w:color w:val="auto"/>
                <w:kern w:val="0"/>
                <w:sz w:val="18"/>
                <w:szCs w:val="18"/>
                <w:lang w:bidi="ar"/>
              </w:rPr>
              <w:t>APT</w:t>
            </w:r>
            <w:r>
              <w:rPr>
                <w:rFonts w:hint="eastAsia" w:ascii="宋体" w:hAnsi="宋体" w:cs="宋体"/>
                <w:color w:val="auto"/>
                <w:kern w:val="0"/>
                <w:sz w:val="18"/>
                <w:szCs w:val="18"/>
                <w:lang w:bidi="ar"/>
              </w:rPr>
              <w:t>攻击预警平台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硬件平台，2U上架设备，1个RJ-232 Console口，4个10/100/1000 Base-T网络接口，冗余电源，2T容量硬盘，含嵌入式软件，设备整机吞吐量≥4G，动态处理文件性能≥15000个/天，提供硬件三年保修和技术支持服务，提供三年应用特征库升级服务。★其他要求 提供硬件三年保修和技术支持服务，提供三年应用特征库升级服务，厂商具备国家保密局颁发的涉及国家秘密的计算机信息系统集成甲级资质和《信息系统集成及服务资质证书》壹级证书，提供证书复印件，加盖厂商公章。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★资质要求 具备公安部颁发的《安全专用产品销售许可证》 </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大数据基础系统</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auto"/>
                <w:sz w:val="20"/>
                <w:szCs w:val="20"/>
              </w:rPr>
            </w:pPr>
            <w:r>
              <w:rPr>
                <w:rFonts w:ascii="等线" w:hAnsi="等线" w:eastAsia="等线" w:cs="等线"/>
                <w:color w:val="auto"/>
                <w:kern w:val="0"/>
                <w:sz w:val="20"/>
                <w:szCs w:val="20"/>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功能模块</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功能列表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功能描述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数据源管理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数据库管理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对采集、融合需要的关系型数据库信息维护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数据源管理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采集、融合的数据来源信息和目标信息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校验资源库</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对原始数据进行校验，不符合校验规则的数据的存储数据库；</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复制资源库</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将原始来源的数据交换复制存储的数据库，不对原始数据做任何改变；</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表管理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对采集、融合需要的关系型数据库的表信息维护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文件管理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对采集、融合需要的文件类型数据源信息维护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数据源管理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对采集、融合需要的数据的来源信息和目标信息维护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auto"/>
                <w:sz w:val="18"/>
                <w:szCs w:val="18"/>
              </w:rPr>
            </w:pPr>
            <w:r>
              <w:rPr>
                <w:rFonts w:hint="eastAsia" w:ascii="宋体" w:hAnsi="宋体" w:cs="宋体"/>
                <w:color w:val="auto"/>
                <w:kern w:val="0"/>
                <w:sz w:val="18"/>
                <w:szCs w:val="18"/>
                <w:lang w:bidi="ar"/>
              </w:rPr>
              <w:t>采集、融合的接口类型数据信息维护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rest接口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采集、融合的rest接口类型数据信息维护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webservice接口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采集、融合的webservice接口类型数据信息维护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数据采集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采集节点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数据采集流程运行的机器信息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流程管理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设计数据采集业务流程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流程日志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数据采集流程的运行日志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数据融合</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规则管理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融合流程可使用基础规则和自定义脚本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融合节点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数据清洗流程运行机器信息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流程管理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设计数据清洗业务流程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流程日志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数据清洗流程的运行日志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数据融合分析</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数据分析管理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对采集、清洗后的数据通过配置化的方式生成图表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业务对象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采集、清洗后的数据生成图表的数据源信息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业务对象授权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生成的图表赋权给指定的机构</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图表数据源配置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数据库现有数据通过配置生成图表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可视化图标配置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配置图表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可视化图表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配置的图表展示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插件管理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采集插件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数据采集流程具备的插件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数据库</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操作数据库类型数据的插件分类</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Rest查询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采集rest接口类型数据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DB表查询(全量)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以全量方式采集关系型数据库类型数据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DB表查询(增量)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以增量方式采集关系型数据库类型数据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DB更新表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更新关系型数据库类型表插件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以全量方式采集ES数据插件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DB更新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插入数据到ES插件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数据统计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统计数据量等信息的插件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子流程</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一个流程内部可拆分为多个小的子流程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子流程中的查询数据库类型数据的插件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关系型数据库的数据进行分解供子流程使用（全量）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关系型数据库的数据进行分解供子流程使用（增量）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子流程中的查询ES的数据的插件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ES的数据进行分解供子流程使用（全量）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ES的数据进行分解供子流程使用（增量）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加密解密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数据采集、清洗过程中可进行加密解密操作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数据解密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数据采集、清洗过程中对加密的数据进行解密操作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数据加密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数据采集、清洗过程中对加密的数据进行加密操作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融合插件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融合流程具备的插件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子流程</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一个融合流程内部可拆分为多个小的子流程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关系型数据库的数据进行分解供子流程使用（全量）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关系型数据库的数据进行分解供子流程使用（增量）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子流程中的查询ES的数据的插件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ES的数据进行分解供子流程使用（全量）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ES的数据进行分解供子流程使用（增量）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融合子流程中的查询数据库类型数据的插件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输入插件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读取数据的插件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DB表查询(全量)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以全量方式采集关系型数据库类型数据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DB表查询(增量)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以增量方式采集关系型数据库类型数据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以全量方式采集ES数据插件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Excel导入（全量）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从excel文件读取数据（全量）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Excel导入（增量）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从excel文件读取数据（增量）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csv导入（全量）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从csv文件读取数据（全量）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csv导入（增量）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从csv文件读取数据（增量）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文本导入（增量）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从文本文件读取数据（增量）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数据统计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统计数据量等信息的插件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Rest查询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读取rest接口类型数据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webService查询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读取webservice接口类型数据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输出插件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数据入库的插件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DB表输出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数据保存到关系型数据库的插件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DB表同步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同步源数据到关系型数据库的插件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DB输出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数据保存到ES的插件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Excel输出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数据保存到excel的插件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转换插件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清洗数据插件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数值计算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数值类型数据计算值</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内容替换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字段值内容值的匹配替换</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字段赋值</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给字段赋值</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字符串拼接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字符串类型字段值拼接</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字符串分割</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字符串类型字段值分割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条件过滤</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根据指定的条件对数据进行过滤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数据去重</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数据内容去重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重复数据标记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对重复数据打标记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数据聚合</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多个表的数据汇聚为一个表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数据交集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对多个表的数据求交集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添加字段</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对表添加字段</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java脚本</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使用自定义个java脚本的插件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规则脚本</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使用自定义个规则脚本的插件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平台管理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用户管理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对用户信息进行维护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用户启用禁用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维护用户的状态</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启用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启用状态的用户才可以使用系统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禁用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禁用状态的用户不可以使用系统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角色管理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维护用户角色信息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用户授权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对一个用户同时授予多个角色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角色授权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把一个角色同时授予多个用户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菜单授权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把指定的多个菜单授予一个角色，拥有这个角色的用户就能使用这些菜单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审计日志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所有用户操作系统的日志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服务器管理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管理数据采集、融合流程可使用的服务器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资源包管理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管理数据采集、融合流程需要的资源包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部署应用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部署资源包任务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功能管理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系统所有接口信息维护（系统初始化时）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菜单功能管理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维护系统菜单对应的后台接口（系统初始化时）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任务调度</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任务管理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自定义定时任务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任务调度</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管理定时任务的时效、频率等信息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任务监控</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自定义的定时任务运行监控</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内部任务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管理系统内部的定时任务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大数据资产服务系统</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功能模块</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功能列表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功能描述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资源编目</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资源添加</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通过资源编目的方式添加数据资源信息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目录撤销</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对已经发布的目录进行撤销操作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目录固定授权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固定的目录申请，授权操作方式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目录动态授权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根据一定的规则，对符合条件的情况进行目录动态自动授权</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目录授权审批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对已经发布的目录进行审批授权操作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目录授权撤销</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对已经授权的目录权限进行撤销</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目录权限检查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检查已经授权的目录访问权限信息；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编目信息手动发布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通过手动的方式将编目信息发布到数据门户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编目信息自动发布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以自动的方式将编目信息发布到数据门户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编目信息状态同步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同步编目信息状态到数据门户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目录检索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通过目录进行检索</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目录检索结果提取</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提前检索目录对应的资源目录树和列表信息内容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基本查询（一般网页查询）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通过搜索栏检索页面内容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自定义查询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通过自定义查询的方式提取检索结果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集中式查询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通过集中式查询的方式提取检索结果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分布式查询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通过分布式查询的方式提取检索结果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查询结果树形显示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在资源目录树显示具体是资源目录信息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查询结果列表显示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在资源列表显示具体是资源列表信息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非授权用户结果显示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展示资源编目的非授权用户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查询服务引擎</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提供模糊查询服务的相关引擎</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服务接口</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应用注册</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为相关的角色注册应用并且管理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接口列表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将平台内部资源封装为接口以列表展示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对系统内的接口进行基于应用的授权</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接口接入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将平台外部数据资源进行转发封装为标准统一的接口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接口监控日志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对接口的连接状态和调用信息进行监控统计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接口调用示例</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为用户提供接口调用的示例内容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接口调试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调试接口信息，对接口进行管理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接口协议转换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提供web service类型接口转换为rest接口的协议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数据请求处理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表达式的解析和计算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对已经配置的数据处理表达式进行规则解析并进行计算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表达式的管理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对数据请求的表达式管理操作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数据校验</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根据一定的规则，对数据进行校验</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分配赋值</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对某一字段直接进行赋值操作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计算字段</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对数据库资源进行四则运算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安全管理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虚拟层权限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对数据逻辑层，虚拟层进行权限操作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库权限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对数据库的访问权限进行授权管理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表权限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对数据表的访问权限进行授权管理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字段权限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对数据表中字段权限进行授权管理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记录权限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对权限操作日志进行记录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元数据管理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数据来源元数据管理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对平台中数据来源元数据管理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数据变迁元数据管理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数据治理过程中元数据变化的动态管理及调整；</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信息资源元数据管理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对数据信息资源的元数据进行各种管理功能</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系统运行元数据管理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对软件系统运行过程中的相关内容进行元数据管理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标准化管理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数据元管理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通过标准化规范管理数据元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数据字典管理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使用数据字典对平台进行标准管理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核心模型管理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基于标准化规范管理数据核心模型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right"/>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资源审批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资源审批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对资源申请（如，数据门户的申请）进行审批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数据管理中心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主题库目录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对主题库目录进行管理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数据浏览</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提供平台数据内容的展示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数据融合管理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对平台数据融合进行管理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清晰规则</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基于标准化规范管理数据核心模型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对比规则</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对平台数据的对比规则进行管理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资源发布管理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对平台数据的资源发布进行管理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原始数据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对平台原始数据进行管理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主题数据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对平台主题数据进行管理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服务管理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对平台数据的服务进行管理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应用注册</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对平台数据的应用注册进行管理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服务定义</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对平台数据的服务定义进行管理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服务授权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对平台数据的服务授权进行管理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调用日志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对平台数据的调用日志进行记录查看等管理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审批中心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对平台数据的审批中心中相关的审批进行管理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数据审批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对平台数据的数据审批进行管理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服务审批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对平台数据的服务审批进行管理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auto"/>
                <w:sz w:val="18"/>
                <w:szCs w:val="18"/>
              </w:rPr>
            </w:pPr>
            <w:r>
              <w:rPr>
                <w:rFonts w:hint="eastAsia" w:ascii="宋体" w:hAnsi="宋体" w:cs="Calibri"/>
                <w:color w:val="auto"/>
                <w:sz w:val="18"/>
                <w:szCs w:val="18"/>
              </w:rPr>
              <w:t>1</w:t>
            </w: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hAnsi="宋体" w:cs="宋体"/>
                <w:color w:val="auto"/>
                <w:sz w:val="18"/>
                <w:szCs w:val="18"/>
              </w:rPr>
              <w:t>大数据指挥大厅平台管理系统</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产品名称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功能模块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功能描述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数量</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指挥中心权限管理系统</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组织结构管理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许昌经开区各级别组织结构维护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人员管理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指挥大厅工作人员信息管理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设备管理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指挥大厅设备管理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账号管理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人员与账号对应关系维护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接入系统管理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各业务系统接入维护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功能及权限配置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用户可使用功能和数据权限管理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使用日志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等线"/>
                <w:color w:val="auto"/>
                <w:sz w:val="18"/>
                <w:szCs w:val="18"/>
              </w:rPr>
            </w:pPr>
            <w:r>
              <w:rPr>
                <w:rFonts w:ascii="宋体" w:hAnsi="宋体" w:cs="等线"/>
                <w:color w:val="auto"/>
                <w:kern w:val="0"/>
                <w:sz w:val="18"/>
                <w:szCs w:val="18"/>
                <w:lang w:bidi="ar"/>
              </w:rPr>
              <w:t>日志记录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系统账户接口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系统账户接口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指挥中心坐席终端授权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用户登录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用户登录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人脸识别验证模块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人脸识别验证模块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业务系统选择入口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业务系统选择入口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业务系统统一认证模块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业务系统统一认证模块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指挥中心坐席控制系统</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auto"/>
                <w:sz w:val="18"/>
                <w:szCs w:val="18"/>
              </w:rPr>
            </w:pPr>
            <w:r>
              <w:rPr>
                <w:rFonts w:hint="eastAsia" w:ascii="宋体" w:hAnsi="宋体" w:cs="宋体"/>
                <w:color w:val="auto"/>
                <w:kern w:val="0"/>
                <w:sz w:val="18"/>
                <w:szCs w:val="18"/>
                <w:lang w:bidi="ar"/>
              </w:rPr>
              <w:t>大屏展示内容切换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大屏展示内容切换</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音响系统控制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音响系统控制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照明系统控制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照明系统控制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空调系统控制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空调系统控制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门禁控制系统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门禁控制系统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指挥中心数据融合展示系统</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一级数据展示内容定制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综合大屏内容显示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二级数据钻取内容展示定制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二级数据钻取内容展示定制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分屏信息展示内容配置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大屏内容分主题内容分屏显示设定</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数据预处理引擎</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展示数据信息前置处理模块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数据融合引擎</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多业务系统融合展示设置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数据预警模式管理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异常数据触发模式设定（短信、警灯、消息推送）</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数据信息响应管理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配置哪些数据需要重点处理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异常响应责任管理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相关主题异常数据责任组织、责任人配置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bl>
    <w:p>
      <w:pPr>
        <w:jc w:val="center"/>
        <w:rPr>
          <w:b/>
          <w:bCs/>
          <w:color w:val="auto"/>
          <w:sz w:val="28"/>
          <w:szCs w:val="28"/>
        </w:rPr>
      </w:pPr>
    </w:p>
    <w:p>
      <w:pPr>
        <w:jc w:val="center"/>
        <w:rPr>
          <w:rFonts w:hint="eastAsia"/>
          <w:b/>
          <w:bCs/>
          <w:color w:val="auto"/>
          <w:sz w:val="28"/>
          <w:szCs w:val="28"/>
        </w:rPr>
      </w:pPr>
    </w:p>
    <w:p>
      <w:pPr>
        <w:jc w:val="center"/>
        <w:rPr>
          <w:b/>
          <w:bCs/>
          <w:color w:val="auto"/>
          <w:sz w:val="28"/>
          <w:szCs w:val="28"/>
        </w:rPr>
      </w:pPr>
    </w:p>
    <w:p>
      <w:pPr>
        <w:jc w:val="center"/>
        <w:rPr>
          <w:b/>
          <w:bCs/>
          <w:color w:val="auto"/>
          <w:sz w:val="28"/>
          <w:szCs w:val="28"/>
        </w:rPr>
      </w:pPr>
      <w:r>
        <w:rPr>
          <w:rFonts w:hint="eastAsia"/>
          <w:b/>
          <w:bCs/>
          <w:color w:val="auto"/>
          <w:sz w:val="28"/>
          <w:szCs w:val="28"/>
        </w:rPr>
        <w:t>智慧联动中心及附属空间材料设备采购及安装清单</w:t>
      </w:r>
    </w:p>
    <w:tbl>
      <w:tblPr>
        <w:tblStyle w:val="24"/>
        <w:tblW w:w="8788" w:type="dxa"/>
        <w:tblInd w:w="0" w:type="dxa"/>
        <w:tblLayout w:type="autofit"/>
        <w:tblCellMar>
          <w:top w:w="0" w:type="dxa"/>
          <w:left w:w="0" w:type="dxa"/>
          <w:bottom w:w="0" w:type="dxa"/>
          <w:right w:w="0" w:type="dxa"/>
        </w:tblCellMar>
      </w:tblPr>
      <w:tblGrid>
        <w:gridCol w:w="315"/>
        <w:gridCol w:w="915"/>
        <w:gridCol w:w="6030"/>
        <w:gridCol w:w="555"/>
        <w:gridCol w:w="973"/>
      </w:tblGrid>
      <w:tr>
        <w:tblPrEx>
          <w:tblCellMar>
            <w:top w:w="0" w:type="dxa"/>
            <w:left w:w="0" w:type="dxa"/>
            <w:bottom w:w="0" w:type="dxa"/>
            <w:right w:w="0" w:type="dxa"/>
          </w:tblCellMar>
        </w:tblPrEx>
        <w:trPr>
          <w:trHeight w:val="545"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采购内容</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规格型号及安装方式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单位</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数量</w:t>
            </w:r>
          </w:p>
        </w:tc>
      </w:tr>
      <w:tr>
        <w:tblPrEx>
          <w:tblCellMar>
            <w:top w:w="0" w:type="dxa"/>
            <w:left w:w="0" w:type="dxa"/>
            <w:bottom w:w="0" w:type="dxa"/>
            <w:right w:w="0" w:type="dxa"/>
          </w:tblCellMar>
        </w:tblPrEx>
        <w:trPr>
          <w:trHeight w:val="251"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电气部分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1.名称:照明配电箱1AL主户箱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2.规格:1000*1000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3.安装方式:明装 距地1.6米</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1.名称:多功能会议厅配电箱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2.规格:430*550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 距地1.6米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1.名称:指挥大厅配电箱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2.规格:430*550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3.安装方式:距地1.6米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1.名称:办公室1配电箱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2.规格:300*450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 距地1.6米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1.名称:办公室2配电箱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2.规格:300*450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3.安装方式:距地1.6米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349"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1.名称:卫生间配电箱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2.规格:300*450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3.安装方式:距地1.6米</w:t>
            </w:r>
            <w:r>
              <w:rPr>
                <w:rFonts w:hint="eastAsia" w:ascii="宋体"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1.名称:值班室配电箱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2.规格:300*450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3.安装方式:距地1.6米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4.接线端子 4mm2、2.5mm2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1.名称:室外空调主机配电箱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2.规格:300*450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3.安装方式:距地1.6米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桥架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1.名称:桥架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 200*100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179.99</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小电器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1.名称;300*300换风扇</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1.名称：单联单控开关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2.安装方式：距地1.3m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1.名称：双联单控开关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2.安装方式：距地1.3m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1.名称：三联单控开关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2.安装方式：距地1.3m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1.名称:中央空调控制面板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2.安装方式:距地1.3米</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插座</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1.名称:单相二、三极插座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2.型号:250V 10A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3.安装高度:距地0.3m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34</w:t>
            </w:r>
          </w:p>
        </w:tc>
      </w:tr>
      <w:tr>
        <w:tblPrEx>
          <w:tblCellMar>
            <w:top w:w="0" w:type="dxa"/>
            <w:left w:w="0" w:type="dxa"/>
            <w:bottom w:w="0" w:type="dxa"/>
            <w:right w:w="0" w:type="dxa"/>
          </w:tblCellMar>
        </w:tblPrEx>
        <w:trPr>
          <w:trHeight w:val="639"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2.规格:YJV-4x50+1x25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3.材质:铜芯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4.敷设方式：室内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100</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2.规格:YJV-4x25+1x16</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3.材质:铜芯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4.敷设方式：室内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2.规格:YJV-5x16</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3.材质:铜芯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4.敷设方式：室内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53.19</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2.规格:YJV-5x10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3.材质:铜芯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4.敷设方式：室内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109.86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2.规格:YJV-4x50+1x25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2.规格:YJV-4x25+1*16</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2.规格:YJV-5x16</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1.名称:电力电缆头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2.规格:YJV-5x10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 JDG50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3.配置形式：明敷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23.03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 JDG50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3.配置形式：暗敷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14.88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 JDG20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3.配置形式：明敷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746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 JDG20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3.配置形式：暗敷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2.配线形式：管内敷设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3.规格型号：BV-10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39.37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2.配线形式：管内敷设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3.规格型号：BV-6</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124.02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2.配线形式：管内敷设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3.规格型号：BV-2.5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1257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1.名称：电气配线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2.配线形式：管内敷设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3.规格型号：BV-4</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1346.91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接线盒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1.名称:地面插座接线盒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2.材质;钢制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接线盒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1.名称:开关、插座盒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2.材质;钢制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接线盒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1.名称:接线盒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2.材质;钢制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189</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1.名称:LED筒灯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2.型号:直径12cm,9W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3.安装方式:嵌入式安装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1.名称:双头可调节射灯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2.型号:面经310mm*165mm，15W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3.安装方式:嵌入式安装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1.名称:三头可调节射灯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2.型号:面经425mm*165mm，15W</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3.安装方式:嵌入式安装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 灯带</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55.28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普通灯具</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 长条吊灯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凿（压)槽</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1.名称:剔砖槽</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打洞（孔）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1.名称:打洞（孔）</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2.规格:200*100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3.堵洞</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送配电装置系统</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1.送配电装置系统调试</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系统</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给排水部分</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2.介质：给水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3.材质、规格：PPR管De32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4.连接形式:热熔</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5.消毒冲洗</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2.介质：给水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3.材质、规格：PPR管De25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4.连接形式:热熔</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5.消毒冲洗</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29.4</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2.介质：排水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3.材质、规格：UPVC管 De110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4.连接形式:粘接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5.阻火圈设计要求：按设计要求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10.78</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2.介质：排水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3.材质、规格：UPVC管 De75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4.连接形式:粘接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5.阻火圈设计要求：按设计要求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7.15</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2.介质：排水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3.材质、规格：UPVC管 De50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4.连接形式:粘接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5.阻火圈设计要求：按设计要求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大便器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1.名称:坐便（含五金配件）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大便器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1.名称:蹲便（含五金配件）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小便器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1.名称:智能感应小便器（含五金配件）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给、排水附(配)件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1.名称:地漏</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给、排水附(配)件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1.名称:洗手台水龙头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给、排水附(配)件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1.名称:拖布池水龙头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2.型号、规格:DN15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凿（压)槽</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1.剔砖槽</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23.88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新风系统</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1.名称:双向流新风机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2.型号: CVD2-2500J </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1.名称:外墙侧送风口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2.规格:320*200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2.规格:300*300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1.名称:单层活动百叶风口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2.规格:400*400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2.规格:250*250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1.名称:单层活动百叶风口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2.规格:500*160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2.规格:200*160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2.规格:250*120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10.56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2.规格:320*160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5.73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2.规格:320*200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2.规格:400*160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8.85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2.规格:400*200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12.71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2.规格:500*200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41.57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2.规格:630*200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45.28</w:t>
            </w:r>
          </w:p>
        </w:tc>
      </w:tr>
      <w:tr>
        <w:tblPrEx>
          <w:tblCellMar>
            <w:top w:w="0" w:type="dxa"/>
            <w:left w:w="0" w:type="dxa"/>
            <w:bottom w:w="0" w:type="dxa"/>
            <w:right w:w="0" w:type="dxa"/>
          </w:tblCellMar>
        </w:tblPrEx>
        <w:trPr>
          <w:trHeight w:val="267"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空调部分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1.名称:风机盘管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2.型号:FP-102WA-Y</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3.安装形式:吊顶式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1.名称:风机盘管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2.型号:FP-204WA-Y</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3.安装形式:吊顶式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1.名称:风机盘管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2.型号:FP-238WA-Z</w:t>
            </w:r>
            <w:r>
              <w:rPr>
                <w:rFonts w:hint="eastAsia" w:ascii="宋体"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3.安装形式:吊顶式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1.名称:单层活动百叶风口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2.规格:900*300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2.规格:800*200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1.名称:单层活动百叶风口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2.规格:1600*300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2.规格:1600*200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1.名称:双层活动百叶风口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2.规格:1500*200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2.规格:900*150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6.55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2.规格:1600*150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7.58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1.名称:A6钢面型酚醛复合风管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2.规格:1800*150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92.41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51.48</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28.09</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3.规格、压力等级;DN32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8.55</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3.规格、压力等级;DN50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6.63</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3.规格、压力等级;DN70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焊接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2.材质;镀锌钢管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3.规格、压力等级;DN80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28.23</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2.材质;UPVC管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36.95</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2.材质;UPVC管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3.规格、压力等级;DN25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4.32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2.材质;UPVC管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3.规格、压力等级;DN32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10.87</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1.安装部位;室内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2.材质;UPVC管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3.规格、压力等级;DN40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14.26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管道绝热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1.绝热材料品种:难燃B1级发泡橡塑保温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2.管道外径:DN80以下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0.52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管道绝热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1.绝热材料品种:难燃B1级发泡橡塑保温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2.管道外径:DN50以下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0.75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焊接法兰阀门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1.类型:蝶阀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2.规格、压力等级:DN80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3.连接形式:焊接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螺纹阀门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1.类型:铜球阀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2.规格、压力等级:DN20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软接头(软管）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1.类型:不锈钢软连接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2.规格、压力等级:DN20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螺纹阀门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1.类型:Y型过滤器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2.规格、压力等级:DN20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螺纹阀门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1.类型:手动放气阀</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2.规格、压力等级:按设计要求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管道支架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1、名称：管道支架制作安装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2、工作内容：除锈后刷银粉漆两道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kg</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74.57</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墙体部分</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实心砖墙</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1.部位：茶水间门洞处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2.墙体规格：120墙体，高度5.2m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0.468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基础梁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1.混凝土种类:商砼</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2.混凝土强度等级:C20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3.混凝土运距:自行考虑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0.254</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过梁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1.混凝土种类:商砼</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2.混凝土强度等级:C20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3.混凝土运距:自行考虑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4.型材4*4*3角钢</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0.2784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墙面一般抹灰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1.名称 普通砖墙凿门洞处墙面抹灰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 砖墙 240+两侧抹灰层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3.加固钢丝网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r>
      <w:tr>
        <w:tblPrEx>
          <w:tblCellMar>
            <w:top w:w="0" w:type="dxa"/>
            <w:left w:w="0" w:type="dxa"/>
            <w:bottom w:w="0" w:type="dxa"/>
            <w:right w:w="0" w:type="dxa"/>
          </w:tblCellMar>
        </w:tblPrEx>
        <w:trPr>
          <w:trHeight w:val="19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1.部位：多功能会议厅与办公室交接隔墙、指挥大厅于过道交接隔墙（一侧为硬包，一侧为壁布，面层另见清单项）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2.高度：5.2m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3.150隔墙轻钢龙骨骨架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4.内填充隔音岩棉，厚50mm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5.一侧双层18mm细木工板基层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6.一侧9mm厚双层石膏板封面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7.石膏板缝隙做纸胶带补缝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82.176</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1.部位：多功能会议厅与指挥大厅交接隔墙（两侧均为硬包，面层另见清单项）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2.高度：5.2m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3.150隔墙轻钢龙骨骨架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4.内填充隔音岩棉，厚50mm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5.两侧双层18mm细木工板基层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46.145</w:t>
            </w:r>
          </w:p>
        </w:tc>
      </w:tr>
      <w:tr>
        <w:tblPrEx>
          <w:tblCellMar>
            <w:top w:w="0" w:type="dxa"/>
            <w:left w:w="0" w:type="dxa"/>
            <w:bottom w:w="0" w:type="dxa"/>
            <w:right w:w="0" w:type="dxa"/>
          </w:tblCellMar>
        </w:tblPrEx>
        <w:trPr>
          <w:trHeight w:val="16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1.部位：办公室/值班室与过道交接隔墙（两侧为壁布，面层另见清单项）</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2.高度：5.2m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3.75隔墙轻钢龙骨骨架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4.内填充隔音岩棉，厚50mm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5.两侧9mm厚双层石膏板封面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6.石膏板缝隙做纸胶带补缝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62.44</w:t>
            </w:r>
          </w:p>
        </w:tc>
      </w:tr>
      <w:tr>
        <w:tblPrEx>
          <w:tblCellMar>
            <w:top w:w="0" w:type="dxa"/>
            <w:left w:w="0" w:type="dxa"/>
            <w:bottom w:w="0" w:type="dxa"/>
            <w:right w:w="0" w:type="dxa"/>
          </w:tblCellMar>
        </w:tblPrEx>
        <w:trPr>
          <w:trHeight w:val="16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1.部位：机房新建隔墙（双面）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2.高度：5.2m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3.隔墙轻钢龙骨骨架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4.内填50mm充防火岩棉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5.12mm石膏板封面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6.彩钢压型墙板0.5mm厚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7.石膏板缝隙做纸胶带补缝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116.22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玻璃隔断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1.部位：多功能会议厅与指挥厅交界处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2.材质：雾化调光玻璃隔断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3.高度：3.6m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23.76</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指挥大厅部分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零星砌砖</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1.零星砌体 指挥大厅主席台地台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2.水泥砂浆抹灰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3.15mm厚实木踏步板，胡桃木饰面板饰面工艺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6.45</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1.800*800珍珠米白地砖铺贴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4.20厚水泥砂浆粘结层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173.15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地毯楼地面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1.地面防静电带垫地毯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173.15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1.材质：80mm高1.5mm黑色拉丝不锈钢踢脚线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4.518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石材墙面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1.部位：指挥大厅显示屏背景墙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2.镀锌钢结构基层框架，外挂黑金沙石材装饰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3.中填隔音棉</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57.6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1.原有墙体硬包造型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2.12mm多层板基层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49.52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1.新建墙体面层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2.硬包造型厚度15mm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60.57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柱面装饰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1.原立柱硬包造型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2.12mm多层板及基层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17.28</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柱（梁）面装饰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1.新建立柱造型爵士白石材干挂装饰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2.规格厚度：20mm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3.双层18木工板造型基层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4.8#镀锌槽钢、5#镀锌角铁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5.5mm*5mm石材倒角</w:t>
            </w:r>
            <w:r>
              <w:rPr>
                <w:rFonts w:hint="eastAsia" w:ascii="宋体"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6.部位:指挥大厅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15.4</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1.天棚艺术吊顶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4.凹龛18mm细木工板造型，刷防火涂料三遍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6.石膏板吊顶做纸胶带补缝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172.2568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173.15</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多功能会议厅</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1.窗帘盒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2.18mm细木工板基层，防火涂料三遍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1.800*800珍珠米白地砖铺贴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4.20厚水泥砂浆粘结层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120.6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地毯楼地面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1.地面防静电带垫地毯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120.6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1.材质：80mm高1.5mm黑色拉丝不锈钢踢脚线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4.652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石材墙面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1.大屏背景石材品种：黑金沙</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2.规格厚度：20mm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3.钢挂石材钢骨架40*40*5mm镀锌角钢、40*40*5mm镀锌方钢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4.中填隔音棉</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25.92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柱（梁）面装饰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1.新建3mm原木纹立柱（实木，胡桃木饰面板工艺）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2.18mm厚细木工板框架造型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3.5#镀锌角钢连接加固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7.056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柱面装饰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1.原立柱硬包造型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2.12mm多层板及基层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25.95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1.新建墙体面层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2.硬包造型厚度15mm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51.178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1.原有墙体硬包造型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2.12mm多层板及基层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19.04</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红旗墙红旗底座及边框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val="en-US" w:eastAsia="zh-CN" w:bidi="ar"/>
              </w:rPr>
              <w:t>1.</w:t>
            </w:r>
            <w:r>
              <w:rPr>
                <w:rFonts w:hint="eastAsia" w:ascii="宋体" w:hAnsi="宋体" w:cs="宋体"/>
                <w:color w:val="auto"/>
                <w:kern w:val="0"/>
                <w:sz w:val="18"/>
                <w:szCs w:val="18"/>
                <w:lang w:bidi="ar"/>
              </w:rPr>
              <w:t>18mm细木工板框架，防火涂料三遍，12mm成品木饰面，胡桃木饰面板工艺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w:t>
            </w:r>
            <w:r>
              <w:rPr>
                <w:rFonts w:hint="eastAsia" w:ascii="宋体" w:hAnsi="宋体" w:cs="宋体"/>
                <w:color w:val="auto"/>
                <w:kern w:val="0"/>
                <w:sz w:val="18"/>
                <w:szCs w:val="18"/>
                <w:lang w:val="en-US" w:eastAsia="zh-CN" w:bidi="ar"/>
              </w:rPr>
              <w:t>.</w:t>
            </w:r>
            <w:r>
              <w:rPr>
                <w:rFonts w:hint="eastAsia" w:ascii="宋体" w:hAnsi="宋体" w:cs="宋体"/>
                <w:color w:val="auto"/>
                <w:kern w:val="0"/>
                <w:sz w:val="18"/>
                <w:szCs w:val="18"/>
                <w:lang w:bidi="ar"/>
              </w:rPr>
              <w:t>底座150*80mm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5.48</w:t>
            </w:r>
          </w:p>
        </w:tc>
      </w:tr>
      <w:tr>
        <w:tblPrEx>
          <w:tblCellMar>
            <w:top w:w="0" w:type="dxa"/>
            <w:left w:w="0" w:type="dxa"/>
            <w:bottom w:w="0" w:type="dxa"/>
            <w:right w:w="0" w:type="dxa"/>
          </w:tblCellMar>
        </w:tblPrEx>
        <w:trPr>
          <w:trHeight w:val="16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1.跌级天棚吊顶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3.灯箱位置18mm细木工板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5.刷腻子三遍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120.6</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灯带（槽）</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1.灯槽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2.18mm细木工板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4.石膏板面层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56.6884</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国旗、党旗造型展示、党徽装饰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1.党徽材质：电镀铜640mm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2.党红旗及杆3m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120.6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机房部分</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平面砂浆找平层</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1.机房地面找平30mm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2.环氧树脂地坪防潮层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3.地面保温防护层20mm厚保温棉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4.环氧自流平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5.地面底面防腐油漆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126.6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防静电活动地板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1.全钢PVC防静电活动地板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2.规格600*600*35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3.30x30边角钢</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123.37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1.踢脚线高度 80mm高1mm压光不锈钢踢脚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2.基层材料种类、规格   9mm板基层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1.原顶面做清理及水泥砂浆找平厚度30mm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2.聚合物水泥防水涂料 （做两遍）并向下延伸20公分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3.防尘油漆二遍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4.轻钢龙骨微孔铝板天花吊顶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123.37</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1.部位：机房原有墙体</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2.18mm厚细木工板基层打底，制作高度4米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3.彩钢压型墙板0.5mm厚，制作高度3.6米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147.82</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中控室部分</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1.800*800珍珠米白地砖铺贴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4.20厚水泥砂浆粘结层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1.材质：80mm高1.5mm黑色拉丝不锈钢踢脚线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1.06</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6.8</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1.基层类型  腻子基层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2.裱糊部位  墙面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3.腻子种类  成品腻子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4.刮腻子遍数  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39.15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值班室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1.窗帘盒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2.18mm细木工板基层，防火涂料三遍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1.800*800珍珠米白地砖铺贴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4.20厚水泥砂浆粘结层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1.材质：80mm高1.5mm黑色拉丝不锈钢踢脚线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1.53</w:t>
            </w:r>
          </w:p>
        </w:tc>
      </w:tr>
      <w:tr>
        <w:tblPrEx>
          <w:tblCellMar>
            <w:top w:w="0" w:type="dxa"/>
            <w:left w:w="0" w:type="dxa"/>
            <w:bottom w:w="0" w:type="dxa"/>
            <w:right w:w="0" w:type="dxa"/>
          </w:tblCellMar>
        </w:tblPrEx>
        <w:trPr>
          <w:trHeight w:val="705"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17.7</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1.基层类型  腻子基层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2.裱糊部位  墙面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3.腻子种类  成品腻子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4.刮腻子遍数  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46.87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17.7</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办公室2及办公室1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1.窗帘盒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2.18mm细木工板基层，防火涂料三遍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9.4</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1.800*800珍珠米白地砖铺贴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4.20厚水泥砂浆粘结层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84.1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1.材质：80mm高1.5mm黑色拉丝不锈钢踢脚线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3.92</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84.1</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1.基层类型  腻子基层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2.裱糊部位  墙面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3.腻子种类  成品腻子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4.刮腻子遍数  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158.28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84.1</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过道部分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1.窗帘盒</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2.18mm细木工板基层，防火涂料三遍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1.800*800珍珠米白地砖铺贴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4.20厚水泥砂浆粘结层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105.8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1.材质：80mm高1.5mm黑色拉丝不锈钢踢脚线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2.18mm厚木工板基层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5.5992</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105.8</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1.基层类型  腻子基层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2.裱糊部位  墙面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3.腻子种类  成品腻子</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4.刮腻子遍数  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237.72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105.8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卫生间\水吧间</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拖布池</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1.拖布池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2.砖砌拖布池</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3.水泥砂浆批灰层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4.爵士白大理石铺贴</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零星砌砖</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2.砖砌拖地台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3.抹灰层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2.12</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1.300*300爵士白地砖铺贴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2.20厚水泥砂浆粘接层层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3.1.5mm厚丙纶防水层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4.30厚水泥砂浆防水保护层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5.30厚水泥砂浆找平层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51.36</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块料墙面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1.300*600爵士白石材砖粘贴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2.聚合物砂浆或专用粘合剂粘贴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3.1.5厚丙纶防水层，墙面高度按2米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4.15厚水泥砂浆找平层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155.48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成品隔断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1.烟灰色效果专用防潮防火板隔断</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71.71</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1.卫生间茶水间天棚吊顶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2.9mm双层防水纸面石膏饰面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4.批腻子灰三遍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6.石膏吊顶板缝隙作纸胶带补缝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51.36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开水间物品柜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1.开水间物品柜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2.规格:2640*2620mm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厨房低柜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1.茶水间茶水低柜</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厨房吊柜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1.茶水间茶水吊柜</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3.15</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洗漱台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1.大理石洗漱台</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2.爵士白大理石面层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3.防潮板基层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4.原木色实木多层免漆洗面柜</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2.0608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镜面玻璃</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1.镜面玻璃带框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2.磨砂黑色不锈钢边框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4.51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51.36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墙面美缝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1.墙面留缝2mm铺贴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2.专业墙砖美缝剂（立邦美缝剂）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156.88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其他</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木质门带套</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1.实木单扇平开门，面层胡桃木饰面板工艺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2.门头造型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木质门带套</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1.实木双扇平开门，面层胡桃木饰面板工艺</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2.门头造型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木质门带套</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1.卫生间实木单扇平开门，面层胡桃木饰面板工艺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钢质防火门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1.机房钢质防火门尺寸：2.7*1.72</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1.全钢甲级防火门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2.防火门五金件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3.防火门用隐蔽式闭门器（含顺位器）</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石材窗台板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1.咖网石材窗台板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14.73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石材零星项目</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1.800*1600大板啡网过门石（其他房间）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2.水泥砂浆结合层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3.1:2水泥砂浆垫层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块料零星项目</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1.800*1600大板啡网过门石（卫生间、茶水间）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2.20厚1:3水泥砂浆结合层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3.1.5mm厚丙纶防水层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0.7176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机房隐形门制作及安装</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1.部位：机房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风口制作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1.风口基层板制作、15mm厚细木工板</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2.刷防火涂料三遍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窗帘</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1.窗帘设计为双层帘：布艺遮光和纱帘</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2.窗帘高度3.9m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3.范围：指挥大厅、会议室、两个办公室、值班室及过道的窗户处</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85.11</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楼梯间外</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1.天棚吊顶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2.9mm双层纸面石膏饰面</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3.刷乳胶漆三遍</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4.50系轻钢龙骨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5.石膏板吊顶做纸胶带补缝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12.9</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满堂脚手架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1.满堂脚手架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684.96</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加固部分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1.梁类型:HN350*175*7*11</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2.钢材品种、规格:Q345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3.构件运距:自行考虑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3.234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1.梁类型:HN300*150*6.5*9</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2.钢材品种、规格:Q345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3.构件运距:自行考虑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2.821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现浇构件钢筋</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1.钢筋种类、规格:Φ10以内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2.部位:型钢组合混凝土构件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0.789</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预埋铁件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1.预埋钢板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0.449</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金属面油漆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1.钢结构除锈，喷两遍灰漆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6.504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钢板楼板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1.钢材品种、规格:YZY76-344-688-1.2，Q235</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2.钢板厚度:1.2mm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123.37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1.混凝土种类:商品砼</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2.混凝土强度等级:C20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3.商砼运距:自行考虑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11.25</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行政大厅</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256.17</w:t>
            </w:r>
          </w:p>
        </w:tc>
      </w:tr>
      <w:tr>
        <w:tblPrEx>
          <w:tblCellMar>
            <w:top w:w="0" w:type="dxa"/>
            <w:left w:w="0" w:type="dxa"/>
            <w:bottom w:w="0" w:type="dxa"/>
            <w:right w:w="0" w:type="dxa"/>
          </w:tblCellMar>
        </w:tblPrEx>
        <w:trPr>
          <w:trHeight w:val="392"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1.拆除大厅南侧生态木吊顶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86.4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1.大厅南侧蓝色隔墙拆除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12.97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1.大厅地砖拆除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2.地砖规格800*800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342.57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1.墙柱干挂瓷砖拆除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132.224</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91.312</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办公室1（原值班室）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1.轻质隔墙高3.93m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23.58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90.06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16.373</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茶水间</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8.35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8.35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1.墙面瓷砖拆除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17.1288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砖砌体拆除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1.拆除砖墙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15.17</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26.6097</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卫生间</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1.墙面瓷砖拆除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96.02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1.地面瓷砖拆除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44.98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1.男女厕所蹲坑轻质隔断拆除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33.85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1.拆除铝扣板吊顶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44.98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木门窗拆除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1.男女厕所处木门拆除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2.门尺寸：2m*0.9m</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3.个数：2个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卫生洁具拆除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1.洗手台拆除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2.规格：长3.5m 宽0.8m 高0.6m 厚度0.018m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砖砌体拆除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1.拆除男女厕所蹲便地台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1.054</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22.568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66.82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1.隔墙拆除高3.3m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35.31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1.地面地板砖拆除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28.2</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15.039</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过道</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43.21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37.54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1.大厅地砖拆除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80.75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1.墙柱干挂瓷砖拆除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128.76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1.墙柱乳胶漆拆除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62.48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31.4544</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档案室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60.14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60.14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1.墙体乳胶漆拆除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78.32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砖砌体拆除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1.拆除砖墙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16.099</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42.3048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文体活动室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64.76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100.97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1.隔墙拆除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17.09</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1.地面地板砖拆除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64.76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22.2562</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新建值班室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17.66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1.值班室地砖拆除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17.66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59.616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1.轻质隔墙高3.93m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28.588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13.4358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楼梯厅</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2.002</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中控室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1.轻质隔墙高3.93m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0.4716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6.11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1.地砖拆除</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6.11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37.4648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3.2864</w:t>
            </w:r>
          </w:p>
        </w:tc>
      </w:tr>
    </w:tbl>
    <w:p>
      <w:pPr>
        <w:pStyle w:val="2"/>
        <w:ind w:firstLine="0" w:firstLineChars="0"/>
        <w:jc w:val="center"/>
        <w:rPr>
          <w:rFonts w:hAnsi="宋体" w:cs="宋体"/>
          <w:b/>
          <w:bCs/>
          <w:color w:val="auto"/>
          <w:sz w:val="28"/>
          <w:szCs w:val="28"/>
        </w:rPr>
      </w:pPr>
      <w:r>
        <w:rPr>
          <w:rFonts w:hint="eastAsia" w:hAnsi="宋体" w:cs="宋体"/>
          <w:b/>
          <w:bCs/>
          <w:color w:val="auto"/>
          <w:sz w:val="28"/>
          <w:szCs w:val="28"/>
        </w:rPr>
        <w:t>智慧中心家具采购清单（由中标供应商按以下规格负责采购，已包含在总预算中）</w:t>
      </w:r>
    </w:p>
    <w:tbl>
      <w:tblPr>
        <w:tblStyle w:val="24"/>
        <w:tblW w:w="9071" w:type="dxa"/>
        <w:tblInd w:w="0" w:type="dxa"/>
        <w:tblLayout w:type="fixed"/>
        <w:tblCellMar>
          <w:top w:w="0" w:type="dxa"/>
          <w:left w:w="0" w:type="dxa"/>
          <w:bottom w:w="0" w:type="dxa"/>
          <w:right w:w="0" w:type="dxa"/>
        </w:tblCellMar>
      </w:tblPr>
      <w:tblGrid>
        <w:gridCol w:w="630"/>
        <w:gridCol w:w="1815"/>
        <w:gridCol w:w="5226"/>
        <w:gridCol w:w="717"/>
        <w:gridCol w:w="683"/>
      </w:tblGrid>
      <w:tr>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采购内容</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规格型号</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数量</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主席台弧形办公桌</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7.2</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主席台办公椅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1.成品采购</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弧形办公桌子</w:t>
            </w:r>
          </w:p>
        </w:tc>
        <w:tc>
          <w:tcPr>
            <w:tcW w:w="52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1.成品定制专业办公桌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2.每组3.1米  共4组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3.总计:12.4米</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12.4</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1.成品采购</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多功能会议室</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会议办公桌</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1.成品定制专业配套设施办公桌（实木贴皮工艺）</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会议室办公椅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1.成品采购</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30</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秘书台</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办公桌（每组）</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办公室资料柜</w:t>
            </w:r>
          </w:p>
        </w:tc>
        <w:tc>
          <w:tcPr>
            <w:tcW w:w="5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1.成品定制及安装，原木纹饰面柜子（按正立面投影面积计算）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办公室1</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办公桌（每组）</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办公室资料柜</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1.成品定制及安装，原木纹饰面柜子（按正立面投影面积计算）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值班室</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办公桌（每组）</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auto"/>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办公室资料柜</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1.成品定制及安装，原木纹饰面柜子（按正立面投影面积计算）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8.8</w:t>
            </w:r>
          </w:p>
        </w:tc>
      </w:tr>
    </w:tbl>
    <w:p>
      <w:pPr>
        <w:pStyle w:val="2"/>
        <w:ind w:firstLine="0" w:firstLineChars="0"/>
        <w:jc w:val="both"/>
        <w:rPr>
          <w:rFonts w:hAnsi="宋体" w:cs="宋体"/>
          <w:b/>
          <w:bCs/>
          <w:color w:val="auto"/>
          <w:sz w:val="28"/>
          <w:szCs w:val="28"/>
        </w:rPr>
      </w:pPr>
    </w:p>
    <w:p>
      <w:pPr>
        <w:spacing w:line="360" w:lineRule="auto"/>
        <w:ind w:firstLine="482" w:firstLineChars="200"/>
        <w:contextualSpacing/>
        <w:rPr>
          <w:rFonts w:ascii="宋体" w:hAnsi="宋体" w:cs="宋体"/>
          <w:b/>
          <w:color w:val="auto"/>
          <w:kern w:val="0"/>
          <w:sz w:val="24"/>
          <w:szCs w:val="24"/>
          <w:shd w:val="clear" w:color="auto" w:fill="FFFFFF"/>
        </w:rPr>
      </w:pPr>
      <w:r>
        <w:rPr>
          <w:rFonts w:hint="eastAsia" w:ascii="宋体" w:hAnsi="宋体" w:cs="宋体"/>
          <w:b/>
          <w:color w:val="auto"/>
          <w:kern w:val="0"/>
          <w:sz w:val="24"/>
          <w:szCs w:val="24"/>
          <w:shd w:val="clear" w:color="auto" w:fill="FFFFFF"/>
        </w:rPr>
        <w:t>本采购清单中所列加★项技术规格或参数为最低要求，不允许负偏离，否则将承担其投标被视为非实质性响应投标的风险。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1、国家标准：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ascii="宋体" w:hAnsi="宋体" w:cs="仿宋_GB2312"/>
          <w:color w:val="auto"/>
          <w:sz w:val="24"/>
          <w:szCs w:val="24"/>
          <w:lang w:val="zh-CN"/>
        </w:rPr>
        <w:t>强制性产品认证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（2）信息安全产品强制性认证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投标人所投产品如被列入</w:t>
      </w:r>
      <w:r>
        <w:rPr>
          <w:rFonts w:ascii="宋体" w:hAnsi="宋体" w:cs="仿宋_GB2312"/>
          <w:color w:val="auto"/>
          <w:sz w:val="24"/>
          <w:szCs w:val="24"/>
          <w:lang w:val="zh-CN"/>
        </w:rPr>
        <w:t>《信息安全产品强制性认证目录》，</w:t>
      </w:r>
      <w:r>
        <w:rPr>
          <w:rFonts w:hint="eastAsia" w:ascii="宋体" w:hAnsi="宋体" w:cs="仿宋_GB2312"/>
          <w:color w:val="auto"/>
          <w:sz w:val="24"/>
          <w:szCs w:val="24"/>
          <w:lang w:val="zh-CN"/>
        </w:rPr>
        <w:t>则投标文件中应</w:t>
      </w:r>
      <w:r>
        <w:rPr>
          <w:rFonts w:ascii="宋体" w:hAnsi="宋体" w:cs="仿宋_GB2312"/>
          <w:color w:val="auto"/>
          <w:sz w:val="24"/>
          <w:szCs w:val="24"/>
          <w:lang w:val="zh-CN"/>
        </w:rPr>
        <w:t>提供</w:t>
      </w:r>
      <w:r>
        <w:rPr>
          <w:rFonts w:hint="eastAsia" w:ascii="宋体" w:hAnsi="宋体" w:cs="仿宋_GB2312"/>
          <w:color w:val="auto"/>
          <w:sz w:val="24"/>
          <w:szCs w:val="24"/>
          <w:lang w:val="zh-CN"/>
        </w:rPr>
        <w:t>中国信息安全认证中心官网（</w:t>
      </w:r>
      <w:r>
        <w:rPr>
          <w:rFonts w:ascii="宋体" w:hAnsi="宋体" w:cs="仿宋_GB2312"/>
          <w:color w:val="auto"/>
          <w:sz w:val="24"/>
          <w:szCs w:val="24"/>
          <w:lang w:val="zh-CN"/>
        </w:rPr>
        <w:t>http://www.isccc.gov.cn/index.shtml</w:t>
      </w:r>
      <w:r>
        <w:rPr>
          <w:rFonts w:hint="eastAsia" w:ascii="宋体" w:hAnsi="宋体" w:cs="仿宋_GB2312"/>
          <w:color w:val="auto"/>
          <w:sz w:val="24"/>
          <w:szCs w:val="24"/>
          <w:lang w:val="zh-CN"/>
        </w:rPr>
        <w:t>）产品查询结果截图并加盖投标人公章或中国信息安全认证中心颁发的《中国国家信息安全产品认证证书》加盖投标人公章的原件扫描件（或图片）。</w:t>
      </w:r>
    </w:p>
    <w:p>
      <w:pPr>
        <w:numPr>
          <w:ilvl w:val="0"/>
          <w:numId w:val="5"/>
        </w:num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符合国家和履约地相关安全质量标准、行业技术规范标准。</w:t>
      </w:r>
    </w:p>
    <w:p>
      <w:pPr>
        <w:spacing w:line="360" w:lineRule="auto"/>
        <w:ind w:firstLine="482" w:firstLineChars="200"/>
        <w:contextualSpacing/>
        <w:rPr>
          <w:rFonts w:ascii="宋体" w:hAnsi="宋体" w:cs="宋体"/>
          <w:b/>
          <w:color w:val="auto"/>
          <w:kern w:val="0"/>
          <w:szCs w:val="21"/>
          <w:lang w:val="zh-CN"/>
        </w:rPr>
      </w:pPr>
      <w:r>
        <w:rPr>
          <w:rFonts w:hint="eastAsia" w:ascii="宋体" w:hAnsi="宋体" w:cs="宋体"/>
          <w:b/>
          <w:color w:val="auto"/>
          <w:kern w:val="0"/>
          <w:sz w:val="24"/>
          <w:szCs w:val="24"/>
          <w:lang w:val="zh-CN"/>
        </w:rPr>
        <w:t>四、服务标准、期限、效率等要求</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1、投标人必须完全满足招标所列的文件技术功能要求，针对项目特点提出详细的技术及组织方案；各投标供应商应根据采购人具体需求进行软件升级。</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2、投标人所提供的系统软件平台须具有软件升级的能力，同时软件升级后的计算机程序源代码应与软件产品一并提交采购人，保证采购人在使用过程中对程序进行个性化开发和修改，</w:t>
      </w:r>
      <w:r>
        <w:rPr>
          <w:rFonts w:hint="eastAsia" w:ascii="宋体" w:hAnsi="宋体" w:cs="宋体"/>
          <w:b/>
          <w:color w:val="auto"/>
          <w:kern w:val="0"/>
          <w:sz w:val="24"/>
          <w:szCs w:val="24"/>
        </w:rPr>
        <w:t>否则为无效投标。</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3、售后服务要求：质保期三年(36个月),质保期内提供免费维修、保养、调试、备品备件的更换等服务。</w:t>
      </w:r>
      <w:r>
        <w:rPr>
          <w:rFonts w:hint="eastAsia" w:ascii="宋体" w:cs="宋体"/>
          <w:color w:val="auto"/>
          <w:sz w:val="24"/>
          <w:lang w:val="zh-CN"/>
        </w:rPr>
        <w:t>投标人需提供完善的售后服务计划与措施方案，</w:t>
      </w:r>
      <w:r>
        <w:rPr>
          <w:rFonts w:hint="eastAsia" w:ascii="宋体" w:hAnsi="宋体" w:cs="宋体"/>
          <w:color w:val="auto"/>
          <w:kern w:val="0"/>
          <w:sz w:val="24"/>
          <w:szCs w:val="24"/>
        </w:rPr>
        <w:t>在平台或系统部署实施及推广过程中需派1-2名专业技术人员驻场一年，要求投标文件对此需求附加售后服务承诺函。</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五、采购标的的其他技术、服务等要求</w:t>
      </w:r>
    </w:p>
    <w:p>
      <w:pPr>
        <w:topLinePunct/>
        <w:spacing w:line="360" w:lineRule="auto"/>
        <w:ind w:firstLine="480" w:firstLineChars="200"/>
        <w:rPr>
          <w:rFonts w:ascii="宋体" w:cs="宋体"/>
          <w:color w:val="auto"/>
          <w:sz w:val="24"/>
          <w:lang w:val="zh-CN"/>
        </w:rPr>
      </w:pPr>
      <w:r>
        <w:rPr>
          <w:rFonts w:hint="eastAsia" w:ascii="宋体" w:cs="宋体"/>
          <w:color w:val="auto"/>
          <w:sz w:val="24"/>
          <w:lang w:val="zh-CN"/>
        </w:rPr>
        <w:t>1、投标人须明确投标产品的厂家、品牌、型号、详细参数（仅限机房、指挥大厅、多功能厅部分的设备），</w:t>
      </w:r>
      <w:r>
        <w:rPr>
          <w:rFonts w:hint="eastAsia" w:ascii="宋体" w:cs="宋体"/>
          <w:b/>
          <w:color w:val="auto"/>
          <w:sz w:val="24"/>
          <w:lang w:val="zh-CN"/>
        </w:rPr>
        <w:t>否则为无效投标。</w:t>
      </w:r>
    </w:p>
    <w:p>
      <w:pPr>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zh-CN"/>
        </w:rPr>
        <w:t>2、投标人应就本项目（每包或者标段）完整投标，</w:t>
      </w:r>
      <w:r>
        <w:rPr>
          <w:rFonts w:hint="eastAsia" w:ascii="宋体" w:cs="宋体"/>
          <w:b/>
          <w:color w:val="auto"/>
          <w:sz w:val="24"/>
          <w:lang w:val="zh-CN"/>
        </w:rPr>
        <w:t>否则为无效投标。</w:t>
      </w:r>
    </w:p>
    <w:p>
      <w:pPr>
        <w:topLinePunct/>
        <w:spacing w:line="360" w:lineRule="auto"/>
        <w:ind w:firstLine="480" w:firstLineChars="200"/>
        <w:rPr>
          <w:rFonts w:ascii="宋体" w:cs="宋体"/>
          <w:color w:val="auto"/>
          <w:sz w:val="24"/>
          <w:lang w:val="zh-CN"/>
        </w:rPr>
      </w:pPr>
      <w:r>
        <w:rPr>
          <w:rFonts w:hint="eastAsia" w:ascii="宋体" w:cs="宋体"/>
          <w:color w:val="auto"/>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4、本项目为交钥匙工程。</w:t>
      </w:r>
      <w:r>
        <w:rPr>
          <w:rFonts w:hint="eastAsia" w:ascii="宋体" w:hAnsi="宋体" w:cs="仿宋_GB2312"/>
          <w:color w:val="auto"/>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价，并包含在投标总报价中）、调试费、培训费用（含培训教材费）等各项支出的费用必须分别报价并计入投标总价，合同签定后不再单独列支安装、调试等费用。</w:t>
      </w:r>
    </w:p>
    <w:p>
      <w:pPr>
        <w:wordWrap w:val="0"/>
        <w:topLinePunct/>
        <w:spacing w:line="360" w:lineRule="auto"/>
        <w:ind w:firstLine="480" w:firstLineChars="200"/>
        <w:rPr>
          <w:rFonts w:ascii="宋体" w:cs="宋体"/>
          <w:color w:val="auto"/>
          <w:sz w:val="24"/>
          <w:lang w:val="zh-CN"/>
        </w:rPr>
      </w:pPr>
      <w:r>
        <w:rPr>
          <w:rFonts w:hint="eastAsia" w:ascii="宋体" w:hAnsi="宋体" w:cs="仿宋_GB2312"/>
          <w:color w:val="auto"/>
          <w:sz w:val="24"/>
          <w:szCs w:val="24"/>
          <w:lang w:val="zh-CN"/>
        </w:rPr>
        <w:t>5、中标人应按每台或每套产品给采购人提供至少一套完整的技术资料随货物包装发运，其中包括产品的中文使用说明书、操作手册等内容。</w:t>
      </w:r>
    </w:p>
    <w:p>
      <w:pPr>
        <w:wordWrap w:val="0"/>
        <w:topLinePunct/>
        <w:spacing w:line="360" w:lineRule="auto"/>
        <w:ind w:firstLine="480" w:firstLineChars="200"/>
        <w:rPr>
          <w:rFonts w:ascii="宋体" w:cs="宋体"/>
          <w:color w:val="auto"/>
          <w:sz w:val="24"/>
          <w:lang w:val="zh-CN"/>
        </w:rPr>
      </w:pPr>
      <w:r>
        <w:rPr>
          <w:rFonts w:hint="eastAsia" w:ascii="宋体" w:hAnsi="宋体" w:cs="仿宋_GB2312"/>
          <w:color w:val="auto"/>
          <w:sz w:val="24"/>
          <w:szCs w:val="24"/>
          <w:lang w:val="zh-CN"/>
        </w:rPr>
        <w:t>6、本次采购所有产品应长期进行技术支持（含技术咨询等）。若中标人质保期内未能在规定时间内到达现场，采购人有权要求中标人给予合理的经济赔偿。在质保期内，由于项目本身缺陷发生故障或损坏而造成的损失，中标人应给予采购人经济赔偿。</w:t>
      </w:r>
    </w:p>
    <w:p>
      <w:pPr>
        <w:wordWrap w:val="0"/>
        <w:topLinePunct/>
        <w:spacing w:line="360" w:lineRule="auto"/>
        <w:ind w:firstLine="480" w:firstLineChars="200"/>
        <w:rPr>
          <w:rFonts w:ascii="宋体" w:cs="宋体"/>
          <w:color w:val="auto"/>
          <w:sz w:val="24"/>
          <w:lang w:val="zh-CN"/>
        </w:rPr>
      </w:pPr>
      <w:r>
        <w:rPr>
          <w:rFonts w:hint="eastAsia" w:ascii="宋体" w:hAnsi="宋体" w:cs="仿宋_GB2312"/>
          <w:color w:val="auto"/>
          <w:sz w:val="24"/>
          <w:szCs w:val="24"/>
          <w:lang w:val="zh-CN"/>
        </w:rPr>
        <w:t xml:space="preserve">7、本项目履行过程中产生的软件著作权及版权归采购方所有。 </w:t>
      </w:r>
    </w:p>
    <w:p>
      <w:pPr>
        <w:widowControl/>
        <w:spacing w:line="360" w:lineRule="auto"/>
        <w:ind w:firstLine="482" w:firstLineChars="2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六、验收标准</w:t>
      </w:r>
    </w:p>
    <w:p>
      <w:pPr>
        <w:topLinePunct/>
        <w:autoSpaceDE w:val="0"/>
        <w:autoSpaceDN w:val="0"/>
        <w:adjustRightInd w:val="0"/>
        <w:spacing w:line="360" w:lineRule="auto"/>
        <w:ind w:firstLine="482"/>
        <w:rPr>
          <w:rFonts w:ascii="宋体" w:cs="宋体"/>
          <w:color w:val="auto"/>
          <w:sz w:val="24"/>
          <w:lang w:val="zh-CN"/>
        </w:rPr>
      </w:pPr>
      <w:r>
        <w:rPr>
          <w:rFonts w:hint="eastAsia" w:ascii="宋体" w:cs="宋体"/>
          <w:color w:val="auto"/>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opLinePunct/>
        <w:autoSpaceDE w:val="0"/>
        <w:autoSpaceDN w:val="0"/>
        <w:adjustRightInd w:val="0"/>
        <w:spacing w:line="360" w:lineRule="auto"/>
        <w:ind w:firstLine="482"/>
        <w:rPr>
          <w:rFonts w:ascii="宋体" w:cs="宋体"/>
          <w:color w:val="auto"/>
          <w:sz w:val="24"/>
          <w:lang w:val="zh-CN"/>
        </w:rPr>
      </w:pPr>
      <w:r>
        <w:rPr>
          <w:rFonts w:hint="eastAsia" w:ascii="宋体" w:cs="宋体"/>
          <w:color w:val="auto"/>
          <w:sz w:val="24"/>
          <w:lang w:val="zh-CN"/>
        </w:rPr>
        <w:t>2、按照招标文件要求、投标文件响应和承诺验收；</w:t>
      </w:r>
    </w:p>
    <w:p>
      <w:pPr>
        <w:topLinePunct/>
        <w:autoSpaceDE w:val="0"/>
        <w:autoSpaceDN w:val="0"/>
        <w:adjustRightInd w:val="0"/>
        <w:spacing w:line="360" w:lineRule="auto"/>
        <w:ind w:firstLine="482"/>
        <w:rPr>
          <w:rFonts w:ascii="宋体" w:hAnsi="宋体" w:cs="宋体"/>
          <w:color w:val="auto"/>
          <w:kern w:val="0"/>
          <w:sz w:val="24"/>
          <w:szCs w:val="24"/>
        </w:rPr>
      </w:pPr>
      <w:r>
        <w:rPr>
          <w:rFonts w:hint="eastAsia" w:ascii="宋体" w:cs="宋体"/>
          <w:color w:val="auto"/>
          <w:sz w:val="24"/>
        </w:rPr>
        <w:t>3</w:t>
      </w:r>
      <w:r>
        <w:rPr>
          <w:rFonts w:hint="eastAsia" w:ascii="宋体" w:cs="宋体"/>
          <w:color w:val="auto"/>
          <w:sz w:val="24"/>
          <w:lang w:val="zh-CN"/>
        </w:rPr>
        <w:t>、本项目采用现场运行、测试验收方式验收。投标人完成的项</w:t>
      </w:r>
      <w:r>
        <w:rPr>
          <w:rFonts w:hint="eastAsia" w:ascii="宋体" w:hAnsi="宋体" w:cs="宋体"/>
          <w:color w:val="auto"/>
          <w:kern w:val="0"/>
          <w:sz w:val="24"/>
          <w:szCs w:val="24"/>
        </w:rPr>
        <w:t>目应达到的质量标准应符合国家和履约地相关安全质量标准；行业技术规范标准；强制认证相关标准。</w:t>
      </w: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七、本项目预算金额(最高限价)：15134842.41元。超出最高限价的投标无效。</w:t>
      </w:r>
    </w:p>
    <w:p>
      <w:pPr>
        <w:spacing w:line="360" w:lineRule="auto"/>
        <w:ind w:firstLine="482" w:firstLineChars="200"/>
        <w:contextualSpacing/>
        <w:rPr>
          <w:rFonts w:ascii="宋体" w:hAnsi="宋体" w:cs="微软雅黑"/>
          <w:color w:val="auto"/>
          <w:sz w:val="24"/>
          <w:szCs w:val="24"/>
        </w:rPr>
      </w:pPr>
      <w:r>
        <w:rPr>
          <w:rFonts w:hint="eastAsia" w:ascii="宋体" w:hAnsi="宋体" w:cs="微软雅黑"/>
          <w:b/>
          <w:color w:val="auto"/>
          <w:sz w:val="24"/>
          <w:szCs w:val="24"/>
        </w:rPr>
        <w:t>八、资金支付</w:t>
      </w:r>
    </w:p>
    <w:p>
      <w:pPr>
        <w:topLinePunct/>
        <w:autoSpaceDE w:val="0"/>
        <w:autoSpaceDN w:val="0"/>
        <w:adjustRightInd w:val="0"/>
        <w:spacing w:line="360" w:lineRule="auto"/>
        <w:ind w:firstLine="482"/>
        <w:rPr>
          <w:rFonts w:ascii="宋体" w:cs="宋体"/>
          <w:color w:val="auto"/>
          <w:sz w:val="24"/>
          <w:lang w:val="zh-CN"/>
        </w:rPr>
      </w:pPr>
      <w:r>
        <w:rPr>
          <w:rFonts w:hint="eastAsia" w:ascii="宋体" w:cs="宋体"/>
          <w:color w:val="auto"/>
          <w:sz w:val="24"/>
          <w:lang w:val="zh-CN"/>
        </w:rPr>
        <w:t>付款方式：银行转账。中标供应商完成委托项目由委托人向其付费，付费方式由双方另行约定。</w:t>
      </w:r>
    </w:p>
    <w:p>
      <w:pPr>
        <w:spacing w:line="360" w:lineRule="auto"/>
        <w:ind w:firstLine="590" w:firstLineChars="245"/>
        <w:contextualSpacing/>
        <w:rPr>
          <w:rFonts w:ascii="宋体" w:hAnsi="宋体" w:cs="微软雅黑"/>
          <w:color w:val="auto"/>
          <w:sz w:val="24"/>
          <w:szCs w:val="24"/>
        </w:rPr>
      </w:pPr>
      <w:r>
        <w:rPr>
          <w:rFonts w:hint="eastAsia" w:ascii="宋体" w:hAnsi="宋体" w:cs="微软雅黑"/>
          <w:b/>
          <w:color w:val="auto"/>
          <w:sz w:val="24"/>
          <w:szCs w:val="24"/>
        </w:rPr>
        <w:t>九、其他要求</w:t>
      </w:r>
    </w:p>
    <w:p>
      <w:pPr>
        <w:spacing w:line="360" w:lineRule="auto"/>
        <w:ind w:firstLine="588" w:firstLineChars="245"/>
        <w:contextualSpacing/>
        <w:rPr>
          <w:rFonts w:ascii="宋体" w:hAnsi="宋体" w:cs="微软雅黑"/>
          <w:color w:val="auto"/>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投标人应就该项目完整投标，否则为无效投标。</w:t>
      </w:r>
    </w:p>
    <w:p>
      <w:pPr>
        <w:spacing w:line="360" w:lineRule="auto"/>
        <w:ind w:firstLine="588" w:firstLineChars="245"/>
        <w:contextualSpacing/>
        <w:rPr>
          <w:rFonts w:ascii="宋体" w:hAnsi="宋体" w:cs="微软雅黑"/>
          <w:color w:val="auto"/>
          <w:sz w:val="24"/>
          <w:szCs w:val="24"/>
        </w:rPr>
      </w:pPr>
      <w:r>
        <w:rPr>
          <w:rFonts w:hint="eastAsia" w:ascii="宋体" w:hAnsi="宋体" w:cs="宋体"/>
          <w:color w:val="auto"/>
          <w:sz w:val="24"/>
          <w:szCs w:val="24"/>
        </w:rPr>
        <w:t>2、</w:t>
      </w:r>
      <w:r>
        <w:rPr>
          <w:rFonts w:ascii="宋体" w:hAnsi="宋体" w:cs="宋体"/>
          <w:color w:val="auto"/>
          <w:kern w:val="0"/>
          <w:sz w:val="24"/>
          <w:szCs w:val="24"/>
        </w:rPr>
        <w:t>服务标准、期限、效率等要求</w:t>
      </w:r>
      <w:r>
        <w:rPr>
          <w:rFonts w:hint="eastAsia" w:ascii="宋体" w:hAnsi="宋体" w:cs="宋体"/>
          <w:color w:val="auto"/>
          <w:kern w:val="0"/>
          <w:sz w:val="24"/>
          <w:szCs w:val="24"/>
        </w:rPr>
        <w:t>：在质保期内产品发生质量问题时应即时免费为使用方更换，保证产品正常使用。保修期结束后，仍负责提供维修服务，只能收取成本费。解决问题时间不得超过24小时。</w:t>
      </w:r>
    </w:p>
    <w:p>
      <w:pPr>
        <w:spacing w:line="360" w:lineRule="auto"/>
        <w:ind w:firstLine="588" w:firstLineChars="245"/>
        <w:contextualSpacing/>
        <w:rPr>
          <w:rFonts w:ascii="宋体" w:cs="宋体"/>
          <w:color w:val="auto"/>
          <w:sz w:val="24"/>
          <w:lang w:val="zh-CN"/>
        </w:rPr>
      </w:pPr>
      <w:r>
        <w:rPr>
          <w:rFonts w:hint="eastAsia" w:ascii="宋体" w:cs="宋体"/>
          <w:color w:val="auto"/>
          <w:sz w:val="24"/>
          <w:lang w:val="zh-CN"/>
        </w:rPr>
        <w:t>3、本项目为交钥匙项目。</w:t>
      </w:r>
    </w:p>
    <w:p>
      <w:pPr>
        <w:widowControl/>
        <w:shd w:val="clear" w:color="auto" w:fill="FFFFFF"/>
        <w:spacing w:line="360" w:lineRule="auto"/>
        <w:ind w:firstLine="420" w:firstLineChars="200"/>
        <w:contextualSpacing/>
        <w:jc w:val="left"/>
        <w:rPr>
          <w:rFonts w:ascii="宋体" w:cs="宋体"/>
          <w:color w:val="auto"/>
          <w:kern w:val="0"/>
          <w:szCs w:val="21"/>
          <w:lang w:val="zh-CN"/>
        </w:rPr>
      </w:pPr>
    </w:p>
    <w:bookmarkEnd w:id="0"/>
    <w:p>
      <w:pPr>
        <w:widowControl/>
        <w:jc w:val="center"/>
        <w:rPr>
          <w:rFonts w:ascii="宋体" w:cs="宋体"/>
          <w:b/>
          <w:color w:val="auto"/>
          <w:kern w:val="0"/>
          <w:sz w:val="32"/>
          <w:szCs w:val="32"/>
        </w:rPr>
      </w:pPr>
      <w:r>
        <w:rPr>
          <w:rFonts w:ascii="宋体" w:cs="宋体"/>
          <w:b/>
          <w:color w:val="auto"/>
          <w:kern w:val="0"/>
          <w:sz w:val="32"/>
          <w:szCs w:val="32"/>
        </w:rPr>
        <w:br w:type="page"/>
      </w:r>
      <w:r>
        <w:rPr>
          <w:rFonts w:hint="eastAsia" w:ascii="宋体" w:hAnsi="宋体" w:cs="宋体"/>
          <w:b/>
          <w:color w:val="auto"/>
          <w:kern w:val="0"/>
          <w:sz w:val="32"/>
          <w:szCs w:val="32"/>
        </w:rPr>
        <w:t>第三章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ascii="宋体" w:hAnsi="宋体" w:cs="微软雅黑"/>
          <w:b/>
          <w:color w:val="auto"/>
          <w:szCs w:val="21"/>
        </w:rPr>
        <w:t>★</w:t>
      </w:r>
      <w:r>
        <w:rPr>
          <w:rFonts w:hint="eastAsia" w:cs="微软雅黑"/>
          <w:b/>
          <w:color w:val="auto"/>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序号</w:t>
            </w:r>
          </w:p>
        </w:tc>
        <w:tc>
          <w:tcPr>
            <w:tcW w:w="2268"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条款名称</w:t>
            </w:r>
          </w:p>
        </w:tc>
        <w:tc>
          <w:tcPr>
            <w:tcW w:w="681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采购项目</w:t>
            </w:r>
          </w:p>
        </w:tc>
        <w:tc>
          <w:tcPr>
            <w:tcW w:w="6813" w:type="dxa"/>
          </w:tcPr>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项目名称：许昌经济技术开发区管委会智慧中心项目</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项目编号：GZCG-G2019030号</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项目内容：许昌经济技术开发区管委会智慧中心项目（详见第二章“项目需求”）</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项目地址：许昌经济技术开发区管委会智慧中心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采购人</w:t>
            </w:r>
          </w:p>
        </w:tc>
        <w:tc>
          <w:tcPr>
            <w:tcW w:w="6813" w:type="dxa"/>
            <w:vAlign w:val="center"/>
          </w:tcPr>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名称：许昌经高科技发展有限公司</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地址：许昌经济技术开发区瑞祥路中段</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联系人：王女士      联系电话：0374—8581622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3</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代理机构</w:t>
            </w:r>
          </w:p>
        </w:tc>
        <w:tc>
          <w:tcPr>
            <w:tcW w:w="6813" w:type="dxa"/>
            <w:vAlign w:val="center"/>
          </w:tcPr>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名称：河南永安工程管理有限公司</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地址：许昌市城乡一体化示范区元鼎国际B座1612</w:t>
            </w:r>
          </w:p>
          <w:p>
            <w:pPr>
              <w:autoSpaceDE w:val="0"/>
              <w:autoSpaceDN w:val="0"/>
              <w:adjustRightInd w:val="0"/>
              <w:spacing w:line="276" w:lineRule="auto"/>
              <w:jc w:val="left"/>
              <w:rPr>
                <w:rFonts w:hint="eastAsia" w:ascii="宋体" w:hAnsi="宋体" w:cs="仿宋_GB2312"/>
                <w:color w:val="auto"/>
                <w:szCs w:val="21"/>
                <w:lang w:eastAsia="zh-CN"/>
              </w:rPr>
            </w:pPr>
            <w:r>
              <w:rPr>
                <w:rFonts w:hint="eastAsia" w:ascii="宋体" w:hAnsi="宋体" w:cs="仿宋_GB2312"/>
                <w:color w:val="auto"/>
                <w:szCs w:val="21"/>
                <w:lang w:eastAsia="zh-CN"/>
              </w:rPr>
              <w:t>联系人：蔡女士      联系电话：0374-8318599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4</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投标人资格</w:t>
            </w:r>
          </w:p>
        </w:tc>
        <w:tc>
          <w:tcPr>
            <w:tcW w:w="6813" w:type="dxa"/>
            <w:vAlign w:val="center"/>
          </w:tcPr>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1</w:t>
            </w:r>
            <w:r>
              <w:rPr>
                <w:rFonts w:hint="eastAsia" w:ascii="宋体" w:hAnsi="宋体" w:cs="宋体"/>
                <w:bCs/>
                <w:color w:val="auto"/>
                <w:szCs w:val="21"/>
                <w:lang w:val="zh-CN"/>
              </w:rPr>
              <w:t>、企业法人营业执照或营业执照。（企业投标提供）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2</w:t>
            </w:r>
            <w:r>
              <w:rPr>
                <w:rFonts w:hint="eastAsia" w:ascii="宋体" w:hAnsi="宋体" w:cs="宋体"/>
                <w:bCs/>
                <w:color w:val="auto"/>
                <w:szCs w:val="21"/>
                <w:lang w:val="zh-CN"/>
              </w:rPr>
              <w:t>、事业单位法人证书。（事业单位投标提供）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3</w:t>
            </w:r>
            <w:r>
              <w:rPr>
                <w:rFonts w:hint="eastAsia" w:ascii="宋体" w:hAnsi="宋体" w:cs="宋体"/>
                <w:bCs/>
                <w:color w:val="auto"/>
                <w:szCs w:val="21"/>
                <w:lang w:val="zh-CN"/>
              </w:rPr>
              <w:t>、执业许可证。（非企业专业服务机构投标提供）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4</w:t>
            </w:r>
            <w:r>
              <w:rPr>
                <w:rFonts w:hint="eastAsia" w:ascii="宋体" w:hAnsi="宋体" w:cs="宋体"/>
                <w:bCs/>
                <w:color w:val="auto"/>
                <w:szCs w:val="21"/>
                <w:lang w:val="zh-CN"/>
              </w:rPr>
              <w:t>、个体工商户营业执照。（个体工商户投标提供）</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5</w:t>
            </w:r>
            <w:r>
              <w:rPr>
                <w:rFonts w:hint="eastAsia" w:ascii="宋体" w:hAnsi="宋体" w:cs="宋体"/>
                <w:bCs/>
                <w:color w:val="auto"/>
                <w:szCs w:val="21"/>
                <w:lang w:val="zh-CN"/>
              </w:rPr>
              <w:t>、自然人身份证明。（自然人投标提供）</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6</w:t>
            </w:r>
            <w:r>
              <w:rPr>
                <w:rFonts w:hint="eastAsia" w:ascii="宋体" w:hAnsi="宋体" w:cs="宋体"/>
                <w:bCs/>
                <w:color w:val="auto"/>
                <w:szCs w:val="21"/>
                <w:lang w:val="zh-CN"/>
              </w:rPr>
              <w:t>、民办非企业单位登记证书。（民办非企业单位投标提供）</w:t>
            </w:r>
          </w:p>
          <w:p>
            <w:pPr>
              <w:autoSpaceDE w:val="0"/>
              <w:autoSpaceDN w:val="0"/>
              <w:adjustRightInd w:val="0"/>
              <w:spacing w:line="360" w:lineRule="auto"/>
              <w:jc w:val="left"/>
              <w:rPr>
                <w:rFonts w:ascii="宋体" w:cs="仿宋_GB2312"/>
                <w:b/>
                <w:color w:val="auto"/>
                <w:szCs w:val="21"/>
              </w:rPr>
            </w:pPr>
            <w:r>
              <w:rPr>
                <w:rFonts w:hint="eastAsia" w:ascii="宋体" w:hAnsi="宋体" w:cs="仿宋_GB2312"/>
                <w:b/>
                <w:color w:val="auto"/>
                <w:szCs w:val="21"/>
              </w:rPr>
              <w:t>二、财务状况报告相关材料</w:t>
            </w:r>
          </w:p>
          <w:p>
            <w:pPr>
              <w:spacing w:line="360" w:lineRule="auto"/>
              <w:rPr>
                <w:rFonts w:ascii="宋体"/>
                <w:bCs/>
                <w:color w:val="auto"/>
                <w:szCs w:val="21"/>
              </w:rPr>
            </w:pPr>
            <w:r>
              <w:rPr>
                <w:rFonts w:ascii="宋体" w:hAnsi="宋体"/>
                <w:bCs/>
                <w:color w:val="auto"/>
                <w:szCs w:val="21"/>
              </w:rPr>
              <w:t>1</w:t>
            </w:r>
            <w:r>
              <w:rPr>
                <w:rFonts w:hint="eastAsia" w:ascii="宋体" w:hAnsi="宋体"/>
                <w:bCs/>
                <w:color w:val="auto"/>
                <w:szCs w:val="21"/>
              </w:rPr>
              <w:t>、投标人是法人（法人包括企业法人、机关法人、事业单位法人和社会团体法人），提供本单位：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②基本开户银行出具的资信证明；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宋体"/>
                <w:bCs/>
                <w:color w:val="auto"/>
                <w:szCs w:val="21"/>
              </w:rPr>
            </w:pPr>
            <w:r>
              <w:rPr>
                <w:rFonts w:ascii="宋体" w:hAnsi="宋体"/>
                <w:bCs/>
                <w:color w:val="auto"/>
                <w:szCs w:val="21"/>
              </w:rPr>
              <w:t>2</w:t>
            </w:r>
            <w:r>
              <w:rPr>
                <w:rFonts w:hint="eastAsia" w:ascii="宋体" w:hAnsi="宋体"/>
                <w:bCs/>
                <w:color w:val="auto"/>
                <w:szCs w:val="21"/>
              </w:rPr>
              <w:t>、投标人（其他组织和自然人）提供本单位：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ascii="宋体" w:cs="宋体"/>
                <w:bCs/>
                <w:color w:val="auto"/>
                <w:szCs w:val="21"/>
                <w:lang w:val="zh-CN"/>
              </w:rPr>
            </w:pPr>
            <w:r>
              <w:rPr>
                <w:rFonts w:hint="eastAsia" w:ascii="宋体" w:hAnsi="宋体" w:cs="仿宋_GB2312"/>
                <w:b/>
                <w:color w:val="auto"/>
                <w:szCs w:val="21"/>
              </w:rPr>
              <w:t>三、依法缴纳税收相关材料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四、依法缴纳社会保障资金的证明材料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1</w:t>
            </w:r>
            <w:r>
              <w:rPr>
                <w:rFonts w:hint="eastAsia" w:ascii="宋体" w:hAnsi="宋体" w:cs="宋体"/>
                <w:bCs/>
                <w:color w:val="auto"/>
                <w:szCs w:val="21"/>
                <w:lang w:val="zh-CN"/>
              </w:rPr>
              <w:t>、相关设备的购置发票、专业技术人员职称证书、用工合同等；</w:t>
            </w:r>
          </w:p>
          <w:p>
            <w:pPr>
              <w:spacing w:line="360" w:lineRule="auto"/>
              <w:rPr>
                <w:rFonts w:ascii="宋体"/>
                <w:bCs/>
                <w:color w:val="auto"/>
                <w:szCs w:val="21"/>
              </w:rPr>
            </w:pPr>
            <w:r>
              <w:rPr>
                <w:rFonts w:ascii="宋体" w:hAnsi="宋体"/>
                <w:bCs/>
                <w:color w:val="auto"/>
                <w:szCs w:val="21"/>
              </w:rPr>
              <w:t>2</w:t>
            </w:r>
            <w:r>
              <w:rPr>
                <w:rFonts w:hint="eastAsia" w:ascii="宋体" w:hAnsi="宋体"/>
                <w:bCs/>
                <w:color w:val="auto"/>
                <w:szCs w:val="21"/>
              </w:rPr>
              <w:t>、投标人具备履行合同所必须的设备和专业技术能力承诺函或声明（承诺函或声明格式自拟）。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ascii="楷体" w:hAnsi="楷体" w:eastAsia="楷体"/>
                <w:color w:val="auto"/>
                <w:sz w:val="24"/>
                <w:szCs w:val="24"/>
              </w:rPr>
              <w:t>1</w:t>
            </w:r>
            <w:r>
              <w:rPr>
                <w:rFonts w:hint="eastAsia" w:ascii="楷体" w:hAnsi="楷体" w:eastAsia="楷体"/>
                <w:color w:val="auto"/>
                <w:sz w:val="24"/>
                <w:szCs w:val="24"/>
              </w:rPr>
              <w:t>～</w:t>
            </w:r>
            <w:r>
              <w:rPr>
                <w:rFonts w:ascii="楷体" w:hAnsi="楷体" w:eastAsia="楷体"/>
                <w:color w:val="auto"/>
                <w:sz w:val="24"/>
                <w:szCs w:val="24"/>
              </w:rPr>
              <w:t>2</w:t>
            </w:r>
            <w:r>
              <w:rPr>
                <w:rFonts w:hint="eastAsia" w:ascii="楷体" w:hAnsi="楷体" w:eastAsia="楷体"/>
                <w:color w:val="auto"/>
                <w:sz w:val="24"/>
                <w:szCs w:val="24"/>
              </w:rPr>
              <w:t>其中之一即可。</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w:t>
            </w:r>
            <w:r>
              <w:rPr>
                <w:rFonts w:ascii="宋体" w:hAnsi="宋体" w:cs="宋体"/>
                <w:b/>
                <w:bCs/>
                <w:color w:val="auto"/>
                <w:szCs w:val="21"/>
                <w:lang w:val="zh-CN"/>
              </w:rPr>
              <w:t>3</w:t>
            </w:r>
            <w:r>
              <w:rPr>
                <w:rFonts w:hint="eastAsia" w:ascii="宋体" w:hAnsi="宋体" w:cs="宋体"/>
                <w:b/>
                <w:bCs/>
                <w:color w:val="auto"/>
                <w:szCs w:val="21"/>
                <w:lang w:val="zh-CN"/>
              </w:rPr>
              <w:t>年内在经营活动中没有重大违法记录的声明</w:t>
            </w:r>
          </w:p>
          <w:p>
            <w:pPr>
              <w:autoSpaceDE w:val="0"/>
              <w:autoSpaceDN w:val="0"/>
              <w:spacing w:line="360" w:lineRule="auto"/>
              <w:contextualSpacing/>
              <w:jc w:val="left"/>
              <w:rPr>
                <w:rFonts w:ascii="宋体" w:cs="宋体"/>
                <w:bCs/>
                <w:color w:val="auto"/>
                <w:szCs w:val="21"/>
                <w:lang w:val="zh-CN"/>
              </w:rPr>
            </w:pPr>
            <w:r>
              <w:rPr>
                <w:rFonts w:hint="eastAsia" w:ascii="宋体" w:hAnsi="宋体" w:cs="宋体"/>
                <w:bCs/>
                <w:color w:val="auto"/>
                <w:szCs w:val="21"/>
                <w:lang w:val="zh-CN"/>
              </w:rPr>
              <w:t>投标人“参加政府采购活动前</w:t>
            </w:r>
            <w:r>
              <w:rPr>
                <w:rFonts w:ascii="宋体" w:hAnsi="宋体" w:cs="宋体"/>
                <w:bCs/>
                <w:color w:val="auto"/>
                <w:szCs w:val="21"/>
                <w:lang w:val="zh-CN"/>
              </w:rPr>
              <w:t>3</w:t>
            </w:r>
            <w:r>
              <w:rPr>
                <w:rFonts w:hint="eastAsia" w:ascii="宋体" w:hAnsi="宋体" w:cs="宋体"/>
                <w:bCs/>
                <w:color w:val="auto"/>
                <w:szCs w:val="21"/>
                <w:lang w:val="zh-CN"/>
              </w:rPr>
              <w:t>年内在经营活动中没有重大违法记录的书面声明”。</w:t>
            </w:r>
            <w:r>
              <w:rPr>
                <w:rFonts w:ascii="宋体" w:hAnsi="宋体" w:cs="宋体"/>
                <w:bCs/>
                <w:color w:val="auto"/>
                <w:szCs w:val="21"/>
                <w:lang w:val="zh-CN"/>
              </w:rPr>
              <w:t xml:space="preserve"> </w:t>
            </w:r>
            <w:r>
              <w:rPr>
                <w:rFonts w:hint="eastAsia" w:ascii="宋体" w:hAnsi="宋体" w:cs="宋体"/>
                <w:bCs/>
                <w:color w:val="auto"/>
                <w:szCs w:val="21"/>
                <w:lang w:val="zh-CN"/>
              </w:rPr>
              <w:t>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cs="宋体"/>
                <w:color w:val="auto"/>
                <w:kern w:val="0"/>
                <w:szCs w:val="21"/>
              </w:rPr>
            </w:pPr>
            <w:r>
              <w:rPr>
                <w:rFonts w:hint="eastAsia" w:ascii="宋体" w:hAnsi="宋体" w:cs="宋体"/>
                <w:b/>
                <w:bCs/>
                <w:color w:val="auto"/>
                <w:szCs w:val="21"/>
                <w:lang w:val="zh-CN"/>
              </w:rPr>
              <w:t>七、</w:t>
            </w:r>
            <w:r>
              <w:rPr>
                <w:rFonts w:hint="eastAsia" w:ascii="宋体" w:hAnsi="宋体" w:cs="仿宋_GB2312"/>
                <w:b/>
                <w:color w:val="auto"/>
                <w:szCs w:val="21"/>
                <w:shd w:val="clear" w:color="auto" w:fill="FFFFFF"/>
              </w:rPr>
              <w:t>未被列入“信用中国”网站</w:t>
            </w:r>
            <w:r>
              <w:rPr>
                <w:rFonts w:ascii="宋体" w:hAnsi="宋体" w:cs="仿宋_GB2312"/>
                <w:b/>
                <w:color w:val="auto"/>
                <w:szCs w:val="21"/>
                <w:shd w:val="clear" w:color="auto" w:fill="FFFFFF"/>
              </w:rPr>
              <w:t>(www.creditchina.gov.cn)</w:t>
            </w:r>
            <w:r>
              <w:rPr>
                <w:rFonts w:hint="eastAsia" w:ascii="宋体" w:hAnsi="宋体" w:cs="仿宋_GB2312"/>
                <w:b/>
                <w:color w:val="auto"/>
                <w:szCs w:val="21"/>
                <w:shd w:val="clear" w:color="auto" w:fill="FFFFFF"/>
              </w:rPr>
              <w:t>失信被执行人、重大税收违法案件当事人名单的投标人；“中国政府采购网”</w:t>
            </w:r>
            <w:r>
              <w:rPr>
                <w:rFonts w:ascii="宋体" w:hAnsi="宋体" w:cs="仿宋_GB2312"/>
                <w:b/>
                <w:color w:val="auto"/>
                <w:szCs w:val="21"/>
                <w:shd w:val="clear" w:color="auto" w:fill="FFFFFF"/>
              </w:rPr>
              <w:t xml:space="preserve"> (www.ccgp.gov.cn)</w:t>
            </w:r>
            <w:r>
              <w:rPr>
                <w:rFonts w:hint="eastAsia" w:ascii="宋体" w:hAnsi="宋体" w:cs="仿宋_GB2312"/>
                <w:b/>
                <w:color w:val="auto"/>
                <w:szCs w:val="21"/>
                <w:shd w:val="clear" w:color="auto" w:fill="FFFFFF"/>
              </w:rPr>
              <w:t>政府采购严重违法失信行为记录名单的投标人</w:t>
            </w:r>
            <w:r>
              <w:rPr>
                <w:rFonts w:hint="eastAsia" w:ascii="宋体" w:hAnsi="宋体" w:cs="宋体"/>
                <w:b/>
                <w:bCs/>
                <w:color w:val="auto"/>
                <w:szCs w:val="21"/>
                <w:lang w:val="zh-CN"/>
              </w:rPr>
              <w:t>；</w:t>
            </w:r>
            <w:r>
              <w:rPr>
                <w:rFonts w:hint="eastAsia" w:ascii="宋体" w:hAnsi="宋体" w:cs="仿宋_GB2312"/>
                <w:b/>
                <w:color w:val="auto"/>
                <w:szCs w:val="21"/>
                <w:shd w:val="clear" w:color="auto" w:fill="FFFFFF"/>
              </w:rPr>
              <w:t>“中国社会组织公共服务平台”网站（</w:t>
            </w:r>
            <w:r>
              <w:rPr>
                <w:rFonts w:ascii="宋体" w:hAnsi="宋体" w:cs="仿宋_GB2312"/>
                <w:b/>
                <w:color w:val="auto"/>
                <w:szCs w:val="21"/>
                <w:shd w:val="clear" w:color="auto" w:fill="FFFFFF"/>
              </w:rPr>
              <w:t>www.chinanpo.gov.cn</w:t>
            </w:r>
            <w:r>
              <w:rPr>
                <w:rFonts w:hint="eastAsia" w:ascii="宋体" w:hAnsi="宋体" w:cs="仿宋_GB2312"/>
                <w:b/>
                <w:color w:val="auto"/>
                <w:szCs w:val="21"/>
                <w:shd w:val="clear" w:color="auto" w:fill="FFFFFF"/>
              </w:rPr>
              <w:t>）严重违法失信社会组织名单的投标人（</w:t>
            </w:r>
            <w:r>
              <w:rPr>
                <w:rFonts w:hint="eastAsia" w:ascii="宋体" w:hAnsi="宋体" w:cs="宋体"/>
                <w:color w:val="auto"/>
                <w:kern w:val="0"/>
                <w:szCs w:val="21"/>
              </w:rPr>
              <w:t>联合体形式投标的，联合体成员存在不良信用记录，视同联合体存在不良信用记录）。</w:t>
            </w:r>
          </w:p>
          <w:p>
            <w:pPr>
              <w:spacing w:line="360" w:lineRule="auto"/>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、查询渠道：</w:t>
            </w:r>
          </w:p>
          <w:p>
            <w:pPr>
              <w:spacing w:line="360" w:lineRule="auto"/>
              <w:rPr>
                <w:rFonts w:ascii="宋体" w:cs="宋体"/>
                <w:color w:val="auto"/>
                <w:kern w:val="0"/>
                <w:szCs w:val="21"/>
              </w:rPr>
            </w:pPr>
            <w:r>
              <w:rPr>
                <w:rFonts w:hint="eastAsia" w:ascii="宋体" w:hAnsi="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cs="宋体"/>
                <w:color w:val="auto"/>
                <w:kern w:val="0"/>
              </w:rPr>
              <w:t>www.creditchina.gov.cn</w:t>
            </w:r>
            <w:r>
              <w:rPr>
                <w:rFonts w:cs="宋体"/>
                <w:color w:val="auto"/>
                <w:kern w:val="0"/>
              </w:rPr>
              <w:fldChar w:fldCharType="end"/>
            </w:r>
            <w:r>
              <w:rPr>
                <w:rFonts w:hint="eastAsia" w:ascii="宋体" w:hAnsi="宋体" w:cs="宋体"/>
                <w:color w:val="auto"/>
                <w:kern w:val="0"/>
                <w:szCs w:val="21"/>
              </w:rPr>
              <w:t>）</w:t>
            </w:r>
          </w:p>
          <w:p>
            <w:pPr>
              <w:spacing w:line="360" w:lineRule="auto"/>
              <w:rPr>
                <w:rFonts w:ascii="宋体" w:cs="宋体"/>
                <w:color w:val="auto"/>
                <w:kern w:val="0"/>
                <w:szCs w:val="21"/>
              </w:rPr>
            </w:pPr>
            <w:r>
              <w:rPr>
                <w:rFonts w:hint="eastAsia" w:ascii="宋体" w:hAnsi="宋体" w:cs="宋体"/>
                <w:color w:val="auto"/>
                <w:kern w:val="0"/>
                <w:szCs w:val="21"/>
              </w:rPr>
              <w:t>②“中国政府采购网”（</w:t>
            </w:r>
            <w:r>
              <w:rPr>
                <w:rFonts w:ascii="宋体" w:hAnsi="宋体" w:cs="宋体"/>
                <w:color w:val="auto"/>
                <w:kern w:val="0"/>
                <w:szCs w:val="21"/>
              </w:rPr>
              <w:t>www.ccgp.gov.cn</w:t>
            </w:r>
            <w:r>
              <w:rPr>
                <w:rFonts w:hint="eastAsia" w:ascii="宋体" w:hAnsi="宋体" w:cs="宋体"/>
                <w:color w:val="auto"/>
                <w:kern w:val="0"/>
                <w:szCs w:val="21"/>
              </w:rPr>
              <w:t>）</w:t>
            </w:r>
          </w:p>
          <w:p>
            <w:pPr>
              <w:spacing w:line="360" w:lineRule="auto"/>
              <w:rPr>
                <w:rFonts w:ascii="宋体" w:cs="宋体"/>
                <w:color w:val="auto"/>
                <w:kern w:val="0"/>
                <w:szCs w:val="21"/>
              </w:rPr>
            </w:pPr>
            <w:r>
              <w:rPr>
                <w:rFonts w:hint="eastAsia" w:ascii="宋体" w:hAnsi="宋体" w:cs="宋体"/>
                <w:color w:val="auto"/>
                <w:kern w:val="0"/>
                <w:szCs w:val="21"/>
              </w:rPr>
              <w:t>③“中国社会组织公共服务平台”网站（</w:t>
            </w:r>
            <w:r>
              <w:rPr>
                <w:rFonts w:ascii="宋体" w:hAnsi="宋体" w:cs="宋体"/>
                <w:color w:val="auto"/>
                <w:kern w:val="0"/>
                <w:szCs w:val="21"/>
              </w:rPr>
              <w:t>www.chinanpo.gov.cn</w:t>
            </w:r>
            <w:r>
              <w:rPr>
                <w:rFonts w:hint="eastAsia" w:ascii="宋体" w:hAnsi="宋体" w:cs="宋体"/>
                <w:color w:val="auto"/>
                <w:kern w:val="0"/>
                <w:szCs w:val="21"/>
              </w:rPr>
              <w:t>）（仅查询社会组织）；</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、截止时间：同投标截止时间；</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、信用信息的使用原则：经采购人认定的被列入失信被执行人、重大税收违法案件当事人名单、</w:t>
            </w:r>
            <w:r>
              <w:rPr>
                <w:rFonts w:hint="eastAsia" w:ascii="宋体" w:hAnsi="宋体" w:cs="仿宋_GB2312"/>
                <w:color w:val="auto"/>
                <w:szCs w:val="21"/>
                <w:shd w:val="clear" w:color="auto" w:fill="FFFFFF"/>
              </w:rPr>
              <w:t>政府采购严重违法失信名单</w:t>
            </w:r>
            <w:r>
              <w:rPr>
                <w:rFonts w:hint="eastAsia" w:ascii="宋体" w:hAnsi="宋体" w:cs="宋体"/>
                <w:color w:val="auto"/>
                <w:kern w:val="0"/>
                <w:szCs w:val="21"/>
              </w:rPr>
              <w:t>、</w:t>
            </w:r>
            <w:r>
              <w:rPr>
                <w:rFonts w:hint="eastAsia" w:ascii="宋体" w:hAnsi="宋体" w:cs="仿宋_GB2312"/>
                <w:color w:val="auto"/>
                <w:szCs w:val="21"/>
                <w:shd w:val="clear" w:color="auto" w:fill="FFFFFF"/>
              </w:rPr>
              <w:t>政府采购严重违法失信行为记录名单、</w:t>
            </w:r>
            <w:r>
              <w:rPr>
                <w:rFonts w:hint="eastAsia" w:ascii="宋体" w:hAnsi="宋体" w:cs="宋体"/>
                <w:color w:val="auto"/>
                <w:kern w:val="0"/>
                <w:szCs w:val="21"/>
              </w:rPr>
              <w:t>严重违法失信社会组织名单的投标人，将拒绝其参与本次政府采购活动。</w:t>
            </w:r>
          </w:p>
          <w:p>
            <w:pPr>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lang w:eastAsia="zh-CN"/>
              </w:rPr>
              <w:t>八</w:t>
            </w:r>
            <w:r>
              <w:rPr>
                <w:rFonts w:hint="eastAsia" w:ascii="宋体" w:hAnsi="宋体" w:cs="宋体"/>
                <w:color w:val="auto"/>
                <w:kern w:val="0"/>
                <w:szCs w:val="21"/>
              </w:rPr>
              <w:t>、需提供</w:t>
            </w:r>
            <w:r>
              <w:rPr>
                <w:rFonts w:hint="eastAsia" w:ascii="宋体" w:hAnsi="宋体" w:cs="宋体"/>
                <w:b/>
                <w:color w:val="auto"/>
                <w:kern w:val="0"/>
                <w:szCs w:val="21"/>
              </w:rPr>
              <w:t>三年内未被省级或省级以上环境保护主管部门停业整顿的承诺</w:t>
            </w:r>
            <w:r>
              <w:rPr>
                <w:rFonts w:hint="eastAsia" w:ascii="宋体" w:hAnsi="宋体" w:cs="宋体"/>
                <w:color w:val="auto"/>
                <w:kern w:val="0"/>
                <w:szCs w:val="21"/>
              </w:rPr>
              <w:t>，若被省级或省级以上环境保护主管部门作出过停业整顿的处罚，则拒绝其参与本次投标活动。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5</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联合体投标</w:t>
            </w:r>
          </w:p>
        </w:tc>
        <w:tc>
          <w:tcPr>
            <w:tcW w:w="681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highlight w:val="yellow"/>
              </w:rPr>
            </w:pPr>
            <w:r>
              <w:rPr>
                <w:rFonts w:ascii="宋体" w:hAnsi="宋体" w:cs="黑体"/>
                <w:color w:val="auto"/>
                <w:szCs w:val="21"/>
              </w:rPr>
              <w:t>6</w:t>
            </w:r>
          </w:p>
        </w:tc>
        <w:tc>
          <w:tcPr>
            <w:tcW w:w="2268" w:type="dxa"/>
            <w:vAlign w:val="center"/>
          </w:tcPr>
          <w:p>
            <w:pPr>
              <w:autoSpaceDE w:val="0"/>
              <w:autoSpaceDN w:val="0"/>
              <w:adjustRightInd w:val="0"/>
              <w:spacing w:line="276" w:lineRule="auto"/>
              <w:ind w:firstLine="525" w:firstLineChars="250"/>
              <w:rPr>
                <w:rFonts w:ascii="宋体" w:cs="宋体"/>
                <w:bCs/>
                <w:color w:val="auto"/>
                <w:szCs w:val="21"/>
                <w:lang w:val="zh-CN"/>
              </w:rPr>
            </w:pPr>
            <w:r>
              <w:rPr>
                <w:rFonts w:hint="eastAsia" w:ascii="宋体" w:hAnsi="宋体" w:cs="宋体"/>
                <w:bCs/>
                <w:color w:val="auto"/>
                <w:szCs w:val="21"/>
                <w:lang w:val="zh-CN"/>
              </w:rPr>
              <w:t>★最高限价</w:t>
            </w:r>
          </w:p>
        </w:tc>
        <w:tc>
          <w:tcPr>
            <w:tcW w:w="6813" w:type="dxa"/>
            <w:vAlign w:val="center"/>
          </w:tcPr>
          <w:p>
            <w:pPr>
              <w:autoSpaceDE w:val="0"/>
              <w:autoSpaceDN w:val="0"/>
              <w:spacing w:line="360" w:lineRule="auto"/>
              <w:contextualSpacing/>
              <w:jc w:val="left"/>
              <w:rPr>
                <w:rFonts w:ascii="宋体" w:cs="宋体"/>
                <w:bCs/>
                <w:color w:val="auto"/>
                <w:szCs w:val="21"/>
                <w:lang w:val="zh-CN"/>
              </w:rPr>
            </w:pPr>
            <w:r>
              <w:rPr>
                <w:rFonts w:hint="eastAsia" w:ascii="宋体" w:hAnsi="宋体" w:cs="宋体"/>
                <w:b/>
                <w:color w:val="auto"/>
                <w:kern w:val="0"/>
                <w:szCs w:val="21"/>
              </w:rPr>
              <w:t>15134842.41元，超出最高限价的投标无效。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7</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8</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9</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进口产品参与</w:t>
            </w:r>
          </w:p>
        </w:tc>
        <w:tc>
          <w:tcPr>
            <w:tcW w:w="6813" w:type="dxa"/>
            <w:vAlign w:val="center"/>
          </w:tcPr>
          <w:p>
            <w:pPr>
              <w:autoSpaceDE w:val="0"/>
              <w:autoSpaceDN w:val="0"/>
              <w:adjustRightInd w:val="0"/>
              <w:spacing w:line="276" w:lineRule="auto"/>
              <w:rPr>
                <w:rFonts w:ascii="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10</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投标有效期</w:t>
            </w:r>
          </w:p>
        </w:tc>
        <w:tc>
          <w:tcPr>
            <w:tcW w:w="6813" w:type="dxa"/>
            <w:vAlign w:val="center"/>
          </w:tcPr>
          <w:p>
            <w:pPr>
              <w:autoSpaceDE w:val="0"/>
              <w:autoSpaceDN w:val="0"/>
              <w:adjustRightInd w:val="0"/>
              <w:spacing w:line="360" w:lineRule="auto"/>
              <w:rPr>
                <w:rFonts w:ascii="宋体" w:cs="仿宋_GB2312"/>
                <w:color w:val="auto"/>
                <w:szCs w:val="21"/>
              </w:rPr>
            </w:pPr>
            <w:r>
              <w:rPr>
                <w:rFonts w:hint="eastAsia" w:ascii="宋体" w:hAnsi="宋体" w:cs="仿宋_GB2312"/>
                <w:color w:val="auto"/>
                <w:szCs w:val="21"/>
                <w:lang w:val="en-US" w:eastAsia="zh-CN"/>
              </w:rPr>
              <w:t>6</w:t>
            </w:r>
            <w:r>
              <w:rPr>
                <w:rFonts w:ascii="宋体" w:hAnsi="宋体" w:cs="仿宋_GB2312"/>
                <w:color w:val="auto"/>
                <w:szCs w:val="21"/>
              </w:rPr>
              <w:t>0</w:t>
            </w:r>
            <w:r>
              <w:rPr>
                <w:rFonts w:hint="eastAsia" w:ascii="宋体" w:hAnsi="宋体" w:cs="仿宋_GB2312"/>
                <w:color w:val="auto"/>
                <w:szCs w:val="21"/>
              </w:rPr>
              <w:t>天（自</w:t>
            </w:r>
            <w:r>
              <w:rPr>
                <w:rFonts w:hint="eastAsia" w:ascii="宋体" w:hAnsi="宋体" w:cs="宋体"/>
                <w:color w:val="auto"/>
                <w:kern w:val="0"/>
                <w:szCs w:val="21"/>
              </w:rPr>
              <w:t>提交投标文件的截止之日起算</w:t>
            </w:r>
            <w:r>
              <w:rPr>
                <w:rFonts w:hint="eastAsia" w:ascii="宋体" w:hAnsi="宋体" w:cs="仿宋_GB2312"/>
                <w:color w:val="auto"/>
                <w:szCs w:val="21"/>
              </w:rPr>
              <w:t>）</w:t>
            </w:r>
          </w:p>
          <w:p>
            <w:pPr>
              <w:autoSpaceDE w:val="0"/>
              <w:autoSpaceDN w:val="0"/>
              <w:adjustRightInd w:val="0"/>
              <w:spacing w:line="360" w:lineRule="auto"/>
              <w:rPr>
                <w:rFonts w:ascii="宋体" w:cs="仿宋_GB2312"/>
                <w:color w:val="auto"/>
                <w:szCs w:val="21"/>
              </w:rPr>
            </w:pPr>
            <w:r>
              <w:rPr>
                <w:rFonts w:hint="eastAsia" w:ascii="宋体" w:hAnsi="宋体" w:cs="仿宋_GB2312"/>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11</w:t>
            </w:r>
          </w:p>
        </w:tc>
        <w:tc>
          <w:tcPr>
            <w:tcW w:w="2268" w:type="dxa"/>
            <w:vAlign w:val="center"/>
          </w:tcPr>
          <w:p>
            <w:pPr>
              <w:autoSpaceDE w:val="0"/>
              <w:autoSpaceDN w:val="0"/>
              <w:adjustRightInd w:val="0"/>
              <w:spacing w:line="360" w:lineRule="auto"/>
              <w:rPr>
                <w:rFonts w:ascii="宋体" w:cs="仿宋_GB2312"/>
                <w:color w:val="auto"/>
                <w:szCs w:val="21"/>
              </w:rPr>
            </w:pPr>
            <w:r>
              <w:rPr>
                <w:rFonts w:hint="eastAsia" w:ascii="宋体" w:hAnsi="宋体" w:cs="宋体"/>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2020年</w:t>
            </w:r>
            <w:r>
              <w:rPr>
                <w:rFonts w:hint="eastAsia" w:cs="宋体" w:asciiTheme="minorEastAsia" w:hAnsiTheme="minorEastAsia"/>
                <w:bCs/>
                <w:color w:val="auto"/>
                <w:szCs w:val="21"/>
                <w:lang w:val="en-US" w:eastAsia="zh-CN"/>
              </w:rPr>
              <w:t>03</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23</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08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许昌市公共资源交易中心三楼开标</w:t>
            </w:r>
            <w:r>
              <w:rPr>
                <w:rFonts w:hint="eastAsia" w:cs="仿宋_GB2312" w:asciiTheme="minorEastAsia" w:hAnsiTheme="minorEastAsia"/>
                <w:color w:val="auto"/>
                <w:szCs w:val="21"/>
                <w:u w:val="single"/>
                <w:lang w:val="en-US" w:eastAsia="zh-CN"/>
              </w:rPr>
              <w:t xml:space="preserve"> 四 </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14</w:t>
            </w:r>
          </w:p>
        </w:tc>
        <w:tc>
          <w:tcPr>
            <w:tcW w:w="2268" w:type="dxa"/>
            <w:vAlign w:val="center"/>
          </w:tcPr>
          <w:p>
            <w:pPr>
              <w:autoSpaceDE w:val="0"/>
              <w:autoSpaceDN w:val="0"/>
              <w:adjustRightInd w:val="0"/>
              <w:spacing w:line="276" w:lineRule="auto"/>
              <w:jc w:val="center"/>
              <w:rPr>
                <w:rFonts w:ascii="宋体" w:cs="宋体"/>
                <w:b/>
                <w:bCs/>
                <w:color w:val="auto"/>
                <w:szCs w:val="21"/>
                <w:lang w:val="zh-CN"/>
              </w:rPr>
            </w:pPr>
            <w:r>
              <w:rPr>
                <w:rFonts w:hint="eastAsia" w:ascii="宋体" w:hAnsi="宋体" w:cs="宋体"/>
                <w:b/>
                <w:bCs/>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b/>
                <w:bCs/>
                <w:color w:val="auto"/>
                <w:szCs w:val="21"/>
                <w:lang w:val="zh-CN"/>
              </w:rPr>
            </w:pPr>
            <w:r>
              <w:rPr>
                <w:rFonts w:hint="eastAsia" w:ascii="宋体" w:hAnsi="宋体" w:cs="仿宋_GB2312"/>
                <w:b/>
                <w:bCs/>
                <w:color w:val="auto"/>
                <w:szCs w:val="21"/>
                <w:lang w:val="zh-CN"/>
              </w:rPr>
              <w:t>本项目不收取。</w:t>
            </w:r>
          </w:p>
          <w:p>
            <w:pPr>
              <w:tabs>
                <w:tab w:val="left" w:pos="1260"/>
              </w:tabs>
              <w:autoSpaceDE w:val="0"/>
              <w:autoSpaceDN w:val="0"/>
              <w:adjustRightInd w:val="0"/>
              <w:spacing w:line="360" w:lineRule="auto"/>
              <w:contextualSpacing/>
              <w:rPr>
                <w:rFonts w:ascii="宋体" w:cs="仿宋_GB2312"/>
                <w:b/>
                <w:bCs/>
                <w:color w:val="auto"/>
                <w:szCs w:val="21"/>
                <w:lang w:val="zh-CN"/>
              </w:rPr>
            </w:pPr>
            <w:r>
              <w:rPr>
                <w:rFonts w:hint="eastAsia" w:ascii="宋体" w:hAnsi="宋体" w:cs="仿宋_GB2312"/>
                <w:b/>
                <w:bCs/>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15</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公告发布</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hint="eastAsia" w:ascii="宋体" w:hAnsi="宋体" w:cs="宋体"/>
                <w:color w:val="auto"/>
                <w:szCs w:val="21"/>
              </w:rPr>
              <w:t>中国·许昌许昌市政府网</w:t>
            </w:r>
            <w:r>
              <w:rPr>
                <w:rFonts w:hint="eastAsia" w:ascii="宋体" w:hAnsi="宋体" w:cs="宋体"/>
                <w:color w:val="auto"/>
                <w:szCs w:val="21"/>
              </w:rPr>
              <w:fldChar w:fldCharType="end"/>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16</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仿宋_GB2312"/>
                <w:color w:val="auto"/>
                <w:szCs w:val="21"/>
              </w:rPr>
              <w:t>采购人澄清或修改</w:t>
            </w:r>
          </w:p>
          <w:p>
            <w:pPr>
              <w:autoSpaceDE w:val="0"/>
              <w:autoSpaceDN w:val="0"/>
              <w:adjustRightInd w:val="0"/>
              <w:spacing w:line="360" w:lineRule="auto"/>
              <w:jc w:val="center"/>
              <w:rPr>
                <w:rFonts w:ascii="宋体" w:cs="黑体"/>
                <w:color w:val="auto"/>
                <w:szCs w:val="21"/>
              </w:rPr>
            </w:pPr>
            <w:r>
              <w:rPr>
                <w:rFonts w:hint="eastAsia" w:ascii="宋体" w:hAnsi="宋体" w:cs="仿宋_GB2312"/>
                <w:color w:val="auto"/>
                <w:szCs w:val="21"/>
              </w:rPr>
              <w:t>招标文件时间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仿宋_GB2312"/>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17</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投标人对采购文件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质疑截止时间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18</w:t>
            </w:r>
          </w:p>
        </w:tc>
        <w:tc>
          <w:tcPr>
            <w:tcW w:w="2268" w:type="dxa"/>
            <w:vAlign w:val="center"/>
          </w:tcPr>
          <w:p>
            <w:pPr>
              <w:autoSpaceDE w:val="0"/>
              <w:autoSpaceDN w:val="0"/>
              <w:adjustRightInd w:val="0"/>
              <w:spacing w:line="360" w:lineRule="auto"/>
              <w:jc w:val="center"/>
              <w:rPr>
                <w:rFonts w:ascii="宋体" w:cs="黑体"/>
                <w:color w:val="auto"/>
                <w:szCs w:val="21"/>
                <w:highlight w:val="yellow"/>
              </w:rPr>
            </w:pPr>
            <w:r>
              <w:rPr>
                <w:rFonts w:hint="eastAsia" w:ascii="宋体" w:hAnsi="宋体" w:cs="黑体"/>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19</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投标文件的</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20</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黑体"/>
                <w:color w:val="auto"/>
                <w:szCs w:val="21"/>
              </w:rPr>
              <w:t>评标委员会组建</w:t>
            </w:r>
          </w:p>
        </w:tc>
        <w:tc>
          <w:tcPr>
            <w:tcW w:w="6813" w:type="dxa"/>
            <w:vAlign w:val="center"/>
          </w:tcPr>
          <w:p>
            <w:pPr>
              <w:autoSpaceDE w:val="0"/>
              <w:autoSpaceDN w:val="0"/>
              <w:adjustRightInd w:val="0"/>
              <w:spacing w:line="360" w:lineRule="auto"/>
              <w:rPr>
                <w:rFonts w:ascii="宋体" w:cs="仿宋_GB2312"/>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宋体" w:hAnsi="宋体" w:cs="仿宋_GB2312"/>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21</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仿宋_GB2312"/>
                <w:color w:val="auto"/>
                <w:szCs w:val="21"/>
              </w:rPr>
              <w:t>评标方法</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采购单位委派代表参加资格审</w:t>
            </w:r>
            <w:r>
              <w:rPr>
                <w:rFonts w:hint="eastAsia" w:ascii="新宋体" w:hAnsi="新宋体" w:eastAsia="新宋体"/>
                <w:color w:val="auto"/>
                <w:szCs w:val="21"/>
              </w:rPr>
              <w:t>查、</w:t>
            </w:r>
            <w:r>
              <w:rPr>
                <w:rFonts w:hint="eastAsia" w:ascii="宋体" w:hAnsi="宋体" w:cs="仿宋_GB2312"/>
                <w:color w:val="auto"/>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color w:val="auto"/>
                <w:szCs w:val="21"/>
                <w:lang w:val="zh-CN"/>
              </w:rPr>
              <w:t>2</w:t>
            </w:r>
            <w:r>
              <w:rPr>
                <w:rFonts w:hint="eastAsia" w:ascii="宋体" w:hAnsi="宋体" w:cs="仿宋_GB2312"/>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23</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24</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6813" w:type="dxa"/>
            <w:vAlign w:val="center"/>
          </w:tcPr>
          <w:p>
            <w:pPr>
              <w:autoSpaceDE w:val="0"/>
              <w:autoSpaceDN w:val="0"/>
              <w:spacing w:line="360" w:lineRule="auto"/>
              <w:contextualSpacing/>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收取中标人。</w:t>
            </w:r>
            <w:r>
              <w:rPr>
                <w:rFonts w:hint="eastAsia" w:ascii="宋体" w:hAnsi="宋体" w:cs="宋体"/>
                <w:color w:val="auto"/>
                <w:szCs w:val="21"/>
              </w:rPr>
              <w:t>收取标准</w:t>
            </w:r>
            <w:r>
              <w:rPr>
                <w:rFonts w:ascii="宋体" w:hAnsi="宋体" w:cs="宋体"/>
                <w:color w:val="auto"/>
                <w:szCs w:val="21"/>
              </w:rPr>
              <w:t>:</w:t>
            </w:r>
            <w:r>
              <w:rPr>
                <w:rFonts w:hint="eastAsia" w:ascii="宋体" w:hAnsi="宋体" w:cs="宋体"/>
                <w:color w:val="auto"/>
                <w:szCs w:val="21"/>
              </w:rPr>
              <w:t>中标合同金额的</w:t>
            </w:r>
            <w:r>
              <w:rPr>
                <w:rFonts w:ascii="宋体" w:hAnsi="宋体" w:cs="宋体"/>
                <w:color w:val="auto"/>
                <w:szCs w:val="21"/>
                <w:u w:val="single"/>
              </w:rPr>
              <w:t>1.5</w:t>
            </w:r>
            <w:r>
              <w:rPr>
                <w:rFonts w:ascii="宋体" w:hAnsi="宋体" w:cs="宋体"/>
                <w:color w:val="auto"/>
                <w:szCs w:val="21"/>
              </w:rPr>
              <w:t>%</w:t>
            </w:r>
            <w:r>
              <w:rPr>
                <w:rFonts w:hint="eastAsia" w:ascii="宋体" w:hAnsi="宋体" w:cs="宋体"/>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25</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中标人需提交</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的资料</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中标人在接到中标通知时，须向代理机构发送投标报价及分项报价一览表（包含主要中标标的的名称、规格型号、数量、单价、服务要求等）电子文档，并同时通知代理机构联系人，联系电话：0374-8318599，邮箱：</w:t>
            </w: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HYPERLINK "mailto:hnhsdlxcgs@126.com"</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892189247@qq.com</w:t>
            </w:r>
            <w:r>
              <w:rPr>
                <w:rFonts w:hint="eastAsia" w:ascii="宋体" w:hAnsi="宋体" w:cs="宋体"/>
                <w:bCs/>
                <w:color w:val="auto"/>
                <w:szCs w:val="21"/>
                <w:lang w:val="zh-CN"/>
              </w:rPr>
              <w:fldChar w:fldCharType="end"/>
            </w:r>
            <w:r>
              <w:rPr>
                <w:rFonts w:hint="eastAsia" w:ascii="宋体" w:hAnsi="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26</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eq \o\ac(</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27</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不同投标人电子投标文件制作硬件特征码（网卡MAC地址、CPU序号、硬盘序列号）均一致时，视为‘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1.1本招标文件仅适用于本次“投标邀请”中所述采购项目。</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1.2本招标文件解释权属于“投标邀请”所述的采购人。</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2.1 “采购项目”：“投标人须知前附表”中所述的采购项目。</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2.2 “招标人”：“投标人须知前附表”中所述的组织本次招标的代理机构和采购人。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2.3 “采购人”：是指依法进行政府采购的国家机关、事业单位、团体组织。采购人名称、地址、电话、联系人见“投标人须知前附表”。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2.4 “代理机构”：接受采购人委托，代理采购项目的采购代理机构。代理机构名称、地址、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b/>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2.7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2.7.1 </w:t>
      </w:r>
      <w:r>
        <w:rPr>
          <w:rFonts w:cs="宋体" w:asciiTheme="minorEastAsia" w:hAnsiTheme="minorEastAsia"/>
          <w:color w:val="auto"/>
          <w:kern w:val="0"/>
          <w:szCs w:val="21"/>
        </w:rPr>
        <w:t>招标文件列明不允许或未列明允许进口产品参加投标的，均视为拒绝进口产品参加投标。</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 </w:t>
      </w: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2.8 招标文件中凡标有“★”的条款均系实质性要求条款。</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3.1 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3.2 符合本项目“投标邀请”和“投标人须知前附表”中规定的合格投标人所必须具备的条件。</w:t>
      </w:r>
    </w:p>
    <w:p>
      <w:pPr>
        <w:autoSpaceDE w:val="0"/>
        <w:autoSpaceDN w:val="0"/>
        <w:adjustRightInd w:val="0"/>
        <w:snapToGrid w:val="0"/>
        <w:spacing w:line="360" w:lineRule="auto"/>
        <w:rPr>
          <w:rFonts w:cs="宋体" w:asciiTheme="minorEastAsia" w:hAnsiTheme="minorEastAsia"/>
          <w:color w:val="auto"/>
          <w:spacing w:val="-2"/>
          <w:kern w:val="0"/>
          <w:szCs w:val="21"/>
        </w:rPr>
      </w:pPr>
      <w:r>
        <w:rPr>
          <w:rFonts w:hint="eastAsia" w:cs="宋体" w:asciiTheme="minorEastAsia" w:hAnsiTheme="minorEastAsia"/>
          <w:color w:val="auto"/>
          <w:spacing w:val="-2"/>
          <w:kern w:val="0"/>
          <w:szCs w:val="21"/>
        </w:rPr>
        <w:t>3.3 政府采购活动中查询及使用投标人信用记录的具体要求为：投标人未被列入失信被执行人、</w:t>
      </w:r>
      <w:r>
        <w:rPr>
          <w:rFonts w:hint="eastAsia" w:cs="宋体" w:asciiTheme="minorEastAsia" w:hAnsiTheme="minorEastAsia"/>
          <w:color w:val="auto"/>
          <w:kern w:val="0"/>
          <w:szCs w:val="21"/>
        </w:rPr>
        <w:t>重大税收违法案件当事人</w:t>
      </w:r>
      <w:r>
        <w:rPr>
          <w:rFonts w:hint="eastAsia" w:cs="宋体" w:asciiTheme="minorEastAsia" w:hAnsiTheme="minorEastAsia"/>
          <w:color w:val="auto"/>
          <w:spacing w:val="-2"/>
          <w:kern w:val="0"/>
          <w:szCs w:val="21"/>
        </w:rPr>
        <w:t>名单、</w:t>
      </w:r>
      <w:r>
        <w:rPr>
          <w:rFonts w:cs="宋体" w:asciiTheme="minorEastAsia" w:hAnsiTheme="minorEastAsia"/>
          <w:color w:val="auto"/>
          <w:spacing w:val="-2"/>
          <w:kern w:val="0"/>
          <w:szCs w:val="21"/>
        </w:rPr>
        <w:t>政府采购严重违法失信</w:t>
      </w:r>
      <w:r>
        <w:rPr>
          <w:rFonts w:hint="eastAsia" w:cs="宋体" w:asciiTheme="minorEastAsia" w:hAnsiTheme="minorEastAsia"/>
          <w:color w:val="auto"/>
          <w:kern w:val="0"/>
          <w:szCs w:val="21"/>
        </w:rPr>
        <w:t>行为记录</w:t>
      </w:r>
      <w:r>
        <w:rPr>
          <w:rFonts w:cs="宋体" w:asciiTheme="minorEastAsia" w:hAnsiTheme="minorEastAsia"/>
          <w:color w:val="auto"/>
          <w:spacing w:val="-2"/>
          <w:kern w:val="0"/>
          <w:szCs w:val="21"/>
        </w:rPr>
        <w:t>名单</w:t>
      </w:r>
      <w:r>
        <w:rPr>
          <w:rFonts w:hint="eastAsia" w:cs="宋体" w:asciiTheme="minorEastAsia" w:hAnsiTheme="minorEastAsia"/>
          <w:color w:val="auto"/>
          <w:spacing w:val="-2"/>
          <w:kern w:val="0"/>
          <w:szCs w:val="21"/>
        </w:rPr>
        <w:t>、政府采购严重违法失信行为记录名单、严重违法失信企业名单(黑名单)（联合体形式投标的，联合体成员存在不良信用记录，视同联合体存在不良信用记录）。</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 查询渠道：“信用中国”网站(www.creditchina.gov.cn)失信被执行人、重大税收违法案件当事人名单的供应商；“中国政府采购网”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 截止时间：同投标截止时间；</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 信用信息的使用原则：经采购人认定的被列入失信被执行人、重大税收违法案件当事人名单、</w:t>
      </w:r>
      <w:r>
        <w:rPr>
          <w:rFonts w:cs="宋体" w:asciiTheme="minorEastAsia" w:hAnsiTheme="minorEastAsia"/>
          <w:color w:val="auto"/>
          <w:spacing w:val="-2"/>
          <w:kern w:val="0"/>
          <w:szCs w:val="21"/>
        </w:rPr>
        <w:t>政府采购严重违法失信名单</w:t>
      </w:r>
      <w:r>
        <w:rPr>
          <w:rFonts w:hint="eastAsia" w:cs="宋体" w:asciiTheme="minorEastAsia" w:hAnsiTheme="minorEastAsia"/>
          <w:color w:val="auto"/>
          <w:spacing w:val="-2"/>
          <w:kern w:val="0"/>
          <w:szCs w:val="21"/>
        </w:rPr>
        <w:t>、政府采购严重违法失信行为记录名单</w:t>
      </w:r>
      <w:r>
        <w:rPr>
          <w:rFonts w:hint="eastAsia" w:cs="宋体" w:asciiTheme="minorEastAsia" w:hAnsiTheme="minorEastAsia"/>
          <w:color w:val="auto"/>
          <w:kern w:val="0"/>
          <w:szCs w:val="21"/>
        </w:rPr>
        <w:t>、严重违法失信企业名单（黑名单）的投标人，将拒绝其参与政府采购活动。</w:t>
      </w:r>
    </w:p>
    <w:p>
      <w:pPr>
        <w:autoSpaceDE w:val="0"/>
        <w:autoSpaceDN w:val="0"/>
        <w:adjustRightInd w:val="0"/>
        <w:snapToGrid w:val="0"/>
        <w:spacing w:line="360" w:lineRule="auto"/>
        <w:rPr>
          <w:rFonts w:cs="宋体" w:asciiTheme="minorEastAsia" w:hAnsiTheme="minorEastAsia"/>
          <w:color w:val="auto"/>
          <w:spacing w:val="-4"/>
          <w:kern w:val="0"/>
          <w:szCs w:val="21"/>
        </w:rPr>
      </w:pPr>
      <w:r>
        <w:rPr>
          <w:rFonts w:hint="eastAsia" w:cs="宋体" w:asciiTheme="minorEastAsia" w:hAnsiTheme="minorEastAsia"/>
          <w:color w:val="auto"/>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rPr>
          <w:rFonts w:cs="宋体" w:asciiTheme="minorEastAsia" w:hAnsiTheme="minorEastAsia"/>
          <w:color w:val="auto"/>
          <w:spacing w:val="-4"/>
          <w:kern w:val="0"/>
          <w:szCs w:val="21"/>
        </w:rPr>
      </w:pPr>
      <w:r>
        <w:rPr>
          <w:rFonts w:hint="eastAsia" w:cs="宋体" w:asciiTheme="minorEastAsia" w:hAnsiTheme="minorEastAsia"/>
          <w:color w:val="auto"/>
          <w:spacing w:val="-4"/>
          <w:kern w:val="0"/>
          <w:szCs w:val="21"/>
        </w:rPr>
        <w:t>3.4 单位负责人为同一人或者存在直接控股、管理关系的不同供应商，不得参加同一合同项下的政府采购活动；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3.5 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3.6 “投标邀请”和“投标人须知前附表”规定接受联合体投标的，除应符合本章第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4.1 投标人提供的货物应当符合招标文件和设计方案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4.2 投标人所提供的服务应当没有侵犯任何第三方的知识产权、技术秘密等合法权利。</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4.3 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4.4 </w:t>
      </w:r>
      <w:r>
        <w:rPr>
          <w:rFonts w:hint="eastAsia" w:cs="宋体" w:asciiTheme="minorEastAsia" w:hAnsiTheme="minorEastAsia"/>
          <w:color w:val="auto"/>
          <w:spacing w:val="-2"/>
          <w:kern w:val="0"/>
          <w:szCs w:val="21"/>
        </w:rPr>
        <w:t>投标人所投产品如被列入</w:t>
      </w:r>
      <w:r>
        <w:rPr>
          <w:rFonts w:cs="宋体" w:asciiTheme="minorEastAsia" w:hAnsiTheme="minorEastAsia"/>
          <w:color w:val="auto"/>
          <w:spacing w:val="-2"/>
          <w:kern w:val="0"/>
          <w:szCs w:val="21"/>
        </w:rPr>
        <w:t>《信息安全产品强制性认证目录》，</w:t>
      </w:r>
      <w:r>
        <w:rPr>
          <w:rFonts w:hint="eastAsia" w:cs="宋体" w:asciiTheme="minorEastAsia" w:hAnsiTheme="minorEastAsia"/>
          <w:color w:val="auto"/>
          <w:spacing w:val="-2"/>
          <w:kern w:val="0"/>
          <w:szCs w:val="21"/>
        </w:rPr>
        <w:t>则该产品应</w:t>
      </w:r>
      <w:r>
        <w:rPr>
          <w:rFonts w:cs="宋体" w:asciiTheme="minorEastAsia" w:hAnsiTheme="minorEastAsia"/>
          <w:color w:val="auto"/>
          <w:spacing w:val="-2"/>
          <w:kern w:val="0"/>
          <w:szCs w:val="21"/>
        </w:rPr>
        <w:t>具备</w:t>
      </w:r>
      <w:r>
        <w:rPr>
          <w:rFonts w:hint="eastAsia" w:cs="宋体" w:asciiTheme="minorEastAsia" w:hAnsiTheme="minorEastAsia"/>
          <w:color w:val="auto"/>
          <w:spacing w:val="-2"/>
          <w:kern w:val="0"/>
          <w:szCs w:val="21"/>
        </w:rPr>
        <w:t>中国信息安全认证中心</w:t>
      </w:r>
      <w:r>
        <w:rPr>
          <w:rFonts w:cs="宋体" w:asciiTheme="minorEastAsia" w:hAnsiTheme="minorEastAsia"/>
          <w:color w:val="auto"/>
          <w:spacing w:val="-2"/>
          <w:kern w:val="0"/>
          <w:szCs w:val="21"/>
        </w:rPr>
        <w:t>颁</w:t>
      </w:r>
      <w:r>
        <w:rPr>
          <w:rFonts w:hint="eastAsia" w:cs="宋体" w:asciiTheme="minorEastAsia" w:hAnsiTheme="minorEastAsia"/>
          <w:color w:val="auto"/>
          <w:spacing w:val="-2"/>
          <w:kern w:val="0"/>
          <w:szCs w:val="21"/>
        </w:rPr>
        <w:t>发的</w:t>
      </w:r>
      <w:r>
        <w:rPr>
          <w:rFonts w:cs="宋体" w:asciiTheme="minorEastAsia" w:hAnsiTheme="minorEastAsia"/>
          <w:color w:val="auto"/>
          <w:spacing w:val="-2"/>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spacing w:val="-2"/>
          <w:kern w:val="0"/>
          <w:szCs w:val="21"/>
        </w:rPr>
        <w:t>中国国家信息安全产品认证证书</w:t>
      </w:r>
      <w:r>
        <w:rPr>
          <w:rFonts w:hint="eastAsia" w:cs="宋体" w:asciiTheme="minorEastAsia" w:hAnsiTheme="minorEastAsia"/>
          <w:color w:val="auto"/>
          <w:spacing w:val="-2"/>
          <w:kern w:val="0"/>
          <w:szCs w:val="21"/>
        </w:rPr>
        <w:fldChar w:fldCharType="end"/>
      </w:r>
      <w:r>
        <w:rPr>
          <w:rFonts w:cs="宋体" w:asciiTheme="minorEastAsia" w:hAnsiTheme="minorEastAsia"/>
          <w:color w:val="auto"/>
          <w:spacing w:val="-2"/>
          <w:kern w:val="0"/>
          <w:szCs w:val="21"/>
        </w:rPr>
        <w:t>》。</w:t>
      </w:r>
      <w:r>
        <w:rPr>
          <w:rFonts w:hint="eastAsia" w:cs="宋体" w:asciiTheme="minorEastAsia" w:hAnsiTheme="minorEastAsia"/>
          <w:color w:val="auto"/>
          <w:spacing w:val="-2"/>
          <w:kern w:val="0"/>
          <w:szCs w:val="21"/>
        </w:rPr>
        <w:t>投标人</w:t>
      </w:r>
      <w:r>
        <w:rPr>
          <w:rFonts w:cs="宋体" w:asciiTheme="minorEastAsia" w:hAnsiTheme="minorEastAsia"/>
          <w:color w:val="auto"/>
          <w:spacing w:val="-2"/>
          <w:kern w:val="0"/>
          <w:szCs w:val="21"/>
        </w:rPr>
        <w:t>不能提供超出此目录范畴外的替代品</w:t>
      </w:r>
      <w:r>
        <w:rPr>
          <w:rFonts w:hint="eastAsia" w:cs="宋体" w:asciiTheme="minorEastAsia" w:hAnsiTheme="minorEastAsia"/>
          <w:color w:val="auto"/>
          <w:spacing w:val="-2"/>
          <w:kern w:val="0"/>
          <w:szCs w:val="21"/>
        </w:rPr>
        <w:t>。</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7.1 收取标准:按照中标合同金额的比例收取。详见投标人须知前附表。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7.2 收取方式：一次性以银行划账、电汇、汇票或支票的形式支付。</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9.1 招标文件由以下部分组成：</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本项目招标文件的澄清、答复、修改、补充内容（如有的话）</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10.1 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10.4 现场考察及参加开标前答疑会所发生的费用及一切责任由投标人自行承担。</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11.1 在投标截止期前，无论出于何种原因，招标人可主动地或在解答潜在投标人提出的澄清问题时对招标文件进行修改。</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11.2 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11.4 如果澄清或者修改发出的时间距规定的投标截止时间不足15日，招标人将顺延提交投标文件的截止时间。</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12.2 投标计量单位，招标文件已有明确规定的，使用招标文件规定的计量单位；招标文件没有规定的，一律采用中华人民共和国法定计量单位。</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13.1 本次招标项目的投标均以人民币为计算单位。</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13.2 采购人不得向投标人索要或者接受其给予的赠品、回扣或者与采购无关的其他商品、服务。</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13.3 投标人应对项目要求的全部内容进行报价，少报漏报将导致其投标为非实质性响应予以拒绝。</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13.4 投标人应当按照国家相关规定，结合自身服务水平和承受能力进行报价。投标报价应是履行合同的最终价格，除“项目需求”中另有说明外，</w:t>
      </w:r>
      <w:r>
        <w:rPr>
          <w:rFonts w:hint="eastAsia" w:cs="宋体" w:asciiTheme="minorEastAsia" w:hAnsiTheme="minorEastAsia"/>
          <w:b/>
          <w:bCs/>
          <w:color w:val="auto"/>
          <w:kern w:val="0"/>
          <w:szCs w:val="21"/>
        </w:rPr>
        <w:t>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13.5 </w:t>
      </w:r>
      <w:r>
        <w:rPr>
          <w:rFonts w:hint="eastAsia" w:cs="宋体" w:asciiTheme="minorEastAsia" w:hAnsiTheme="minorEastAsia"/>
          <w:b/>
          <w:bCs/>
          <w:color w:val="auto"/>
          <w:kern w:val="0"/>
          <w:szCs w:val="21"/>
        </w:rPr>
        <w:t>本项目所涉及的运输、施工、安装、集成、调试、验收、备品和工具等费用均包含在投标报价中。</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13.6 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13.8 最低报价不能作为中标的保证。</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14.2 投标有效期内投标人撤销投标文件的，招标人将不退还投标保证金。</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14.4 中标人的投标文件作为项目合同的附件，其有效期至中标人全部合同义务履行完毕为止。</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15.1 投标文件的构成应符合法律法规及招标文件的要求。</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15.2 投标人应当按照招标文件的要求编制投标文件。投标文件应当对招标文件提出的要求和条件作出明确响应。</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15.3 投标文件由资格证明材料、符合性证明材料、其它材料等组成。</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标包名称、项目编号、投标人名称、日期等字样。</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16.2 投标人应按招标文件提供的格式编写投标文件。招标文件未提供标准格式的投标人可自行拟定。</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17.1 本项目不收取投标保证金。</w:t>
      </w:r>
    </w:p>
    <w:p>
      <w:pPr>
        <w:pStyle w:val="4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17.2 供应商应提供投标承诺函。</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18.1 投标人应提交投标文件份数见“投标人须知前附表”。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18.2 在招标文件中已明示需盖章及签名之处，电子投标文件应按招标文件要求加盖投标人电子印章和法人电子印章或授权代表电子印章。</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18.3 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autoSpaceDE w:val="0"/>
        <w:autoSpaceDN w:val="0"/>
        <w:adjustRightInd w:val="0"/>
        <w:snapToGrid w:val="0"/>
        <w:spacing w:line="360" w:lineRule="auto"/>
        <w:rPr>
          <w:rFonts w:cs="仿宋_GB2312" w:asciiTheme="minorEastAsia" w:hAnsiTheme="minorEastAsia"/>
          <w:color w:val="auto"/>
          <w:szCs w:val="21"/>
          <w:lang w:val="zh-CN"/>
        </w:rPr>
      </w:pPr>
      <w:r>
        <w:rPr>
          <w:rFonts w:hint="eastAsia" w:cs="宋体" w:asciiTheme="minorEastAsia" w:hAnsiTheme="minorEastAsia"/>
          <w:color w:val="auto"/>
          <w:kern w:val="0"/>
          <w:szCs w:val="21"/>
        </w:rPr>
        <w:t>18.4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6"/>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投标截止时间之后上传的投标文件，采购人将拒绝接收。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投标人在投标截止时间前，对投标文件进行补充、修改或者撤回的，须书面通知采购人。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投标人在提交投标文件后，可以撤回其投标，但投标人必须在规定的投标截止时间前以书面形式告知采购人。</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6"/>
        <w:numPr>
          <w:ilvl w:val="0"/>
          <w:numId w:val="6"/>
        </w:numPr>
        <w:autoSpaceDE w:val="0"/>
        <w:autoSpaceDN w:val="0"/>
        <w:spacing w:line="360" w:lineRule="auto"/>
        <w:ind w:firstLineChars="0"/>
        <w:contextualSpacing/>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6"/>
        <w:numPr>
          <w:ilvl w:val="0"/>
          <w:numId w:val="9"/>
        </w:numPr>
        <w:autoSpaceDE w:val="0"/>
        <w:autoSpaceDN w:val="0"/>
        <w:spacing w:line="360" w:lineRule="auto"/>
        <w:ind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6"/>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6"/>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6"/>
        <w:autoSpaceDE w:val="0"/>
        <w:autoSpaceDN w:val="0"/>
        <w:spacing w:line="360" w:lineRule="auto"/>
        <w:ind w:left="964" w:firstLine="0"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23.4如无投标人提出异议，采购代理机构通过“文字互动”对话框通知各投标人进行电子签章。投标人应在《开标记录表》上进行电子签章，未进行电子签章的视为对开标结果无异议。</w:t>
      </w:r>
    </w:p>
    <w:p>
      <w:pPr>
        <w:pStyle w:val="46"/>
        <w:autoSpaceDE w:val="0"/>
        <w:autoSpaceDN w:val="0"/>
        <w:spacing w:line="360" w:lineRule="auto"/>
        <w:ind w:left="964" w:firstLine="0"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23.5采购人（代理机构）签章并上传《开标记录表》，不见面开标活动结束。</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25.1.2.2  技术复杂；</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25.1.2.3  社会影响较大。</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25.3.3  与供应商有其他可能影响政府采购活动公平、公正进行的关系。</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29.1.1  未按照招标文件的规定提交投标承诺函的；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29.1.5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29.2.5   不同投标人的投标文件相互混装。</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46"/>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32.1.2  综合评分法，是指投标文件满足招标文件全部实质性要求，且按照评审因素的量化指标评审得分最高的投标人为中标候选人的评标方法。</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32.2.3  因落实政府采购政策进行价格调整的，以调整后的价格计算评标基准价和投标报价。</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6"/>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34.6  记录、复制或者带走任何评标资料；</w:t>
      </w:r>
    </w:p>
    <w:p>
      <w:pPr>
        <w:pStyle w:val="46"/>
        <w:numPr>
          <w:ilvl w:val="1"/>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6"/>
        <w:numPr>
          <w:ilvl w:val="1"/>
          <w:numId w:val="14"/>
        </w:numPr>
        <w:autoSpaceDE w:val="0"/>
        <w:autoSpaceDN w:val="0"/>
        <w:spacing w:line="360" w:lineRule="auto"/>
        <w:ind w:left="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评审专家应当遵守评审工作纪律，不得泄露评审文件、评审情况和评审中获悉的商业秘密。</w:t>
      </w:r>
    </w:p>
    <w:p>
      <w:pPr>
        <w:pStyle w:val="46"/>
        <w:numPr>
          <w:ilvl w:val="1"/>
          <w:numId w:val="14"/>
        </w:numPr>
        <w:autoSpaceDE w:val="0"/>
        <w:autoSpaceDN w:val="0"/>
        <w:spacing w:line="360" w:lineRule="auto"/>
        <w:ind w:left="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6"/>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采购人应当自收到评标报告之日起5个工作日内，在评标报告确定的中标候选人名单中按顺序确定中标人。中标候选人并列的，由采购人采取随机抽取的方式确定。</w:t>
      </w:r>
    </w:p>
    <w:p>
      <w:pPr>
        <w:pStyle w:val="46"/>
        <w:numPr>
          <w:ilvl w:val="1"/>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37.1采购人确认中标人后，采购人在公告中标结果的同时，向中标人发出中标通知书。</w:t>
      </w:r>
    </w:p>
    <w:p>
      <w:pPr>
        <w:pStyle w:val="46"/>
        <w:numPr>
          <w:ilvl w:val="1"/>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6"/>
        <w:numPr>
          <w:ilvl w:val="1"/>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6"/>
        <w:numPr>
          <w:ilvl w:val="0"/>
          <w:numId w:val="1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38.1.3  对中标结果提出质疑的，为中标结果公告期限届满之日起七个工作日内，以书面形式向采购人和采购代理机构一次性提出。</w:t>
      </w:r>
    </w:p>
    <w:p>
      <w:pPr>
        <w:pStyle w:val="46"/>
        <w:numPr>
          <w:ilvl w:val="1"/>
          <w:numId w:val="1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38.2.1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38.2.2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auto"/>
          <w:sz w:val="24"/>
          <w:szCs w:val="24"/>
        </w:rPr>
        <w:br w:type="textWrapping"/>
      </w:r>
    </w:p>
    <w:p>
      <w:pPr>
        <w:autoSpaceDE w:val="0"/>
        <w:autoSpaceDN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第五章</w:t>
      </w:r>
      <w:r>
        <w:rPr>
          <w:rFonts w:ascii="宋体" w:hAnsi="宋体" w:cs="宋体"/>
          <w:b/>
          <w:color w:val="auto"/>
          <w:kern w:val="0"/>
          <w:sz w:val="32"/>
          <w:szCs w:val="32"/>
        </w:rPr>
        <w:t xml:space="preserve"> </w:t>
      </w:r>
      <w:r>
        <w:rPr>
          <w:rFonts w:hint="eastAsia" w:ascii="宋体" w:hAnsi="宋体" w:cs="宋体"/>
          <w:b/>
          <w:color w:val="auto"/>
          <w:kern w:val="0"/>
          <w:sz w:val="32"/>
          <w:szCs w:val="32"/>
        </w:rPr>
        <w:t>政府采购政策功能</w:t>
      </w:r>
    </w:p>
    <w:p>
      <w:pPr>
        <w:jc w:val="center"/>
        <w:rPr>
          <w:rFonts w:ascii="宋体" w:cs="宋体"/>
          <w:b/>
          <w:color w:val="auto"/>
          <w:kern w:val="0"/>
          <w:sz w:val="36"/>
          <w:szCs w:val="36"/>
        </w:rPr>
      </w:pP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w:t>
      </w:r>
      <w:r>
        <w:rPr>
          <w:rFonts w:ascii="宋体" w:hAnsi="宋体" w:cs="仿宋_GB2312"/>
          <w:color w:val="auto"/>
          <w:sz w:val="21"/>
          <w:szCs w:val="21"/>
          <w:lang w:val="zh-CN"/>
        </w:rPr>
        <w:t>2019</w:t>
      </w:r>
      <w:r>
        <w:rPr>
          <w:rFonts w:hint="eastAsia" w:ascii="宋体" w:hAnsi="宋体" w:cs="仿宋_GB2312"/>
          <w:color w:val="auto"/>
          <w:sz w:val="21"/>
          <w:szCs w:val="21"/>
          <w:lang w:val="zh-CN"/>
        </w:rPr>
        <w:t>〕</w:t>
      </w:r>
      <w:r>
        <w:rPr>
          <w:rFonts w:ascii="宋体" w:hAnsi="宋体" w:cs="仿宋_GB2312"/>
          <w:color w:val="auto"/>
          <w:sz w:val="21"/>
          <w:szCs w:val="21"/>
          <w:lang w:val="zh-CN"/>
        </w:rPr>
        <w:t>9</w:t>
      </w:r>
      <w:r>
        <w:rPr>
          <w:rFonts w:hint="eastAsia" w:ascii="宋体" w:hAnsi="宋体" w:cs="仿宋_GB2312"/>
          <w:color w:val="auto"/>
          <w:sz w:val="21"/>
          <w:szCs w:val="21"/>
          <w:lang w:val="zh-CN"/>
        </w:rPr>
        <w:t>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w:t>
      </w:r>
      <w:r>
        <w:rPr>
          <w:rFonts w:ascii="宋体" w:hAnsi="宋体" w:cs="仿宋_GB2312"/>
          <w:color w:val="auto"/>
          <w:sz w:val="21"/>
          <w:szCs w:val="21"/>
        </w:rPr>
        <w:t>[2019]18</w:t>
      </w:r>
      <w:r>
        <w:rPr>
          <w:rFonts w:hint="eastAsia" w:ascii="宋体" w:hAnsi="宋体" w:cs="仿宋_GB2312"/>
          <w:color w:val="auto"/>
          <w:sz w:val="21"/>
          <w:szCs w:val="21"/>
        </w:rPr>
        <w:t>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w:t>
      </w:r>
      <w:r>
        <w:rPr>
          <w:rFonts w:ascii="宋体" w:hAnsi="宋体" w:cs="仿宋_GB2312"/>
          <w:color w:val="auto"/>
          <w:sz w:val="21"/>
          <w:szCs w:val="21"/>
        </w:rPr>
        <w:t>[2019]19</w:t>
      </w:r>
      <w:r>
        <w:rPr>
          <w:rFonts w:hint="eastAsia" w:ascii="宋体" w:hAnsi="宋体" w:cs="仿宋_GB2312"/>
          <w:color w:val="auto"/>
          <w:sz w:val="21"/>
          <w:szCs w:val="21"/>
        </w:rPr>
        <w:t>号）</w:t>
      </w:r>
      <w:r>
        <w:rPr>
          <w:rFonts w:hint="eastAsia" w:ascii="宋体" w:hAnsi="宋体" w:cs="仿宋_GB2312"/>
          <w:color w:val="auto"/>
          <w:sz w:val="21"/>
          <w:szCs w:val="21"/>
          <w:lang w:val="zh-CN"/>
        </w:rPr>
        <w:t>，</w:t>
      </w:r>
      <w:r>
        <w:rPr>
          <w:rFonts w:hint="eastAsia" w:ascii="宋体" w:hAnsi="宋体" w:cs="仿宋_GB2312"/>
          <w:color w:val="auto"/>
          <w:sz w:val="21"/>
          <w:szCs w:val="21"/>
        </w:rPr>
        <w:t>采购属于政府强</w:t>
      </w:r>
      <w:r>
        <w:rPr>
          <w:rFonts w:hint="eastAsia" w:ascii="宋体" w:hAnsi="宋体" w:cs="仿宋_GB2312"/>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、根据财政部、工业和信息化部发布的《政府采购促进中小企业发展暂行办法》（财库</w:t>
      </w:r>
      <w:r>
        <w:rPr>
          <w:rFonts w:ascii="宋体" w:hAnsi="宋体" w:cs="仿宋_GB2312"/>
          <w:color w:val="auto"/>
          <w:szCs w:val="21"/>
          <w:lang w:val="zh-CN"/>
        </w:rPr>
        <w:t>[2011]181</w:t>
      </w:r>
      <w:r>
        <w:rPr>
          <w:rFonts w:hint="eastAsia" w:ascii="宋体" w:hAnsi="宋体" w:cs="仿宋_GB2312"/>
          <w:color w:val="auto"/>
          <w:szCs w:val="21"/>
          <w:lang w:val="zh-CN"/>
        </w:rPr>
        <w:t>号）规定，本项目为非专门面向中小企业采购的项目，对小型和微型企业产品的价格给予</w:t>
      </w:r>
      <w:r>
        <w:rPr>
          <w:rFonts w:ascii="宋体" w:hAnsi="宋体" w:cs="仿宋_GB2312"/>
          <w:color w:val="auto"/>
          <w:szCs w:val="21"/>
          <w:lang w:val="zh-CN"/>
        </w:rPr>
        <w:t>6%-10%</w:t>
      </w:r>
      <w:r>
        <w:rPr>
          <w:rFonts w:hint="eastAsia" w:ascii="宋体" w:hAnsi="宋体" w:cs="仿宋_GB2312"/>
          <w:color w:val="auto"/>
          <w:szCs w:val="21"/>
          <w:lang w:val="zh-CN"/>
        </w:rPr>
        <w:t>的扣除，用扣除后的价格参与评审。</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Cs w:val="21"/>
          <w:lang w:val="zh-CN"/>
        </w:rPr>
        <w:t>30%</w:t>
      </w:r>
      <w:r>
        <w:rPr>
          <w:rFonts w:hint="eastAsia" w:ascii="宋体" w:hAnsi="宋体" w:cs="仿宋_GB2312"/>
          <w:color w:val="auto"/>
          <w:szCs w:val="21"/>
          <w:lang w:val="zh-CN"/>
        </w:rPr>
        <w:t>以上的，给予联合体</w:t>
      </w:r>
      <w:r>
        <w:rPr>
          <w:rFonts w:ascii="宋体" w:hAnsi="宋体" w:cs="仿宋_GB2312"/>
          <w:color w:val="auto"/>
          <w:szCs w:val="21"/>
          <w:lang w:val="zh-CN"/>
        </w:rPr>
        <w:t>2%-3%</w:t>
      </w:r>
      <w:r>
        <w:rPr>
          <w:rFonts w:hint="eastAsia" w:ascii="宋体" w:hAnsi="宋体" w:cs="仿宋_GB2312"/>
          <w:color w:val="auto"/>
          <w:szCs w:val="21"/>
          <w:lang w:val="zh-CN"/>
        </w:rPr>
        <w:t>的价格扣除，用扣除后的价格参与评审。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三、支持监狱企业发展</w:t>
      </w: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按照财政部、司法部发布的《关于政府采购支持监狱企业发展有关问题的通知》（</w:t>
      </w:r>
      <w:bookmarkStart w:id="11" w:name="OLE_LINK6"/>
      <w:r>
        <w:rPr>
          <w:rFonts w:hint="eastAsia" w:ascii="宋体" w:hAnsi="宋体" w:cs="仿宋_GB2312"/>
          <w:color w:val="auto"/>
          <w:szCs w:val="21"/>
          <w:lang w:val="zh-CN"/>
        </w:rPr>
        <w:t>财库</w:t>
      </w:r>
      <w:r>
        <w:rPr>
          <w:rFonts w:ascii="宋体" w:hAnsi="宋体" w:cs="仿宋_GB2312"/>
          <w:color w:val="auto"/>
          <w:szCs w:val="21"/>
          <w:lang w:val="zh-CN"/>
        </w:rPr>
        <w:t>[2014]68</w:t>
      </w:r>
      <w:r>
        <w:rPr>
          <w:rFonts w:hint="eastAsia" w:ascii="宋体" w:hAnsi="宋体" w:cs="仿宋_GB2312"/>
          <w:color w:val="auto"/>
          <w:szCs w:val="21"/>
          <w:lang w:val="zh-CN"/>
        </w:rPr>
        <w:t>号</w:t>
      </w:r>
      <w:bookmarkEnd w:id="11"/>
      <w:r>
        <w:rPr>
          <w:rFonts w:hint="eastAsia" w:ascii="宋体" w:hAnsi="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四、促进残疾人就业</w:t>
      </w:r>
    </w:p>
    <w:p>
      <w:pPr>
        <w:pStyle w:val="16"/>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、按照财政部、民政部、中国残疾人联合会和残疾人发布的《三部门联合发布关于促进残疾人就业政府采购政策的通知》（财库</w:t>
      </w:r>
      <w:r>
        <w:rPr>
          <w:rFonts w:ascii="宋体" w:hAnsi="宋体" w:cs="仿宋_GB2312"/>
          <w:color w:val="auto"/>
          <w:sz w:val="21"/>
          <w:szCs w:val="21"/>
          <w:lang w:val="zh-CN"/>
        </w:rPr>
        <w:t>[2017]141</w:t>
      </w:r>
      <w:r>
        <w:rPr>
          <w:rFonts w:hint="eastAsia" w:ascii="宋体" w:hAnsi="宋体" w:cs="仿宋_GB2312"/>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6"/>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cs="仿宋_GB2312"/>
          <w:color w:val="auto"/>
          <w:szCs w:val="24"/>
          <w:lang w:val="zh-CN"/>
        </w:rPr>
      </w:pPr>
      <w:r>
        <w:rPr>
          <w:rFonts w:ascii="宋体" w:hAnsi="宋体" w:cs="仿宋_GB2312"/>
          <w:color w:val="auto"/>
          <w:sz w:val="21"/>
          <w:szCs w:val="21"/>
          <w:lang w:val="zh-CN"/>
        </w:rPr>
        <w:t>3</w:t>
      </w:r>
      <w:r>
        <w:rPr>
          <w:rFonts w:hint="eastAsia" w:ascii="宋体" w:hAnsi="宋体" w:cs="仿宋_GB2312"/>
          <w:color w:val="auto"/>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五、支持脱贫攻坚（物业服务采购）</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、根据《财政部国务院扶贫办关于运用政府采购政策支持脱贫攻坚的通知》财库〔</w:t>
      </w:r>
      <w:r>
        <w:rPr>
          <w:rFonts w:ascii="宋体" w:hAnsi="宋体" w:cs="仿宋_GB2312"/>
          <w:color w:val="auto"/>
          <w:szCs w:val="21"/>
          <w:lang w:val="zh-CN"/>
        </w:rPr>
        <w:t>2019</w:t>
      </w:r>
      <w:r>
        <w:rPr>
          <w:rFonts w:hint="eastAsia" w:ascii="宋体" w:hAnsi="宋体" w:cs="仿宋_GB2312"/>
          <w:color w:val="auto"/>
          <w:szCs w:val="21"/>
          <w:lang w:val="zh-CN"/>
        </w:rPr>
        <w:t>〕</w:t>
      </w:r>
      <w:r>
        <w:rPr>
          <w:rFonts w:ascii="宋体" w:hAnsi="宋体" w:cs="仿宋_GB2312"/>
          <w:color w:val="auto"/>
          <w:szCs w:val="21"/>
          <w:lang w:val="zh-CN"/>
        </w:rPr>
        <w:t>27</w:t>
      </w:r>
      <w:r>
        <w:rPr>
          <w:rFonts w:hint="eastAsia" w:ascii="宋体" w:hAnsi="宋体" w:cs="仿宋_GB2312"/>
          <w:color w:val="auto"/>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color w:val="auto"/>
          <w:szCs w:val="21"/>
          <w:lang w:val="zh-CN"/>
        </w:rPr>
        <w:t>832</w:t>
      </w:r>
      <w:r>
        <w:rPr>
          <w:rFonts w:hint="eastAsia" w:ascii="宋体" w:hAnsi="宋体" w:cs="仿宋_GB2312"/>
          <w:color w:val="auto"/>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color w:val="auto"/>
          <w:szCs w:val="21"/>
          <w:lang w:val="zh-CN"/>
        </w:rPr>
      </w:pPr>
    </w:p>
    <w:p>
      <w:pPr>
        <w:pStyle w:val="16"/>
        <w:spacing w:line="360" w:lineRule="auto"/>
        <w:ind w:left="282" w:hanging="282" w:hangingChars="78"/>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第六章</w:t>
      </w:r>
      <w:r>
        <w:rPr>
          <w:rFonts w:ascii="宋体" w:hAnsi="宋体" w:cs="宋体"/>
          <w:b/>
          <w:color w:val="auto"/>
          <w:kern w:val="0"/>
          <w:sz w:val="32"/>
          <w:szCs w:val="32"/>
        </w:rPr>
        <w:t xml:space="preserve"> </w:t>
      </w:r>
      <w:r>
        <w:rPr>
          <w:rFonts w:hint="eastAsia" w:ascii="宋体" w:hAnsi="宋体" w:cs="宋体"/>
          <w:b/>
          <w:color w:val="auto"/>
          <w:kern w:val="0"/>
          <w:sz w:val="32"/>
          <w:szCs w:val="32"/>
        </w:rPr>
        <w:t>资格审查与评标</w:t>
      </w:r>
    </w:p>
    <w:p>
      <w:pPr>
        <w:pStyle w:val="16"/>
        <w:spacing w:line="360" w:lineRule="auto"/>
        <w:contextualSpacing/>
        <w:rPr>
          <w:rFonts w:ascii="宋体"/>
          <w:bCs/>
          <w:color w:val="auto"/>
          <w:sz w:val="21"/>
          <w:szCs w:val="21"/>
        </w:rPr>
      </w:pPr>
      <w:r>
        <w:rPr>
          <w:rFonts w:hint="eastAsia"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bCs/>
          <w:color w:val="auto"/>
          <w:szCs w:val="21"/>
        </w:rPr>
      </w:pPr>
      <w:r>
        <w:rPr>
          <w:rFonts w:hint="eastAsia" w:ascii="宋体" w:hAnsi="宋体"/>
          <w:bCs/>
          <w:color w:val="auto"/>
          <w:szCs w:val="21"/>
        </w:rPr>
        <w:t>（一）开标结束后，采购人依法对投标人资格进行审查。确定符合资格的投标人不少于</w:t>
      </w:r>
      <w:r>
        <w:rPr>
          <w:rFonts w:ascii="宋体" w:hAnsi="宋体"/>
          <w:bCs/>
          <w:color w:val="auto"/>
          <w:szCs w:val="21"/>
        </w:rPr>
        <w:t>3</w:t>
      </w:r>
      <w:r>
        <w:rPr>
          <w:rFonts w:hint="eastAsia" w:ascii="宋体" w:hAnsi="宋体"/>
          <w:bCs/>
          <w:color w:val="auto"/>
          <w:szCs w:val="21"/>
        </w:rPr>
        <w:t>家的，将组织评标委员会进行评标。</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color w:val="auto"/>
                <w:szCs w:val="21"/>
              </w:rPr>
            </w:pPr>
            <w:r>
              <w:rPr>
                <w:rFonts w:hint="eastAsia" w:ascii="宋体" w:hAnsi="宋体"/>
                <w:b/>
                <w:color w:val="auto"/>
                <w:szCs w:val="21"/>
              </w:rPr>
              <w:t>序号</w:t>
            </w:r>
          </w:p>
        </w:tc>
        <w:tc>
          <w:tcPr>
            <w:tcW w:w="2410" w:type="dxa"/>
            <w:vAlign w:val="center"/>
          </w:tcPr>
          <w:p>
            <w:pPr>
              <w:spacing w:line="360" w:lineRule="auto"/>
              <w:jc w:val="center"/>
              <w:rPr>
                <w:rFonts w:ascii="宋体"/>
                <w:b/>
                <w:color w:val="auto"/>
                <w:szCs w:val="21"/>
              </w:rPr>
            </w:pPr>
            <w:r>
              <w:rPr>
                <w:rFonts w:hint="eastAsia" w:ascii="宋体" w:hAnsi="宋体"/>
                <w:b/>
                <w:color w:val="auto"/>
                <w:szCs w:val="21"/>
              </w:rPr>
              <w:t>资格审查因素</w:t>
            </w:r>
          </w:p>
        </w:tc>
        <w:tc>
          <w:tcPr>
            <w:tcW w:w="5954" w:type="dxa"/>
            <w:vAlign w:val="center"/>
          </w:tcPr>
          <w:p>
            <w:pPr>
              <w:spacing w:line="360" w:lineRule="auto"/>
              <w:jc w:val="center"/>
              <w:rPr>
                <w:rFonts w:asci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ascii="宋体" w:hAnsi="宋体"/>
                <w:b/>
                <w:color w:val="auto"/>
                <w:szCs w:val="21"/>
              </w:rPr>
              <w:t>1</w:t>
            </w:r>
          </w:p>
        </w:tc>
        <w:tc>
          <w:tcPr>
            <w:tcW w:w="2410" w:type="dxa"/>
            <w:vAlign w:val="center"/>
          </w:tcPr>
          <w:p>
            <w:pPr>
              <w:spacing w:line="360" w:lineRule="auto"/>
              <w:jc w:val="center"/>
              <w:rPr>
                <w:rFonts w:ascii="宋体"/>
                <w:b/>
                <w:color w:val="auto"/>
                <w:szCs w:val="21"/>
              </w:rPr>
            </w:pPr>
            <w:r>
              <w:rPr>
                <w:rFonts w:hint="eastAsia" w:ascii="宋体" w:hAnsi="宋体"/>
                <w:b/>
                <w:color w:val="auto"/>
                <w:szCs w:val="21"/>
              </w:rPr>
              <w:t>投标函</w:t>
            </w:r>
          </w:p>
        </w:tc>
        <w:tc>
          <w:tcPr>
            <w:tcW w:w="5954" w:type="dxa"/>
            <w:vAlign w:val="center"/>
          </w:tcPr>
          <w:p>
            <w:pPr>
              <w:spacing w:line="360" w:lineRule="auto"/>
              <w:rPr>
                <w:rFonts w:ascii="宋体"/>
                <w:b/>
                <w:color w:val="auto"/>
                <w:szCs w:val="21"/>
              </w:rPr>
            </w:pPr>
            <w:r>
              <w:rPr>
                <w:rFonts w:hint="eastAsia" w:ascii="宋体" w:hAnsi="宋体" w:cs="微软雅黑"/>
                <w:bCs/>
                <w:color w:val="auto"/>
                <w:szCs w:val="21"/>
              </w:rPr>
              <w:t>参考招标文件第八章</w:t>
            </w:r>
            <w:r>
              <w:rPr>
                <w:rFonts w:ascii="宋体" w:hAnsi="宋体" w:cs="微软雅黑"/>
                <w:bCs/>
                <w:color w:val="auto"/>
                <w:szCs w:val="21"/>
              </w:rPr>
              <w:t>3.1</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2</w:t>
            </w:r>
          </w:p>
        </w:tc>
        <w:tc>
          <w:tcPr>
            <w:tcW w:w="2410" w:type="dxa"/>
            <w:vAlign w:val="center"/>
          </w:tcPr>
          <w:p>
            <w:pPr>
              <w:spacing w:line="360" w:lineRule="auto"/>
              <w:rPr>
                <w:rFonts w:ascii="宋体"/>
                <w:b/>
                <w:color w:val="auto"/>
                <w:szCs w:val="21"/>
              </w:rPr>
            </w:pPr>
            <w:r>
              <w:rPr>
                <w:rFonts w:hint="eastAsia" w:ascii="宋体" w:hAnsi="宋体"/>
                <w:b/>
                <w:bCs/>
                <w:color w:val="auto"/>
                <w:szCs w:val="21"/>
              </w:rPr>
              <w:t>法人或者其他组织的营业执照等证明文件，自然人的身份证明</w:t>
            </w:r>
          </w:p>
        </w:tc>
        <w:tc>
          <w:tcPr>
            <w:tcW w:w="5954" w:type="dxa"/>
            <w:vAlign w:val="center"/>
          </w:tcPr>
          <w:p>
            <w:pPr>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）企业法人营业执照或营业执照。（企业投标提供）</w:t>
            </w:r>
          </w:p>
          <w:p>
            <w:pPr>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）事业单位法人证书。（事业单位投标提供）</w:t>
            </w:r>
          </w:p>
          <w:p>
            <w:pPr>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）执业许可证。（非企业专业服务机构投标提供）</w:t>
            </w:r>
          </w:p>
          <w:p>
            <w:pPr>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）个体工商户营业执照。（个体工商户投标提供）</w:t>
            </w:r>
          </w:p>
          <w:p>
            <w:pPr>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5</w:t>
            </w:r>
            <w:r>
              <w:rPr>
                <w:rFonts w:hint="eastAsia" w:ascii="宋体" w:hAnsi="宋体"/>
                <w:bCs/>
                <w:color w:val="auto"/>
                <w:szCs w:val="21"/>
              </w:rPr>
              <w:t>）自然人身份证明。（自然人投标提供）</w:t>
            </w:r>
          </w:p>
          <w:p>
            <w:pPr>
              <w:spacing w:line="360" w:lineRule="auto"/>
              <w:jc w:val="left"/>
              <w:rPr>
                <w:rFonts w:ascii="宋体"/>
                <w:b/>
                <w:bCs/>
                <w:color w:val="auto"/>
                <w:szCs w:val="21"/>
              </w:rPr>
            </w:pPr>
            <w:r>
              <w:rPr>
                <w:rFonts w:hint="eastAsia" w:ascii="宋体" w:hAnsi="宋体"/>
                <w:bCs/>
                <w:color w:val="auto"/>
                <w:szCs w:val="21"/>
              </w:rPr>
              <w:t>（</w:t>
            </w:r>
            <w:r>
              <w:rPr>
                <w:rFonts w:ascii="宋体" w:hAnsi="宋体"/>
                <w:bCs/>
                <w:color w:val="auto"/>
                <w:szCs w:val="21"/>
              </w:rPr>
              <w:t>6</w:t>
            </w:r>
            <w:r>
              <w:rPr>
                <w:rFonts w:hint="eastAsia" w:ascii="宋体" w:hAnsi="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3</w:t>
            </w:r>
          </w:p>
        </w:tc>
        <w:tc>
          <w:tcPr>
            <w:tcW w:w="2410" w:type="dxa"/>
            <w:vAlign w:val="center"/>
          </w:tcPr>
          <w:p>
            <w:pPr>
              <w:spacing w:line="360" w:lineRule="auto"/>
              <w:rPr>
                <w:rFonts w:ascii="宋体"/>
                <w:b/>
                <w:color w:val="auto"/>
                <w:szCs w:val="21"/>
              </w:rPr>
            </w:pPr>
            <w:r>
              <w:rPr>
                <w:rFonts w:hint="eastAsia" w:ascii="宋体" w:hAnsi="宋体"/>
                <w:b/>
                <w:bCs/>
                <w:color w:val="auto"/>
                <w:szCs w:val="21"/>
              </w:rPr>
              <w:t>财务状况报告相关材料</w:t>
            </w:r>
          </w:p>
        </w:tc>
        <w:tc>
          <w:tcPr>
            <w:tcW w:w="5954" w:type="dxa"/>
          </w:tcPr>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）投标人是法人（法人包括企业法人、机关法人、事业单位法人和社会团体法人），提供本单位：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②基本开户银行出具的资信证明；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）投标人（其他组织和自然人）提供本单位：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4</w:t>
            </w:r>
          </w:p>
        </w:tc>
        <w:tc>
          <w:tcPr>
            <w:tcW w:w="2410" w:type="dxa"/>
            <w:vAlign w:val="center"/>
          </w:tcPr>
          <w:p>
            <w:pPr>
              <w:spacing w:line="360" w:lineRule="auto"/>
              <w:rPr>
                <w:rFonts w:ascii="宋体"/>
                <w:b/>
                <w:color w:val="auto"/>
                <w:szCs w:val="21"/>
              </w:rPr>
            </w:pPr>
            <w:r>
              <w:rPr>
                <w:rFonts w:hint="eastAsia" w:ascii="宋体" w:hAnsi="宋体"/>
                <w:b/>
                <w:bCs/>
                <w:color w:val="auto"/>
                <w:szCs w:val="21"/>
              </w:rPr>
              <w:t>依法缴纳税收相关材料</w:t>
            </w:r>
          </w:p>
        </w:tc>
        <w:tc>
          <w:tcPr>
            <w:tcW w:w="5954" w:type="dxa"/>
          </w:tcPr>
          <w:p>
            <w:pPr>
              <w:spacing w:line="360" w:lineRule="auto"/>
              <w:rPr>
                <w:rFonts w:ascii="宋体"/>
                <w:b/>
                <w:bCs/>
                <w:color w:val="auto"/>
                <w:szCs w:val="21"/>
              </w:rPr>
            </w:pPr>
            <w:r>
              <w:rPr>
                <w:rFonts w:hint="eastAsia" w:ascii="宋体" w:hAnsi="宋体" w:cs="微软雅黑"/>
                <w:bCs/>
                <w:color w:val="auto"/>
                <w:szCs w:val="21"/>
              </w:rPr>
              <w:t>投标人提供参加本次政府采购项目</w:t>
            </w:r>
            <w:r>
              <w:rPr>
                <w:rFonts w:hint="eastAsia" w:ascii="宋体" w:hAnsi="宋体"/>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5</w:t>
            </w:r>
          </w:p>
        </w:tc>
        <w:tc>
          <w:tcPr>
            <w:tcW w:w="2410" w:type="dxa"/>
            <w:vAlign w:val="center"/>
          </w:tcPr>
          <w:p>
            <w:pPr>
              <w:spacing w:line="360" w:lineRule="auto"/>
              <w:rPr>
                <w:rFonts w:ascii="宋体"/>
                <w:bCs/>
                <w:color w:val="auto"/>
                <w:szCs w:val="21"/>
              </w:rPr>
            </w:pPr>
            <w:r>
              <w:rPr>
                <w:rFonts w:hint="eastAsia" w:ascii="宋体" w:hAnsi="宋体"/>
                <w:b/>
                <w:bCs/>
                <w:color w:val="auto"/>
                <w:szCs w:val="21"/>
              </w:rPr>
              <w:t>依法缴纳社会保障资金的证明材料</w:t>
            </w:r>
          </w:p>
        </w:tc>
        <w:tc>
          <w:tcPr>
            <w:tcW w:w="5954" w:type="dxa"/>
          </w:tcPr>
          <w:p>
            <w:pPr>
              <w:spacing w:line="360" w:lineRule="auto"/>
              <w:rPr>
                <w:rFonts w:ascii="宋体"/>
                <w:b/>
                <w:bCs/>
                <w:color w:val="auto"/>
                <w:szCs w:val="21"/>
              </w:rPr>
            </w:pPr>
            <w:r>
              <w:rPr>
                <w:rFonts w:hint="eastAsia" w:ascii="宋体" w:hAnsi="宋体" w:cs="微软雅黑"/>
                <w:bCs/>
                <w:color w:val="auto"/>
                <w:szCs w:val="21"/>
              </w:rPr>
              <w:t>投标人提供参加本次政府采购项目</w:t>
            </w:r>
            <w:r>
              <w:rPr>
                <w:rFonts w:hint="eastAsia" w:ascii="宋体" w:hAnsi="宋体"/>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6</w:t>
            </w:r>
          </w:p>
        </w:tc>
        <w:tc>
          <w:tcPr>
            <w:tcW w:w="2410" w:type="dxa"/>
            <w:vAlign w:val="center"/>
          </w:tcPr>
          <w:p>
            <w:pPr>
              <w:spacing w:line="360" w:lineRule="auto"/>
              <w:rPr>
                <w:rFonts w:ascii="宋体"/>
                <w:b/>
                <w:color w:val="auto"/>
                <w:szCs w:val="21"/>
              </w:rPr>
            </w:pPr>
            <w:r>
              <w:rPr>
                <w:rFonts w:hint="eastAsia" w:ascii="宋体" w:hAnsi="宋体"/>
                <w:b/>
                <w:bCs/>
                <w:color w:val="auto"/>
                <w:szCs w:val="21"/>
              </w:rPr>
              <w:t>履行合同所必须的设备和专业技术能力的证明材料</w:t>
            </w:r>
          </w:p>
        </w:tc>
        <w:tc>
          <w:tcPr>
            <w:tcW w:w="5954" w:type="dxa"/>
          </w:tcPr>
          <w:p>
            <w:pPr>
              <w:spacing w:line="360" w:lineRule="auto"/>
              <w:rPr>
                <w:rFonts w:ascii="宋体"/>
                <w:bCs/>
                <w:color w:val="auto"/>
                <w:szCs w:val="21"/>
              </w:rPr>
            </w:pPr>
            <w:r>
              <w:rPr>
                <w:rFonts w:hint="eastAsia" w:ascii="宋体" w:hAnsi="宋体"/>
                <w:bCs/>
                <w:color w:val="auto"/>
                <w:szCs w:val="21"/>
              </w:rPr>
              <w:t>①与本项目投标相关设备的购置发票、专业技术人员职称证书、用工合同等；</w:t>
            </w:r>
          </w:p>
          <w:p>
            <w:pPr>
              <w:spacing w:line="360" w:lineRule="auto"/>
              <w:rPr>
                <w:rFonts w:ascii="宋体"/>
                <w:bCs/>
                <w:color w:val="auto"/>
                <w:szCs w:val="21"/>
              </w:rPr>
            </w:pPr>
            <w:r>
              <w:rPr>
                <w:rFonts w:hint="eastAsia" w:ascii="宋体" w:hAnsi="宋体"/>
                <w:bCs/>
                <w:color w:val="auto"/>
                <w:szCs w:val="21"/>
              </w:rPr>
              <w:t>②投标人具备履行合同所必须的设备和专业技术能力承诺函或声明（承诺函或声明格式自拟）。</w:t>
            </w:r>
          </w:p>
          <w:p>
            <w:pPr>
              <w:spacing w:line="360" w:lineRule="auto"/>
              <w:rPr>
                <w:rFonts w:ascii="宋体"/>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7</w:t>
            </w:r>
          </w:p>
        </w:tc>
        <w:tc>
          <w:tcPr>
            <w:tcW w:w="2410" w:type="dxa"/>
            <w:vAlign w:val="center"/>
          </w:tcPr>
          <w:p>
            <w:pPr>
              <w:spacing w:line="360" w:lineRule="auto"/>
              <w:rPr>
                <w:rFonts w:ascii="宋体"/>
                <w:bCs/>
                <w:color w:val="auto"/>
                <w:szCs w:val="21"/>
              </w:rPr>
            </w:pPr>
            <w:r>
              <w:rPr>
                <w:rFonts w:hint="eastAsia" w:ascii="宋体" w:hAnsi="宋体"/>
                <w:b/>
                <w:bCs/>
                <w:color w:val="auto"/>
                <w:szCs w:val="21"/>
              </w:rPr>
              <w:t>参加政府采购活动前</w:t>
            </w:r>
            <w:r>
              <w:rPr>
                <w:rFonts w:ascii="宋体" w:hAnsi="宋体"/>
                <w:b/>
                <w:bCs/>
                <w:color w:val="auto"/>
                <w:szCs w:val="21"/>
              </w:rPr>
              <w:t>3</w:t>
            </w:r>
            <w:r>
              <w:rPr>
                <w:rFonts w:hint="eastAsia" w:ascii="宋体" w:hAnsi="宋体"/>
                <w:b/>
                <w:bCs/>
                <w:color w:val="auto"/>
                <w:szCs w:val="21"/>
              </w:rPr>
              <w:t>年内在经营活动中没有重大违法记录的声明</w:t>
            </w:r>
          </w:p>
        </w:tc>
        <w:tc>
          <w:tcPr>
            <w:tcW w:w="5954" w:type="dxa"/>
            <w:vAlign w:val="center"/>
          </w:tcPr>
          <w:p>
            <w:pPr>
              <w:spacing w:line="360" w:lineRule="auto"/>
              <w:jc w:val="left"/>
              <w:rPr>
                <w:rFonts w:ascii="宋体"/>
                <w:b/>
                <w:bCs/>
                <w:color w:val="auto"/>
                <w:szCs w:val="21"/>
              </w:rPr>
            </w:pPr>
            <w:r>
              <w:rPr>
                <w:rFonts w:hint="eastAsia" w:ascii="宋体" w:hAnsi="宋体" w:cs="微软雅黑"/>
                <w:bCs/>
                <w:color w:val="auto"/>
                <w:szCs w:val="21"/>
              </w:rPr>
              <w:t>按照招标文件提供格式填写。</w:t>
            </w:r>
            <w:r>
              <w:rPr>
                <w:rFonts w:hint="eastAsia" w:ascii="宋体" w:hAnsi="宋体"/>
                <w:bCs/>
                <w:color w:val="auto"/>
                <w:szCs w:val="21"/>
              </w:rPr>
              <w:t>投标人“参加政府采购活动前</w:t>
            </w:r>
            <w:r>
              <w:rPr>
                <w:rFonts w:ascii="宋体" w:hAnsi="宋体"/>
                <w:bCs/>
                <w:color w:val="auto"/>
                <w:szCs w:val="21"/>
              </w:rPr>
              <w:t>3</w:t>
            </w:r>
            <w:r>
              <w:rPr>
                <w:rFonts w:hint="eastAsia" w:ascii="宋体" w:hAnsi="宋体"/>
                <w:bCs/>
                <w:color w:val="auto"/>
                <w:szCs w:val="21"/>
              </w:rPr>
              <w:t>年内在经营活动中没有重大违法记录的书面声明”。</w:t>
            </w:r>
            <w:r>
              <w:rPr>
                <w:rFonts w:ascii="宋体" w:hAnsi="宋体"/>
                <w:bCs/>
                <w:color w:val="auto"/>
                <w:szCs w:val="21"/>
              </w:rPr>
              <w:t xml:space="preserve"> </w:t>
            </w:r>
            <w:r>
              <w:rPr>
                <w:rFonts w:hint="eastAsia" w:ascii="宋体" w:hAnsi="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8</w:t>
            </w:r>
          </w:p>
        </w:tc>
        <w:tc>
          <w:tcPr>
            <w:tcW w:w="2410" w:type="dxa"/>
            <w:vAlign w:val="center"/>
          </w:tcPr>
          <w:p>
            <w:pPr>
              <w:spacing w:line="360" w:lineRule="auto"/>
              <w:rPr>
                <w:rFonts w:ascii="宋体"/>
                <w:bCs/>
                <w:color w:val="auto"/>
                <w:szCs w:val="21"/>
              </w:rPr>
            </w:pPr>
            <w:r>
              <w:rPr>
                <w:rFonts w:hint="eastAsia" w:ascii="宋体" w:hAnsi="宋体"/>
                <w:b/>
                <w:bCs/>
                <w:color w:val="auto"/>
                <w:szCs w:val="21"/>
              </w:rPr>
              <w:t>信用记录查询及使用</w:t>
            </w:r>
          </w:p>
        </w:tc>
        <w:tc>
          <w:tcPr>
            <w:tcW w:w="5954" w:type="dxa"/>
          </w:tcPr>
          <w:p>
            <w:pPr>
              <w:spacing w:line="360" w:lineRule="auto"/>
              <w:rPr>
                <w:rFonts w:ascii="宋体"/>
                <w:bCs/>
                <w:color w:val="auto"/>
                <w:szCs w:val="21"/>
              </w:rPr>
            </w:pPr>
            <w:r>
              <w:rPr>
                <w:rFonts w:hint="eastAsia" w:ascii="宋体" w:hAnsi="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Pr>
                <w:rFonts w:hint="eastAsia" w:ascii="宋体" w:hAnsi="宋体" w:cs="仿宋_GB2312"/>
                <w:color w:val="auto"/>
                <w:szCs w:val="21"/>
              </w:rPr>
              <w:t>“中国社会组织公共服务平台”网站（</w:t>
            </w:r>
            <w:r>
              <w:rPr>
                <w:rFonts w:ascii="宋体" w:hAnsi="宋体" w:cs="仿宋_GB2312"/>
                <w:color w:val="auto"/>
                <w:szCs w:val="21"/>
              </w:rPr>
              <w:t>www.chinanpo.gov.cn</w:t>
            </w:r>
            <w:r>
              <w:rPr>
                <w:rFonts w:hint="eastAsia" w:ascii="宋体" w:hAnsi="宋体" w:cs="仿宋_GB2312"/>
                <w:color w:val="auto"/>
                <w:szCs w:val="21"/>
              </w:rPr>
              <w:t>）严重违法失信社会组织名单的投标人</w:t>
            </w:r>
            <w:r>
              <w:rPr>
                <w:rFonts w:hint="eastAsia" w:ascii="宋体" w:hAnsi="宋体" w:cs="仿宋_GB2312"/>
                <w:b/>
                <w:color w:val="auto"/>
                <w:szCs w:val="21"/>
              </w:rPr>
              <w:t>；</w:t>
            </w:r>
            <w:r>
              <w:rPr>
                <w:rFonts w:hint="eastAsia" w:ascii="宋体" w:hAnsi="宋体"/>
                <w:bCs/>
                <w:color w:val="auto"/>
                <w:szCs w:val="21"/>
              </w:rPr>
              <w:t>（联合体形式投标的，联合体成员存在不良信用记录，视同联合体存在不良信用记录）。</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）查询渠道：</w:t>
            </w:r>
          </w:p>
          <w:p>
            <w:pPr>
              <w:spacing w:line="360" w:lineRule="auto"/>
              <w:rPr>
                <w:rFonts w:ascii="宋体"/>
                <w:bCs/>
                <w:color w:val="auto"/>
                <w:szCs w:val="21"/>
              </w:rPr>
            </w:pPr>
            <w:r>
              <w:rPr>
                <w:rFonts w:hint="eastAsia" w:ascii="宋体" w:hAnsi="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ascii="宋体" w:hAnsi="宋体"/>
                <w:bCs/>
                <w:color w:val="auto"/>
                <w:szCs w:val="21"/>
              </w:rPr>
              <w:t>www.creditchina.gov.cn</w:t>
            </w:r>
            <w:r>
              <w:rPr>
                <w:rStyle w:val="28"/>
                <w:rFonts w:ascii="宋体" w:hAnsi="宋体"/>
                <w:bCs/>
                <w:color w:val="auto"/>
                <w:szCs w:val="21"/>
              </w:rPr>
              <w:fldChar w:fldCharType="end"/>
            </w:r>
            <w:r>
              <w:rPr>
                <w:rFonts w:hint="eastAsia" w:ascii="宋体" w:hAnsi="宋体"/>
                <w:bCs/>
                <w:color w:val="auto"/>
                <w:szCs w:val="21"/>
              </w:rPr>
              <w:t>）</w:t>
            </w:r>
          </w:p>
          <w:p>
            <w:pPr>
              <w:spacing w:line="360" w:lineRule="auto"/>
              <w:rPr>
                <w:rFonts w:ascii="宋体"/>
                <w:bCs/>
                <w:color w:val="auto"/>
                <w:szCs w:val="21"/>
              </w:rPr>
            </w:pPr>
            <w:r>
              <w:rPr>
                <w:rFonts w:hint="eastAsia" w:ascii="宋体" w:hAnsi="宋体"/>
                <w:bCs/>
                <w:color w:val="auto"/>
                <w:szCs w:val="21"/>
              </w:rPr>
              <w:t>②“中国政府采购网”（</w:t>
            </w:r>
            <w:r>
              <w:rPr>
                <w:rFonts w:ascii="宋体" w:hAnsi="宋体"/>
                <w:bCs/>
                <w:color w:val="auto"/>
                <w:szCs w:val="21"/>
              </w:rPr>
              <w:t>www.ccgp.gov.cn</w:t>
            </w:r>
            <w:r>
              <w:rPr>
                <w:rFonts w:hint="eastAsia" w:ascii="宋体" w:hAnsi="宋体"/>
                <w:bCs/>
                <w:color w:val="auto"/>
                <w:szCs w:val="21"/>
              </w:rPr>
              <w:t>）</w:t>
            </w:r>
          </w:p>
          <w:p>
            <w:pPr>
              <w:spacing w:line="360" w:lineRule="auto"/>
              <w:rPr>
                <w:rFonts w:ascii="宋体"/>
                <w:bCs/>
                <w:color w:val="auto"/>
                <w:szCs w:val="21"/>
              </w:rPr>
            </w:pPr>
            <w:r>
              <w:rPr>
                <w:rFonts w:hint="eastAsia" w:ascii="宋体" w:hAnsi="宋体"/>
                <w:bCs/>
                <w:color w:val="auto"/>
                <w:szCs w:val="21"/>
              </w:rPr>
              <w:t>③</w:t>
            </w:r>
            <w:r>
              <w:rPr>
                <w:rFonts w:hint="eastAsia" w:ascii="宋体" w:hAnsi="宋体" w:cs="仿宋_GB2312"/>
                <w:color w:val="auto"/>
                <w:szCs w:val="21"/>
              </w:rPr>
              <w:t>“中国社会组织公共服务平台”网站（</w:t>
            </w:r>
            <w:r>
              <w:rPr>
                <w:rFonts w:ascii="宋体" w:hAnsi="宋体" w:cs="仿宋_GB2312"/>
                <w:color w:val="auto"/>
                <w:szCs w:val="21"/>
              </w:rPr>
              <w:t>www.chinanpo.gov.cn</w:t>
            </w:r>
            <w:r>
              <w:rPr>
                <w:rFonts w:hint="eastAsia" w:ascii="宋体" w:hAnsi="宋体" w:cs="仿宋_GB2312"/>
                <w:color w:val="auto"/>
                <w:szCs w:val="21"/>
              </w:rPr>
              <w:t>）（仅查询社会组织）</w:t>
            </w:r>
            <w:r>
              <w:rPr>
                <w:rFonts w:hint="eastAsia" w:ascii="宋体" w:hAnsi="宋体"/>
                <w:bCs/>
                <w:color w:val="auto"/>
                <w:szCs w:val="21"/>
              </w:rPr>
              <w:t>；</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）截止时间：同投标截止时间；</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b/>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）信用信息的使用原则：经采购人认定的被列入</w:t>
            </w:r>
            <w:r>
              <w:rPr>
                <w:rFonts w:hint="eastAsia" w:ascii="宋体" w:hAnsi="宋体" w:cs="宋体"/>
                <w:color w:val="auto"/>
                <w:kern w:val="0"/>
                <w:szCs w:val="21"/>
              </w:rPr>
              <w:t>失信被执行人、重大税收违法案件当事人名单、</w:t>
            </w:r>
            <w:r>
              <w:rPr>
                <w:rFonts w:hint="eastAsia" w:ascii="宋体" w:hAnsi="宋体" w:cs="仿宋_GB2312"/>
                <w:color w:val="auto"/>
                <w:szCs w:val="21"/>
                <w:shd w:val="clear" w:color="auto" w:fill="FFFFFF"/>
              </w:rPr>
              <w:t>政府采购严重违法失信名单</w:t>
            </w:r>
            <w:r>
              <w:rPr>
                <w:rFonts w:hint="eastAsia" w:ascii="宋体" w:hAnsi="宋体" w:cs="宋体"/>
                <w:color w:val="auto"/>
                <w:kern w:val="0"/>
                <w:szCs w:val="21"/>
              </w:rPr>
              <w:t>、</w:t>
            </w:r>
            <w:r>
              <w:rPr>
                <w:rFonts w:hint="eastAsia" w:ascii="宋体" w:hAnsi="宋体" w:cs="仿宋_GB2312"/>
                <w:color w:val="auto"/>
                <w:szCs w:val="21"/>
                <w:shd w:val="clear" w:color="auto" w:fill="FFFFFF"/>
              </w:rPr>
              <w:t>政府采购严重违法失信行为记录名单、</w:t>
            </w:r>
            <w:r>
              <w:rPr>
                <w:rFonts w:hint="eastAsia" w:ascii="宋体" w:hAnsi="宋体" w:cs="宋体"/>
                <w:color w:val="auto"/>
                <w:kern w:val="0"/>
                <w:szCs w:val="21"/>
              </w:rPr>
              <w:t>严重违法失信社会组织</w:t>
            </w:r>
            <w:r>
              <w:rPr>
                <w:rFonts w:hint="eastAsia" w:ascii="宋体" w:hAnsi="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9</w:t>
            </w:r>
          </w:p>
        </w:tc>
        <w:tc>
          <w:tcPr>
            <w:tcW w:w="2410" w:type="dxa"/>
            <w:vAlign w:val="center"/>
          </w:tcPr>
          <w:p>
            <w:pPr>
              <w:spacing w:line="360" w:lineRule="auto"/>
              <w:rPr>
                <w:rFonts w:ascii="宋体"/>
                <w:b/>
                <w:bCs/>
                <w:color w:val="auto"/>
                <w:szCs w:val="21"/>
              </w:rPr>
            </w:pPr>
            <w:r>
              <w:rPr>
                <w:rFonts w:hint="eastAsia" w:ascii="宋体" w:hAnsi="宋体"/>
                <w:b/>
                <w:bCs/>
                <w:color w:val="auto"/>
                <w:szCs w:val="21"/>
              </w:rPr>
              <w:t>投标</w:t>
            </w:r>
            <w:r>
              <w:rPr>
                <w:rFonts w:hint="eastAsia" w:ascii="宋体" w:hAnsi="宋体" w:cs="仿宋_GB2312"/>
                <w:b/>
                <w:color w:val="auto"/>
                <w:szCs w:val="21"/>
                <w:lang w:val="zh-CN"/>
              </w:rPr>
              <w:t>报价</w:t>
            </w:r>
          </w:p>
        </w:tc>
        <w:tc>
          <w:tcPr>
            <w:tcW w:w="5954" w:type="dxa"/>
          </w:tcPr>
          <w:p>
            <w:pPr>
              <w:spacing w:line="360" w:lineRule="auto"/>
              <w:rPr>
                <w:rFonts w:ascii="宋体"/>
                <w:b/>
                <w:bCs/>
                <w:color w:val="auto"/>
                <w:szCs w:val="21"/>
              </w:rPr>
            </w:pPr>
            <w:r>
              <w:rPr>
                <w:rFonts w:hint="eastAsia" w:ascii="宋体" w:hAnsi="宋体" w:cs="仿宋_GB2312"/>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Cs w:val="21"/>
              </w:rPr>
            </w:pPr>
            <w:r>
              <w:rPr>
                <w:rFonts w:ascii="宋体" w:hAnsi="宋体"/>
                <w:b/>
                <w:bCs/>
                <w:color w:val="auto"/>
                <w:szCs w:val="21"/>
              </w:rPr>
              <w:t>10</w:t>
            </w:r>
          </w:p>
        </w:tc>
        <w:tc>
          <w:tcPr>
            <w:tcW w:w="2410" w:type="dxa"/>
            <w:vAlign w:val="center"/>
          </w:tcPr>
          <w:p>
            <w:pPr>
              <w:spacing w:line="360" w:lineRule="auto"/>
              <w:rPr>
                <w:rFonts w:ascii="宋体"/>
                <w:color w:val="auto"/>
                <w:szCs w:val="21"/>
              </w:rPr>
            </w:pPr>
            <w:r>
              <w:rPr>
                <w:rFonts w:hint="eastAsia" w:ascii="宋体" w:hAnsi="宋体"/>
                <w:b/>
                <w:color w:val="auto"/>
                <w:szCs w:val="21"/>
              </w:rPr>
              <w:t>投标承诺函</w:t>
            </w:r>
          </w:p>
        </w:tc>
        <w:tc>
          <w:tcPr>
            <w:tcW w:w="5954" w:type="dxa"/>
            <w:vAlign w:val="center"/>
          </w:tcPr>
          <w:p>
            <w:pPr>
              <w:spacing w:line="360" w:lineRule="auto"/>
              <w:rPr>
                <w:rFonts w:ascii="宋体"/>
                <w:b/>
                <w:color w:val="auto"/>
                <w:szCs w:val="21"/>
              </w:rPr>
            </w:pPr>
            <w:r>
              <w:rPr>
                <w:rFonts w:hint="eastAsia" w:ascii="宋体" w:hAnsi="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color w:val="auto"/>
                <w:szCs w:val="21"/>
              </w:rPr>
            </w:pPr>
            <w:r>
              <w:rPr>
                <w:rFonts w:ascii="宋体" w:hAnsi="宋体"/>
                <w:b/>
                <w:color w:val="auto"/>
                <w:szCs w:val="21"/>
              </w:rPr>
              <w:t>11</w:t>
            </w:r>
          </w:p>
        </w:tc>
        <w:tc>
          <w:tcPr>
            <w:tcW w:w="2410" w:type="dxa"/>
            <w:vAlign w:val="center"/>
          </w:tcPr>
          <w:p>
            <w:pPr>
              <w:spacing w:line="360" w:lineRule="auto"/>
              <w:rPr>
                <w:rFonts w:ascii="宋体"/>
                <w:b/>
                <w:bCs/>
                <w:color w:val="auto"/>
                <w:szCs w:val="21"/>
              </w:rPr>
            </w:pPr>
            <w:r>
              <w:rPr>
                <w:rFonts w:hint="eastAsia" w:ascii="宋体" w:hAnsi="宋体"/>
                <w:b/>
                <w:bCs/>
                <w:color w:val="auto"/>
                <w:szCs w:val="21"/>
              </w:rPr>
              <w:t>联合体协议</w:t>
            </w:r>
          </w:p>
        </w:tc>
        <w:tc>
          <w:tcPr>
            <w:tcW w:w="5954" w:type="dxa"/>
          </w:tcPr>
          <w:p>
            <w:pPr>
              <w:spacing w:line="360" w:lineRule="auto"/>
              <w:rPr>
                <w:rFonts w:ascii="宋体"/>
                <w:b/>
                <w:bCs/>
                <w:color w:val="auto"/>
                <w:szCs w:val="21"/>
              </w:rPr>
            </w:pPr>
            <w:r>
              <w:rPr>
                <w:rFonts w:hint="eastAsia" w:ascii="宋体" w:hAnsi="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Cs w:val="21"/>
              </w:rPr>
            </w:pPr>
            <w:r>
              <w:rPr>
                <w:rFonts w:ascii="宋体" w:hAnsi="宋体"/>
                <w:b/>
                <w:color w:val="auto"/>
                <w:szCs w:val="21"/>
              </w:rPr>
              <w:t>12</w:t>
            </w:r>
          </w:p>
        </w:tc>
        <w:tc>
          <w:tcPr>
            <w:tcW w:w="2410" w:type="dxa"/>
            <w:vAlign w:val="center"/>
          </w:tcPr>
          <w:p>
            <w:pPr>
              <w:spacing w:line="360" w:lineRule="auto"/>
              <w:contextualSpacing/>
              <w:rPr>
                <w:rFonts w:ascii="宋体"/>
                <w:b/>
                <w:color w:val="auto"/>
                <w:szCs w:val="21"/>
              </w:rPr>
            </w:pPr>
            <w:r>
              <w:rPr>
                <w:rFonts w:hint="eastAsia" w:ascii="宋体" w:hAnsi="宋体"/>
                <w:b/>
                <w:color w:val="auto"/>
                <w:szCs w:val="21"/>
              </w:rPr>
              <w:t>投标人身份证明及授权</w:t>
            </w:r>
          </w:p>
        </w:tc>
        <w:tc>
          <w:tcPr>
            <w:tcW w:w="5954" w:type="dxa"/>
          </w:tcPr>
          <w:p>
            <w:pPr>
              <w:spacing w:line="360" w:lineRule="auto"/>
              <w:rPr>
                <w:rFonts w:ascii="宋体" w:cs="仿宋_GB2312"/>
                <w:color w:val="auto"/>
                <w:szCs w:val="21"/>
                <w:lang w:val="zh-CN"/>
              </w:rPr>
            </w:pPr>
            <w:r>
              <w:rPr>
                <w:rFonts w:hint="eastAsia" w:ascii="宋体" w:hAnsi="宋体" w:cs="仿宋_GB2312"/>
                <w:color w:val="auto"/>
                <w:szCs w:val="21"/>
                <w:lang w:val="zh-CN"/>
              </w:rPr>
              <w:t>（</w:t>
            </w:r>
            <w:r>
              <w:rPr>
                <w:rFonts w:ascii="宋体" w:hAnsi="宋体" w:cs="仿宋_GB2312"/>
                <w:color w:val="auto"/>
                <w:szCs w:val="21"/>
                <w:lang w:val="zh-CN"/>
              </w:rPr>
              <w:t>1</w:t>
            </w:r>
            <w:r>
              <w:rPr>
                <w:rFonts w:hint="eastAsia" w:ascii="宋体" w:hAnsi="宋体" w:cs="仿宋_GB2312"/>
                <w:color w:val="auto"/>
                <w:szCs w:val="21"/>
                <w:lang w:val="zh-CN"/>
              </w:rPr>
              <w:t>）法定代表人身份证明或提供法定代表人授权委托书及被授权人身份证明。（法人投标提供）</w:t>
            </w:r>
          </w:p>
          <w:p>
            <w:pPr>
              <w:spacing w:line="360" w:lineRule="auto"/>
              <w:rPr>
                <w:rFonts w:ascii="宋体" w:cs="仿宋_GB2312"/>
                <w:color w:val="auto"/>
                <w:szCs w:val="21"/>
                <w:lang w:val="zh-CN"/>
              </w:rPr>
            </w:pPr>
            <w:r>
              <w:rPr>
                <w:rFonts w:hint="eastAsia" w:ascii="宋体" w:hAnsi="宋体" w:cs="仿宋_GB2312"/>
                <w:color w:val="auto"/>
                <w:szCs w:val="21"/>
                <w:lang w:val="zh-CN"/>
              </w:rPr>
              <w:t>（</w:t>
            </w:r>
            <w:r>
              <w:rPr>
                <w:rFonts w:ascii="宋体" w:hAnsi="宋体" w:cs="仿宋_GB2312"/>
                <w:color w:val="auto"/>
                <w:szCs w:val="21"/>
                <w:lang w:val="zh-CN"/>
              </w:rPr>
              <w:t>2</w:t>
            </w:r>
            <w:r>
              <w:rPr>
                <w:rFonts w:hint="eastAsia" w:ascii="宋体" w:hAnsi="宋体" w:cs="仿宋_GB2312"/>
                <w:color w:val="auto"/>
                <w:szCs w:val="21"/>
                <w:lang w:val="zh-CN"/>
              </w:rPr>
              <w:t>）单位负责人身份证明或提供单位负责人授权委托书及被授权人身份证明。（非法人投标提供）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宋体"/>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Cs w:val="21"/>
                <w:lang w:eastAsia="zh-CN"/>
              </w:rPr>
            </w:pPr>
            <w:r>
              <w:rPr>
                <w:rFonts w:ascii="宋体" w:hAnsi="宋体"/>
                <w:b/>
                <w:color w:val="auto"/>
                <w:szCs w:val="21"/>
              </w:rPr>
              <w:t>1</w:t>
            </w:r>
            <w:r>
              <w:rPr>
                <w:rFonts w:hint="eastAsia" w:ascii="宋体" w:hAnsi="宋体"/>
                <w:b/>
                <w:color w:val="auto"/>
                <w:szCs w:val="21"/>
                <w:lang w:val="en-US" w:eastAsia="zh-CN"/>
              </w:rPr>
              <w:t>3</w:t>
            </w:r>
          </w:p>
        </w:tc>
        <w:tc>
          <w:tcPr>
            <w:tcW w:w="2410" w:type="dxa"/>
            <w:vAlign w:val="center"/>
          </w:tcPr>
          <w:p>
            <w:pPr>
              <w:spacing w:line="360" w:lineRule="auto"/>
              <w:contextualSpacing/>
              <w:rPr>
                <w:rFonts w:ascii="宋体" w:hAnsi="宋体"/>
                <w:b/>
                <w:color w:val="auto"/>
                <w:szCs w:val="21"/>
              </w:rPr>
            </w:pPr>
            <w:r>
              <w:rPr>
                <w:rFonts w:hint="eastAsia" w:ascii="宋体" w:hAnsi="宋体" w:cs="宋体"/>
                <w:b/>
                <w:bCs/>
                <w:color w:val="auto"/>
                <w:szCs w:val="21"/>
                <w:lang w:val="zh-CN"/>
              </w:rPr>
              <w:t>三年内未被省级或省级以上环境保护主管部门停业整顿的承诺</w:t>
            </w:r>
          </w:p>
        </w:tc>
        <w:tc>
          <w:tcPr>
            <w:tcW w:w="5954" w:type="dxa"/>
          </w:tcPr>
          <w:p>
            <w:pPr>
              <w:tabs>
                <w:tab w:val="left" w:pos="840"/>
              </w:tabs>
              <w:spacing w:line="360" w:lineRule="auto"/>
              <w:rPr>
                <w:rFonts w:ascii="宋体" w:hAnsi="宋体" w:cs="仿宋_GB2312"/>
                <w:color w:val="auto"/>
                <w:szCs w:val="21"/>
                <w:lang w:val="zh-CN"/>
              </w:rPr>
            </w:pPr>
            <w:r>
              <w:rPr>
                <w:rFonts w:hint="eastAsia" w:ascii="宋体" w:hAnsi="宋体" w:cs="宋体"/>
                <w:bCs/>
                <w:color w:val="auto"/>
                <w:szCs w:val="21"/>
                <w:lang w:val="zh-CN"/>
              </w:rPr>
              <w:t>需提供三年内未被省级或省级以上环境保护主管部门停业整顿的承诺，若被省级或省级以上环境保护主管部门作出过停业整顿的处罚，则拒绝其参与本次投标活动。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Cs w:val="21"/>
                <w:lang w:eastAsia="zh-CN"/>
              </w:rPr>
            </w:pPr>
            <w:r>
              <w:rPr>
                <w:rFonts w:ascii="宋体" w:hAnsi="宋体"/>
                <w:b/>
                <w:color w:val="auto"/>
                <w:szCs w:val="21"/>
              </w:rPr>
              <w:t>1</w:t>
            </w:r>
            <w:r>
              <w:rPr>
                <w:rFonts w:hint="eastAsia" w:ascii="宋体" w:hAnsi="宋体"/>
                <w:b/>
                <w:color w:val="auto"/>
                <w:szCs w:val="21"/>
                <w:lang w:val="en-US" w:eastAsia="zh-CN"/>
              </w:rPr>
              <w:t>4</w:t>
            </w:r>
          </w:p>
        </w:tc>
        <w:tc>
          <w:tcPr>
            <w:tcW w:w="2410" w:type="dxa"/>
            <w:vAlign w:val="center"/>
          </w:tcPr>
          <w:p>
            <w:pPr>
              <w:spacing w:line="360" w:lineRule="auto"/>
              <w:rPr>
                <w:rFonts w:asci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cs="仿宋_GB2312"/>
                <w:color w:val="auto"/>
                <w:szCs w:val="21"/>
                <w:lang w:val="zh-CN"/>
              </w:rPr>
            </w:pPr>
            <w:r>
              <w:rPr>
                <w:rFonts w:hint="eastAsia" w:ascii="宋体" w:hAnsi="宋体" w:cs="仿宋_GB2312"/>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Cs w:val="21"/>
                <w:lang w:eastAsia="zh-CN"/>
              </w:rPr>
            </w:pPr>
            <w:r>
              <w:rPr>
                <w:rFonts w:ascii="宋体" w:hAnsi="宋体"/>
                <w:b/>
                <w:color w:val="auto"/>
                <w:szCs w:val="21"/>
              </w:rPr>
              <w:t>1</w:t>
            </w:r>
            <w:r>
              <w:rPr>
                <w:rFonts w:hint="eastAsia" w:ascii="宋体" w:hAnsi="宋体"/>
                <w:b/>
                <w:color w:val="auto"/>
                <w:szCs w:val="21"/>
                <w:lang w:val="en-US" w:eastAsia="zh-CN"/>
              </w:rPr>
              <w:t>5</w:t>
            </w:r>
          </w:p>
        </w:tc>
        <w:tc>
          <w:tcPr>
            <w:tcW w:w="2410" w:type="dxa"/>
            <w:vAlign w:val="center"/>
          </w:tcPr>
          <w:p>
            <w:pPr>
              <w:spacing w:line="360" w:lineRule="auto"/>
              <w:rPr>
                <w:rFonts w:ascii="宋体"/>
                <w:b/>
                <w:bCs/>
                <w:color w:val="auto"/>
                <w:szCs w:val="21"/>
              </w:rPr>
            </w:pPr>
            <w:r>
              <w:rPr>
                <w:rFonts w:hint="eastAsia" w:ascii="宋体" w:hAnsi="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cs="仿宋_GB2312"/>
                <w:color w:val="auto"/>
                <w:szCs w:val="21"/>
                <w:lang w:val="zh-CN"/>
              </w:rPr>
            </w:pPr>
            <w:r>
              <w:rPr>
                <w:rFonts w:hint="eastAsia" w:ascii="宋体" w:hAnsi="宋体" w:cs="仿宋_GB2312"/>
                <w:color w:val="auto"/>
                <w:szCs w:val="21"/>
                <w:lang w:val="zh-CN"/>
              </w:rPr>
              <w:t>投标人</w:t>
            </w:r>
            <w:bookmarkStart w:id="12" w:name="baidusnap2"/>
            <w:bookmarkEnd w:id="12"/>
            <w:r>
              <w:rPr>
                <w:rFonts w:hint="eastAsia" w:ascii="宋体" w:hAnsi="宋体" w:cs="仿宋_GB2312"/>
                <w:color w:val="auto"/>
                <w:szCs w:val="21"/>
                <w:lang w:val="zh-CN"/>
              </w:rPr>
              <w:t>提供未为本项目提供整体设计、</w:t>
            </w:r>
            <w:bookmarkStart w:id="13" w:name="baidusnap9"/>
            <w:bookmarkEnd w:id="13"/>
            <w:r>
              <w:rPr>
                <w:rFonts w:hint="eastAsia" w:ascii="宋体" w:hAnsi="宋体" w:cs="仿宋_GB2312"/>
                <w:color w:val="auto"/>
                <w:szCs w:val="21"/>
                <w:lang w:val="zh-CN"/>
              </w:rPr>
              <w:t>规范编制或者项目管理、监理、检测等服务承诺函（承诺函格式自拟）。</w:t>
            </w:r>
          </w:p>
          <w:p>
            <w:pPr>
              <w:spacing w:line="360" w:lineRule="auto"/>
              <w:rPr>
                <w:rFonts w:ascii="宋体"/>
                <w:bCs/>
                <w:color w:val="auto"/>
                <w:szCs w:val="21"/>
              </w:rPr>
            </w:pPr>
          </w:p>
        </w:tc>
      </w:tr>
    </w:tbl>
    <w:p>
      <w:pPr>
        <w:pStyle w:val="16"/>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二、评标</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（一）评标方法</w:t>
      </w:r>
    </w:p>
    <w:p>
      <w:pPr>
        <w:pStyle w:val="16"/>
        <w:spacing w:line="360" w:lineRule="auto"/>
        <w:ind w:firstLine="420" w:firstLineChars="200"/>
        <w:contextualSpacing/>
        <w:rPr>
          <w:rFonts w:ascii="宋体" w:cs="仿宋_GB2312"/>
          <w:b/>
          <w:color w:val="auto"/>
          <w:sz w:val="21"/>
          <w:szCs w:val="21"/>
          <w:lang w:val="zh-CN"/>
        </w:rPr>
      </w:pPr>
      <w:r>
        <w:rPr>
          <w:rFonts w:hint="eastAsia" w:ascii="宋体" w:hAnsi="宋体" w:cs="仿宋_GB2312"/>
          <w:color w:val="auto"/>
          <w:sz w:val="21"/>
          <w:szCs w:val="21"/>
          <w:lang w:val="zh-CN"/>
        </w:rPr>
        <w:t>本项目采用综合评分法。总分为</w:t>
      </w:r>
      <w:r>
        <w:rPr>
          <w:rFonts w:ascii="宋体" w:hAnsi="宋体" w:cs="仿宋_GB2312"/>
          <w:color w:val="auto"/>
          <w:sz w:val="21"/>
          <w:szCs w:val="21"/>
          <w:lang w:val="zh-CN"/>
        </w:rPr>
        <w:t>100</w:t>
      </w:r>
      <w:r>
        <w:rPr>
          <w:rFonts w:hint="eastAsia" w:ascii="宋体" w:hAnsi="宋体" w:cs="仿宋_GB2312"/>
          <w:color w:val="auto"/>
          <w:sz w:val="21"/>
          <w:szCs w:val="21"/>
          <w:lang w:val="zh-CN"/>
        </w:rPr>
        <w:t>分。</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（二）评标委员会负责具体评标事务，并独立履行下列职责</w:t>
      </w:r>
    </w:p>
    <w:p>
      <w:pPr>
        <w:pStyle w:val="16"/>
        <w:spacing w:line="360" w:lineRule="auto"/>
        <w:ind w:firstLine="422" w:firstLineChars="200"/>
        <w:contextualSpacing/>
        <w:jc w:val="left"/>
        <w:rPr>
          <w:rFonts w:ascii="宋体" w:cs="仿宋_GB2312"/>
          <w:b/>
          <w:color w:val="auto"/>
          <w:sz w:val="21"/>
          <w:szCs w:val="21"/>
          <w:lang w:val="zh-CN"/>
        </w:rPr>
      </w:pPr>
      <w:r>
        <w:rPr>
          <w:rFonts w:ascii="宋体" w:hAnsi="宋体" w:cs="仿宋_GB2312"/>
          <w:b/>
          <w:color w:val="auto"/>
          <w:sz w:val="21"/>
          <w:szCs w:val="21"/>
          <w:lang w:val="zh-CN"/>
        </w:rPr>
        <w:t>1</w:t>
      </w:r>
      <w:r>
        <w:rPr>
          <w:rFonts w:hint="eastAsia" w:ascii="宋体" w:hAnsi="宋体" w:cs="仿宋_GB2312"/>
          <w:b/>
          <w:color w:val="auto"/>
          <w:sz w:val="21"/>
          <w:szCs w:val="21"/>
          <w:lang w:val="zh-CN"/>
        </w:rPr>
        <w:t>、审查、评价投标文件是否符合招标文件的商务、技术等实质性要求；</w:t>
      </w:r>
    </w:p>
    <w:p>
      <w:pPr>
        <w:pStyle w:val="16"/>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ascii="宋体" w:cs="仿宋_GB2312"/>
          <w:b/>
          <w:color w:val="auto"/>
          <w:sz w:val="21"/>
          <w:szCs w:val="21"/>
          <w:lang w:val="zh-CN"/>
        </w:rPr>
      </w:pPr>
      <w:r>
        <w:rPr>
          <w:rFonts w:ascii="宋体" w:hAnsi="宋体" w:cs="仿宋_GB2312"/>
          <w:b/>
          <w:color w:val="auto"/>
          <w:sz w:val="21"/>
          <w:szCs w:val="21"/>
          <w:lang w:val="zh-CN"/>
        </w:rPr>
        <w:t>2</w:t>
      </w:r>
      <w:r>
        <w:rPr>
          <w:rFonts w:hint="eastAsia" w:ascii="宋体" w:hAnsi="宋体" w:cs="仿宋_GB2312"/>
          <w:b/>
          <w:color w:val="auto"/>
          <w:sz w:val="21"/>
          <w:szCs w:val="21"/>
          <w:lang w:val="zh-CN"/>
        </w:rPr>
        <w:t>、要求投标人对投标文件有关事项作出澄清或者说明；</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ascii="宋体" w:cs="仿宋_GB2312"/>
          <w:b/>
          <w:color w:val="auto"/>
          <w:sz w:val="21"/>
          <w:szCs w:val="21"/>
          <w:lang w:val="zh-CN"/>
        </w:rPr>
      </w:pPr>
      <w:r>
        <w:rPr>
          <w:rFonts w:ascii="宋体" w:hAnsi="宋体" w:cs="仿宋_GB2312"/>
          <w:b/>
          <w:color w:val="auto"/>
          <w:sz w:val="21"/>
          <w:szCs w:val="21"/>
          <w:lang w:val="zh-CN"/>
        </w:rPr>
        <w:t>3</w:t>
      </w:r>
      <w:r>
        <w:rPr>
          <w:rFonts w:hint="eastAsia" w:ascii="宋体" w:hAnsi="宋体" w:cs="仿宋_GB2312"/>
          <w:b/>
          <w:color w:val="auto"/>
          <w:sz w:val="21"/>
          <w:szCs w:val="21"/>
          <w:lang w:val="zh-CN"/>
        </w:rPr>
        <w:t>、对投标文件进行比较和评价；</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1</w:t>
      </w:r>
      <w:r>
        <w:rPr>
          <w:rFonts w:hint="eastAsia" w:ascii="宋体" w:hAnsi="宋体" w:cs="仿宋_GB2312"/>
          <w:b/>
          <w:color w:val="auto"/>
          <w:sz w:val="21"/>
          <w:szCs w:val="21"/>
          <w:lang w:val="zh-CN"/>
        </w:rPr>
        <w:t>）价格分计算</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）如果本项目非专门面向中小企业采购，对小型和微型企业产品的价格给予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 w:val="21"/>
          <w:szCs w:val="21"/>
          <w:lang w:val="zh-CN"/>
        </w:rPr>
        <w:t>30%</w:t>
      </w:r>
      <w:r>
        <w:rPr>
          <w:rFonts w:hint="eastAsia" w:ascii="宋体" w:hAnsi="宋体" w:cs="仿宋_GB2312"/>
          <w:color w:val="auto"/>
          <w:sz w:val="21"/>
          <w:szCs w:val="21"/>
          <w:lang w:val="zh-CN"/>
        </w:rPr>
        <w:t>以上的，给予联合体</w:t>
      </w:r>
      <w:r>
        <w:rPr>
          <w:rFonts w:ascii="宋体" w:hAnsi="宋体" w:cs="仿宋_GB2312"/>
          <w:color w:val="auto"/>
          <w:sz w:val="21"/>
          <w:szCs w:val="21"/>
          <w:lang w:val="zh-CN"/>
        </w:rPr>
        <w:t>2%</w:t>
      </w:r>
      <w:r>
        <w:rPr>
          <w:rFonts w:hint="eastAsia" w:ascii="宋体" w:hAnsi="宋体" w:cs="仿宋_GB2312"/>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小型和微型企业不包含民办非企业单位。</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）监狱企业视同小型、微型企业，对监狱企业价格给予</w:t>
      </w:r>
      <w:r>
        <w:rPr>
          <w:rFonts w:ascii="宋体" w:hAnsi="宋体" w:cs="仿宋_GB2312"/>
          <w:color w:val="auto"/>
          <w:szCs w:val="21"/>
          <w:lang w:val="zh-CN"/>
        </w:rPr>
        <w:t>6%</w:t>
      </w:r>
      <w:r>
        <w:rPr>
          <w:rFonts w:hint="eastAsia" w:ascii="宋体" w:hAnsi="宋体" w:cs="仿宋_GB2312"/>
          <w:color w:val="auto"/>
          <w:szCs w:val="21"/>
          <w:lang w:val="zh-CN"/>
        </w:rPr>
        <w:t>的扣除，用扣除后的价格参与评审。监狱企业应当提供由省级以上监狱管理局、戒毒管理局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pStyle w:val="16"/>
        <w:spacing w:line="360" w:lineRule="auto"/>
        <w:ind w:firstLine="420" w:firstLineChars="200"/>
        <w:contextualSpacing/>
        <w:rPr>
          <w:rFonts w:ascii="宋体"/>
          <w:color w:val="auto"/>
          <w:sz w:val="21"/>
          <w:szCs w:val="21"/>
        </w:rPr>
      </w:pPr>
      <w:r>
        <w:rPr>
          <w:rFonts w:ascii="宋体" w:hAnsi="宋体" w:cs="仿宋_GB2312"/>
          <w:color w:val="auto"/>
          <w:sz w:val="21"/>
          <w:szCs w:val="21"/>
          <w:lang w:val="zh-CN"/>
        </w:rPr>
        <w:t>3</w:t>
      </w:r>
      <w:r>
        <w:rPr>
          <w:rFonts w:hint="eastAsia" w:ascii="宋体" w:hAnsi="宋体" w:cs="仿宋_GB2312"/>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 w:val="21"/>
          <w:szCs w:val="21"/>
        </w:rPr>
        <w:t>残疾人福利性单位属于小型、微型企业的，不重复享受政策。</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b/>
          <w:color w:val="auto"/>
          <w:sz w:val="21"/>
          <w:szCs w:val="21"/>
        </w:rPr>
        <w:t>（</w:t>
      </w:r>
      <w:r>
        <w:rPr>
          <w:rFonts w:ascii="宋体" w:hAnsi="宋体"/>
          <w:b/>
          <w:color w:val="auto"/>
          <w:sz w:val="21"/>
          <w:szCs w:val="21"/>
        </w:rPr>
        <w:t>2</w:t>
      </w:r>
      <w:r>
        <w:rPr>
          <w:rFonts w:hint="eastAsia" w:ascii="宋体" w:hAnsi="宋体"/>
          <w:b/>
          <w:color w:val="auto"/>
          <w:sz w:val="21"/>
          <w:szCs w:val="21"/>
        </w:rPr>
        <w:t>）</w:t>
      </w:r>
      <w:r>
        <w:rPr>
          <w:rFonts w:hint="eastAsia" w:ascii="宋体" w:hAnsi="宋体" w:cs="仿宋_GB2312"/>
          <w:b/>
          <w:color w:val="auto"/>
          <w:sz w:val="21"/>
          <w:szCs w:val="21"/>
          <w:lang w:val="zh-CN"/>
        </w:rPr>
        <w:t>关于相同品牌产品</w:t>
      </w:r>
      <w:r>
        <w:rPr>
          <w:rFonts w:hint="eastAsia" w:ascii="宋体" w:hAnsi="宋体" w:cs="仿宋_GB2312"/>
          <w:b/>
          <w:bCs/>
          <w:color w:val="auto"/>
          <w:sz w:val="21"/>
          <w:szCs w:val="21"/>
          <w:lang w:val="zh-CN"/>
        </w:rPr>
        <w:t>（服务类项目不适用本条款规定）</w:t>
      </w:r>
    </w:p>
    <w:p>
      <w:pPr>
        <w:pStyle w:val="16"/>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6"/>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6"/>
        <w:spacing w:line="360" w:lineRule="auto"/>
        <w:ind w:firstLine="422" w:firstLineChars="200"/>
        <w:contextualSpacing/>
        <w:rPr>
          <w:rFonts w:ascii="宋体" w:cs="仿宋_GB2312"/>
          <w:b/>
          <w:color w:val="auto"/>
          <w:sz w:val="21"/>
          <w:szCs w:val="21"/>
          <w:lang w:val="zh-CN"/>
        </w:rPr>
      </w:pPr>
      <w:r>
        <w:rPr>
          <w:rFonts w:hint="eastAsia" w:ascii="宋体" w:hAnsi="宋体"/>
          <w:b/>
          <w:color w:val="auto"/>
          <w:sz w:val="21"/>
          <w:szCs w:val="21"/>
        </w:rPr>
        <w:t>（</w:t>
      </w:r>
      <w:r>
        <w:rPr>
          <w:rFonts w:ascii="宋体" w:hAnsi="宋体"/>
          <w:b/>
          <w:color w:val="auto"/>
          <w:sz w:val="21"/>
          <w:szCs w:val="21"/>
        </w:rPr>
        <w:t>3</w:t>
      </w:r>
      <w:r>
        <w:rPr>
          <w:rFonts w:hint="eastAsia" w:ascii="宋体" w:hAnsi="宋体"/>
          <w:b/>
          <w:color w:val="auto"/>
          <w:sz w:val="21"/>
          <w:szCs w:val="21"/>
        </w:rPr>
        <w:t>）强制采购节能产品和优先采购节能产品、优先采购环保产品</w:t>
      </w:r>
    </w:p>
    <w:p>
      <w:pPr>
        <w:pStyle w:val="16"/>
        <w:spacing w:line="360" w:lineRule="auto"/>
        <w:ind w:firstLine="465"/>
        <w:contextualSpacing/>
        <w:jc w:val="left"/>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）对《节能产品政府采购品目清单》所列的政府强制采购节能产品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6"/>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6"/>
        <w:spacing w:line="360" w:lineRule="auto"/>
        <w:ind w:firstLine="465"/>
        <w:contextualSpacing/>
        <w:jc w:val="left"/>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4</w:t>
      </w:r>
      <w:r>
        <w:rPr>
          <w:rFonts w:hint="eastAsia" w:ascii="宋体" w:hAnsi="宋体" w:cs="仿宋_GB2312"/>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仿宋_GB2312"/>
          <w:color w:val="auto"/>
          <w:szCs w:val="21"/>
          <w:lang w:val="zh-CN"/>
        </w:rPr>
        <w:t>1</w:t>
      </w:r>
      <w:r>
        <w:rPr>
          <w:rFonts w:hint="eastAsia" w:ascii="宋体" w:hAnsi="宋体" w:cs="仿宋_GB2312"/>
          <w:color w:val="auto"/>
          <w:szCs w:val="21"/>
          <w:lang w:val="zh-CN"/>
        </w:rPr>
        <w:t>）如投标人所投产品属于“中国强制性产品认证”（</w:t>
      </w:r>
      <w:r>
        <w:rPr>
          <w:rFonts w:ascii="宋体" w:hAnsi="宋体" w:cs="仿宋_GB2312"/>
          <w:color w:val="auto"/>
          <w:szCs w:val="21"/>
          <w:lang w:val="zh-CN"/>
        </w:rPr>
        <w:t>3C</w:t>
      </w:r>
      <w:r>
        <w:rPr>
          <w:rFonts w:hint="eastAsia" w:ascii="宋体" w:hAnsi="宋体" w:cs="仿宋_GB2312"/>
          <w:color w:val="auto"/>
          <w:szCs w:val="21"/>
          <w:lang w:val="zh-CN"/>
        </w:rPr>
        <w:t>认证）范围内</w:t>
      </w:r>
      <w:r>
        <w:rPr>
          <w:rFonts w:ascii="宋体" w:cs="仿宋_GB2312"/>
          <w:color w:val="auto"/>
          <w:szCs w:val="21"/>
          <w:lang w:val="zh-CN"/>
        </w:rPr>
        <w:t>,</w:t>
      </w:r>
      <w:r>
        <w:rPr>
          <w:rFonts w:hint="eastAsia" w:ascii="宋体" w:hAnsi="宋体" w:cs="仿宋_GB2312"/>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仿宋_GB2312"/>
          <w:color w:val="auto"/>
          <w:szCs w:val="21"/>
          <w:lang w:val="zh-CN"/>
        </w:rPr>
        <w:t>则投标文件中应根据本项目招标文件“第二章</w:t>
      </w:r>
      <w:r>
        <w:rPr>
          <w:rFonts w:ascii="宋体" w:hAnsi="宋体" w:cs="仿宋_GB2312"/>
          <w:color w:val="auto"/>
          <w:szCs w:val="21"/>
          <w:lang w:val="zh-CN"/>
        </w:rPr>
        <w:t xml:space="preserve"> </w:t>
      </w:r>
      <w:r>
        <w:rPr>
          <w:rFonts w:hint="eastAsia" w:ascii="宋体" w:hAnsi="宋体" w:cs="仿宋_GB2312"/>
          <w:color w:val="auto"/>
          <w:szCs w:val="21"/>
          <w:lang w:val="zh-CN"/>
        </w:rPr>
        <w:t>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宋体"/>
          <w:color w:val="auto"/>
          <w:kern w:val="0"/>
          <w:szCs w:val="21"/>
        </w:rPr>
        <w:t>②中国信息安全认证中心</w:t>
      </w:r>
      <w:r>
        <w:rPr>
          <w:rFonts w:hint="eastAsia" w:ascii="宋体" w:hAnsi="宋体" w:cs="仿宋_GB2312"/>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5</w:t>
      </w:r>
      <w:r>
        <w:rPr>
          <w:rFonts w:hint="eastAsia" w:ascii="宋体" w:hAnsi="宋体" w:cs="仿宋_GB2312"/>
          <w:b/>
          <w:color w:val="auto"/>
          <w:szCs w:val="21"/>
          <w:lang w:val="zh-CN"/>
        </w:rPr>
        <w:t>）支持脱贫攻坚（物业服务项目）</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在物业项目中，对注册地在</w:t>
      </w:r>
      <w:r>
        <w:rPr>
          <w:rFonts w:ascii="宋体" w:hAnsi="宋体" w:cs="仿宋_GB2312"/>
          <w:color w:val="auto"/>
          <w:szCs w:val="21"/>
          <w:lang w:val="zh-CN"/>
        </w:rPr>
        <w:t>832</w:t>
      </w:r>
      <w:r>
        <w:rPr>
          <w:rFonts w:hint="eastAsia" w:ascii="宋体" w:hAnsi="宋体" w:cs="仿宋_GB2312"/>
          <w:color w:val="auto"/>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color w:val="auto"/>
          <w:szCs w:val="21"/>
          <w:lang w:val="zh-CN"/>
        </w:rPr>
        <w:t>12</w:t>
      </w:r>
      <w:r>
        <w:rPr>
          <w:rFonts w:hint="eastAsia" w:ascii="宋体" w:hAnsi="宋体" w:cs="仿宋_GB2312"/>
          <w:color w:val="auto"/>
          <w:szCs w:val="21"/>
          <w:lang w:val="zh-CN"/>
        </w:rPr>
        <w:t>个月内至少连续</w:t>
      </w:r>
      <w:r>
        <w:rPr>
          <w:rFonts w:ascii="宋体" w:hAnsi="宋体" w:cs="仿宋_GB2312"/>
          <w:color w:val="auto"/>
          <w:szCs w:val="21"/>
          <w:lang w:val="zh-CN"/>
        </w:rPr>
        <w:t>3</w:t>
      </w:r>
      <w:r>
        <w:rPr>
          <w:rFonts w:hint="eastAsia" w:ascii="宋体" w:hAnsi="宋体" w:cs="仿宋_GB2312"/>
          <w:color w:val="auto"/>
          <w:szCs w:val="21"/>
          <w:lang w:val="zh-CN"/>
        </w:rPr>
        <w:t>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6</w:t>
      </w:r>
      <w:r>
        <w:rPr>
          <w:rFonts w:hint="eastAsia" w:ascii="宋体" w:hAnsi="宋体" w:cs="仿宋_GB2312"/>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a.</w:t>
      </w:r>
      <w:r>
        <w:rPr>
          <w:rFonts w:hint="eastAsia" w:ascii="宋体" w:hAnsi="宋体" w:cs="仿宋_GB2312"/>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b.</w:t>
      </w:r>
      <w:r>
        <w:rPr>
          <w:rFonts w:hint="eastAsia" w:ascii="宋体" w:hAnsi="宋体" w:cs="仿宋_GB2312"/>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c.</w:t>
      </w:r>
      <w:r>
        <w:rPr>
          <w:rFonts w:hint="eastAsia" w:ascii="宋体" w:hAnsi="宋体" w:cs="仿宋_GB2312"/>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d.</w:t>
      </w:r>
      <w:r>
        <w:rPr>
          <w:rFonts w:hint="eastAsia" w:ascii="宋体" w:hAnsi="宋体" w:cs="仿宋_GB2312"/>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e.</w:t>
      </w:r>
      <w:r>
        <w:rPr>
          <w:rFonts w:hint="eastAsia" w:ascii="宋体" w:hAnsi="宋体" w:cs="仿宋_GB2312"/>
          <w:color w:val="auto"/>
          <w:szCs w:val="21"/>
          <w:lang w:val="zh-CN"/>
        </w:rPr>
        <w:t>不同投标人的投标文件相互混装；</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）法律、法规和招标文件规定的其他无效情形。</w:t>
      </w:r>
    </w:p>
    <w:p>
      <w:pPr>
        <w:widowControl/>
        <w:shd w:val="clear" w:color="auto" w:fill="FFFFFF"/>
        <w:spacing w:line="360" w:lineRule="atLeast"/>
        <w:ind w:firstLine="600"/>
        <w:jc w:val="left"/>
        <w:rPr>
          <w:rFonts w:hint="eastAsia" w:ascii="宋体" w:hAns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7</w:t>
      </w:r>
      <w:r>
        <w:rPr>
          <w:rFonts w:hint="eastAsia" w:ascii="宋体" w:hAnsi="宋体" w:cs="仿宋_GB2312"/>
          <w:b/>
          <w:color w:val="auto"/>
          <w:szCs w:val="21"/>
          <w:lang w:val="zh-CN"/>
        </w:rPr>
        <w:t>）评标标准</w:t>
      </w:r>
    </w:p>
    <w:tbl>
      <w:tblPr>
        <w:tblStyle w:val="24"/>
        <w:tblW w:w="9039" w:type="dxa"/>
        <w:tblInd w:w="0" w:type="dxa"/>
        <w:tblLayout w:type="fixed"/>
        <w:tblCellMar>
          <w:top w:w="0" w:type="dxa"/>
          <w:left w:w="108" w:type="dxa"/>
          <w:bottom w:w="0" w:type="dxa"/>
          <w:right w:w="108" w:type="dxa"/>
        </w:tblCellMar>
      </w:tblPr>
      <w:tblGrid>
        <w:gridCol w:w="1384"/>
        <w:gridCol w:w="1563"/>
        <w:gridCol w:w="6092"/>
      </w:tblGrid>
      <w:tr>
        <w:tblPrEx>
          <w:tblCellMar>
            <w:top w:w="0" w:type="dxa"/>
            <w:left w:w="108" w:type="dxa"/>
            <w:bottom w:w="0" w:type="dxa"/>
            <w:right w:w="108" w:type="dxa"/>
          </w:tblCellMar>
        </w:tblPrEx>
        <w:trPr>
          <w:trHeight w:val="1615" w:hRule="atLeast"/>
        </w:trPr>
        <w:tc>
          <w:tcPr>
            <w:tcW w:w="29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分值构成</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6092" w:type="dxa"/>
            <w:tcBorders>
              <w:top w:val="single" w:color="auto" w:sz="4" w:space="0"/>
              <w:left w:val="nil"/>
              <w:bottom w:val="single" w:color="auto" w:sz="4" w:space="0"/>
              <w:right w:val="single" w:color="auto" w:sz="4" w:space="0"/>
            </w:tcBorders>
            <w:noWrap/>
            <w:vAlign w:val="center"/>
          </w:tcPr>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价格分值：30分</w:t>
            </w:r>
          </w:p>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商务部分：20分</w:t>
            </w:r>
          </w:p>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技术部分：40分</w:t>
            </w:r>
          </w:p>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服务部分：10分</w:t>
            </w:r>
          </w:p>
        </w:tc>
      </w:tr>
      <w:tr>
        <w:tblPrEx>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评审项</w:t>
            </w: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评分因素</w:t>
            </w:r>
          </w:p>
        </w:tc>
        <w:tc>
          <w:tcPr>
            <w:tcW w:w="6092"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评标标准</w:t>
            </w:r>
          </w:p>
        </w:tc>
      </w:tr>
      <w:tr>
        <w:tblPrEx>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报价部分</w:t>
            </w:r>
          </w:p>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30</w:t>
            </w:r>
            <w:r>
              <w:rPr>
                <w:rFonts w:hint="eastAsia" w:ascii="宋体" w:hAnsi="宋体" w:eastAsia="宋体" w:cs="宋体"/>
                <w:color w:val="auto"/>
                <w:szCs w:val="21"/>
              </w:rPr>
              <w:t>分）</w:t>
            </w: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报价</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30</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widowControl/>
              <w:spacing w:line="420" w:lineRule="atLeast"/>
              <w:rPr>
                <w:rFonts w:ascii="宋体" w:hAnsi="宋体" w:eastAsia="宋体" w:cs="宋体"/>
                <w:color w:val="auto"/>
                <w:szCs w:val="21"/>
              </w:rPr>
            </w:pPr>
            <w:r>
              <w:rPr>
                <w:rFonts w:hint="eastAsia" w:ascii="宋体" w:hAnsi="宋体" w:eastAsia="宋体" w:cs="宋体"/>
                <w:color w:val="auto"/>
                <w:szCs w:val="21"/>
              </w:rPr>
              <w:t>投标报价得分=（评标基准价/投标报价）× 30</w:t>
            </w:r>
          </w:p>
        </w:tc>
      </w:tr>
      <w:tr>
        <w:tblPrEx>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商务部分</w:t>
            </w:r>
          </w:p>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20</w:t>
            </w:r>
            <w:r>
              <w:rPr>
                <w:rFonts w:hint="eastAsia" w:ascii="宋体" w:hAnsi="宋体" w:eastAsia="宋体" w:cs="宋体"/>
                <w:color w:val="auto"/>
                <w:szCs w:val="21"/>
              </w:rPr>
              <w:t>分）</w:t>
            </w:r>
          </w:p>
        </w:tc>
        <w:tc>
          <w:tcPr>
            <w:tcW w:w="1563"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atLeast"/>
              <w:jc w:val="center"/>
              <w:rPr>
                <w:rFonts w:ascii="宋体" w:hAnsi="宋体" w:eastAsia="宋体" w:cs="宋体"/>
                <w:color w:val="auto"/>
                <w:szCs w:val="21"/>
              </w:rPr>
            </w:pPr>
          </w:p>
          <w:p>
            <w:pPr>
              <w:snapToGrid w:val="0"/>
              <w:spacing w:line="420" w:lineRule="atLeast"/>
              <w:jc w:val="center"/>
              <w:rPr>
                <w:rFonts w:ascii="宋体" w:hAnsi="宋体" w:eastAsia="宋体" w:cs="宋体"/>
                <w:color w:val="auto"/>
                <w:szCs w:val="21"/>
              </w:rPr>
            </w:pPr>
            <w:r>
              <w:rPr>
                <w:rFonts w:hint="eastAsia" w:ascii="宋体" w:hAnsi="宋体" w:eastAsia="宋体" w:cs="宋体"/>
                <w:color w:val="auto"/>
                <w:szCs w:val="21"/>
              </w:rPr>
              <w:t>综合实力（10分）</w:t>
            </w:r>
          </w:p>
        </w:tc>
        <w:tc>
          <w:tcPr>
            <w:tcW w:w="6092" w:type="dxa"/>
            <w:tcBorders>
              <w:top w:val="single" w:color="auto" w:sz="4" w:space="0"/>
              <w:left w:val="single" w:color="auto" w:sz="4" w:space="0"/>
              <w:bottom w:val="single" w:color="auto" w:sz="4" w:space="0"/>
              <w:right w:val="single" w:color="auto" w:sz="4" w:space="0"/>
            </w:tcBorders>
            <w:noWrap/>
            <w:vAlign w:val="center"/>
          </w:tcPr>
          <w:p>
            <w:pPr>
              <w:pStyle w:val="10"/>
              <w:numPr>
                <w:ilvl w:val="0"/>
                <w:numId w:val="16"/>
              </w:numPr>
              <w:spacing w:line="420" w:lineRule="atLeast"/>
              <w:ind w:firstLine="420" w:firstLineChars="200"/>
              <w:jc w:val="both"/>
              <w:rPr>
                <w:rFonts w:ascii="宋体" w:hAnsi="宋体" w:cs="宋体"/>
                <w:color w:val="auto"/>
                <w:szCs w:val="21"/>
              </w:rPr>
            </w:pPr>
            <w:r>
              <w:rPr>
                <w:rFonts w:hint="eastAsia" w:ascii="宋体" w:hAnsi="宋体" w:cs="宋体"/>
                <w:color w:val="auto"/>
                <w:szCs w:val="21"/>
              </w:rPr>
              <w:t>投标人综合能力：</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（1）投标人具有电子与智能化工程专业承包二级及以上资质、建筑装修装饰工程专业承包二级及以上资质的，每具有一项加</w:t>
            </w:r>
            <w:r>
              <w:rPr>
                <w:rFonts w:ascii="宋体" w:hAnsi="宋体" w:cs="宋体"/>
                <w:color w:val="auto"/>
                <w:szCs w:val="21"/>
              </w:rPr>
              <w:t>1.5</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（2）投标人投标人具有高新技术企业证书、省级科技型企业证书的，每提供一项符合要求的得1分，本项共2分；</w:t>
            </w:r>
          </w:p>
          <w:p>
            <w:pPr>
              <w:pStyle w:val="10"/>
              <w:spacing w:line="420" w:lineRule="atLeast"/>
              <w:ind w:firstLine="420" w:firstLineChars="200"/>
              <w:jc w:val="both"/>
              <w:rPr>
                <w:rFonts w:hint="eastAsia" w:ascii="宋体" w:hAnsi="宋体" w:cs="宋体"/>
                <w:color w:val="auto"/>
                <w:szCs w:val="21"/>
                <w:lang w:eastAsia="zh-CN"/>
              </w:rPr>
            </w:pPr>
            <w:r>
              <w:rPr>
                <w:rFonts w:hint="eastAsia" w:ascii="宋体" w:hAnsi="宋体" w:cs="宋体"/>
                <w:color w:val="auto"/>
                <w:szCs w:val="21"/>
              </w:rPr>
              <w:t>（3）企业信用等级为AAA 的，得</w:t>
            </w:r>
            <w:r>
              <w:rPr>
                <w:rFonts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分，AA得</w:t>
            </w:r>
            <w:r>
              <w:rPr>
                <w:rFonts w:ascii="宋体" w:hAnsi="宋体" w:cs="宋体"/>
                <w:color w:val="auto"/>
                <w:szCs w:val="21"/>
              </w:rPr>
              <w:t>0.5</w:t>
            </w:r>
            <w:r>
              <w:rPr>
                <w:rFonts w:hint="eastAsia" w:ascii="宋体" w:hAnsi="宋体" w:cs="宋体"/>
                <w:color w:val="auto"/>
                <w:szCs w:val="21"/>
              </w:rPr>
              <w:t>分，本项共1</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（4）提供ISO9000质量管理体系认证证书、 ISO14001 环境管理体系认证证书，OHSAS18001 职业健康安全管理体系证书，每提供一项符合要求的得</w:t>
            </w:r>
            <w:r>
              <w:rPr>
                <w:rFonts w:ascii="宋体" w:hAnsi="宋体" w:cs="宋体"/>
                <w:color w:val="auto"/>
                <w:szCs w:val="21"/>
              </w:rPr>
              <w:t>0.5</w:t>
            </w:r>
            <w:r>
              <w:rPr>
                <w:rFonts w:hint="eastAsia" w:ascii="宋体" w:hAnsi="宋体" w:cs="宋体"/>
                <w:color w:val="auto"/>
                <w:szCs w:val="21"/>
              </w:rPr>
              <w:t>分，本项共</w:t>
            </w:r>
            <w:r>
              <w:rPr>
                <w:rFonts w:ascii="宋体" w:hAnsi="宋体" w:cs="宋体"/>
                <w:color w:val="auto"/>
                <w:szCs w:val="21"/>
              </w:rPr>
              <w:t>1.5</w:t>
            </w:r>
            <w:r>
              <w:rPr>
                <w:rFonts w:hint="eastAsia" w:ascii="宋体" w:hAnsi="宋体" w:cs="宋体"/>
                <w:color w:val="auto"/>
                <w:szCs w:val="21"/>
              </w:rPr>
              <w:t>分；</w:t>
            </w:r>
          </w:p>
          <w:p>
            <w:pPr>
              <w:pStyle w:val="10"/>
              <w:spacing w:line="420" w:lineRule="atLeast"/>
              <w:ind w:firstLine="420" w:firstLineChars="200"/>
              <w:jc w:val="both"/>
              <w:rPr>
                <w:rFonts w:ascii="宋体" w:hAnsi="宋体" w:cs="宋体" w:eastAsiaTheme="minorEastAsia"/>
                <w:color w:val="auto"/>
                <w:szCs w:val="21"/>
              </w:rPr>
            </w:pPr>
            <w:r>
              <w:rPr>
                <w:rFonts w:hint="eastAsia" w:ascii="宋体" w:hAnsi="宋体" w:cs="宋体"/>
                <w:color w:val="auto"/>
                <w:szCs w:val="21"/>
              </w:rPr>
              <w:t>（5）在音视频集成、LED显示方面具有相应资质的，每一项加</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2</w:t>
            </w:r>
            <w:r>
              <w:rPr>
                <w:rFonts w:hint="eastAsia" w:ascii="宋体" w:hAnsi="宋体" w:cs="宋体"/>
                <w:color w:val="auto"/>
                <w:szCs w:val="21"/>
              </w:rPr>
              <w:t>分。</w:t>
            </w:r>
          </w:p>
        </w:tc>
      </w:tr>
      <w:tr>
        <w:tblPrEx>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left"/>
              <w:rPr>
                <w:color w:val="auto"/>
                <w:szCs w:val="21"/>
              </w:rPr>
            </w:pPr>
            <w:r>
              <w:rPr>
                <w:rFonts w:hint="eastAsia"/>
                <w:color w:val="auto"/>
                <w:szCs w:val="21"/>
              </w:rPr>
              <w:t>业绩（8分）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7"/>
              </w:numPr>
              <w:spacing w:line="420" w:lineRule="atLeast"/>
              <w:ind w:firstLine="420" w:firstLineChars="200"/>
              <w:jc w:val="left"/>
              <w:rPr>
                <w:color w:val="auto"/>
                <w:szCs w:val="21"/>
              </w:rPr>
            </w:pPr>
            <w:r>
              <w:rPr>
                <w:rFonts w:hint="eastAsia"/>
                <w:color w:val="auto"/>
                <w:szCs w:val="21"/>
              </w:rPr>
              <w:t>投标人提供2016年1月1日以来类似项目业绩（以合同签订时间为准，投标文件中提供合同复印件），提供1份得2分，本项共6分。（类似项目：含有LED显示屏产品、标准化机房建设等项目）</w:t>
            </w:r>
          </w:p>
          <w:p>
            <w:pPr>
              <w:widowControl/>
              <w:numPr>
                <w:ilvl w:val="0"/>
                <w:numId w:val="17"/>
              </w:numPr>
              <w:spacing w:line="420" w:lineRule="atLeast"/>
              <w:ind w:firstLine="420" w:firstLineChars="200"/>
              <w:jc w:val="left"/>
              <w:rPr>
                <w:color w:val="auto"/>
                <w:szCs w:val="21"/>
              </w:rPr>
            </w:pPr>
            <w:r>
              <w:rPr>
                <w:rFonts w:hint="eastAsia"/>
                <w:color w:val="auto"/>
                <w:szCs w:val="21"/>
              </w:rPr>
              <w:t>投标人在同类电子智能化系统项目中包含有为系统及设备配套的装饰改造项目经历的：由本公司开展施工的，每提供加1分；分包其他单位施工的，加0.5分；本项共2分（在合同中需能显示装饰项目，同时提供相应资格证件）</w:t>
            </w:r>
          </w:p>
        </w:tc>
      </w:tr>
      <w:tr>
        <w:tblPrEx>
          <w:tblCellMar>
            <w:top w:w="0" w:type="dxa"/>
            <w:left w:w="108" w:type="dxa"/>
            <w:bottom w:w="0" w:type="dxa"/>
            <w:right w:w="108" w:type="dxa"/>
          </w:tblCellMar>
        </w:tblPrEx>
        <w:trPr>
          <w:trHeight w:val="2894" w:hRule="atLeast"/>
        </w:trPr>
        <w:tc>
          <w:tcPr>
            <w:tcW w:w="1384" w:type="dxa"/>
            <w:vMerge w:val="continue"/>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20" w:lineRule="atLeast"/>
              <w:jc w:val="center"/>
              <w:rPr>
                <w:rFonts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节约能源、保护环境政策</w:t>
            </w:r>
          </w:p>
          <w:p>
            <w:pPr>
              <w:widowControl/>
              <w:shd w:val="clear" w:color="auto" w:fill="FFFFFF"/>
              <w:spacing w:line="420" w:lineRule="atLeast"/>
              <w:jc w:val="center"/>
              <w:rPr>
                <w:rFonts w:ascii="宋体" w:hAnsi="宋体" w:eastAsia="宋体" w:cs="宋体"/>
                <w:color w:val="auto"/>
                <w:szCs w:val="21"/>
              </w:rPr>
            </w:pPr>
            <w:r>
              <w:rPr>
                <w:rFonts w:hint="eastAsia" w:ascii="宋体" w:hAnsi="宋体" w:eastAsia="宋体" w:cs="宋体"/>
                <w:color w:val="auto"/>
                <w:kern w:val="0"/>
                <w:szCs w:val="21"/>
                <w:shd w:val="clear" w:color="auto" w:fill="FFFFFF"/>
              </w:rPr>
              <w:t>加分</w:t>
            </w:r>
          </w:p>
          <w:p>
            <w:pPr>
              <w:widowControl/>
              <w:shd w:val="clear" w:color="auto" w:fill="FFFFFF"/>
              <w:spacing w:line="420" w:lineRule="atLeast"/>
              <w:jc w:val="center"/>
              <w:rPr>
                <w:rFonts w:ascii="宋体" w:hAnsi="宋体" w:eastAsia="宋体" w:cs="宋体"/>
                <w:color w:val="auto"/>
                <w:szCs w:val="21"/>
              </w:rPr>
            </w:pPr>
            <w:r>
              <w:rPr>
                <w:rFonts w:hint="eastAsia" w:ascii="宋体" w:hAnsi="宋体" w:eastAsia="宋体" w:cs="宋体"/>
                <w:color w:val="auto"/>
                <w:kern w:val="0"/>
                <w:szCs w:val="21"/>
                <w:shd w:val="clear" w:color="auto" w:fill="FFFFFF"/>
              </w:rPr>
              <w:t>（2分）</w:t>
            </w:r>
          </w:p>
          <w:p>
            <w:pPr>
              <w:spacing w:line="420" w:lineRule="atLeast"/>
              <w:jc w:val="center"/>
              <w:rPr>
                <w:rFonts w:ascii="宋体" w:hAnsi="宋体" w:eastAsia="宋体" w:cs="宋体"/>
                <w:color w:val="auto"/>
                <w:szCs w:val="21"/>
              </w:rPr>
            </w:pP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8"/>
              </w:numPr>
              <w:spacing w:line="420" w:lineRule="atLeast"/>
              <w:ind w:firstLine="420" w:firstLineChars="200"/>
              <w:jc w:val="left"/>
              <w:rPr>
                <w:color w:val="auto"/>
                <w:szCs w:val="21"/>
              </w:rPr>
            </w:pPr>
            <w:r>
              <w:rPr>
                <w:rFonts w:hint="eastAsia"/>
                <w:color w:val="auto"/>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420" w:lineRule="atLeast"/>
              <w:ind w:firstLine="420" w:firstLineChars="200"/>
              <w:jc w:val="left"/>
              <w:rPr>
                <w:color w:val="auto"/>
                <w:szCs w:val="21"/>
              </w:rPr>
            </w:pPr>
            <w:r>
              <w:rPr>
                <w:rFonts w:hint="eastAsia"/>
                <w:color w:val="auto"/>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460" w:hRule="atLeast"/>
        </w:trPr>
        <w:tc>
          <w:tcPr>
            <w:tcW w:w="1384" w:type="dxa"/>
            <w:vMerge w:val="restart"/>
            <w:tcBorders>
              <w:top w:val="single" w:color="auto" w:sz="4" w:space="0"/>
              <w:left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技术部分</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（40分）</w:t>
            </w: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技术服务能力</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5</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9"/>
              </w:numPr>
              <w:spacing w:line="420" w:lineRule="atLeast"/>
              <w:ind w:firstLine="420" w:firstLineChars="200"/>
              <w:jc w:val="left"/>
              <w:rPr>
                <w:color w:val="auto"/>
                <w:szCs w:val="21"/>
              </w:rPr>
            </w:pPr>
            <w:r>
              <w:rPr>
                <w:rFonts w:hint="eastAsia"/>
                <w:color w:val="auto"/>
                <w:szCs w:val="21"/>
              </w:rPr>
              <w:t>投标人提供拟投入本项目技术人员的相关职称证书，中级及中级职称以上的，得1分，最高2分；（需提供证书复印件和投标人所缴纳的连续3个月以上的社保证明）</w:t>
            </w:r>
          </w:p>
          <w:p>
            <w:pPr>
              <w:pStyle w:val="10"/>
              <w:numPr>
                <w:ilvl w:val="0"/>
                <w:numId w:val="16"/>
              </w:numPr>
              <w:spacing w:line="420" w:lineRule="atLeast"/>
              <w:ind w:firstLine="420" w:firstLineChars="200"/>
              <w:jc w:val="both"/>
              <w:rPr>
                <w:rFonts w:ascii="宋体" w:hAnsi="宋体" w:cs="宋体"/>
                <w:color w:val="auto"/>
                <w:szCs w:val="21"/>
              </w:rPr>
            </w:pPr>
            <w:r>
              <w:rPr>
                <w:rFonts w:hint="eastAsia" w:ascii="宋体" w:hAnsi="宋体" w:cs="宋体"/>
                <w:color w:val="auto"/>
                <w:szCs w:val="21"/>
              </w:rPr>
              <w:t>所投模块化数据中心机房制造商技术能力：</w:t>
            </w:r>
          </w:p>
          <w:p>
            <w:pPr>
              <w:pStyle w:val="10"/>
              <w:numPr>
                <w:ilvl w:val="0"/>
                <w:numId w:val="20"/>
              </w:numPr>
              <w:spacing w:line="420" w:lineRule="atLeast"/>
              <w:ind w:firstLine="420"/>
              <w:jc w:val="both"/>
              <w:rPr>
                <w:rFonts w:ascii="宋体" w:hAnsi="宋体" w:cs="宋体"/>
                <w:color w:val="auto"/>
                <w:szCs w:val="21"/>
              </w:rPr>
            </w:pPr>
            <w:r>
              <w:rPr>
                <w:rFonts w:hint="eastAsia" w:ascii="宋体" w:hAnsi="宋体" w:cs="宋体"/>
                <w:color w:val="auto"/>
                <w:szCs w:val="21"/>
              </w:rPr>
              <w:t>所投模块化数据中心机房制造商参加《模块化微型数据机房建设标准》编制的加</w:t>
            </w:r>
            <w:r>
              <w:rPr>
                <w:rFonts w:ascii="宋体" w:hAnsi="宋体" w:cs="宋体"/>
                <w:color w:val="auto"/>
                <w:szCs w:val="21"/>
              </w:rPr>
              <w:t>2</w:t>
            </w:r>
            <w:r>
              <w:rPr>
                <w:rFonts w:hint="eastAsia" w:ascii="宋体" w:hAnsi="宋体" w:cs="宋体"/>
                <w:color w:val="auto"/>
                <w:szCs w:val="21"/>
              </w:rPr>
              <w:t>分；提供有第三方微型数据中心冷通道整体结构检测报告的，得1分，本项共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left="420"/>
              <w:jc w:val="both"/>
              <w:rPr>
                <w:rFonts w:ascii="宋体" w:hAnsi="宋体" w:cs="宋体"/>
                <w:color w:val="auto"/>
                <w:szCs w:val="21"/>
              </w:rPr>
            </w:pPr>
            <w:r>
              <w:rPr>
                <w:rFonts w:hint="eastAsia" w:ascii="宋体" w:hAnsi="宋体" w:cs="宋体"/>
                <w:color w:val="auto"/>
                <w:szCs w:val="21"/>
              </w:rPr>
              <w:t>（2）所投模块化中心机房制造商具有ISO 27001信息安全管理体系认证证书、ISO 20000信息技术服务管理体系认证证书、具有ITSS《信息技术服务运行维护标准符合性证书》达到成熟度等级叁级及以上认证证书，每提供一项符合要求的得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firstLine="420" w:firstLineChars="200"/>
              <w:jc w:val="both"/>
              <w:rPr>
                <w:rFonts w:hint="eastAsia" w:ascii="宋体" w:hAnsi="宋体" w:eastAsia="宋体" w:cs="宋体"/>
                <w:color w:val="auto"/>
                <w:szCs w:val="21"/>
                <w:lang w:eastAsia="zh-CN"/>
              </w:rPr>
            </w:pPr>
            <w:r>
              <w:rPr>
                <w:rFonts w:hint="eastAsia" w:ascii="宋体" w:hAnsi="宋体" w:cs="宋体"/>
                <w:color w:val="auto"/>
                <w:szCs w:val="21"/>
              </w:rPr>
              <w:t>3、所投服务器制造商技术能力：提供IDC（互联网数据中心）出具的证明文件，在计算机系统领域获得过国家科学进步奖，提供服务器操作系统安全增强软件的公安部销售许可证，每提供一项符合要求的得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r>
              <w:rPr>
                <w:rFonts w:hint="eastAsia" w:ascii="宋体" w:hAnsi="宋体" w:cs="宋体"/>
                <w:color w:val="auto"/>
                <w:szCs w:val="21"/>
                <w:lang w:eastAsia="zh-CN"/>
              </w:rPr>
              <w:t>。</w:t>
            </w:r>
          </w:p>
          <w:p>
            <w:pPr>
              <w:pStyle w:val="10"/>
              <w:spacing w:line="420" w:lineRule="atLeast"/>
              <w:ind w:firstLine="420" w:firstLineChars="200"/>
              <w:jc w:val="both"/>
              <w:rPr>
                <w:color w:val="auto"/>
                <w:szCs w:val="21"/>
              </w:rPr>
            </w:pPr>
            <w:r>
              <w:rPr>
                <w:rFonts w:hint="eastAsia" w:ascii="宋体" w:hAnsi="宋体" w:cs="宋体"/>
                <w:color w:val="auto"/>
                <w:szCs w:val="21"/>
              </w:rPr>
              <w:t>4、网络及安全设备商技术服务能力：拥有自主知识产权的核心技术、具有良好的创新管理体系，受省级及以上有关部门授予“创新型企业”的得</w:t>
            </w:r>
            <w:r>
              <w:rPr>
                <w:rFonts w:ascii="宋体" w:hAnsi="宋体" w:cs="宋体"/>
                <w:color w:val="auto"/>
                <w:szCs w:val="21"/>
              </w:rPr>
              <w:t>2</w:t>
            </w:r>
            <w:r>
              <w:rPr>
                <w:rFonts w:hint="eastAsia" w:ascii="宋体" w:hAnsi="宋体" w:cs="宋体"/>
                <w:color w:val="auto"/>
                <w:szCs w:val="21"/>
              </w:rPr>
              <w:t>分；售后服务体系通过符合GB/T 27922-2011标准的售后服务认证，5星级得</w:t>
            </w:r>
            <w:r>
              <w:rPr>
                <w:rFonts w:ascii="宋体" w:hAnsi="宋体" w:cs="宋体"/>
                <w:color w:val="auto"/>
                <w:szCs w:val="21"/>
              </w:rPr>
              <w:t>2</w:t>
            </w:r>
            <w:r>
              <w:rPr>
                <w:rFonts w:hint="eastAsia" w:ascii="宋体" w:hAnsi="宋体" w:cs="宋体"/>
                <w:color w:val="auto"/>
                <w:szCs w:val="21"/>
              </w:rPr>
              <w:t>分，4星级得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4</w:t>
            </w:r>
            <w:r>
              <w:rPr>
                <w:rFonts w:hint="eastAsia" w:ascii="宋体" w:hAnsi="宋体" w:cs="宋体"/>
                <w:color w:val="auto"/>
                <w:szCs w:val="21"/>
              </w:rPr>
              <w:t>分。</w:t>
            </w:r>
          </w:p>
        </w:tc>
      </w:tr>
      <w:tr>
        <w:tblPrEx>
          <w:tblCellMar>
            <w:top w:w="0" w:type="dxa"/>
            <w:left w:w="108" w:type="dxa"/>
            <w:bottom w:w="0" w:type="dxa"/>
            <w:right w:w="108" w:type="dxa"/>
          </w:tblCellMar>
        </w:tblPrEx>
        <w:trPr>
          <w:trHeight w:val="1694"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货物技术规格、参数与</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要求响应</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pStyle w:val="13"/>
              <w:numPr>
                <w:ilvl w:val="0"/>
                <w:numId w:val="21"/>
              </w:numPr>
              <w:adjustRightInd/>
              <w:spacing w:line="420" w:lineRule="atLeast"/>
              <w:ind w:left="0" w:right="0" w:rightChars="0" w:firstLine="420" w:firstLineChars="200"/>
              <w:rPr>
                <w:rFonts w:ascii="宋体" w:hAnsi="宋体"/>
                <w:color w:val="auto"/>
                <w:sz w:val="21"/>
                <w:szCs w:val="21"/>
              </w:rPr>
            </w:pPr>
            <w:r>
              <w:rPr>
                <w:rFonts w:hint="eastAsia" w:ascii="宋体" w:hAnsi="宋体" w:eastAsia="宋体" w:cs="宋体"/>
                <w:color w:val="auto"/>
                <w:kern w:val="2"/>
                <w:sz w:val="21"/>
                <w:szCs w:val="21"/>
              </w:rPr>
              <w:t>为确保项目质量，标示★的设备参数中每优于一项得</w:t>
            </w:r>
            <w:r>
              <w:rPr>
                <w:rFonts w:ascii="宋体" w:hAnsi="宋体" w:eastAsia="宋体" w:cs="宋体"/>
                <w:color w:val="auto"/>
                <w:kern w:val="2"/>
                <w:sz w:val="21"/>
                <w:szCs w:val="21"/>
              </w:rPr>
              <w:t>0.5</w:t>
            </w:r>
            <w:r>
              <w:rPr>
                <w:rFonts w:hint="eastAsia" w:ascii="宋体" w:hAnsi="宋体" w:eastAsia="宋体" w:cs="宋体"/>
                <w:color w:val="auto"/>
                <w:kern w:val="2"/>
                <w:sz w:val="21"/>
                <w:szCs w:val="21"/>
              </w:rPr>
              <w:t>分，本项共</w:t>
            </w:r>
            <w:r>
              <w:rPr>
                <w:rFonts w:ascii="宋体" w:hAnsi="宋体" w:eastAsia="宋体" w:cs="宋体"/>
                <w:color w:val="auto"/>
                <w:kern w:val="2"/>
                <w:sz w:val="21"/>
                <w:szCs w:val="21"/>
              </w:rPr>
              <w:t>4</w:t>
            </w:r>
            <w:r>
              <w:rPr>
                <w:rFonts w:hint="eastAsia" w:ascii="宋体" w:hAnsi="宋体" w:eastAsia="宋体" w:cs="宋体"/>
                <w:color w:val="auto"/>
                <w:kern w:val="2"/>
                <w:sz w:val="21"/>
                <w:szCs w:val="21"/>
              </w:rPr>
              <w:t>分。</w:t>
            </w:r>
          </w:p>
        </w:tc>
      </w:tr>
      <w:tr>
        <w:tblPrEx>
          <w:tblCellMar>
            <w:top w:w="0" w:type="dxa"/>
            <w:left w:w="108" w:type="dxa"/>
            <w:bottom w:w="0" w:type="dxa"/>
            <w:right w:w="108" w:type="dxa"/>
          </w:tblCellMar>
        </w:tblPrEx>
        <w:trPr>
          <w:trHeight w:val="1138"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color w:val="auto"/>
                <w:szCs w:val="21"/>
              </w:rPr>
            </w:pPr>
            <w:r>
              <w:rPr>
                <w:rFonts w:hint="eastAsia"/>
                <w:color w:val="auto"/>
                <w:szCs w:val="21"/>
              </w:rPr>
              <w:t>技术方案</w:t>
            </w:r>
          </w:p>
          <w:p>
            <w:pPr>
              <w:pStyle w:val="2"/>
              <w:spacing w:after="0" w:line="420" w:lineRule="atLeast"/>
              <w:ind w:firstLine="210"/>
              <w:rPr>
                <w:color w:val="auto"/>
                <w:sz w:val="21"/>
                <w:szCs w:val="21"/>
              </w:rPr>
            </w:pPr>
            <w:r>
              <w:rPr>
                <w:rFonts w:hint="eastAsia" w:asciiTheme="minorHAnsi" w:hAnsiTheme="minorHAnsi" w:eastAsiaTheme="minorEastAsia" w:cstheme="minorBidi"/>
                <w:color w:val="auto"/>
                <w:kern w:val="2"/>
                <w:sz w:val="21"/>
                <w:szCs w:val="21"/>
              </w:rPr>
              <w:t>（15分）</w:t>
            </w:r>
          </w:p>
        </w:tc>
        <w:tc>
          <w:tcPr>
            <w:tcW w:w="6092" w:type="dxa"/>
            <w:tcBorders>
              <w:top w:val="single" w:color="auto" w:sz="4" w:space="0"/>
              <w:left w:val="single" w:color="auto" w:sz="4" w:space="0"/>
              <w:bottom w:val="single" w:color="auto" w:sz="4" w:space="0"/>
              <w:right w:val="single" w:color="auto" w:sz="4" w:space="0"/>
            </w:tcBorders>
            <w:noWrap/>
            <w:vAlign w:val="center"/>
          </w:tcPr>
          <w:p>
            <w:pPr>
              <w:spacing w:line="420" w:lineRule="atLeast"/>
              <w:ind w:firstLine="420" w:firstLineChars="200"/>
              <w:rPr>
                <w:rFonts w:hint="default" w:eastAsiaTheme="minorEastAsia"/>
                <w:color w:val="auto"/>
                <w:szCs w:val="21"/>
                <w:lang w:val="en-US" w:eastAsia="zh-CN"/>
              </w:rPr>
            </w:pPr>
            <w:r>
              <w:rPr>
                <w:rFonts w:hint="eastAsia"/>
                <w:color w:val="auto"/>
                <w:szCs w:val="21"/>
              </w:rPr>
              <w:t>1、对机房、指挥大厅、多功能厅设备的安装、调试</w:t>
            </w:r>
            <w:r>
              <w:rPr>
                <w:rFonts w:hint="eastAsia"/>
                <w:color w:val="auto"/>
                <w:szCs w:val="21"/>
                <w:lang w:eastAsia="zh-CN"/>
              </w:rPr>
              <w:t>及装饰</w:t>
            </w:r>
            <w:r>
              <w:rPr>
                <w:rFonts w:hint="eastAsia"/>
                <w:color w:val="auto"/>
                <w:szCs w:val="21"/>
              </w:rPr>
              <w:t>提出技术方案。方案的完整性、可行性符合采购要求的得10分，基本符合的得5分，一般得3分。</w:t>
            </w:r>
            <w:r>
              <w:rPr>
                <w:rFonts w:hint="eastAsia"/>
                <w:color w:val="auto"/>
                <w:szCs w:val="21"/>
                <w:lang w:eastAsia="zh-CN"/>
              </w:rPr>
              <w:t>本项共</w:t>
            </w:r>
            <w:r>
              <w:rPr>
                <w:rFonts w:hint="eastAsia"/>
                <w:color w:val="auto"/>
                <w:szCs w:val="21"/>
                <w:lang w:val="en-US" w:eastAsia="zh-CN"/>
              </w:rPr>
              <w:t>10分。</w:t>
            </w:r>
          </w:p>
          <w:p>
            <w:pPr>
              <w:spacing w:line="420" w:lineRule="atLeast"/>
              <w:ind w:firstLine="420" w:firstLineChars="200"/>
              <w:rPr>
                <w:rFonts w:ascii="宋体" w:hAnsi="宋体" w:eastAsia="宋体" w:cs="宋体"/>
                <w:color w:val="auto"/>
                <w:kern w:val="0"/>
                <w:szCs w:val="21"/>
              </w:rPr>
            </w:pPr>
            <w:r>
              <w:rPr>
                <w:rFonts w:hint="eastAsia"/>
                <w:color w:val="auto"/>
                <w:szCs w:val="21"/>
              </w:rPr>
              <w:t>2、对大数据管理服务系统的开发集成提出技术方案，方案的完整性、合理性符合采购要求的得5分，基本符合的得2分，一般得1分。</w:t>
            </w:r>
            <w:r>
              <w:rPr>
                <w:rFonts w:hint="eastAsia"/>
                <w:color w:val="auto"/>
                <w:szCs w:val="21"/>
                <w:lang w:eastAsia="zh-CN"/>
              </w:rPr>
              <w:t>本项共</w:t>
            </w:r>
            <w:r>
              <w:rPr>
                <w:rFonts w:hint="eastAsia"/>
                <w:color w:val="auto"/>
                <w:szCs w:val="21"/>
                <w:lang w:val="en-US" w:eastAsia="zh-CN"/>
              </w:rPr>
              <w:t>5分。</w:t>
            </w:r>
          </w:p>
        </w:tc>
      </w:tr>
      <w:tr>
        <w:tblPrEx>
          <w:tblCellMar>
            <w:top w:w="0" w:type="dxa"/>
            <w:left w:w="108" w:type="dxa"/>
            <w:bottom w:w="0" w:type="dxa"/>
            <w:right w:w="108" w:type="dxa"/>
          </w:tblCellMar>
        </w:tblPrEx>
        <w:trPr>
          <w:trHeight w:val="1138" w:hRule="atLeast"/>
        </w:trPr>
        <w:tc>
          <w:tcPr>
            <w:tcW w:w="1384" w:type="dxa"/>
            <w:vMerge w:val="continue"/>
            <w:tcBorders>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专业配合方案（6分）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20" w:lineRule="atLeast"/>
              <w:ind w:firstLine="420" w:firstLineChars="200"/>
              <w:jc w:val="left"/>
              <w:rPr>
                <w:color w:val="auto"/>
                <w:szCs w:val="21"/>
              </w:rPr>
            </w:pPr>
            <w:r>
              <w:rPr>
                <w:rFonts w:hint="eastAsia"/>
                <w:color w:val="auto"/>
                <w:szCs w:val="21"/>
              </w:rPr>
              <w:t>由于本项目中，对原建筑物内部分设施需要拆除及重装、需安装新风、空调、加固等工序，与电子智能化系统设备的安装与调试存在交叉。</w:t>
            </w:r>
          </w:p>
          <w:p>
            <w:pPr>
              <w:widowControl/>
              <w:numPr>
                <w:ilvl w:val="0"/>
                <w:numId w:val="22"/>
              </w:numPr>
              <w:snapToGrid w:val="0"/>
              <w:spacing w:line="420" w:lineRule="atLeast"/>
              <w:ind w:firstLine="420" w:firstLineChars="200"/>
              <w:jc w:val="left"/>
              <w:rPr>
                <w:color w:val="auto"/>
                <w:szCs w:val="21"/>
              </w:rPr>
            </w:pPr>
            <w:r>
              <w:rPr>
                <w:rFonts w:hint="eastAsia"/>
                <w:color w:val="auto"/>
                <w:szCs w:val="21"/>
              </w:rPr>
              <w:t>提供本项目详细采购、安装、调试计划的，计划可行得1分，一般得0.5分；提供施工进度计划表的加1分；本项共2分</w:t>
            </w:r>
            <w:r>
              <w:rPr>
                <w:rFonts w:hint="eastAsia"/>
                <w:color w:val="auto"/>
                <w:szCs w:val="21"/>
                <w:lang w:eastAsia="zh-CN"/>
              </w:rPr>
              <w:t>。</w:t>
            </w:r>
          </w:p>
          <w:p>
            <w:pPr>
              <w:widowControl/>
              <w:numPr>
                <w:ilvl w:val="0"/>
                <w:numId w:val="22"/>
              </w:numPr>
              <w:snapToGrid w:val="0"/>
              <w:spacing w:line="420" w:lineRule="atLeast"/>
              <w:ind w:firstLine="420" w:firstLineChars="200"/>
              <w:jc w:val="left"/>
              <w:rPr>
                <w:color w:val="auto"/>
                <w:szCs w:val="21"/>
              </w:rPr>
            </w:pPr>
            <w:r>
              <w:rPr>
                <w:rFonts w:hint="eastAsia"/>
                <w:color w:val="auto"/>
                <w:szCs w:val="21"/>
              </w:rPr>
              <w:t>提供各工序配合保障措施说明的，措施可行得1分，一般得0.5分；本项共1分</w:t>
            </w:r>
            <w:r>
              <w:rPr>
                <w:rFonts w:hint="eastAsia"/>
                <w:color w:val="auto"/>
                <w:szCs w:val="21"/>
                <w:lang w:eastAsia="zh-CN"/>
              </w:rPr>
              <w:t>。</w:t>
            </w:r>
          </w:p>
          <w:p>
            <w:pPr>
              <w:widowControl/>
              <w:snapToGrid w:val="0"/>
              <w:spacing w:line="420" w:lineRule="atLeast"/>
              <w:ind w:firstLine="420" w:firstLineChars="200"/>
              <w:jc w:val="left"/>
              <w:rPr>
                <w:color w:val="auto"/>
                <w:szCs w:val="21"/>
              </w:rPr>
            </w:pPr>
            <w:r>
              <w:rPr>
                <w:rFonts w:hint="eastAsia"/>
                <w:color w:val="auto"/>
                <w:szCs w:val="21"/>
              </w:rPr>
              <w:t>3、对质量、安全、文明、消防、环保、成品保护等提出措施的，每一项得0.5分。本项共3分。</w:t>
            </w:r>
          </w:p>
        </w:tc>
      </w:tr>
      <w:tr>
        <w:tblPrEx>
          <w:tblCellMar>
            <w:top w:w="0" w:type="dxa"/>
            <w:left w:w="108" w:type="dxa"/>
            <w:bottom w:w="0" w:type="dxa"/>
            <w:right w:w="108" w:type="dxa"/>
          </w:tblCellMar>
        </w:tblPrEx>
        <w:trPr>
          <w:trHeight w:val="1703" w:hRule="atLeast"/>
        </w:trPr>
        <w:tc>
          <w:tcPr>
            <w:tcW w:w="1384" w:type="dxa"/>
            <w:vMerge w:val="restart"/>
            <w:tcBorders>
              <w:top w:val="single" w:color="auto" w:sz="4" w:space="0"/>
              <w:left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服务部分</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kern w:val="0"/>
                <w:szCs w:val="21"/>
              </w:rPr>
              <w:t>0</w:t>
            </w:r>
            <w:r>
              <w:rPr>
                <w:rFonts w:hint="eastAsia" w:ascii="宋体" w:hAnsi="宋体" w:eastAsia="宋体" w:cs="宋体"/>
                <w:color w:val="auto"/>
                <w:szCs w:val="21"/>
              </w:rPr>
              <w:t>分）</w:t>
            </w: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售后服务响应</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w:t>
            </w:r>
            <w:r>
              <w:rPr>
                <w:rFonts w:hint="eastAsia" w:ascii="宋体" w:hAnsi="宋体" w:eastAsia="宋体" w:cs="宋体"/>
                <w:color w:val="auto"/>
                <w:szCs w:val="21"/>
              </w:rPr>
              <w:t>分）</w:t>
            </w:r>
          </w:p>
        </w:tc>
        <w:tc>
          <w:tcPr>
            <w:tcW w:w="6092" w:type="dxa"/>
            <w:tcBorders>
              <w:top w:val="single" w:color="auto" w:sz="4" w:space="0"/>
              <w:left w:val="nil"/>
              <w:bottom w:val="single" w:color="auto" w:sz="4" w:space="0"/>
              <w:right w:val="single" w:color="auto" w:sz="4" w:space="0"/>
            </w:tcBorders>
            <w:noWrap/>
            <w:vAlign w:val="center"/>
          </w:tcPr>
          <w:p>
            <w:pPr>
              <w:spacing w:line="420" w:lineRule="atLeast"/>
              <w:ind w:firstLine="420" w:firstLineChars="200"/>
              <w:rPr>
                <w:rFonts w:ascii="宋体" w:hAnsi="宋体" w:eastAsia="宋体" w:cs="宋体"/>
                <w:color w:val="auto"/>
                <w:szCs w:val="21"/>
              </w:rPr>
            </w:pPr>
            <w:r>
              <w:rPr>
                <w:rFonts w:hint="eastAsia" w:ascii="宋体" w:hAnsi="宋体" w:eastAsia="宋体" w:cs="宋体"/>
                <w:bCs/>
                <w:color w:val="auto"/>
                <w:szCs w:val="21"/>
              </w:rPr>
              <w:t>售后服务，</w:t>
            </w:r>
            <w:r>
              <w:rPr>
                <w:rFonts w:hint="eastAsia" w:ascii="宋体" w:hAnsi="宋体" w:eastAsia="宋体" w:cs="宋体"/>
                <w:color w:val="auto"/>
                <w:szCs w:val="21"/>
              </w:rPr>
              <w:t>质保期方案完全满足招标文件要求；售后服务体系完善，承诺服务内容优越，响应时间，售后服务人员组织结构合理、维护体系健全，技术支持保障到位。2小时内到达现场得3分，6小时内到达现场得1分，超过6小时的不得分。</w:t>
            </w:r>
          </w:p>
        </w:tc>
      </w:tr>
      <w:tr>
        <w:tblPrEx>
          <w:tblCellMar>
            <w:top w:w="0" w:type="dxa"/>
            <w:left w:w="108" w:type="dxa"/>
            <w:bottom w:w="0" w:type="dxa"/>
            <w:right w:w="108" w:type="dxa"/>
          </w:tblCellMar>
        </w:tblPrEx>
        <w:trPr>
          <w:trHeight w:val="1489"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技术培训</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（3分）</w:t>
            </w:r>
          </w:p>
        </w:tc>
        <w:tc>
          <w:tcPr>
            <w:tcW w:w="6092" w:type="dxa"/>
            <w:tcBorders>
              <w:top w:val="single" w:color="auto" w:sz="4" w:space="0"/>
              <w:left w:val="nil"/>
              <w:bottom w:val="single" w:color="auto" w:sz="4" w:space="0"/>
              <w:right w:val="single" w:color="auto" w:sz="4" w:space="0"/>
            </w:tcBorders>
            <w:noWrap/>
            <w:vAlign w:val="center"/>
          </w:tcPr>
          <w:p>
            <w:pPr>
              <w:widowControl/>
              <w:spacing w:line="420" w:lineRule="atLeast"/>
              <w:ind w:firstLine="420" w:firstLineChars="200"/>
              <w:textAlignment w:val="center"/>
              <w:rPr>
                <w:rFonts w:ascii="宋体" w:hAnsi="宋体" w:eastAsia="宋体" w:cs="宋体"/>
                <w:color w:val="auto"/>
                <w:kern w:val="0"/>
                <w:szCs w:val="21"/>
              </w:rPr>
            </w:pPr>
            <w:r>
              <w:rPr>
                <w:rFonts w:hint="eastAsia" w:ascii="宋体" w:hAnsi="宋体" w:eastAsia="宋体" w:cs="宋体"/>
                <w:color w:val="auto"/>
                <w:szCs w:val="21"/>
              </w:rPr>
              <w:t>投标文件中有完整的技术培训方案。其中，包括：1、培训承诺、2、培训计划、3培训内容、4培训人员安排、5培训地点、6培训专家安排；每项内容得0.5分，缺项不得分。本项共3分。</w:t>
            </w:r>
          </w:p>
        </w:tc>
      </w:tr>
      <w:tr>
        <w:tblPrEx>
          <w:tblCellMar>
            <w:top w:w="0" w:type="dxa"/>
            <w:left w:w="108" w:type="dxa"/>
            <w:bottom w:w="0" w:type="dxa"/>
            <w:right w:w="108" w:type="dxa"/>
          </w:tblCellMar>
        </w:tblPrEx>
        <w:trPr>
          <w:trHeight w:val="419" w:hRule="atLeast"/>
        </w:trPr>
        <w:tc>
          <w:tcPr>
            <w:tcW w:w="1384" w:type="dxa"/>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spacing w:line="420" w:lineRule="atLeast"/>
              <w:jc w:val="center"/>
              <w:rPr>
                <w:color w:val="auto"/>
                <w:szCs w:val="21"/>
              </w:rPr>
            </w:pPr>
            <w:r>
              <w:rPr>
                <w:rFonts w:hint="eastAsia"/>
                <w:color w:val="auto"/>
                <w:szCs w:val="21"/>
              </w:rPr>
              <w:t>其他服务</w:t>
            </w:r>
          </w:p>
          <w:p>
            <w:pPr>
              <w:spacing w:line="420" w:lineRule="atLeast"/>
              <w:jc w:val="center"/>
              <w:rPr>
                <w:color w:val="auto"/>
                <w:szCs w:val="21"/>
              </w:rPr>
            </w:pPr>
            <w:r>
              <w:rPr>
                <w:rFonts w:hint="eastAsia"/>
                <w:color w:val="auto"/>
                <w:szCs w:val="21"/>
              </w:rPr>
              <w:t>（2分）</w:t>
            </w:r>
          </w:p>
        </w:tc>
        <w:tc>
          <w:tcPr>
            <w:tcW w:w="6092" w:type="dxa"/>
            <w:tcBorders>
              <w:top w:val="single" w:color="auto" w:sz="4" w:space="0"/>
              <w:left w:val="nil"/>
              <w:bottom w:val="single" w:color="auto" w:sz="4" w:space="0"/>
              <w:right w:val="single" w:color="auto" w:sz="4" w:space="0"/>
            </w:tcBorders>
            <w:noWrap/>
            <w:vAlign w:val="center"/>
          </w:tcPr>
          <w:p>
            <w:pPr>
              <w:spacing w:line="420" w:lineRule="atLeast"/>
              <w:ind w:firstLine="420" w:firstLineChars="200"/>
              <w:jc w:val="left"/>
              <w:rPr>
                <w:color w:val="auto"/>
                <w:szCs w:val="21"/>
              </w:rPr>
            </w:pPr>
            <w:r>
              <w:rPr>
                <w:rFonts w:hint="eastAsia"/>
                <w:color w:val="auto"/>
                <w:szCs w:val="21"/>
              </w:rPr>
              <w:t>售后服务期外，提供有利于采购人的服务、优惠等，得2分，一般得1分，未提供不得分，本项共2分。</w:t>
            </w:r>
          </w:p>
        </w:tc>
      </w:tr>
      <w:tr>
        <w:tblPrEx>
          <w:tblCellMar>
            <w:top w:w="0" w:type="dxa"/>
            <w:left w:w="108" w:type="dxa"/>
            <w:bottom w:w="0" w:type="dxa"/>
            <w:right w:w="108" w:type="dxa"/>
          </w:tblCellMar>
        </w:tblPrEx>
        <w:trPr>
          <w:trHeight w:val="419" w:hRule="atLeast"/>
        </w:trPr>
        <w:tc>
          <w:tcPr>
            <w:tcW w:w="1384" w:type="dxa"/>
            <w:tcBorders>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投标文件编制</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（2分）</w:t>
            </w:r>
          </w:p>
        </w:tc>
        <w:tc>
          <w:tcPr>
            <w:tcW w:w="6092" w:type="dxa"/>
            <w:tcBorders>
              <w:top w:val="single" w:color="auto" w:sz="4" w:space="0"/>
              <w:left w:val="nil"/>
              <w:bottom w:val="single" w:color="auto" w:sz="4" w:space="0"/>
              <w:right w:val="single" w:color="auto" w:sz="4" w:space="0"/>
            </w:tcBorders>
            <w:noWrap/>
            <w:vAlign w:val="center"/>
          </w:tcPr>
          <w:p>
            <w:pPr>
              <w:widowControl/>
              <w:tabs>
                <w:tab w:val="left" w:pos="312"/>
              </w:tabs>
              <w:spacing w:line="420" w:lineRule="atLeast"/>
              <w:ind w:firstLine="420" w:firstLineChars="200"/>
              <w:jc w:val="left"/>
              <w:rPr>
                <w:rFonts w:ascii="宋体" w:hAnsi="宋体" w:eastAsia="宋体" w:cs="宋体"/>
                <w:color w:val="auto"/>
                <w:szCs w:val="21"/>
              </w:rPr>
            </w:pPr>
            <w:r>
              <w:rPr>
                <w:rFonts w:hint="eastAsia" w:ascii="宋体" w:hAnsi="宋体" w:eastAsia="宋体" w:cs="宋体"/>
                <w:color w:val="auto"/>
                <w:szCs w:val="21"/>
              </w:rPr>
              <w:t>投标文件编制完整，投标文件格式规范、符合招标文件要求得1分；所提供资料准确完整、无差错，得1分。招标文件有关内容前后矛盾、与招标文件要求不一致的不得分。</w:t>
            </w:r>
          </w:p>
        </w:tc>
      </w:tr>
    </w:tbl>
    <w:p>
      <w:pPr>
        <w:pStyle w:val="58"/>
        <w:spacing w:line="360" w:lineRule="auto"/>
        <w:contextualSpacing/>
        <w:rPr>
          <w:rFonts w:ascii="宋体" w:cs="仿宋_GB2312"/>
          <w:b/>
          <w:color w:val="auto"/>
          <w:szCs w:val="21"/>
          <w:lang w:val="zh-CN"/>
        </w:rPr>
      </w:pPr>
      <w:r>
        <w:rPr>
          <w:rFonts w:hint="eastAsia" w:ascii="宋体" w:hAnsi="宋体" w:cs="仿宋_GB2312"/>
          <w:b/>
          <w:color w:val="auto"/>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1</w:t>
            </w:r>
          </w:p>
        </w:tc>
        <w:tc>
          <w:tcPr>
            <w:tcW w:w="2823" w:type="dxa"/>
            <w:vAlign w:val="center"/>
          </w:tcPr>
          <w:p>
            <w:pPr>
              <w:jc w:val="center"/>
              <w:rPr>
                <w:rFonts w:asci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10</w:t>
            </w:r>
            <w:r>
              <w:rPr>
                <w:rFonts w:ascii="宋体" w:hAnsi="宋体"/>
                <w:color w:val="auto"/>
                <w:szCs w:val="21"/>
              </w:rPr>
              <w:t>%</w:t>
            </w:r>
          </w:p>
        </w:tc>
        <w:tc>
          <w:tcPr>
            <w:tcW w:w="2835" w:type="dxa"/>
            <w:vMerge w:val="restart"/>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小型和微型企业产品的价格</w:t>
            </w:r>
            <w:r>
              <w:rPr>
                <w:rFonts w:hint="eastAsia" w:ascii="宋体" w:hAnsi="宋体"/>
                <w:color w:val="auto"/>
                <w:szCs w:val="21"/>
                <w:lang w:val="en-GB"/>
              </w:rPr>
              <w:t>×</w:t>
            </w:r>
            <w:r>
              <w:rPr>
                <w:color w:val="auto"/>
                <w:szCs w:val="21"/>
                <w:lang w:val="en-GB"/>
              </w:rPr>
              <w:t>10%</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2</w:t>
            </w:r>
          </w:p>
        </w:tc>
        <w:tc>
          <w:tcPr>
            <w:tcW w:w="2823" w:type="dxa"/>
            <w:vAlign w:val="center"/>
          </w:tcPr>
          <w:p>
            <w:pPr>
              <w:jc w:val="center"/>
              <w:rPr>
                <w:rFonts w:asci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10</w:t>
            </w:r>
            <w:r>
              <w:rPr>
                <w:rFonts w:ascii="宋体" w:hAnsi="宋体"/>
                <w:color w:val="auto"/>
                <w:szCs w:val="21"/>
              </w:rPr>
              <w:t>%</w:t>
            </w:r>
          </w:p>
          <w:p>
            <w:pPr>
              <w:jc w:val="center"/>
              <w:rPr>
                <w:rFonts w:ascii="宋体"/>
                <w:b/>
                <w:color w:val="auto"/>
                <w:szCs w:val="21"/>
                <w:lang w:val="en-GB"/>
              </w:rPr>
            </w:pPr>
            <w:r>
              <w:rPr>
                <w:rFonts w:hint="eastAsia" w:ascii="宋体" w:hAnsi="宋体"/>
                <w:color w:val="auto"/>
                <w:szCs w:val="21"/>
              </w:rPr>
              <w:t>（不再享受序号</w:t>
            </w:r>
            <w:r>
              <w:rPr>
                <w:rFonts w:ascii="宋体" w:hAnsi="宋体"/>
                <w:color w:val="auto"/>
                <w:szCs w:val="21"/>
              </w:rPr>
              <w:t>3</w:t>
            </w:r>
            <w:r>
              <w:rPr>
                <w:rFonts w:hint="eastAsia" w:ascii="宋体" w:hAnsi="宋体"/>
                <w:color w:val="auto"/>
                <w:szCs w:val="21"/>
              </w:rPr>
              <w:t>的价格折扣）</w:t>
            </w:r>
          </w:p>
        </w:tc>
        <w:tc>
          <w:tcPr>
            <w:tcW w:w="2835" w:type="dxa"/>
            <w:vMerge w:val="continue"/>
          </w:tcPr>
          <w:p>
            <w:pPr>
              <w:rPr>
                <w:rFonts w:asci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3</w:t>
            </w:r>
          </w:p>
        </w:tc>
        <w:tc>
          <w:tcPr>
            <w:tcW w:w="2823" w:type="dxa"/>
            <w:vAlign w:val="center"/>
          </w:tcPr>
          <w:p>
            <w:pPr>
              <w:jc w:val="center"/>
              <w:rPr>
                <w:rFonts w:asci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w:t>
            </w:r>
            <w:r>
              <w:rPr>
                <w:rFonts w:ascii="宋体" w:hAnsi="宋体"/>
                <w:color w:val="auto"/>
                <w:szCs w:val="21"/>
                <w:lang w:val="en-GB"/>
              </w:rPr>
              <w:t>30%</w:t>
            </w:r>
            <w:r>
              <w:rPr>
                <w:rFonts w:hint="eastAsia" w:ascii="宋体" w:hAnsi="宋体"/>
                <w:color w:val="auto"/>
                <w:szCs w:val="21"/>
                <w:lang w:val="en-GB"/>
              </w:rPr>
              <w:t>以上的</w:t>
            </w:r>
          </w:p>
        </w:tc>
        <w:tc>
          <w:tcPr>
            <w:tcW w:w="2552" w:type="dxa"/>
            <w:vAlign w:val="center"/>
          </w:tcPr>
          <w:p>
            <w:pPr>
              <w:jc w:val="center"/>
              <w:rPr>
                <w:rFonts w:ascii="宋体"/>
                <w:color w:val="auto"/>
                <w:szCs w:val="21"/>
                <w:lang w:val="en-GB"/>
              </w:rPr>
            </w:pPr>
            <w:r>
              <w:rPr>
                <w:rFonts w:hint="eastAsia" w:ascii="宋体" w:hAnsi="宋体"/>
                <w:color w:val="auto"/>
                <w:szCs w:val="21"/>
                <w:lang w:val="en-GB"/>
              </w:rPr>
              <w:t>对联合体总金额扣除</w:t>
            </w:r>
          </w:p>
          <w:p>
            <w:pPr>
              <w:jc w:val="center"/>
              <w:rPr>
                <w:rFonts w:ascii="宋体"/>
                <w:b/>
                <w:color w:val="auto"/>
                <w:szCs w:val="21"/>
                <w:lang w:val="en-GB"/>
              </w:rPr>
            </w:pPr>
            <w:r>
              <w:rPr>
                <w:rFonts w:ascii="宋体" w:hAnsi="宋体"/>
                <w:color w:val="auto"/>
                <w:szCs w:val="21"/>
                <w:u w:val="single"/>
              </w:rPr>
              <w:t>2</w:t>
            </w:r>
            <w:r>
              <w:rPr>
                <w:rFonts w:ascii="宋体" w:hAnsi="宋体"/>
                <w:color w:val="auto"/>
                <w:szCs w:val="21"/>
              </w:rPr>
              <w:t>%</w:t>
            </w:r>
          </w:p>
        </w:tc>
        <w:tc>
          <w:tcPr>
            <w:tcW w:w="2835" w:type="dxa"/>
            <w:vAlign w:val="center"/>
          </w:tcPr>
          <w:p>
            <w:pPr>
              <w:jc w:val="center"/>
              <w:rPr>
                <w:rFonts w:ascii="宋体"/>
                <w:color w:val="auto"/>
                <w:szCs w:val="21"/>
                <w:u w:val="single"/>
              </w:rPr>
            </w:pPr>
            <w:r>
              <w:rPr>
                <w:rFonts w:hint="eastAsia" w:ascii="宋体" w:hAnsi="宋体"/>
                <w:color w:val="auto"/>
                <w:szCs w:val="21"/>
                <w:lang w:val="en-GB"/>
              </w:rPr>
              <w:t>评标价格＝投标报价×</w:t>
            </w:r>
            <w:r>
              <w:rPr>
                <w:rFonts w:ascii="宋体" w:hAnsi="宋体"/>
                <w:color w:val="auto"/>
                <w:szCs w:val="21"/>
              </w:rPr>
              <w:t>(1-</w:t>
            </w:r>
            <w:r>
              <w:rPr>
                <w:rFonts w:ascii="宋体" w:hAnsi="宋体"/>
                <w:color w:val="auto"/>
                <w:szCs w:val="21"/>
                <w:u w:val="single"/>
              </w:rPr>
              <w:t>2%)</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4</w:t>
            </w:r>
          </w:p>
        </w:tc>
        <w:tc>
          <w:tcPr>
            <w:tcW w:w="2823" w:type="dxa"/>
            <w:vAlign w:val="center"/>
          </w:tcPr>
          <w:p>
            <w:pPr>
              <w:jc w:val="center"/>
              <w:rPr>
                <w:rFonts w:asci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rFonts w:ascii="宋体"/>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监狱企业产品的价格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5</w:t>
            </w:r>
          </w:p>
        </w:tc>
        <w:tc>
          <w:tcPr>
            <w:tcW w:w="2823" w:type="dxa"/>
            <w:vAlign w:val="center"/>
          </w:tcPr>
          <w:p>
            <w:pPr>
              <w:jc w:val="center"/>
              <w:rPr>
                <w:rFonts w:asci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残疾人福利性单位产品的价格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、中小企业应在投标文件提供《中小企业声明函》。监狱企业应当在投标文件中提供由省级以上监狱管理局、戒毒管理局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评标价格的最低价</w:t>
            </w:r>
          </w:p>
          <w:p>
            <w:pPr>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其他投标报价得分</w:t>
            </w:r>
            <w:r>
              <w:rPr>
                <w:rFonts w:ascii="宋体" w:hAnsi="宋体" w:cs="仿宋_GB2312"/>
                <w:color w:val="auto"/>
                <w:szCs w:val="21"/>
                <w:lang w:val="zh-CN"/>
              </w:rPr>
              <w:t>=</w:t>
            </w: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评标价格）×评标标准中价格分值</w:t>
            </w:r>
          </w:p>
        </w:tc>
      </w:tr>
    </w:tbl>
    <w:p>
      <w:pPr>
        <w:spacing w:line="360" w:lineRule="auto"/>
        <w:rPr>
          <w:rFonts w:asci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bCs/>
          <w:color w:val="auto"/>
          <w:szCs w:val="21"/>
          <w:lang w:val="en-GB"/>
        </w:rPr>
      </w:pPr>
      <w:r>
        <w:rPr>
          <w:rFonts w:ascii="宋体" w:hAnsi="宋体"/>
          <w:bCs/>
          <w:color w:val="auto"/>
          <w:szCs w:val="21"/>
          <w:lang w:val="en-GB"/>
        </w:rPr>
        <w:t>a</w:t>
      </w:r>
      <w:r>
        <w:rPr>
          <w:rFonts w:hint="eastAsia" w:ascii="宋体" w:hAnsi="宋体"/>
          <w:bCs/>
          <w:color w:val="auto"/>
          <w:szCs w:val="21"/>
          <w:lang w:val="en-GB"/>
        </w:rPr>
        <w:t>、不接受联合体投标的项目，本表中第</w:t>
      </w:r>
      <w:r>
        <w:rPr>
          <w:rFonts w:ascii="宋体" w:hAnsi="宋体"/>
          <w:bCs/>
          <w:color w:val="auto"/>
          <w:szCs w:val="21"/>
          <w:lang w:val="en-GB"/>
        </w:rPr>
        <w:t>2</w:t>
      </w:r>
      <w:r>
        <w:rPr>
          <w:rFonts w:hint="eastAsia" w:ascii="宋体" w:hAnsi="宋体"/>
          <w:bCs/>
          <w:color w:val="auto"/>
          <w:szCs w:val="21"/>
          <w:lang w:val="en-GB"/>
        </w:rPr>
        <w:t>项、第</w:t>
      </w:r>
      <w:r>
        <w:rPr>
          <w:rFonts w:ascii="宋体" w:hAnsi="宋体"/>
          <w:bCs/>
          <w:color w:val="auto"/>
          <w:szCs w:val="21"/>
          <w:lang w:val="en-GB"/>
        </w:rPr>
        <w:t>3</w:t>
      </w:r>
      <w:r>
        <w:rPr>
          <w:rFonts w:hint="eastAsia" w:ascii="宋体" w:hAnsi="宋体"/>
          <w:bCs/>
          <w:color w:val="auto"/>
          <w:szCs w:val="21"/>
          <w:lang w:val="en-GB"/>
        </w:rPr>
        <w:t>项情形不适用。</w:t>
      </w:r>
    </w:p>
    <w:p>
      <w:pPr>
        <w:spacing w:line="360" w:lineRule="auto"/>
        <w:ind w:firstLine="420" w:firstLineChars="200"/>
        <w:rPr>
          <w:rFonts w:ascii="宋体"/>
          <w:bCs/>
          <w:color w:val="auto"/>
          <w:szCs w:val="21"/>
          <w:lang w:val="en-GB"/>
        </w:rPr>
      </w:pPr>
      <w:r>
        <w:rPr>
          <w:rFonts w:ascii="宋体" w:hAnsi="宋体"/>
          <w:bCs/>
          <w:color w:val="auto"/>
          <w:szCs w:val="21"/>
          <w:lang w:val="en-GB"/>
        </w:rPr>
        <w:t>b</w:t>
      </w:r>
      <w:r>
        <w:rPr>
          <w:rFonts w:hint="eastAsia" w:ascii="宋体" w:hAnsi="宋体"/>
          <w:bCs/>
          <w:color w:val="auto"/>
          <w:szCs w:val="21"/>
          <w:lang w:val="en-GB"/>
        </w:rPr>
        <w:t>、小型和微型企业产品包括货物及其提供的服务与工程。</w:t>
      </w:r>
    </w:p>
    <w:p>
      <w:pPr>
        <w:spacing w:line="360" w:lineRule="auto"/>
        <w:ind w:firstLine="420" w:firstLineChars="200"/>
        <w:rPr>
          <w:rFonts w:ascii="宋体"/>
          <w:bCs/>
          <w:color w:val="auto"/>
          <w:szCs w:val="21"/>
          <w:lang w:val="en-GB"/>
        </w:rPr>
      </w:pPr>
      <w:r>
        <w:rPr>
          <w:rFonts w:ascii="宋体" w:hAnsi="宋体"/>
          <w:bCs/>
          <w:color w:val="auto"/>
          <w:szCs w:val="21"/>
          <w:lang w:val="en-GB"/>
        </w:rPr>
        <w:t>c</w:t>
      </w:r>
      <w:r>
        <w:rPr>
          <w:rFonts w:hint="eastAsia" w:ascii="宋体" w:hAnsi="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auto"/>
          <w:szCs w:val="21"/>
          <w:lang w:val="en-GB"/>
        </w:rPr>
      </w:pPr>
      <w:r>
        <w:rPr>
          <w:rFonts w:ascii="宋体" w:hAnsi="宋体"/>
          <w:bCs/>
          <w:color w:val="auto"/>
          <w:szCs w:val="21"/>
          <w:lang w:val="en-GB"/>
        </w:rPr>
        <w:t>d</w:t>
      </w:r>
      <w:r>
        <w:rPr>
          <w:rFonts w:hint="eastAsia" w:ascii="宋体" w:hAnsi="宋体"/>
          <w:bCs/>
          <w:color w:val="auto"/>
          <w:szCs w:val="21"/>
          <w:lang w:val="en-GB"/>
        </w:rPr>
        <w:t>、残疾人福利性单位属于小型、微型企业的，不重复享受政策。</w:t>
      </w:r>
    </w:p>
    <w:p>
      <w:pPr>
        <w:spacing w:line="360" w:lineRule="auto"/>
        <w:ind w:firstLine="420" w:firstLineChars="200"/>
        <w:rPr>
          <w:rFonts w:asci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6"/>
        <w:spacing w:line="360" w:lineRule="auto"/>
        <w:ind w:firstLine="422" w:firstLineChars="200"/>
        <w:contextualSpacing/>
        <w:rPr>
          <w:rFonts w:ascii="宋体" w:cs="仿宋_GB2312"/>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8</w:t>
      </w:r>
      <w:r>
        <w:rPr>
          <w:rFonts w:hint="eastAsia"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w:t>
      </w:r>
      <w:r>
        <w:rPr>
          <w:rFonts w:ascii="宋体" w:hAnsi="宋体" w:cs="仿宋_GB2312"/>
          <w:color w:val="auto"/>
          <w:szCs w:val="21"/>
          <w:lang w:val="zh-CN"/>
        </w:rPr>
        <w:t>9</w:t>
      </w:r>
      <w:r>
        <w:rPr>
          <w:rFonts w:hint="eastAsia" w:ascii="宋体" w:hAnsi="宋体" w:cs="仿宋_GB2312"/>
          <w:color w:val="auto"/>
          <w:szCs w:val="21"/>
          <w:lang w:val="zh-CN"/>
        </w:rPr>
        <w:t>）</w:t>
      </w:r>
      <w:r>
        <w:rPr>
          <w:rFonts w:hint="eastAsia" w:ascii="宋体" w:hAnsi="宋体" w:cs="仿宋_GB2312"/>
          <w:b/>
          <w:bCs/>
          <w:color w:val="auto"/>
          <w:szCs w:val="21"/>
          <w:lang w:val="zh-CN"/>
        </w:rPr>
        <w:t>按照《关于推进全流程电子化交易和在线监管工作有关问题的通知》（许公管办</w:t>
      </w:r>
      <w:r>
        <w:rPr>
          <w:rFonts w:ascii="宋体" w:hAnsi="宋体" w:cs="仿宋_GB2312"/>
          <w:b/>
          <w:bCs/>
          <w:color w:val="auto"/>
          <w:szCs w:val="21"/>
          <w:lang w:val="zh-CN"/>
        </w:rPr>
        <w:t>[2019]3</w:t>
      </w:r>
      <w:r>
        <w:rPr>
          <w:rFonts w:hint="eastAsia" w:ascii="宋体" w:hAnsi="宋体" w:cs="仿宋_GB2312"/>
          <w:b/>
          <w:bCs/>
          <w:color w:val="auto"/>
          <w:szCs w:val="21"/>
          <w:lang w:val="zh-CN"/>
        </w:rPr>
        <w:t>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10</w:t>
      </w:r>
      <w:r>
        <w:rPr>
          <w:rFonts w:hint="eastAsia" w:ascii="宋体" w:hAnsi="宋体" w:cs="仿宋_GB2312"/>
          <w:b/>
          <w:color w:val="auto"/>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color w:val="auto"/>
          <w:szCs w:val="21"/>
          <w:lang w:val="zh-CN"/>
        </w:rPr>
      </w:pPr>
      <w:r>
        <w:rPr>
          <w:rFonts w:ascii="宋体" w:hAnsi="宋体" w:cs="仿宋_GB2312"/>
          <w:b/>
          <w:color w:val="auto"/>
          <w:szCs w:val="21"/>
          <w:lang w:val="zh-CN"/>
        </w:rPr>
        <w:t>4</w:t>
      </w:r>
      <w:r>
        <w:rPr>
          <w:rFonts w:hint="eastAsia" w:ascii="宋体" w:hAnsi="宋体" w:cs="仿宋_GB2312"/>
          <w:b/>
          <w:color w:val="auto"/>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rPr>
          <w:rFonts w:ascii="宋体" w:cs="Courier New"/>
          <w:color w:val="auto"/>
          <w:szCs w:val="21"/>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第七章合同条款及格式</w:t>
      </w:r>
    </w:p>
    <w:p>
      <w:pPr>
        <w:pStyle w:val="16"/>
        <w:spacing w:line="360" w:lineRule="auto"/>
        <w:contextualSpacing/>
        <w:jc w:val="center"/>
        <w:rPr>
          <w:rFonts w:ascii="宋体" w:cs="宋体"/>
          <w:b/>
          <w:color w:val="auto"/>
          <w:kern w:val="0"/>
          <w:sz w:val="36"/>
          <w:szCs w:val="36"/>
        </w:rPr>
      </w:pPr>
    </w:p>
    <w:p>
      <w:pPr>
        <w:spacing w:line="360" w:lineRule="auto"/>
        <w:jc w:val="center"/>
        <w:rPr>
          <w:rFonts w:asci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cs="微软雅黑"/>
          <w:b/>
          <w:bCs/>
          <w:color w:val="auto"/>
          <w:szCs w:val="21"/>
        </w:rPr>
      </w:pPr>
      <w:r>
        <w:rPr>
          <w:rFonts w:hint="eastAsia" w:ascii="宋体" w:hAnsi="宋体" w:cs="微软雅黑"/>
          <w:b/>
          <w:bCs/>
          <w:color w:val="auto"/>
          <w:szCs w:val="21"/>
        </w:rPr>
        <w:t>最终签定合同的主要条款不能与招标文件有冲突）</w:t>
      </w:r>
    </w:p>
    <w:p>
      <w:pPr>
        <w:pStyle w:val="23"/>
        <w:spacing w:before="75" w:after="75"/>
        <w:rPr>
          <w:rFonts w:ascii="微软雅黑" w:hAnsi="微软雅黑" w:eastAsia="微软雅黑"/>
          <w:color w:val="auto"/>
          <w:sz w:val="27"/>
          <w:szCs w:val="27"/>
        </w:rPr>
      </w:pPr>
      <w:r>
        <w:rPr>
          <w:rFonts w:ascii="宋体" w:hAnsi="宋体" w:eastAsia="微软雅黑"/>
          <w:color w:val="auto"/>
          <w:u w:val="single"/>
        </w:rPr>
        <w:t> </w:t>
      </w:r>
    </w:p>
    <w:p>
      <w:pPr>
        <w:pStyle w:val="23"/>
        <w:spacing w:before="75" w:after="75" w:line="360" w:lineRule="auto"/>
        <w:rPr>
          <w:rFonts w:ascii="宋体"/>
          <w:color w:val="auto"/>
          <w:sz w:val="21"/>
          <w:szCs w:val="21"/>
        </w:rPr>
      </w:pPr>
      <w:r>
        <w:rPr>
          <w:rFonts w:hint="eastAsia" w:ascii="宋体" w:hAnsi="宋体"/>
          <w:color w:val="auto"/>
          <w:sz w:val="21"/>
          <w:szCs w:val="21"/>
        </w:rPr>
        <w:t>甲方：</w:t>
      </w:r>
      <w:r>
        <w:rPr>
          <w:rFonts w:hint="eastAsia" w:ascii="宋体" w:hAnsi="宋体"/>
          <w:color w:val="auto"/>
          <w:sz w:val="21"/>
          <w:szCs w:val="21"/>
          <w:u w:val="single"/>
        </w:rPr>
        <w:t>（采购人全称）</w:t>
      </w:r>
    </w:p>
    <w:p>
      <w:pPr>
        <w:pStyle w:val="23"/>
        <w:spacing w:before="75" w:after="75" w:line="360" w:lineRule="auto"/>
        <w:rPr>
          <w:rFonts w:ascii="宋体"/>
          <w:color w:val="auto"/>
          <w:sz w:val="21"/>
          <w:szCs w:val="21"/>
        </w:rPr>
      </w:pPr>
      <w:r>
        <w:rPr>
          <w:rFonts w:hint="eastAsia" w:ascii="宋体" w:hAnsi="宋体"/>
          <w:color w:val="auto"/>
          <w:sz w:val="21"/>
          <w:szCs w:val="21"/>
        </w:rPr>
        <w:t>乙方：</w:t>
      </w:r>
      <w:r>
        <w:rPr>
          <w:rFonts w:hint="eastAsia" w:ascii="宋体" w:hAnsi="宋体"/>
          <w:color w:val="auto"/>
          <w:sz w:val="21"/>
          <w:szCs w:val="21"/>
          <w:u w:val="single"/>
        </w:rPr>
        <w:t>（中标人全称）</w:t>
      </w:r>
    </w:p>
    <w:p>
      <w:pPr>
        <w:pStyle w:val="23"/>
        <w:spacing w:before="75" w:after="75"/>
        <w:rPr>
          <w:rFonts w:ascii="宋体"/>
          <w:color w:val="auto"/>
          <w:sz w:val="21"/>
          <w:szCs w:val="21"/>
        </w:rPr>
      </w:pPr>
      <w:r>
        <w:rPr>
          <w:rFonts w:ascii="宋体"/>
          <w:color w:val="auto"/>
          <w:sz w:val="21"/>
          <w:szCs w:val="21"/>
        </w:rPr>
        <w:t> </w:t>
      </w:r>
    </w:p>
    <w:p>
      <w:pPr>
        <w:pStyle w:val="23"/>
        <w:spacing w:before="75" w:after="75" w:line="360" w:lineRule="auto"/>
        <w:ind w:firstLine="482"/>
        <w:rPr>
          <w:rFonts w:ascii="宋体"/>
          <w:color w:val="auto"/>
          <w:sz w:val="21"/>
          <w:szCs w:val="21"/>
        </w:rPr>
      </w:pPr>
      <w:r>
        <w:rPr>
          <w:rFonts w:hint="eastAsia" w:ascii="宋体" w:hAnsi="宋体"/>
          <w:color w:val="auto"/>
          <w:sz w:val="21"/>
          <w:szCs w:val="21"/>
        </w:rPr>
        <w:t>根据招标编号为</w:t>
      </w:r>
      <w:r>
        <w:rPr>
          <w:rFonts w:ascii="宋体"/>
          <w:color w:val="auto"/>
          <w:sz w:val="21"/>
          <w:szCs w:val="21"/>
          <w:u w:val="single"/>
        </w:rPr>
        <w:t>            </w:t>
      </w:r>
      <w:r>
        <w:rPr>
          <w:rFonts w:hint="eastAsia" w:ascii="宋体" w:hAnsi="宋体"/>
          <w:color w:val="auto"/>
          <w:sz w:val="21"/>
          <w:szCs w:val="21"/>
        </w:rPr>
        <w:t>的</w:t>
      </w:r>
      <w:r>
        <w:rPr>
          <w:rFonts w:hint="eastAsia" w:ascii="宋体" w:hAnsi="宋体"/>
          <w:color w:val="auto"/>
          <w:sz w:val="21"/>
          <w:szCs w:val="21"/>
          <w:u w:val="single"/>
        </w:rPr>
        <w:t>（填写“项目名称”）</w:t>
      </w:r>
      <w:r>
        <w:rPr>
          <w:rFonts w:hint="eastAsia" w:ascii="宋体" w:hAnsi="宋体"/>
          <w:color w:val="auto"/>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宋体"/>
          <w:color w:val="auto"/>
          <w:sz w:val="21"/>
          <w:szCs w:val="21"/>
        </w:rPr>
      </w:pPr>
      <w:r>
        <w:rPr>
          <w:rFonts w:ascii="宋体" w:hAnsi="宋体"/>
          <w:color w:val="auto"/>
          <w:sz w:val="21"/>
          <w:szCs w:val="21"/>
        </w:rPr>
        <w:t>1</w:t>
      </w:r>
      <w:r>
        <w:rPr>
          <w:rFonts w:hint="eastAsia" w:ascii="宋体" w:hAnsi="宋体"/>
          <w:color w:val="auto"/>
          <w:sz w:val="21"/>
          <w:szCs w:val="21"/>
        </w:rPr>
        <w:t>、下列合同文件是构成本合同不可分割的部分：</w:t>
      </w:r>
    </w:p>
    <w:p>
      <w:pPr>
        <w:pStyle w:val="23"/>
        <w:spacing w:before="75" w:after="75" w:line="360" w:lineRule="auto"/>
        <w:ind w:firstLine="482"/>
        <w:rPr>
          <w:rFonts w:ascii="宋体"/>
          <w:color w:val="auto"/>
          <w:sz w:val="21"/>
          <w:szCs w:val="21"/>
        </w:rPr>
      </w:pPr>
      <w:r>
        <w:rPr>
          <w:rFonts w:ascii="宋体" w:hAnsi="宋体"/>
          <w:color w:val="auto"/>
          <w:sz w:val="21"/>
          <w:szCs w:val="21"/>
        </w:rPr>
        <w:t>1.1</w:t>
      </w:r>
      <w:r>
        <w:rPr>
          <w:rFonts w:hint="eastAsia" w:ascii="宋体" w:hAnsi="宋体"/>
          <w:color w:val="auto"/>
          <w:sz w:val="21"/>
          <w:szCs w:val="21"/>
        </w:rPr>
        <w:t>合同条款；</w:t>
      </w:r>
    </w:p>
    <w:p>
      <w:pPr>
        <w:pStyle w:val="23"/>
        <w:spacing w:before="75" w:after="75" w:line="360" w:lineRule="auto"/>
        <w:ind w:firstLine="482"/>
        <w:rPr>
          <w:rFonts w:ascii="宋体"/>
          <w:color w:val="auto"/>
          <w:sz w:val="21"/>
          <w:szCs w:val="21"/>
        </w:rPr>
      </w:pPr>
      <w:r>
        <w:rPr>
          <w:rFonts w:ascii="宋体" w:hAnsi="宋体"/>
          <w:color w:val="auto"/>
          <w:sz w:val="21"/>
          <w:szCs w:val="21"/>
        </w:rPr>
        <w:t>1.2</w:t>
      </w:r>
      <w:r>
        <w:rPr>
          <w:rFonts w:hint="eastAsia" w:ascii="宋体" w:hAnsi="宋体"/>
          <w:color w:val="auto"/>
          <w:sz w:val="21"/>
          <w:szCs w:val="21"/>
        </w:rPr>
        <w:t>招标文件、乙方的投标文件；</w:t>
      </w:r>
    </w:p>
    <w:p>
      <w:pPr>
        <w:pStyle w:val="23"/>
        <w:spacing w:before="75" w:after="75" w:line="360" w:lineRule="auto"/>
        <w:ind w:firstLine="482"/>
        <w:rPr>
          <w:rFonts w:ascii="宋体"/>
          <w:color w:val="auto"/>
          <w:sz w:val="21"/>
          <w:szCs w:val="21"/>
        </w:rPr>
      </w:pPr>
      <w:r>
        <w:rPr>
          <w:rFonts w:ascii="宋体" w:hAnsi="宋体"/>
          <w:color w:val="auto"/>
          <w:sz w:val="21"/>
          <w:szCs w:val="21"/>
        </w:rPr>
        <w:t>1.3</w:t>
      </w:r>
      <w:r>
        <w:rPr>
          <w:rFonts w:hint="eastAsia" w:ascii="宋体" w:hAnsi="宋体"/>
          <w:color w:val="auto"/>
          <w:sz w:val="21"/>
          <w:szCs w:val="21"/>
        </w:rPr>
        <w:t>其他文件或材料：□无。□</w:t>
      </w:r>
      <w:r>
        <w:rPr>
          <w:rFonts w:hint="eastAsia" w:ascii="宋体" w:hAnsi="宋体"/>
          <w:color w:val="auto"/>
          <w:sz w:val="21"/>
          <w:szCs w:val="21"/>
          <w:u w:val="single"/>
        </w:rPr>
        <w:t>（按照实际情况编制填写需要增加的内容）</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2</w:t>
      </w:r>
      <w:r>
        <w:rPr>
          <w:rFonts w:hint="eastAsia" w:ascii="宋体" w:hAnsi="宋体"/>
          <w:color w:val="auto"/>
          <w:sz w:val="21"/>
          <w:szCs w:val="21"/>
        </w:rPr>
        <w:t>、合同标的</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3</w:t>
      </w:r>
      <w:r>
        <w:rPr>
          <w:rFonts w:hint="eastAsia" w:ascii="宋体" w:hAnsi="宋体"/>
          <w:color w:val="auto"/>
          <w:sz w:val="21"/>
          <w:szCs w:val="21"/>
        </w:rPr>
        <w:t>、合同总金额</w:t>
      </w:r>
    </w:p>
    <w:p>
      <w:pPr>
        <w:pStyle w:val="23"/>
        <w:spacing w:before="75" w:after="75" w:line="360" w:lineRule="auto"/>
        <w:ind w:firstLine="482"/>
        <w:rPr>
          <w:rFonts w:ascii="宋体"/>
          <w:color w:val="auto"/>
          <w:sz w:val="21"/>
          <w:szCs w:val="21"/>
        </w:rPr>
      </w:pPr>
      <w:r>
        <w:rPr>
          <w:rFonts w:ascii="宋体" w:hAnsi="宋体"/>
          <w:color w:val="auto"/>
          <w:sz w:val="21"/>
          <w:szCs w:val="21"/>
        </w:rPr>
        <w:t>3.1</w:t>
      </w:r>
      <w:r>
        <w:rPr>
          <w:rFonts w:hint="eastAsia" w:ascii="宋体" w:hAnsi="宋体"/>
          <w:color w:val="auto"/>
          <w:sz w:val="21"/>
          <w:szCs w:val="21"/>
        </w:rPr>
        <w:t>合同总金额为人民币大写：</w:t>
      </w:r>
      <w:r>
        <w:rPr>
          <w:rFonts w:ascii="宋体"/>
          <w:color w:val="auto"/>
          <w:sz w:val="21"/>
          <w:szCs w:val="21"/>
          <w:u w:val="single"/>
        </w:rPr>
        <w:t>           </w:t>
      </w:r>
      <w:r>
        <w:rPr>
          <w:rFonts w:hint="eastAsia" w:ascii="宋体" w:hAnsi="宋体"/>
          <w:color w:val="auto"/>
          <w:sz w:val="21"/>
          <w:szCs w:val="21"/>
        </w:rPr>
        <w:t>元（￥</w:t>
      </w:r>
      <w:r>
        <w:rPr>
          <w:rFonts w:ascii="宋体"/>
          <w:color w:val="auto"/>
          <w:sz w:val="21"/>
          <w:szCs w:val="21"/>
          <w:u w:val="single"/>
        </w:rPr>
        <w:t>          </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4</w:t>
      </w:r>
      <w:r>
        <w:rPr>
          <w:rFonts w:hint="eastAsia" w:ascii="宋体" w:hAnsi="宋体"/>
          <w:color w:val="auto"/>
          <w:sz w:val="21"/>
          <w:szCs w:val="21"/>
        </w:rPr>
        <w:t>、合同标的交付时间、地点和条件</w:t>
      </w:r>
    </w:p>
    <w:p>
      <w:pPr>
        <w:pStyle w:val="23"/>
        <w:spacing w:before="75" w:after="75" w:line="360" w:lineRule="auto"/>
        <w:ind w:firstLine="482"/>
        <w:rPr>
          <w:rFonts w:ascii="宋体"/>
          <w:color w:val="auto"/>
          <w:sz w:val="21"/>
          <w:szCs w:val="21"/>
        </w:rPr>
      </w:pPr>
      <w:r>
        <w:rPr>
          <w:rFonts w:ascii="宋体" w:hAnsi="宋体"/>
          <w:color w:val="auto"/>
          <w:sz w:val="21"/>
          <w:szCs w:val="21"/>
        </w:rPr>
        <w:t>4.1</w:t>
      </w:r>
      <w:r>
        <w:rPr>
          <w:rFonts w:hint="eastAsia" w:ascii="宋体" w:hAnsi="宋体"/>
          <w:color w:val="auto"/>
          <w:sz w:val="21"/>
          <w:szCs w:val="21"/>
        </w:rPr>
        <w:t>交付时间：</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年</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月</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日至</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年</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月</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日</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4.2</w:t>
      </w:r>
      <w:r>
        <w:rPr>
          <w:rFonts w:hint="eastAsia" w:ascii="宋体" w:hAnsi="宋体"/>
          <w:color w:val="auto"/>
          <w:sz w:val="21"/>
          <w:szCs w:val="21"/>
        </w:rPr>
        <w:t>交付地点：</w:t>
      </w:r>
      <w:r>
        <w:rPr>
          <w:rFonts w:ascii="宋体"/>
          <w:color w:val="auto"/>
          <w:sz w:val="21"/>
          <w:szCs w:val="21"/>
          <w:u w:val="single"/>
        </w:rPr>
        <w:t>                     </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4.3</w:t>
      </w:r>
      <w:r>
        <w:rPr>
          <w:rFonts w:hint="eastAsia" w:ascii="宋体" w:hAnsi="宋体"/>
          <w:color w:val="auto"/>
          <w:sz w:val="21"/>
          <w:szCs w:val="21"/>
        </w:rPr>
        <w:t>交付条件：</w:t>
      </w:r>
      <w:r>
        <w:rPr>
          <w:rFonts w:ascii="宋体"/>
          <w:color w:val="auto"/>
          <w:sz w:val="21"/>
          <w:szCs w:val="21"/>
          <w:u w:val="single"/>
        </w:rPr>
        <w:t>                     </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5</w:t>
      </w:r>
      <w:r>
        <w:rPr>
          <w:rFonts w:hint="eastAsia" w:ascii="宋体" w:hAnsi="宋体"/>
          <w:color w:val="auto"/>
          <w:sz w:val="21"/>
          <w:szCs w:val="21"/>
        </w:rPr>
        <w:t>、合同标的应符合招标文件、乙方投标文件的规定或约定，具体如下：</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6</w:t>
      </w:r>
      <w:r>
        <w:rPr>
          <w:rFonts w:hint="eastAsia" w:ascii="宋体" w:hAnsi="宋体"/>
          <w:color w:val="auto"/>
          <w:sz w:val="21"/>
          <w:szCs w:val="21"/>
        </w:rPr>
        <w:t>、验收</w:t>
      </w:r>
    </w:p>
    <w:p>
      <w:pPr>
        <w:pStyle w:val="23"/>
        <w:spacing w:before="75" w:after="75" w:line="360" w:lineRule="auto"/>
        <w:ind w:firstLine="482"/>
        <w:rPr>
          <w:rFonts w:ascii="宋体"/>
          <w:color w:val="auto"/>
          <w:sz w:val="21"/>
          <w:szCs w:val="21"/>
        </w:rPr>
      </w:pPr>
      <w:r>
        <w:rPr>
          <w:rFonts w:ascii="宋体" w:hAnsi="宋体"/>
          <w:color w:val="auto"/>
          <w:sz w:val="21"/>
          <w:szCs w:val="21"/>
        </w:rPr>
        <w:t>6.1</w:t>
      </w:r>
      <w:r>
        <w:rPr>
          <w:rFonts w:hint="eastAsia" w:ascii="宋体" w:hAnsi="宋体"/>
          <w:color w:val="auto"/>
          <w:sz w:val="21"/>
          <w:szCs w:val="21"/>
        </w:rPr>
        <w:t>验收应按照招标文件、乙方投标文件的规定或约定进行，具体如下：</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6.2</w:t>
      </w:r>
      <w:r>
        <w:rPr>
          <w:rFonts w:hint="eastAsia" w:ascii="宋体" w:hAnsi="宋体"/>
          <w:color w:val="auto"/>
          <w:sz w:val="21"/>
          <w:szCs w:val="21"/>
        </w:rPr>
        <w:t>本项目是否邀请其他投标人参与验收：</w:t>
      </w:r>
    </w:p>
    <w:p>
      <w:pPr>
        <w:pStyle w:val="23"/>
        <w:spacing w:before="75" w:after="75" w:line="360" w:lineRule="auto"/>
        <w:ind w:firstLine="482"/>
        <w:rPr>
          <w:rFonts w:ascii="宋体"/>
          <w:color w:val="auto"/>
          <w:sz w:val="21"/>
          <w:szCs w:val="21"/>
        </w:rPr>
      </w:pPr>
      <w:r>
        <w:rPr>
          <w:rFonts w:hint="eastAsia" w:ascii="宋体" w:hAnsi="宋体"/>
          <w:color w:val="auto"/>
          <w:sz w:val="21"/>
          <w:szCs w:val="21"/>
        </w:rPr>
        <w:t>□不邀请。□邀请，具体如下：</w:t>
      </w:r>
      <w:r>
        <w:rPr>
          <w:rFonts w:hint="eastAsia" w:ascii="宋体" w:hAnsi="宋体"/>
          <w:color w:val="auto"/>
          <w:sz w:val="21"/>
          <w:szCs w:val="21"/>
          <w:u w:val="single"/>
        </w:rPr>
        <w:t>（按照招标文件规定填写）</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7</w:t>
      </w:r>
      <w:r>
        <w:rPr>
          <w:rFonts w:hint="eastAsia" w:ascii="宋体" w:hAnsi="宋体"/>
          <w:color w:val="auto"/>
          <w:sz w:val="21"/>
          <w:szCs w:val="21"/>
        </w:rPr>
        <w:t>、合同款项的支付应按照招标文件的规定进行，具体如下：</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（按照实际情况编制填写，可以是表格或文字描述，包括一次性支付或分期支付等）</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8</w:t>
      </w:r>
      <w:r>
        <w:rPr>
          <w:rFonts w:hint="eastAsia" w:ascii="宋体" w:hAnsi="宋体"/>
          <w:color w:val="auto"/>
          <w:sz w:val="21"/>
          <w:szCs w:val="21"/>
        </w:rPr>
        <w:t>、履约保证金</w:t>
      </w:r>
    </w:p>
    <w:p>
      <w:pPr>
        <w:pStyle w:val="23"/>
        <w:spacing w:before="75" w:after="75" w:line="360" w:lineRule="auto"/>
        <w:ind w:firstLine="482"/>
        <w:rPr>
          <w:rFonts w:ascii="宋体"/>
          <w:color w:val="auto"/>
          <w:sz w:val="21"/>
          <w:szCs w:val="21"/>
        </w:rPr>
      </w:pPr>
      <w:r>
        <w:rPr>
          <w:rFonts w:hint="eastAsia" w:ascii="宋体" w:hAnsi="宋体"/>
          <w:color w:val="auto"/>
          <w:sz w:val="21"/>
          <w:szCs w:val="21"/>
        </w:rPr>
        <w:t>□无。□有，具体如下：</w:t>
      </w:r>
      <w:r>
        <w:rPr>
          <w:rFonts w:hint="eastAsia" w:ascii="宋体" w:hAnsi="宋体"/>
          <w:color w:val="auto"/>
          <w:sz w:val="21"/>
          <w:szCs w:val="21"/>
          <w:u w:val="single"/>
        </w:rPr>
        <w:t>（按照招标文件规定填写）</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9</w:t>
      </w:r>
      <w:r>
        <w:rPr>
          <w:rFonts w:hint="eastAsia" w:ascii="宋体" w:hAnsi="宋体"/>
          <w:color w:val="auto"/>
          <w:sz w:val="21"/>
          <w:szCs w:val="21"/>
        </w:rPr>
        <w:t>、合同有效期</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10</w:t>
      </w:r>
      <w:r>
        <w:rPr>
          <w:rFonts w:hint="eastAsia" w:ascii="宋体" w:hAnsi="宋体"/>
          <w:color w:val="auto"/>
          <w:sz w:val="21"/>
          <w:szCs w:val="21"/>
        </w:rPr>
        <w:t>、违约责任</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11</w:t>
      </w:r>
      <w:r>
        <w:rPr>
          <w:rFonts w:hint="eastAsia" w:ascii="宋体" w:hAnsi="宋体"/>
          <w:color w:val="auto"/>
          <w:sz w:val="21"/>
          <w:szCs w:val="21"/>
        </w:rPr>
        <w:t>、知识产权</w:t>
      </w:r>
    </w:p>
    <w:p>
      <w:pPr>
        <w:pStyle w:val="23"/>
        <w:spacing w:before="75" w:after="75" w:line="360" w:lineRule="auto"/>
        <w:ind w:firstLine="482"/>
        <w:rPr>
          <w:rFonts w:ascii="宋体"/>
          <w:color w:val="auto"/>
          <w:sz w:val="21"/>
          <w:szCs w:val="21"/>
        </w:rPr>
      </w:pPr>
      <w:r>
        <w:rPr>
          <w:rFonts w:ascii="宋体" w:hAnsi="宋体"/>
          <w:color w:val="auto"/>
          <w:sz w:val="21"/>
          <w:szCs w:val="21"/>
        </w:rPr>
        <w:t>11.1</w:t>
      </w:r>
      <w:r>
        <w:rPr>
          <w:rFonts w:hint="eastAsia" w:ascii="宋体" w:hAnsi="宋体"/>
          <w:color w:val="auto"/>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color w:val="auto"/>
          <w:sz w:val="21"/>
          <w:szCs w:val="21"/>
        </w:rPr>
      </w:pPr>
      <w:r>
        <w:rPr>
          <w:rFonts w:ascii="宋体" w:hAnsi="宋体"/>
          <w:color w:val="auto"/>
          <w:sz w:val="21"/>
          <w:szCs w:val="21"/>
        </w:rPr>
        <w:t>11.2</w:t>
      </w:r>
      <w:r>
        <w:rPr>
          <w:rFonts w:hint="eastAsia" w:ascii="宋体" w:hAnsi="宋体"/>
          <w:color w:val="auto"/>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olor w:val="auto"/>
          <w:sz w:val="21"/>
          <w:szCs w:val="21"/>
          <w:u w:val="single"/>
        </w:rPr>
        <w:t>（按照实际情况编制填写）</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12</w:t>
      </w:r>
      <w:r>
        <w:rPr>
          <w:rFonts w:hint="eastAsia" w:ascii="宋体" w:hAnsi="宋体"/>
          <w:color w:val="auto"/>
          <w:sz w:val="21"/>
          <w:szCs w:val="21"/>
        </w:rPr>
        <w:t>、解决争议的方法</w:t>
      </w:r>
    </w:p>
    <w:p>
      <w:pPr>
        <w:pStyle w:val="23"/>
        <w:spacing w:before="75" w:after="75" w:line="360" w:lineRule="auto"/>
        <w:ind w:firstLine="482"/>
        <w:rPr>
          <w:rFonts w:ascii="宋体"/>
          <w:color w:val="auto"/>
          <w:sz w:val="21"/>
          <w:szCs w:val="21"/>
        </w:rPr>
      </w:pPr>
      <w:r>
        <w:rPr>
          <w:rFonts w:ascii="宋体" w:hAnsi="宋体"/>
          <w:color w:val="auto"/>
          <w:sz w:val="21"/>
          <w:szCs w:val="21"/>
        </w:rPr>
        <w:t>12.1</w:t>
      </w:r>
      <w:r>
        <w:rPr>
          <w:rFonts w:hint="eastAsia" w:ascii="宋体" w:hAnsi="宋体"/>
          <w:color w:val="auto"/>
          <w:sz w:val="21"/>
          <w:szCs w:val="21"/>
        </w:rPr>
        <w:t>甲、乙双方协商解决。</w:t>
      </w:r>
    </w:p>
    <w:p>
      <w:pPr>
        <w:pStyle w:val="23"/>
        <w:spacing w:before="75" w:after="75" w:line="360" w:lineRule="auto"/>
        <w:ind w:firstLine="482"/>
        <w:rPr>
          <w:rFonts w:ascii="宋体"/>
          <w:color w:val="auto"/>
          <w:sz w:val="21"/>
          <w:szCs w:val="21"/>
        </w:rPr>
      </w:pPr>
      <w:r>
        <w:rPr>
          <w:rFonts w:ascii="宋体" w:hAnsi="宋体"/>
          <w:color w:val="auto"/>
          <w:sz w:val="21"/>
          <w:szCs w:val="21"/>
        </w:rPr>
        <w:t>12.2</w:t>
      </w:r>
      <w:r>
        <w:rPr>
          <w:rFonts w:hint="eastAsia" w:ascii="宋体" w:hAnsi="宋体"/>
          <w:color w:val="auto"/>
          <w:sz w:val="21"/>
          <w:szCs w:val="21"/>
        </w:rPr>
        <w:t>若协商解决不成，则通过下列途径之一解决：</w:t>
      </w:r>
    </w:p>
    <w:p>
      <w:pPr>
        <w:pStyle w:val="23"/>
        <w:spacing w:before="75" w:after="75" w:line="360" w:lineRule="auto"/>
        <w:ind w:firstLine="482"/>
        <w:rPr>
          <w:rFonts w:ascii="宋体"/>
          <w:color w:val="auto"/>
          <w:sz w:val="21"/>
          <w:szCs w:val="21"/>
        </w:rPr>
      </w:pPr>
      <w:r>
        <w:rPr>
          <w:rFonts w:hint="eastAsia" w:ascii="宋体" w:hAnsi="宋体"/>
          <w:color w:val="auto"/>
          <w:sz w:val="21"/>
          <w:szCs w:val="21"/>
        </w:rPr>
        <w:t>□提交仲裁委员会仲裁，具体如下：</w:t>
      </w:r>
      <w:r>
        <w:rPr>
          <w:rFonts w:hint="eastAsia" w:ascii="宋体" w:hAnsi="宋体"/>
          <w:color w:val="auto"/>
          <w:sz w:val="21"/>
          <w:szCs w:val="21"/>
          <w:u w:val="single"/>
        </w:rPr>
        <w:t>（按照实际情况编制填写）</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hint="eastAsia" w:ascii="宋体" w:hAnsi="宋体"/>
          <w:color w:val="auto"/>
          <w:sz w:val="21"/>
          <w:szCs w:val="21"/>
        </w:rPr>
        <w:t>□向人民法院提起诉讼，具体如下：</w:t>
      </w:r>
      <w:r>
        <w:rPr>
          <w:rFonts w:hint="eastAsia" w:ascii="宋体" w:hAnsi="宋体"/>
          <w:color w:val="auto"/>
          <w:sz w:val="21"/>
          <w:szCs w:val="21"/>
          <w:u w:val="single"/>
        </w:rPr>
        <w:t>（按照实际情况编制填写）</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13</w:t>
      </w:r>
      <w:r>
        <w:rPr>
          <w:rFonts w:hint="eastAsia" w:ascii="宋体" w:hAnsi="宋体"/>
          <w:color w:val="auto"/>
          <w:sz w:val="21"/>
          <w:szCs w:val="21"/>
        </w:rPr>
        <w:t>、不可抗力</w:t>
      </w:r>
    </w:p>
    <w:p>
      <w:pPr>
        <w:pStyle w:val="23"/>
        <w:spacing w:before="75" w:after="75" w:line="360" w:lineRule="auto"/>
        <w:ind w:firstLine="482"/>
        <w:rPr>
          <w:rFonts w:ascii="宋体"/>
          <w:color w:val="auto"/>
          <w:sz w:val="21"/>
          <w:szCs w:val="21"/>
        </w:rPr>
      </w:pPr>
      <w:r>
        <w:rPr>
          <w:rFonts w:ascii="宋体" w:hAnsi="宋体"/>
          <w:color w:val="auto"/>
          <w:sz w:val="21"/>
          <w:szCs w:val="21"/>
        </w:rPr>
        <w:t>13.1</w:t>
      </w:r>
      <w:r>
        <w:rPr>
          <w:rFonts w:hint="eastAsia" w:ascii="宋体" w:hAnsi="宋体"/>
          <w:color w:val="auto"/>
          <w:sz w:val="21"/>
          <w:szCs w:val="21"/>
        </w:rPr>
        <w:t>因不可抗力造成违约的，遭受不可抗力一方应及时向对方通报不能履行或不能完全履行的理由，并在随后取得有关主管机关证明后的</w:t>
      </w:r>
      <w:r>
        <w:rPr>
          <w:rFonts w:ascii="宋体" w:hAnsi="宋体"/>
          <w:color w:val="auto"/>
          <w:sz w:val="21"/>
          <w:szCs w:val="21"/>
        </w:rPr>
        <w:t>15</w:t>
      </w:r>
      <w:r>
        <w:rPr>
          <w:rFonts w:hint="eastAsia" w:ascii="宋体" w:hAnsi="宋体"/>
          <w:color w:val="auto"/>
          <w:sz w:val="21"/>
          <w:szCs w:val="21"/>
        </w:rPr>
        <w:t>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color w:val="auto"/>
          <w:sz w:val="21"/>
          <w:szCs w:val="21"/>
        </w:rPr>
      </w:pPr>
      <w:r>
        <w:rPr>
          <w:rFonts w:ascii="宋体" w:hAnsi="宋体"/>
          <w:color w:val="auto"/>
          <w:sz w:val="21"/>
          <w:szCs w:val="21"/>
        </w:rPr>
        <w:t>13.2</w:t>
      </w:r>
      <w:r>
        <w:rPr>
          <w:rFonts w:hint="eastAsia" w:ascii="宋体" w:hAnsi="宋体"/>
          <w:color w:val="auto"/>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color w:val="auto"/>
          <w:sz w:val="21"/>
          <w:szCs w:val="21"/>
        </w:rPr>
      </w:pPr>
      <w:r>
        <w:rPr>
          <w:rFonts w:ascii="宋体" w:hAnsi="宋体"/>
          <w:color w:val="auto"/>
          <w:sz w:val="21"/>
          <w:szCs w:val="21"/>
        </w:rPr>
        <w:t>14</w:t>
      </w:r>
      <w:r>
        <w:rPr>
          <w:rFonts w:hint="eastAsia" w:ascii="宋体" w:hAnsi="宋体"/>
          <w:color w:val="auto"/>
          <w:sz w:val="21"/>
          <w:szCs w:val="21"/>
        </w:rPr>
        <w:t>、合同条款</w:t>
      </w:r>
    </w:p>
    <w:p>
      <w:pPr>
        <w:pStyle w:val="23"/>
        <w:spacing w:before="75" w:after="75" w:line="360" w:lineRule="auto"/>
        <w:ind w:firstLine="482"/>
        <w:rPr>
          <w:rFonts w:ascii="宋体"/>
          <w:color w:val="auto"/>
          <w:sz w:val="21"/>
          <w:szCs w:val="21"/>
        </w:rPr>
      </w:pPr>
      <w:r>
        <w:rPr>
          <w:rFonts w:hint="eastAsia" w:ascii="宋体" w:hAnsi="宋体"/>
          <w:color w:val="auto"/>
          <w:sz w:val="21"/>
          <w:szCs w:val="21"/>
          <w:u w:val="single"/>
        </w:rPr>
        <w:t>（按照实际情况编制填写。招标文件已有规定的，双方均不得变更或调整；招标文件未作规定的，双方可通过友好协商进行约定）</w:t>
      </w:r>
      <w:r>
        <w:rPr>
          <w:rFonts w:hint="eastAsia" w:ascii="宋体" w:hAnsi="宋体"/>
          <w:color w:val="auto"/>
          <w:sz w:val="21"/>
          <w:szCs w:val="21"/>
        </w:rPr>
        <w:t>。</w:t>
      </w:r>
    </w:p>
    <w:p>
      <w:pPr>
        <w:pStyle w:val="23"/>
        <w:spacing w:before="75" w:after="75" w:line="360" w:lineRule="auto"/>
        <w:ind w:firstLine="482"/>
        <w:rPr>
          <w:rFonts w:ascii="宋体"/>
          <w:color w:val="auto"/>
          <w:sz w:val="21"/>
          <w:szCs w:val="21"/>
        </w:rPr>
      </w:pPr>
      <w:r>
        <w:rPr>
          <w:rFonts w:ascii="宋体" w:hAnsi="宋体"/>
          <w:color w:val="auto"/>
          <w:sz w:val="21"/>
          <w:szCs w:val="21"/>
        </w:rPr>
        <w:t>15</w:t>
      </w:r>
      <w:r>
        <w:rPr>
          <w:rFonts w:hint="eastAsia" w:ascii="宋体" w:hAnsi="宋体"/>
          <w:color w:val="auto"/>
          <w:sz w:val="21"/>
          <w:szCs w:val="21"/>
        </w:rPr>
        <w:t>、其他约定</w:t>
      </w:r>
    </w:p>
    <w:p>
      <w:pPr>
        <w:pStyle w:val="23"/>
        <w:spacing w:before="75" w:after="75" w:line="360" w:lineRule="auto"/>
        <w:ind w:firstLine="482"/>
        <w:rPr>
          <w:rFonts w:ascii="宋体"/>
          <w:color w:val="auto"/>
          <w:sz w:val="21"/>
          <w:szCs w:val="21"/>
        </w:rPr>
      </w:pPr>
      <w:r>
        <w:rPr>
          <w:rFonts w:ascii="宋体" w:hAnsi="宋体"/>
          <w:color w:val="auto"/>
          <w:sz w:val="21"/>
          <w:szCs w:val="21"/>
        </w:rPr>
        <w:t>15.1</w:t>
      </w:r>
      <w:r>
        <w:rPr>
          <w:rFonts w:hint="eastAsia" w:ascii="宋体" w:hAnsi="宋体"/>
          <w:color w:val="auto"/>
          <w:sz w:val="21"/>
          <w:szCs w:val="21"/>
        </w:rPr>
        <w:t>合同文件与本合同具有同等法律效力。</w:t>
      </w:r>
    </w:p>
    <w:p>
      <w:pPr>
        <w:pStyle w:val="23"/>
        <w:spacing w:before="75" w:after="75" w:line="360" w:lineRule="auto"/>
        <w:ind w:firstLine="482"/>
        <w:rPr>
          <w:rFonts w:ascii="宋体"/>
          <w:color w:val="auto"/>
          <w:sz w:val="21"/>
          <w:szCs w:val="21"/>
        </w:rPr>
      </w:pPr>
      <w:r>
        <w:rPr>
          <w:rFonts w:ascii="宋体" w:hAnsi="宋体"/>
          <w:color w:val="auto"/>
          <w:sz w:val="21"/>
          <w:szCs w:val="21"/>
        </w:rPr>
        <w:t>15.2</w:t>
      </w:r>
      <w:r>
        <w:rPr>
          <w:rFonts w:hint="eastAsia" w:ascii="宋体" w:hAnsi="宋体"/>
          <w:color w:val="auto"/>
          <w:sz w:val="21"/>
          <w:szCs w:val="21"/>
        </w:rPr>
        <w:t>本合同未尽事宜，双方可另行补充。</w:t>
      </w:r>
    </w:p>
    <w:p>
      <w:pPr>
        <w:pStyle w:val="23"/>
        <w:spacing w:before="75" w:after="75" w:line="360" w:lineRule="auto"/>
        <w:ind w:firstLine="482"/>
        <w:rPr>
          <w:rFonts w:ascii="宋体"/>
          <w:color w:val="auto"/>
          <w:sz w:val="21"/>
          <w:szCs w:val="21"/>
        </w:rPr>
      </w:pPr>
      <w:r>
        <w:rPr>
          <w:rFonts w:ascii="宋体" w:hAnsi="宋体"/>
          <w:color w:val="auto"/>
          <w:sz w:val="21"/>
          <w:szCs w:val="21"/>
        </w:rPr>
        <w:t>15.3</w:t>
      </w:r>
      <w:r>
        <w:rPr>
          <w:rFonts w:hint="eastAsia" w:ascii="宋体" w:hAnsi="宋体"/>
          <w:color w:val="auto"/>
          <w:sz w:val="21"/>
          <w:szCs w:val="21"/>
        </w:rPr>
        <w:t>合同生效：自签订之日起生效。</w:t>
      </w:r>
    </w:p>
    <w:p>
      <w:pPr>
        <w:pStyle w:val="23"/>
        <w:spacing w:before="75" w:after="75" w:line="360" w:lineRule="auto"/>
        <w:ind w:firstLine="482"/>
        <w:rPr>
          <w:rFonts w:ascii="宋体"/>
          <w:color w:val="auto"/>
          <w:sz w:val="21"/>
          <w:szCs w:val="21"/>
        </w:rPr>
      </w:pPr>
      <w:r>
        <w:rPr>
          <w:rFonts w:ascii="宋体" w:hAnsi="宋体"/>
          <w:color w:val="auto"/>
          <w:sz w:val="21"/>
          <w:szCs w:val="21"/>
        </w:rPr>
        <w:t>15.4</w:t>
      </w:r>
      <w:r>
        <w:rPr>
          <w:rFonts w:hint="eastAsia" w:ascii="宋体" w:hAnsi="宋体"/>
          <w:color w:val="auto"/>
          <w:sz w:val="21"/>
          <w:szCs w:val="21"/>
        </w:rPr>
        <w:t>本合同一式</w:t>
      </w:r>
      <w:r>
        <w:rPr>
          <w:rFonts w:hint="eastAsia" w:ascii="宋体" w:hAnsi="宋体"/>
          <w:color w:val="auto"/>
          <w:sz w:val="21"/>
          <w:szCs w:val="21"/>
          <w:u w:val="single"/>
        </w:rPr>
        <w:t>（填写具体份数）</w:t>
      </w:r>
      <w:r>
        <w:rPr>
          <w:rFonts w:hint="eastAsia" w:ascii="宋体" w:hAnsi="宋体"/>
          <w:color w:val="auto"/>
          <w:sz w:val="21"/>
          <w:szCs w:val="21"/>
        </w:rPr>
        <w:t>份，经双方授权代表签字并盖章后生效。甲方、乙方各执</w:t>
      </w:r>
      <w:r>
        <w:rPr>
          <w:rFonts w:hint="eastAsia" w:ascii="宋体" w:hAnsi="宋体"/>
          <w:color w:val="auto"/>
          <w:sz w:val="21"/>
          <w:szCs w:val="21"/>
          <w:u w:val="single"/>
        </w:rPr>
        <w:t>（填写具体份数）</w:t>
      </w:r>
      <w:r>
        <w:rPr>
          <w:rFonts w:hint="eastAsia" w:ascii="宋体" w:hAnsi="宋体"/>
          <w:color w:val="auto"/>
          <w:sz w:val="21"/>
          <w:szCs w:val="21"/>
        </w:rPr>
        <w:t>份，送</w:t>
      </w:r>
      <w:r>
        <w:rPr>
          <w:rFonts w:hint="eastAsia" w:ascii="宋体" w:hAnsi="宋体"/>
          <w:color w:val="auto"/>
          <w:sz w:val="21"/>
          <w:szCs w:val="21"/>
          <w:u w:val="single"/>
        </w:rPr>
        <w:t>（填写需要备案的监管部门的全称）</w:t>
      </w:r>
      <w:r>
        <w:rPr>
          <w:rFonts w:hint="eastAsia" w:ascii="宋体" w:hAnsi="宋体"/>
          <w:color w:val="auto"/>
          <w:sz w:val="21"/>
          <w:szCs w:val="21"/>
        </w:rPr>
        <w:t>备案</w:t>
      </w:r>
      <w:r>
        <w:rPr>
          <w:rFonts w:hint="eastAsia" w:ascii="宋体" w:hAnsi="宋体"/>
          <w:color w:val="auto"/>
          <w:sz w:val="21"/>
          <w:szCs w:val="21"/>
          <w:u w:val="single"/>
        </w:rPr>
        <w:t>（填写具体份数）</w:t>
      </w:r>
      <w:r>
        <w:rPr>
          <w:rFonts w:hint="eastAsia" w:ascii="宋体" w:hAnsi="宋体"/>
          <w:color w:val="auto"/>
          <w:sz w:val="21"/>
          <w:szCs w:val="21"/>
        </w:rPr>
        <w:t>份，具有同等效力。</w:t>
      </w:r>
    </w:p>
    <w:p>
      <w:pPr>
        <w:pStyle w:val="23"/>
        <w:spacing w:before="75" w:after="75" w:line="360" w:lineRule="auto"/>
        <w:ind w:firstLine="482"/>
        <w:rPr>
          <w:rFonts w:ascii="宋体"/>
          <w:color w:val="auto"/>
          <w:sz w:val="21"/>
          <w:szCs w:val="21"/>
        </w:rPr>
      </w:pPr>
      <w:r>
        <w:rPr>
          <w:rFonts w:ascii="宋体" w:hAnsi="宋体"/>
          <w:color w:val="auto"/>
          <w:sz w:val="21"/>
          <w:szCs w:val="21"/>
        </w:rPr>
        <w:t>15.5</w:t>
      </w:r>
      <w:r>
        <w:rPr>
          <w:rFonts w:hint="eastAsia" w:ascii="宋体" w:hAnsi="宋体"/>
          <w:color w:val="auto"/>
          <w:sz w:val="21"/>
          <w:szCs w:val="21"/>
        </w:rPr>
        <w:t>其他：□无。□</w:t>
      </w:r>
      <w:r>
        <w:rPr>
          <w:rFonts w:hint="eastAsia" w:ascii="宋体" w:hAnsi="宋体"/>
          <w:color w:val="auto"/>
          <w:sz w:val="21"/>
          <w:szCs w:val="21"/>
          <w:u w:val="single"/>
        </w:rPr>
        <w:t>（按照实际情况编制填写需要增加的内容）</w:t>
      </w:r>
      <w:r>
        <w:rPr>
          <w:rFonts w:hint="eastAsia" w:ascii="宋体" w:hAnsi="宋体"/>
          <w:color w:val="auto"/>
          <w:sz w:val="21"/>
          <w:szCs w:val="21"/>
        </w:rPr>
        <w:t>。</w:t>
      </w:r>
    </w:p>
    <w:p>
      <w:pPr>
        <w:pStyle w:val="23"/>
        <w:spacing w:before="75" w:after="75"/>
        <w:rPr>
          <w:rFonts w:ascii="宋体"/>
          <w:color w:val="auto"/>
          <w:sz w:val="21"/>
          <w:szCs w:val="21"/>
        </w:rPr>
      </w:pPr>
      <w:r>
        <w:rPr>
          <w:rFonts w:ascii="宋体"/>
          <w:color w:val="auto"/>
          <w:sz w:val="21"/>
          <w:szCs w:val="21"/>
        </w:rPr>
        <w:t> </w:t>
      </w:r>
    </w:p>
    <w:p>
      <w:pPr>
        <w:pStyle w:val="23"/>
        <w:spacing w:before="75" w:after="75"/>
        <w:rPr>
          <w:rFonts w:ascii="宋体"/>
          <w:color w:val="auto"/>
          <w:sz w:val="21"/>
          <w:szCs w:val="21"/>
        </w:rPr>
      </w:pPr>
      <w:r>
        <w:rPr>
          <w:rFonts w:ascii="宋体"/>
          <w:color w:val="auto"/>
          <w:sz w:val="21"/>
          <w:szCs w:val="21"/>
        </w:rPr>
        <w:t> </w:t>
      </w:r>
    </w:p>
    <w:p>
      <w:pPr>
        <w:pStyle w:val="23"/>
        <w:spacing w:before="75" w:after="75" w:line="360" w:lineRule="auto"/>
        <w:rPr>
          <w:rFonts w:ascii="宋体"/>
          <w:color w:val="auto"/>
          <w:sz w:val="21"/>
          <w:szCs w:val="21"/>
        </w:rPr>
      </w:pPr>
      <w:r>
        <w:rPr>
          <w:rFonts w:hint="eastAsia" w:ascii="宋体" w:hAnsi="宋体"/>
          <w:color w:val="auto"/>
          <w:sz w:val="21"/>
          <w:szCs w:val="21"/>
        </w:rPr>
        <w:t>甲方：</w:t>
      </w:r>
      <w:r>
        <w:rPr>
          <w:rFonts w:ascii="宋体"/>
          <w:color w:val="auto"/>
          <w:sz w:val="21"/>
          <w:szCs w:val="21"/>
        </w:rPr>
        <w:t>                        </w:t>
      </w:r>
      <w:r>
        <w:rPr>
          <w:rFonts w:hint="eastAsia" w:ascii="宋体" w:hAnsi="宋体"/>
          <w:color w:val="auto"/>
          <w:sz w:val="21"/>
          <w:szCs w:val="21"/>
        </w:rPr>
        <w:t>乙方：</w:t>
      </w:r>
    </w:p>
    <w:p>
      <w:pPr>
        <w:pStyle w:val="23"/>
        <w:spacing w:before="75" w:after="75" w:line="360" w:lineRule="auto"/>
        <w:rPr>
          <w:rFonts w:ascii="宋体"/>
          <w:color w:val="auto"/>
          <w:sz w:val="21"/>
          <w:szCs w:val="21"/>
        </w:rPr>
      </w:pPr>
      <w:r>
        <w:rPr>
          <w:rFonts w:hint="eastAsia" w:ascii="宋体" w:hAnsi="宋体"/>
          <w:color w:val="auto"/>
          <w:sz w:val="21"/>
          <w:szCs w:val="21"/>
        </w:rPr>
        <w:t>住所：</w:t>
      </w:r>
      <w:r>
        <w:rPr>
          <w:rFonts w:ascii="宋体"/>
          <w:color w:val="auto"/>
          <w:sz w:val="21"/>
          <w:szCs w:val="21"/>
        </w:rPr>
        <w:t>                        </w:t>
      </w:r>
      <w:r>
        <w:rPr>
          <w:rFonts w:hint="eastAsia" w:ascii="宋体" w:hAnsi="宋体"/>
          <w:color w:val="auto"/>
          <w:sz w:val="21"/>
          <w:szCs w:val="21"/>
        </w:rPr>
        <w:t>住所：</w:t>
      </w:r>
    </w:p>
    <w:p>
      <w:pPr>
        <w:pStyle w:val="23"/>
        <w:spacing w:before="75" w:after="75" w:line="360" w:lineRule="auto"/>
        <w:rPr>
          <w:rFonts w:ascii="宋体"/>
          <w:color w:val="auto"/>
          <w:sz w:val="21"/>
          <w:szCs w:val="21"/>
        </w:rPr>
      </w:pPr>
      <w:r>
        <w:rPr>
          <w:rFonts w:hint="eastAsia" w:ascii="宋体" w:hAnsi="宋体"/>
          <w:color w:val="auto"/>
          <w:sz w:val="21"/>
          <w:szCs w:val="21"/>
        </w:rPr>
        <w:t>法定代表人（单位负责人）：</w:t>
      </w:r>
      <w:r>
        <w:rPr>
          <w:rFonts w:ascii="宋体"/>
          <w:color w:val="auto"/>
          <w:sz w:val="21"/>
          <w:szCs w:val="21"/>
        </w:rPr>
        <w:t>            </w:t>
      </w:r>
      <w:r>
        <w:rPr>
          <w:rFonts w:ascii="宋体" w:hAnsi="宋体"/>
          <w:color w:val="auto"/>
          <w:sz w:val="21"/>
          <w:szCs w:val="21"/>
        </w:rPr>
        <w:t xml:space="preserve">     </w:t>
      </w:r>
      <w:r>
        <w:rPr>
          <w:rFonts w:hint="eastAsia" w:ascii="宋体" w:hAnsi="宋体"/>
          <w:color w:val="auto"/>
          <w:sz w:val="21"/>
          <w:szCs w:val="21"/>
        </w:rPr>
        <w:t>法定代表人（单位负责人）：</w:t>
      </w:r>
    </w:p>
    <w:p>
      <w:pPr>
        <w:pStyle w:val="23"/>
        <w:spacing w:before="75" w:after="75" w:line="360" w:lineRule="auto"/>
        <w:rPr>
          <w:rFonts w:ascii="宋体"/>
          <w:color w:val="auto"/>
          <w:sz w:val="21"/>
          <w:szCs w:val="21"/>
        </w:rPr>
      </w:pPr>
      <w:r>
        <w:rPr>
          <w:rFonts w:hint="eastAsia" w:ascii="宋体" w:hAnsi="宋体"/>
          <w:color w:val="auto"/>
          <w:sz w:val="21"/>
          <w:szCs w:val="21"/>
        </w:rPr>
        <w:t>联系方法：</w:t>
      </w:r>
      <w:r>
        <w:rPr>
          <w:rFonts w:ascii="宋体"/>
          <w:color w:val="auto"/>
          <w:sz w:val="21"/>
          <w:szCs w:val="21"/>
        </w:rPr>
        <w:t>                      </w:t>
      </w:r>
      <w:r>
        <w:rPr>
          <w:rFonts w:hint="eastAsia" w:ascii="宋体" w:hAnsi="宋体"/>
          <w:color w:val="auto"/>
          <w:sz w:val="21"/>
          <w:szCs w:val="21"/>
        </w:rPr>
        <w:t>联系方法：</w:t>
      </w:r>
    </w:p>
    <w:p>
      <w:pPr>
        <w:pStyle w:val="23"/>
        <w:spacing w:before="75" w:after="75" w:line="360" w:lineRule="auto"/>
        <w:rPr>
          <w:rFonts w:ascii="宋体"/>
          <w:color w:val="auto"/>
          <w:sz w:val="21"/>
          <w:szCs w:val="21"/>
        </w:rPr>
      </w:pPr>
      <w:r>
        <w:rPr>
          <w:rFonts w:hint="eastAsia" w:ascii="宋体" w:hAnsi="宋体"/>
          <w:color w:val="auto"/>
          <w:sz w:val="21"/>
          <w:szCs w:val="21"/>
        </w:rPr>
        <w:t>开户银行：</w:t>
      </w:r>
      <w:r>
        <w:rPr>
          <w:rFonts w:ascii="宋体"/>
          <w:color w:val="auto"/>
          <w:sz w:val="21"/>
          <w:szCs w:val="21"/>
        </w:rPr>
        <w:t>                      </w:t>
      </w:r>
      <w:r>
        <w:rPr>
          <w:rFonts w:hint="eastAsia" w:ascii="宋体" w:hAnsi="宋体"/>
          <w:color w:val="auto"/>
          <w:sz w:val="21"/>
          <w:szCs w:val="21"/>
        </w:rPr>
        <w:t>开户银行：</w:t>
      </w:r>
    </w:p>
    <w:p>
      <w:pPr>
        <w:pStyle w:val="23"/>
        <w:spacing w:before="75" w:after="75" w:line="360" w:lineRule="auto"/>
        <w:rPr>
          <w:rFonts w:ascii="宋体"/>
          <w:color w:val="auto"/>
          <w:sz w:val="21"/>
          <w:szCs w:val="21"/>
        </w:rPr>
      </w:pPr>
      <w:r>
        <w:rPr>
          <w:rFonts w:hint="eastAsia" w:ascii="宋体" w:hAnsi="宋体"/>
          <w:color w:val="auto"/>
          <w:sz w:val="21"/>
          <w:szCs w:val="21"/>
        </w:rPr>
        <w:t>账号：</w:t>
      </w:r>
      <w:r>
        <w:rPr>
          <w:rFonts w:ascii="宋体"/>
          <w:color w:val="auto"/>
          <w:sz w:val="21"/>
          <w:szCs w:val="21"/>
        </w:rPr>
        <w:t>                        </w:t>
      </w:r>
      <w:r>
        <w:rPr>
          <w:rFonts w:hint="eastAsia" w:ascii="宋体" w:hAnsi="宋体"/>
          <w:color w:val="auto"/>
          <w:sz w:val="21"/>
          <w:szCs w:val="21"/>
        </w:rPr>
        <w:t>账号：</w:t>
      </w:r>
    </w:p>
    <w:p>
      <w:pPr>
        <w:pStyle w:val="23"/>
        <w:spacing w:before="75" w:after="75" w:line="360" w:lineRule="auto"/>
        <w:rPr>
          <w:rFonts w:ascii="宋体"/>
          <w:color w:val="auto"/>
          <w:sz w:val="21"/>
          <w:szCs w:val="21"/>
        </w:rPr>
      </w:pPr>
      <w:r>
        <w:rPr>
          <w:rFonts w:ascii="宋体"/>
          <w:color w:val="auto"/>
          <w:sz w:val="21"/>
          <w:szCs w:val="21"/>
        </w:rPr>
        <w:t> </w:t>
      </w:r>
    </w:p>
    <w:p>
      <w:pPr>
        <w:pStyle w:val="23"/>
        <w:spacing w:before="75" w:after="75"/>
        <w:rPr>
          <w:rFonts w:ascii="宋体"/>
          <w:color w:val="auto"/>
          <w:sz w:val="21"/>
          <w:szCs w:val="21"/>
        </w:rPr>
      </w:pPr>
      <w:r>
        <w:rPr>
          <w:rFonts w:ascii="宋体"/>
          <w:color w:val="auto"/>
          <w:sz w:val="21"/>
          <w:szCs w:val="21"/>
        </w:rPr>
        <w:t> </w:t>
      </w:r>
    </w:p>
    <w:p>
      <w:pPr>
        <w:pStyle w:val="23"/>
        <w:spacing w:before="75" w:after="75" w:line="360" w:lineRule="auto"/>
        <w:rPr>
          <w:rFonts w:ascii="宋体"/>
          <w:color w:val="auto"/>
          <w:sz w:val="21"/>
          <w:szCs w:val="21"/>
        </w:rPr>
      </w:pPr>
      <w:r>
        <w:rPr>
          <w:rFonts w:hint="eastAsia" w:ascii="宋体" w:hAnsi="宋体"/>
          <w:color w:val="auto"/>
          <w:sz w:val="21"/>
          <w:szCs w:val="21"/>
        </w:rPr>
        <w:t>签订地点：</w:t>
      </w:r>
      <w:r>
        <w:rPr>
          <w:rFonts w:ascii="宋体"/>
          <w:color w:val="auto"/>
          <w:sz w:val="21"/>
          <w:szCs w:val="21"/>
          <w:u w:val="single"/>
        </w:rPr>
        <w:t>                </w:t>
      </w:r>
    </w:p>
    <w:p>
      <w:pPr>
        <w:pStyle w:val="23"/>
        <w:spacing w:before="75" w:after="75" w:line="360" w:lineRule="auto"/>
        <w:rPr>
          <w:rFonts w:ascii="宋体"/>
          <w:color w:val="auto"/>
          <w:sz w:val="21"/>
          <w:szCs w:val="21"/>
        </w:rPr>
      </w:pPr>
      <w:r>
        <w:rPr>
          <w:rFonts w:hint="eastAsia" w:ascii="宋体" w:hAnsi="宋体"/>
          <w:color w:val="auto"/>
          <w:sz w:val="21"/>
          <w:szCs w:val="21"/>
        </w:rPr>
        <w:t>签订日期：</w:t>
      </w:r>
      <w:r>
        <w:rPr>
          <w:rFonts w:ascii="宋体"/>
          <w:color w:val="auto"/>
          <w:sz w:val="21"/>
          <w:szCs w:val="21"/>
          <w:u w:val="single"/>
        </w:rPr>
        <w:t>    </w:t>
      </w:r>
      <w:r>
        <w:rPr>
          <w:rFonts w:hint="eastAsia" w:ascii="宋体" w:hAnsi="宋体"/>
          <w:color w:val="auto"/>
          <w:sz w:val="21"/>
          <w:szCs w:val="21"/>
        </w:rPr>
        <w:t>年</w:t>
      </w:r>
      <w:r>
        <w:rPr>
          <w:rFonts w:ascii="宋体"/>
          <w:color w:val="auto"/>
          <w:sz w:val="21"/>
          <w:szCs w:val="21"/>
          <w:u w:val="single"/>
        </w:rPr>
        <w:t>   </w:t>
      </w:r>
      <w:r>
        <w:rPr>
          <w:rFonts w:hint="eastAsia" w:ascii="宋体" w:hAnsi="宋体"/>
          <w:color w:val="auto"/>
          <w:sz w:val="21"/>
          <w:szCs w:val="21"/>
        </w:rPr>
        <w:t>月</w:t>
      </w:r>
      <w:r>
        <w:rPr>
          <w:rFonts w:ascii="宋体"/>
          <w:color w:val="auto"/>
          <w:sz w:val="21"/>
          <w:szCs w:val="21"/>
          <w:u w:val="single"/>
        </w:rPr>
        <w:t>   </w:t>
      </w:r>
      <w:r>
        <w:rPr>
          <w:rFonts w:hint="eastAsia" w:ascii="宋体" w:hAnsi="宋体"/>
          <w:color w:val="auto"/>
          <w:sz w:val="21"/>
          <w:szCs w:val="21"/>
        </w:rPr>
        <w:t>日</w:t>
      </w:r>
    </w:p>
    <w:p>
      <w:pPr>
        <w:pStyle w:val="16"/>
        <w:spacing w:line="360" w:lineRule="auto"/>
        <w:contextualSpacing/>
        <w:jc w:val="center"/>
        <w:rPr>
          <w:rFonts w:ascii="宋体" w:cs="宋体"/>
          <w:b/>
          <w:color w:val="auto"/>
          <w:kern w:val="0"/>
          <w:sz w:val="36"/>
          <w:szCs w:val="36"/>
        </w:rPr>
      </w:pPr>
    </w:p>
    <w:p>
      <w:pPr>
        <w:pStyle w:val="16"/>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黑体"/>
          <w:b/>
          <w:bCs/>
          <w:color w:val="auto"/>
          <w:sz w:val="44"/>
          <w:szCs w:val="44"/>
          <w:lang w:val="zh-CN"/>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pStyle w:val="56"/>
        <w:numPr>
          <w:ilvl w:val="0"/>
          <w:numId w:val="0"/>
        </w:numPr>
        <w:tabs>
          <w:tab w:val="left" w:pos="660"/>
        </w:tabs>
        <w:snapToGrid w:val="0"/>
        <w:spacing w:before="0" w:line="400" w:lineRule="exact"/>
        <w:rPr>
          <w:rFonts w:cs="黑体"/>
          <w:color w:val="auto"/>
          <w:kern w:val="2"/>
          <w:sz w:val="28"/>
          <w:szCs w:val="28"/>
          <w:lang w:val="zh-CN"/>
        </w:rPr>
      </w:pPr>
      <w:bookmarkStart w:id="14" w:name="_Toc174185203"/>
      <w:bookmarkStart w:id="15" w:name="_Toc186274126"/>
      <w:bookmarkStart w:id="16" w:name="_Toc184023138"/>
      <w:r>
        <w:rPr>
          <w:rFonts w:hint="eastAsia" w:cs="黑体"/>
          <w:color w:val="auto"/>
          <w:kern w:val="2"/>
          <w:sz w:val="28"/>
          <w:szCs w:val="28"/>
          <w:lang w:val="zh-CN"/>
        </w:rPr>
        <w:t>一、投标人应答索引表</w:t>
      </w:r>
      <w:bookmarkEnd w:id="14"/>
      <w:bookmarkEnd w:id="15"/>
      <w:bookmarkEnd w:id="1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序号</w:t>
            </w:r>
          </w:p>
        </w:tc>
        <w:tc>
          <w:tcPr>
            <w:tcW w:w="3751" w:type="dxa"/>
            <w:gridSpan w:val="3"/>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项目</w:t>
            </w:r>
          </w:p>
        </w:tc>
        <w:tc>
          <w:tcPr>
            <w:tcW w:w="1559"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cs="微软雅黑"/>
                <w:b/>
                <w:color w:val="auto"/>
                <w:szCs w:val="21"/>
              </w:rPr>
            </w:pPr>
            <w:r>
              <w:rPr>
                <w:rFonts w:hint="eastAsia" w:ascii="宋体" w:hAnsi="宋体" w:cs="微软雅黑"/>
                <w:b/>
                <w:color w:val="auto"/>
                <w:szCs w:val="21"/>
              </w:rPr>
              <w:t>（有</w:t>
            </w:r>
            <w:r>
              <w:rPr>
                <w:rFonts w:ascii="宋体" w:hAnsi="宋体" w:cs="微软雅黑"/>
                <w:b/>
                <w:color w:val="auto"/>
                <w:szCs w:val="21"/>
              </w:rPr>
              <w:t>/</w:t>
            </w:r>
            <w:r>
              <w:rPr>
                <w:rFonts w:hint="eastAsia" w:ascii="宋体" w:hAnsi="宋体" w:cs="微软雅黑"/>
                <w:b/>
                <w:color w:val="auto"/>
                <w:szCs w:val="21"/>
              </w:rPr>
              <w:t>没有）</w:t>
            </w:r>
          </w:p>
        </w:tc>
        <w:tc>
          <w:tcPr>
            <w:tcW w:w="1560"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宋体" w:hAnsi="宋体"/>
                <w:bCs/>
                <w:color w:val="auto"/>
                <w:sz w:val="21"/>
                <w:szCs w:val="21"/>
              </w:rPr>
              <w:t>依法纳税凭据</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2"/>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2"/>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2"/>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3751" w:type="dxa"/>
            <w:gridSpan w:val="3"/>
            <w:vAlign w:val="center"/>
          </w:tcPr>
          <w:p>
            <w:pPr>
              <w:snapToGrid w:val="0"/>
              <w:spacing w:line="400" w:lineRule="exact"/>
              <w:rPr>
                <w:rFonts w:ascii="宋体" w:cs="微软雅黑"/>
                <w:color w:val="auto"/>
                <w:szCs w:val="21"/>
              </w:rPr>
            </w:pPr>
            <w:r>
              <w:rPr>
                <w:rFonts w:hint="eastAsia" w:ascii="宋体" w:hAnsi="宋体"/>
                <w:bCs/>
                <w:color w:val="auto"/>
                <w:szCs w:val="21"/>
              </w:rPr>
              <w:t>依法缴纳社会保险凭据</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6"/>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6"/>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977"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bCs/>
                <w:color w:val="auto"/>
                <w:sz w:val="21"/>
                <w:szCs w:val="21"/>
              </w:rPr>
              <w:t>投标人相关承诺函或声明</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3"/>
            <w:vAlign w:val="center"/>
          </w:tcPr>
          <w:p>
            <w:pPr>
              <w:pStyle w:val="16"/>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3"/>
            <w:vAlign w:val="center"/>
          </w:tcPr>
          <w:p>
            <w:pPr>
              <w:spacing w:line="360" w:lineRule="auto"/>
              <w:contextualSpacing/>
              <w:rPr>
                <w:rFonts w:ascii="宋体" w:hAnsi="宋体"/>
                <w:color w:val="auto"/>
                <w:szCs w:val="21"/>
              </w:rPr>
            </w:pPr>
            <w:r>
              <w:rPr>
                <w:rFonts w:hint="eastAsia" w:ascii="宋体" w:hAnsi="宋体" w:cs="宋体"/>
                <w:bCs/>
                <w:color w:val="auto"/>
                <w:szCs w:val="21"/>
                <w:lang w:val="zh-CN"/>
              </w:rPr>
              <w:t>三年内未被省级或省级以上环境保护主管部门停业整顿的承诺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3"/>
            <w:vAlign w:val="center"/>
          </w:tcPr>
          <w:p>
            <w:pPr>
              <w:pStyle w:val="16"/>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17</w:t>
            </w:r>
          </w:p>
        </w:tc>
        <w:tc>
          <w:tcPr>
            <w:tcW w:w="3751" w:type="dxa"/>
            <w:gridSpan w:val="3"/>
            <w:vAlign w:val="center"/>
          </w:tcPr>
          <w:p>
            <w:pPr>
              <w:pStyle w:val="16"/>
              <w:kinsoku w:val="0"/>
              <w:overflowPunct w:val="0"/>
              <w:autoSpaceDE w:val="0"/>
              <w:autoSpaceDN w:val="0"/>
              <w:spacing w:line="320" w:lineRule="exact"/>
              <w:rPr>
                <w:rFonts w:asci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cs="微软雅黑"/>
                <w:color w:val="auto"/>
                <w:szCs w:val="21"/>
              </w:rPr>
            </w:pPr>
          </w:p>
        </w:tc>
        <w:tc>
          <w:tcPr>
            <w:tcW w:w="2018"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s="仿宋_GB2312"/>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w:t>
      </w:r>
      <w:r>
        <w:rPr>
          <w:rFonts w:ascii="楷体" w:hAnsi="楷体" w:eastAsia="楷体"/>
          <w:color w:val="auto"/>
          <w:sz w:val="24"/>
          <w:szCs w:val="24"/>
        </w:rPr>
        <w:t>8</w:t>
      </w:r>
      <w:r>
        <w:rPr>
          <w:rFonts w:hint="eastAsia" w:ascii="楷体" w:hAnsi="楷体" w:eastAsia="楷体"/>
          <w:color w:val="auto"/>
          <w:sz w:val="24"/>
          <w:szCs w:val="24"/>
        </w:rPr>
        <w:t>请按照本招标文件</w:t>
      </w:r>
      <w:r>
        <w:rPr>
          <w:rFonts w:ascii="楷体" w:hAnsi="楷体" w:eastAsia="楷体"/>
          <w:color w:val="auto"/>
          <w:sz w:val="24"/>
          <w:szCs w:val="24"/>
        </w:rPr>
        <w:t xml:space="preserve"> </w:t>
      </w:r>
      <w:r>
        <w:rPr>
          <w:rFonts w:hint="eastAsia" w:ascii="楷体" w:hAnsi="楷体" w:eastAsia="楷体"/>
          <w:color w:val="auto"/>
          <w:sz w:val="24"/>
          <w:szCs w:val="24"/>
        </w:rPr>
        <w:t>“第六章资格审查与评标”资格审查表中序号</w:t>
      </w:r>
      <w:r>
        <w:rPr>
          <w:rFonts w:ascii="楷体" w:hAnsi="楷体" w:eastAsia="楷体"/>
          <w:color w:val="auto"/>
          <w:sz w:val="24"/>
          <w:szCs w:val="24"/>
        </w:rPr>
        <w:t>3</w:t>
      </w:r>
      <w:r>
        <w:rPr>
          <w:rFonts w:hint="eastAsia" w:ascii="楷体" w:hAnsi="楷体" w:eastAsia="楷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w:t>
      </w:r>
      <w:r>
        <w:rPr>
          <w:rFonts w:ascii="楷体" w:hAnsi="楷体" w:eastAsia="楷体"/>
          <w:color w:val="auto"/>
          <w:sz w:val="24"/>
          <w:szCs w:val="24"/>
        </w:rPr>
        <w:t>10</w:t>
      </w:r>
      <w:r>
        <w:rPr>
          <w:rFonts w:hint="eastAsia" w:ascii="楷体" w:hAnsi="楷体" w:eastAsia="楷体"/>
          <w:color w:val="auto"/>
          <w:sz w:val="24"/>
          <w:szCs w:val="24"/>
        </w:rPr>
        <w:t>请按照本招标文件</w:t>
      </w:r>
      <w:r>
        <w:rPr>
          <w:rFonts w:ascii="楷体" w:hAnsi="楷体" w:eastAsia="楷体"/>
          <w:color w:val="auto"/>
          <w:sz w:val="24"/>
          <w:szCs w:val="24"/>
        </w:rPr>
        <w:t xml:space="preserve"> </w:t>
      </w:r>
      <w:r>
        <w:rPr>
          <w:rFonts w:hint="eastAsia" w:ascii="楷体" w:hAnsi="楷体" w:eastAsia="楷体"/>
          <w:color w:val="auto"/>
          <w:sz w:val="24"/>
          <w:szCs w:val="24"/>
        </w:rPr>
        <w:t>“第六章资格审查与评标”资格审查表中序号</w:t>
      </w:r>
      <w:r>
        <w:rPr>
          <w:rFonts w:ascii="楷体" w:hAnsi="楷体" w:eastAsia="楷体"/>
          <w:color w:val="auto"/>
          <w:sz w:val="24"/>
          <w:szCs w:val="24"/>
        </w:rPr>
        <w:t>6</w:t>
      </w:r>
      <w:r>
        <w:rPr>
          <w:rFonts w:hint="eastAsia" w:ascii="楷体" w:hAnsi="楷体" w:eastAsia="楷体"/>
          <w:color w:val="auto"/>
          <w:sz w:val="24"/>
          <w:szCs w:val="24"/>
        </w:rPr>
        <w:t>要求提供，根据所提供证明材料或承诺函（声明）情况填写其中一项即可。</w:t>
      </w:r>
    </w:p>
    <w:p>
      <w:pPr>
        <w:pStyle w:val="16"/>
        <w:spacing w:line="360" w:lineRule="auto"/>
        <w:jc w:val="both"/>
        <w:rPr>
          <w:rFonts w:ascii="宋体"/>
          <w:b/>
          <w:snapToGrid w:val="0"/>
          <w:color w:val="auto"/>
          <w:kern w:val="0"/>
          <w:sz w:val="28"/>
          <w:szCs w:val="28"/>
        </w:rPr>
      </w:pPr>
    </w:p>
    <w:p>
      <w:pPr>
        <w:pStyle w:val="16"/>
        <w:spacing w:line="360" w:lineRule="auto"/>
        <w:jc w:val="center"/>
        <w:rPr>
          <w:rFonts w:ascii="宋体"/>
          <w:b/>
          <w:snapToGrid w:val="0"/>
          <w:color w:val="FF0000"/>
          <w:kern w:val="0"/>
          <w:sz w:val="28"/>
          <w:szCs w:val="28"/>
        </w:rPr>
      </w:pPr>
      <w:r>
        <w:rPr>
          <w:rFonts w:hint="eastAsia" w:ascii="宋体" w:hAnsi="宋体"/>
          <w:b/>
          <w:snapToGrid w:val="0"/>
          <w:color w:val="auto"/>
          <w:kern w:val="0"/>
          <w:sz w:val="28"/>
          <w:szCs w:val="28"/>
        </w:rPr>
        <w:br w:type="page"/>
      </w:r>
      <w:r>
        <w:rPr>
          <w:rFonts w:hint="eastAsia" w:ascii="宋体" w:hAnsi="宋体"/>
          <w:b/>
          <w:snapToGrid w:val="0"/>
          <w:color w:val="auto"/>
          <w:kern w:val="0"/>
          <w:sz w:val="28"/>
          <w:szCs w:val="28"/>
        </w:rPr>
        <w:t>二、开标一览表</w:t>
      </w:r>
    </w:p>
    <w:p>
      <w:pPr>
        <w:pStyle w:val="16"/>
        <w:spacing w:line="360" w:lineRule="auto"/>
        <w:jc w:val="center"/>
        <w:rPr>
          <w:rFonts w:ascii="宋体"/>
          <w:b/>
          <w:snapToGrid w:val="0"/>
          <w:kern w:val="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r>
        <w:rPr>
          <w:rFonts w:hint="eastAsia" w:ascii="宋体" w:hAnsi="宋体" w:cs="Arial"/>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23"/>
              <w:keepNext w:val="0"/>
              <w:keepLines w:val="0"/>
              <w:widowControl/>
              <w:suppressLineNumbers w:val="0"/>
              <w:spacing w:beforeAutospacing="1" w:afterAutospacing="1" w:line="480" w:lineRule="atLeast"/>
              <w:jc w:val="center"/>
              <w:rPr>
                <w:rFonts w:ascii="宋体" w:cs="宋体"/>
                <w:b/>
                <w:szCs w:val="21"/>
                <w:lang w:val="zh-CN"/>
              </w:rPr>
            </w:pPr>
            <w:r>
              <w:rPr>
                <w:rStyle w:val="27"/>
                <w:rFonts w:hint="eastAsia" w:ascii="宋体" w:hAnsi="宋体" w:eastAsia="宋体" w:cs="宋体"/>
                <w:b/>
                <w:sz w:val="21"/>
                <w:szCs w:val="21"/>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r>
              <w:rPr>
                <w:rFonts w:hint="eastAsia"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en-US" w:eastAsia="zh-CN"/>
        </w:rPr>
        <w:t xml:space="preserve">     </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投标人法定代表人（或授权代表）签字日期：</w:t>
      </w:r>
    </w:p>
    <w:p>
      <w:pPr>
        <w:autoSpaceDE w:val="0"/>
        <w:autoSpaceDN w:val="0"/>
        <w:adjustRightInd w:val="0"/>
        <w:spacing w:line="480" w:lineRule="auto"/>
        <w:rPr>
          <w:rFonts w:hint="eastAsia" w:ascii="宋体" w:hAnsi="宋体" w:cs="宋体"/>
          <w:szCs w:val="21"/>
          <w:lang w:val="en-US" w:eastAsia="zh-CN"/>
        </w:rPr>
      </w:pPr>
      <w:r>
        <w:rPr>
          <w:rFonts w:hint="eastAsia" w:ascii="宋体" w:hAnsi="宋体" w:cs="宋体"/>
          <w:szCs w:val="21"/>
          <w:lang w:val="en-US" w:eastAsia="zh-CN"/>
        </w:rPr>
        <w:t>日期：</w:t>
      </w:r>
    </w:p>
    <w:p>
      <w:pPr>
        <w:autoSpaceDE w:val="0"/>
        <w:autoSpaceDN w:val="0"/>
        <w:adjustRightInd w:val="0"/>
        <w:spacing w:line="360" w:lineRule="auto"/>
        <w:rPr>
          <w:rFonts w:ascii="宋体" w:cs="宋体"/>
          <w:sz w:val="24"/>
          <w:lang w:val="zh-CN"/>
        </w:rPr>
      </w:pPr>
      <w:r>
        <w:rPr>
          <w:rFonts w:hint="eastAsia" w:ascii="宋体" w:hAnsi="宋体" w:eastAsia="宋体" w:cs="宋体"/>
          <w:sz w:val="21"/>
          <w:szCs w:val="21"/>
        </w:rPr>
        <w:t>注：交付日期指完成该项目的最终时间（日历天）。</w:t>
      </w:r>
    </w:p>
    <w:p>
      <w:pPr>
        <w:autoSpaceDE w:val="0"/>
        <w:autoSpaceDN w:val="0"/>
        <w:adjustRightInd w:val="0"/>
        <w:spacing w:line="480" w:lineRule="auto"/>
        <w:ind w:firstLine="420" w:firstLineChars="200"/>
        <w:rPr>
          <w:rFonts w:ascii="宋体" w:cs="宋体"/>
          <w:color w:val="auto"/>
          <w:szCs w:val="21"/>
          <w:lang w:val="zh-CN"/>
        </w:rPr>
      </w:pPr>
    </w:p>
    <w:p>
      <w:pPr>
        <w:autoSpaceDE w:val="0"/>
        <w:autoSpaceDN w:val="0"/>
        <w:adjustRightInd w:val="0"/>
        <w:spacing w:line="360" w:lineRule="auto"/>
        <w:rPr>
          <w:rFonts w:ascii="宋体" w:cs="宋体"/>
          <w:color w:val="auto"/>
          <w:sz w:val="24"/>
          <w:lang w:val="zh-CN"/>
        </w:rPr>
      </w:pPr>
      <w:bookmarkStart w:id="20" w:name="_GoBack"/>
      <w:bookmarkEnd w:id="20"/>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both"/>
        <w:rPr>
          <w:rFonts w:ascii="宋体" w:cs="黑体"/>
          <w:b/>
          <w:bCs/>
          <w:color w:val="auto"/>
          <w:sz w:val="44"/>
          <w:szCs w:val="44"/>
          <w:lang w:val="zh-CN"/>
        </w:rPr>
      </w:pPr>
    </w:p>
    <w:p>
      <w:pPr>
        <w:autoSpaceDE w:val="0"/>
        <w:autoSpaceDN w:val="0"/>
        <w:adjustRightInd w:val="0"/>
        <w:spacing w:line="360" w:lineRule="auto"/>
        <w:jc w:val="center"/>
        <w:rPr>
          <w:rFonts w:ascii="宋体"/>
          <w:b/>
          <w:snapToGrid w:val="0"/>
          <w:color w:val="auto"/>
          <w:kern w:val="0"/>
          <w:szCs w:val="24"/>
        </w:rPr>
      </w:pPr>
      <w:r>
        <w:rPr>
          <w:rFonts w:hint="eastAsia" w:ascii="宋体" w:hAnsi="宋体" w:cs="黑体"/>
          <w:b/>
          <w:bCs/>
          <w:color w:val="auto"/>
          <w:sz w:val="28"/>
          <w:szCs w:val="28"/>
          <w:lang w:val="zh-CN"/>
        </w:rPr>
        <w:t>三、资格审查证明材料</w:t>
      </w:r>
    </w:p>
    <w:p>
      <w:pPr>
        <w:pStyle w:val="16"/>
        <w:spacing w:line="360" w:lineRule="auto"/>
        <w:jc w:val="center"/>
        <w:rPr>
          <w:rFonts w:ascii="宋体"/>
          <w:b/>
          <w:snapToGrid w:val="0"/>
          <w:color w:val="auto"/>
          <w:kern w:val="0"/>
          <w:szCs w:val="24"/>
        </w:rPr>
      </w:pPr>
      <w:r>
        <w:rPr>
          <w:rFonts w:ascii="宋体" w:hAnsi="宋体"/>
          <w:b/>
          <w:snapToGrid w:val="0"/>
          <w:color w:val="auto"/>
          <w:kern w:val="0"/>
          <w:szCs w:val="24"/>
        </w:rPr>
        <w:t xml:space="preserve">3.1 </w:t>
      </w:r>
      <w:r>
        <w:rPr>
          <w:rFonts w:hint="eastAsia" w:ascii="宋体" w:hAnsi="宋体"/>
          <w:b/>
          <w:snapToGrid w:val="0"/>
          <w:color w:val="auto"/>
          <w:kern w:val="0"/>
          <w:szCs w:val="24"/>
        </w:rPr>
        <w:t>投</w:t>
      </w:r>
      <w:r>
        <w:rPr>
          <w:rFonts w:ascii="宋体" w:hAnsi="宋体"/>
          <w:b/>
          <w:snapToGrid w:val="0"/>
          <w:color w:val="auto"/>
          <w:kern w:val="0"/>
          <w:szCs w:val="24"/>
        </w:rPr>
        <w:t xml:space="preserve"> </w:t>
      </w:r>
      <w:r>
        <w:rPr>
          <w:rFonts w:hint="eastAsia" w:ascii="宋体" w:hAnsi="宋体"/>
          <w:b/>
          <w:snapToGrid w:val="0"/>
          <w:color w:val="auto"/>
          <w:kern w:val="0"/>
          <w:szCs w:val="24"/>
        </w:rPr>
        <w:t>标</w:t>
      </w:r>
      <w:r>
        <w:rPr>
          <w:rFonts w:ascii="宋体" w:hAnsi="宋体"/>
          <w:b/>
          <w:snapToGrid w:val="0"/>
          <w:color w:val="auto"/>
          <w:kern w:val="0"/>
          <w:szCs w:val="24"/>
        </w:rPr>
        <w:t xml:space="preserve"> </w:t>
      </w:r>
      <w:r>
        <w:rPr>
          <w:rFonts w:hint="eastAsia" w:ascii="宋体" w:hAnsi="宋体"/>
          <w:b/>
          <w:snapToGrid w:val="0"/>
          <w:color w:val="auto"/>
          <w:kern w:val="0"/>
          <w:szCs w:val="24"/>
        </w:rPr>
        <w:t>函</w:t>
      </w:r>
    </w:p>
    <w:p>
      <w:pPr>
        <w:pStyle w:val="16"/>
        <w:spacing w:line="360" w:lineRule="auto"/>
        <w:jc w:val="center"/>
        <w:rPr>
          <w:rFonts w:ascii="宋体"/>
          <w:b/>
          <w:snapToGrid w:val="0"/>
          <w:color w:val="auto"/>
          <w:kern w:val="0"/>
          <w:sz w:val="28"/>
          <w:szCs w:val="28"/>
        </w:rPr>
      </w:pPr>
    </w:p>
    <w:p>
      <w:pPr>
        <w:adjustRightInd w:val="0"/>
        <w:spacing w:line="360" w:lineRule="auto"/>
        <w:contextualSpacing/>
        <w:rPr>
          <w:rFonts w:ascii="宋体"/>
          <w:b/>
          <w:snapToGrid w:val="0"/>
          <w:color w:val="auto"/>
          <w:kern w:val="0"/>
          <w:szCs w:val="21"/>
        </w:rPr>
      </w:pPr>
      <w:r>
        <w:rPr>
          <w:rFonts w:hint="eastAsia" w:ascii="宋体" w:hAnsi="宋体"/>
          <w:snapToGrid w:val="0"/>
          <w:color w:val="auto"/>
          <w:kern w:val="0"/>
          <w:szCs w:val="21"/>
        </w:rPr>
        <w:t>致：（采购人）</w:t>
      </w:r>
    </w:p>
    <w:p>
      <w:pPr>
        <w:adjustRightInd w:val="0"/>
        <w:spacing w:line="360" w:lineRule="auto"/>
        <w:ind w:firstLine="420" w:firstLineChars="200"/>
        <w:contextualSpacing/>
        <w:outlineLvl w:val="0"/>
        <w:rPr>
          <w:rFonts w:ascii="宋体"/>
          <w:snapToGrid w:val="0"/>
          <w:color w:val="auto"/>
          <w:kern w:val="0"/>
          <w:szCs w:val="21"/>
        </w:rPr>
      </w:pPr>
      <w:r>
        <w:rPr>
          <w:rFonts w:hint="eastAsia" w:ascii="宋体" w:hAnsi="宋体"/>
          <w:snapToGrid w:val="0"/>
          <w:color w:val="auto"/>
          <w:kern w:val="0"/>
          <w:szCs w:val="21"/>
        </w:rPr>
        <w:t>根据贵方</w:t>
      </w:r>
      <w:r>
        <w:rPr>
          <w:rFonts w:ascii="宋体" w:hAnsi="宋体"/>
          <w:snapToGrid w:val="0"/>
          <w:color w:val="auto"/>
          <w:kern w:val="0"/>
          <w:szCs w:val="21"/>
        </w:rPr>
        <w:t>_</w:t>
      </w:r>
      <w:r>
        <w:rPr>
          <w:rFonts w:ascii="宋体" w:hAnsi="宋体"/>
          <w:snapToGrid w:val="0"/>
          <w:color w:val="auto"/>
          <w:kern w:val="0"/>
          <w:szCs w:val="21"/>
          <w:u w:val="single"/>
        </w:rPr>
        <w:t xml:space="preserve">_    </w:t>
      </w:r>
      <w:r>
        <w:rPr>
          <w:rFonts w:ascii="宋体" w:hAnsi="宋体"/>
          <w:snapToGrid w:val="0"/>
          <w:color w:val="auto"/>
          <w:kern w:val="0"/>
          <w:szCs w:val="21"/>
        </w:rPr>
        <w:t>_</w:t>
      </w:r>
      <w:r>
        <w:rPr>
          <w:rFonts w:hint="eastAsia" w:ascii="宋体" w:hAnsi="宋体"/>
          <w:snapToGrid w:val="0"/>
          <w:color w:val="auto"/>
          <w:kern w:val="0"/>
          <w:szCs w:val="21"/>
        </w:rPr>
        <w:t>（项目名称、招标编号）采购的招标公告及投标邀请，</w:t>
      </w:r>
      <w:r>
        <w:rPr>
          <w:rFonts w:ascii="宋体" w:hAnsi="宋体"/>
          <w:snapToGrid w:val="0"/>
          <w:color w:val="auto"/>
          <w:kern w:val="0"/>
          <w:szCs w:val="21"/>
        </w:rPr>
        <w:t>_______</w:t>
      </w:r>
      <w:r>
        <w:rPr>
          <w:rFonts w:hint="eastAsia" w:ascii="宋体" w:hAnsi="宋体"/>
          <w:snapToGrid w:val="0"/>
          <w:color w:val="auto"/>
          <w:kern w:val="0"/>
          <w:szCs w:val="21"/>
        </w:rPr>
        <w:t>（姓名和职务）被正式授权并代表投标人（投标人名称、地址）提交。</w:t>
      </w:r>
    </w:p>
    <w:p>
      <w:pPr>
        <w:pStyle w:val="16"/>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snapToGrid w:val="0"/>
          <w:color w:val="auto"/>
          <w:kern w:val="0"/>
          <w:szCs w:val="21"/>
        </w:rPr>
      </w:pPr>
      <w:r>
        <w:rPr>
          <w:rFonts w:ascii="宋体" w:hAnsi="宋体"/>
          <w:i/>
          <w:snapToGrid w:val="0"/>
          <w:color w:val="auto"/>
          <w:kern w:val="0"/>
          <w:szCs w:val="21"/>
          <w:u w:val="single"/>
        </w:rPr>
        <w:t>(</w:t>
      </w:r>
      <w:r>
        <w:rPr>
          <w:rFonts w:hint="eastAsia" w:ascii="宋体" w:hAnsi="宋体"/>
          <w:i/>
          <w:snapToGrid w:val="0"/>
          <w:color w:val="auto"/>
          <w:kern w:val="0"/>
          <w:szCs w:val="21"/>
          <w:u w:val="single"/>
        </w:rPr>
        <w:t>投标人名称</w:t>
      </w:r>
      <w:r>
        <w:rPr>
          <w:rFonts w:ascii="宋体" w:hAnsi="宋体"/>
          <w:i/>
          <w:snapToGrid w:val="0"/>
          <w:color w:val="auto"/>
          <w:kern w:val="0"/>
          <w:szCs w:val="21"/>
          <w:u w:val="single"/>
        </w:rPr>
        <w:t xml:space="preserve">)     </w:t>
      </w:r>
      <w:r>
        <w:rPr>
          <w:rFonts w:hint="eastAsia" w:ascii="宋体" w:hAnsi="宋体"/>
          <w:snapToGrid w:val="0"/>
          <w:color w:val="auto"/>
          <w:kern w:val="0"/>
          <w:szCs w:val="21"/>
        </w:rPr>
        <w:t>作为投标人正式授权</w:t>
      </w:r>
      <w:r>
        <w:rPr>
          <w:rFonts w:ascii="宋体" w:hAnsi="宋体"/>
          <w:i/>
          <w:snapToGrid w:val="0"/>
          <w:color w:val="auto"/>
          <w:kern w:val="0"/>
          <w:szCs w:val="21"/>
          <w:u w:val="single"/>
        </w:rPr>
        <w:t>(</w:t>
      </w:r>
      <w:r>
        <w:rPr>
          <w:rFonts w:hint="eastAsia" w:ascii="宋体" w:hAnsi="宋体"/>
          <w:i/>
          <w:snapToGrid w:val="0"/>
          <w:color w:val="auto"/>
          <w:kern w:val="0"/>
          <w:szCs w:val="21"/>
          <w:u w:val="single"/>
        </w:rPr>
        <w:t>授权代表全名</w:t>
      </w:r>
      <w:r>
        <w:rPr>
          <w:rFonts w:ascii="宋体" w:hAnsi="宋体"/>
          <w:i/>
          <w:snapToGrid w:val="0"/>
          <w:color w:val="auto"/>
          <w:kern w:val="0"/>
          <w:szCs w:val="21"/>
          <w:u w:val="single"/>
        </w:rPr>
        <w:t xml:space="preserve">, </w:t>
      </w:r>
      <w:r>
        <w:rPr>
          <w:rFonts w:hint="eastAsia" w:ascii="宋体" w:hAnsi="宋体"/>
          <w:i/>
          <w:snapToGrid w:val="0"/>
          <w:color w:val="auto"/>
          <w:kern w:val="0"/>
          <w:szCs w:val="21"/>
          <w:u w:val="single"/>
        </w:rPr>
        <w:t>职务</w:t>
      </w:r>
      <w:r>
        <w:rPr>
          <w:rFonts w:ascii="宋体" w:hAnsi="宋体"/>
          <w:i/>
          <w:snapToGrid w:val="0"/>
          <w:color w:val="auto"/>
          <w:kern w:val="0"/>
          <w:szCs w:val="21"/>
          <w:u w:val="single"/>
        </w:rPr>
        <w:t xml:space="preserve">)       </w:t>
      </w:r>
      <w:r>
        <w:rPr>
          <w:rFonts w:hint="eastAsia" w:ascii="宋体" w:hAnsi="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snapToGrid w:val="0"/>
          <w:color w:val="auto"/>
          <w:kern w:val="0"/>
          <w:szCs w:val="21"/>
        </w:rPr>
      </w:pPr>
      <w:r>
        <w:rPr>
          <w:rFonts w:hint="eastAsia" w:ascii="宋体" w:hAnsi="宋体"/>
          <w:snapToGrid w:val="0"/>
          <w:color w:val="auto"/>
          <w:kern w:val="0"/>
          <w:szCs w:val="21"/>
        </w:rPr>
        <w:t>在此提交的投标文件，正本一份，副本</w:t>
      </w:r>
      <w:r>
        <w:rPr>
          <w:rFonts w:hint="eastAsia" w:ascii="宋体" w:hAnsi="宋体"/>
          <w:snapToGrid w:val="0"/>
          <w:color w:val="auto"/>
          <w:kern w:val="0"/>
          <w:szCs w:val="21"/>
          <w:u w:val="single"/>
        </w:rPr>
        <w:t>一</w:t>
      </w:r>
      <w:r>
        <w:rPr>
          <w:rFonts w:hint="eastAsia" w:ascii="宋体" w:hAnsi="宋体"/>
          <w:snapToGrid w:val="0"/>
          <w:color w:val="auto"/>
          <w:kern w:val="0"/>
          <w:szCs w:val="21"/>
        </w:rPr>
        <w:t>份。</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我方已完全明白招标文件的所有条款要求，并申明如下：</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二、</w:t>
      </w:r>
      <w:r>
        <w:rPr>
          <w:rFonts w:hint="eastAsia" w:ascii="宋体" w:hAnsi="宋体"/>
          <w:color w:val="auto"/>
          <w:szCs w:val="21"/>
        </w:rPr>
        <w:t>我方同意在本项目招标文件中规定的开标日起</w:t>
      </w:r>
      <w:r>
        <w:rPr>
          <w:rFonts w:ascii="宋体" w:hAnsi="宋体"/>
          <w:color w:val="auto"/>
          <w:szCs w:val="21"/>
        </w:rPr>
        <w:t>90</w:t>
      </w:r>
      <w:r>
        <w:rPr>
          <w:rFonts w:hint="eastAsia" w:ascii="宋体" w:hAnsi="宋体"/>
          <w:color w:val="auto"/>
          <w:szCs w:val="21"/>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五、我方理解贵方不一定接受最低投标价或任何贵方可能收到的投标。</w:t>
      </w:r>
    </w:p>
    <w:p>
      <w:pPr>
        <w:pStyle w:val="23"/>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asci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1"/>
          <w:szCs w:val="21"/>
        </w:rPr>
        <w:t xml:space="preserve"> </w:t>
      </w:r>
    </w:p>
    <w:p>
      <w:pPr>
        <w:pStyle w:val="16"/>
        <w:adjustRightInd w:val="0"/>
        <w:spacing w:line="360" w:lineRule="auto"/>
        <w:ind w:firstLine="420" w:firstLineChars="200"/>
        <w:contextualSpacing/>
        <w:rPr>
          <w:rFonts w:asci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6"/>
        <w:adjustRightInd w:val="0"/>
        <w:spacing w:line="360" w:lineRule="auto"/>
        <w:ind w:firstLine="420" w:firstLineChars="200"/>
        <w:contextualSpacing/>
        <w:rPr>
          <w:rFonts w:ascii="宋体" w:cs="Arial"/>
          <w:color w:val="auto"/>
          <w:sz w:val="21"/>
          <w:szCs w:val="21"/>
        </w:rPr>
      </w:pPr>
      <w:r>
        <w:rPr>
          <w:rFonts w:ascii="宋体" w:hAnsi="宋体" w:cs="Arial"/>
          <w:color w:val="auto"/>
          <w:sz w:val="21"/>
          <w:szCs w:val="21"/>
        </w:rPr>
        <w:t xml:space="preserve">1. </w:t>
      </w:r>
      <w:r>
        <w:rPr>
          <w:rFonts w:hint="eastAsia" w:ascii="宋体" w:hAnsi="宋体" w:cs="Arial"/>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2. </w:t>
      </w:r>
      <w:r>
        <w:rPr>
          <w:rFonts w:hint="eastAsia" w:ascii="宋体" w:hAnsi="宋体" w:cs="Arial"/>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3. </w:t>
      </w:r>
      <w:r>
        <w:rPr>
          <w:rFonts w:hint="eastAsia" w:ascii="宋体" w:hAnsi="宋体" w:cs="Arial"/>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4. </w:t>
      </w:r>
      <w:r>
        <w:rPr>
          <w:rFonts w:hint="eastAsia" w:ascii="宋体" w:hAnsi="宋体" w:cs="Arial"/>
          <w:color w:val="auto"/>
          <w:szCs w:val="21"/>
        </w:rPr>
        <w:t>参加政府采购活动前三年内，在经营活动中没有重大违法记录。</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5. </w:t>
      </w:r>
      <w:r>
        <w:rPr>
          <w:rFonts w:hint="eastAsia" w:ascii="宋体" w:hAnsi="宋体" w:cs="Arial"/>
          <w:color w:val="auto"/>
          <w:szCs w:val="21"/>
        </w:rPr>
        <w:t>符合法律、行政法规规定的其他条件。</w:t>
      </w:r>
    </w:p>
    <w:p>
      <w:pPr>
        <w:adjustRightInd w:val="0"/>
        <w:spacing w:line="360" w:lineRule="auto"/>
        <w:ind w:firstLine="441" w:firstLineChars="210"/>
        <w:contextualSpacing/>
        <w:rPr>
          <w:rFonts w:ascii="宋体" w:cs="Arial"/>
          <w:color w:val="auto"/>
          <w:szCs w:val="21"/>
        </w:rPr>
      </w:pPr>
      <w:r>
        <w:rPr>
          <w:rFonts w:hint="eastAsia" w:ascii="宋体" w:hAnsi="宋体" w:cs="宋体"/>
          <w:color w:val="auto"/>
          <w:szCs w:val="21"/>
        </w:rPr>
        <w:t>以上内容如有虚假或与事实不符的，评审委员会可将</w:t>
      </w:r>
      <w:r>
        <w:rPr>
          <w:rFonts w:hint="eastAsia" w:ascii="宋体" w:hAnsi="宋体" w:cs="Arial"/>
          <w:color w:val="auto"/>
          <w:szCs w:val="21"/>
        </w:rPr>
        <w:t>我方做无效投标处理，我方愿意承担相应的法律责任。</w:t>
      </w:r>
    </w:p>
    <w:p>
      <w:pPr>
        <w:pStyle w:val="16"/>
        <w:adjustRightInd w:val="0"/>
        <w:spacing w:line="360" w:lineRule="auto"/>
        <w:ind w:firstLine="420" w:firstLineChars="200"/>
        <w:contextualSpacing/>
        <w:rPr>
          <w:rFonts w:ascii="宋体"/>
          <w:color w:val="auto"/>
          <w:sz w:val="21"/>
          <w:szCs w:val="21"/>
        </w:rPr>
      </w:pPr>
      <w:r>
        <w:rPr>
          <w:rFonts w:hint="eastAsia" w:ascii="宋体" w:hAnsi="宋体"/>
          <w:color w:val="auto"/>
          <w:sz w:val="21"/>
          <w:szCs w:val="21"/>
        </w:rPr>
        <w:t>十、我方具备履行合同所必需的设备和专业技术能力。</w:t>
      </w:r>
    </w:p>
    <w:p>
      <w:pPr>
        <w:pStyle w:val="16"/>
        <w:adjustRightInd w:val="0"/>
        <w:spacing w:line="360" w:lineRule="auto"/>
        <w:ind w:firstLine="420" w:firstLineChars="200"/>
        <w:contextualSpacing/>
        <w:rPr>
          <w:rFonts w:asci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我方对在本函及投标文件中所作的所有承诺承担法律责任。</w:t>
      </w:r>
    </w:p>
    <w:p>
      <w:pPr>
        <w:pStyle w:val="16"/>
        <w:adjustRightInd w:val="0"/>
        <w:snapToGrid w:val="0"/>
        <w:spacing w:line="360" w:lineRule="auto"/>
        <w:rPr>
          <w:rFonts w:ascii="宋体"/>
          <w:color w:val="auto"/>
          <w:sz w:val="21"/>
          <w:szCs w:val="21"/>
        </w:rPr>
      </w:pPr>
    </w:p>
    <w:p>
      <w:pPr>
        <w:pStyle w:val="16"/>
        <w:adjustRightInd w:val="0"/>
        <w:snapToGrid w:val="0"/>
        <w:spacing w:line="360" w:lineRule="auto"/>
        <w:rPr>
          <w:rFonts w:ascii="宋体"/>
          <w:color w:val="auto"/>
          <w:sz w:val="21"/>
          <w:szCs w:val="21"/>
        </w:rPr>
      </w:pPr>
      <w:r>
        <w:rPr>
          <w:rFonts w:hint="eastAsia" w:ascii="宋体" w:hAnsi="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pacing w:line="480" w:lineRule="exact"/>
        <w:jc w:val="center"/>
        <w:rPr>
          <w:rFonts w:ascii="宋体"/>
          <w:b/>
          <w:bCs/>
          <w:color w:val="auto"/>
          <w:sz w:val="24"/>
          <w:szCs w:val="24"/>
        </w:rPr>
      </w:pPr>
      <w:r>
        <w:rPr>
          <w:rFonts w:ascii="宋体" w:hAnsi="宋体"/>
          <w:b/>
          <w:bCs/>
          <w:color w:val="auto"/>
          <w:sz w:val="24"/>
          <w:szCs w:val="24"/>
        </w:rPr>
        <w:t xml:space="preserve">3.2 </w:t>
      </w:r>
      <w:r>
        <w:rPr>
          <w:rFonts w:hint="eastAsia" w:ascii="宋体" w:hAnsi="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olor w:val="auto"/>
          <w:sz w:val="24"/>
          <w:szCs w:val="24"/>
        </w:rPr>
      </w:pPr>
    </w:p>
    <w:p>
      <w:pPr>
        <w:pStyle w:val="48"/>
        <w:spacing w:line="480" w:lineRule="auto"/>
        <w:ind w:firstLine="472" w:firstLineChars="225"/>
        <w:jc w:val="left"/>
        <w:rPr>
          <w:color w:val="auto"/>
          <w:sz w:val="21"/>
          <w:szCs w:val="21"/>
        </w:rPr>
      </w:pPr>
      <w:r>
        <w:rPr>
          <w:rFonts w:hint="eastAsia" w:hAnsi="宋体"/>
          <w:color w:val="auto"/>
          <w:sz w:val="21"/>
          <w:szCs w:val="21"/>
        </w:rPr>
        <w:t>单位名称：</w:t>
      </w:r>
    </w:p>
    <w:p>
      <w:pPr>
        <w:pStyle w:val="48"/>
        <w:spacing w:line="480" w:lineRule="auto"/>
        <w:ind w:firstLine="472" w:firstLineChars="225"/>
        <w:jc w:val="left"/>
        <w:rPr>
          <w:color w:val="auto"/>
          <w:sz w:val="21"/>
          <w:szCs w:val="21"/>
        </w:rPr>
      </w:pPr>
      <w:r>
        <w:rPr>
          <w:rFonts w:hint="eastAsia" w:hAnsi="宋体"/>
          <w:color w:val="auto"/>
          <w:sz w:val="21"/>
          <w:szCs w:val="21"/>
        </w:rPr>
        <w:t>地址：</w:t>
      </w:r>
    </w:p>
    <w:p>
      <w:pPr>
        <w:pStyle w:val="48"/>
        <w:spacing w:line="480" w:lineRule="auto"/>
        <w:ind w:firstLine="472" w:firstLineChars="225"/>
        <w:jc w:val="left"/>
        <w:rPr>
          <w:color w:val="auto"/>
          <w:sz w:val="21"/>
          <w:szCs w:val="21"/>
        </w:rPr>
      </w:pPr>
      <w:r>
        <w:rPr>
          <w:rFonts w:hint="eastAsia" w:hAnsi="宋体"/>
          <w:color w:val="auto"/>
          <w:sz w:val="21"/>
          <w:szCs w:val="21"/>
        </w:rPr>
        <w:t>姓名：</w:t>
      </w:r>
      <w:r>
        <w:rPr>
          <w:rFonts w:hAnsi="宋体"/>
          <w:color w:val="auto"/>
          <w:sz w:val="21"/>
          <w:szCs w:val="21"/>
        </w:rPr>
        <w:t xml:space="preserve">       </w:t>
      </w:r>
      <w:r>
        <w:rPr>
          <w:rFonts w:hint="eastAsia" w:hAnsi="宋体"/>
          <w:color w:val="auto"/>
          <w:sz w:val="21"/>
          <w:szCs w:val="21"/>
        </w:rPr>
        <w:t>性别：</w:t>
      </w:r>
      <w:r>
        <w:rPr>
          <w:rFonts w:hAnsi="宋体"/>
          <w:color w:val="auto"/>
          <w:sz w:val="21"/>
          <w:szCs w:val="21"/>
        </w:rPr>
        <w:t xml:space="preserve">     </w:t>
      </w:r>
      <w:r>
        <w:rPr>
          <w:rFonts w:hint="eastAsia" w:hAnsi="宋体"/>
          <w:color w:val="auto"/>
          <w:sz w:val="21"/>
          <w:szCs w:val="21"/>
        </w:rPr>
        <w:t>年龄：</w:t>
      </w:r>
      <w:r>
        <w:rPr>
          <w:rFonts w:hAnsi="宋体"/>
          <w:color w:val="auto"/>
          <w:sz w:val="21"/>
          <w:szCs w:val="21"/>
        </w:rPr>
        <w:t xml:space="preserve">     </w:t>
      </w:r>
      <w:r>
        <w:rPr>
          <w:rFonts w:hint="eastAsia" w:hAnsi="宋体"/>
          <w:color w:val="auto"/>
          <w:sz w:val="21"/>
          <w:szCs w:val="21"/>
        </w:rPr>
        <w:t>职务：</w:t>
      </w:r>
      <w:r>
        <w:rPr>
          <w:rFonts w:hAnsi="宋体"/>
          <w:color w:val="auto"/>
          <w:sz w:val="21"/>
          <w:szCs w:val="21"/>
        </w:rPr>
        <w:t xml:space="preserve">   </w:t>
      </w:r>
      <w:r>
        <w:rPr>
          <w:rFonts w:hint="eastAsia" w:hAnsi="宋体"/>
          <w:color w:val="auto"/>
          <w:sz w:val="21"/>
          <w:szCs w:val="21"/>
          <w:lang w:val="en-US" w:eastAsia="zh-CN"/>
        </w:rPr>
        <w:t xml:space="preserve">   联系电话：</w:t>
      </w:r>
      <w:r>
        <w:rPr>
          <w:rFonts w:hAnsi="宋体"/>
          <w:color w:val="auto"/>
          <w:sz w:val="21"/>
          <w:szCs w:val="21"/>
        </w:rPr>
        <w:t xml:space="preserve">     </w:t>
      </w:r>
    </w:p>
    <w:p>
      <w:pPr>
        <w:pStyle w:val="48"/>
        <w:spacing w:line="480" w:lineRule="auto"/>
        <w:ind w:firstLine="472" w:firstLineChars="225"/>
        <w:jc w:val="left"/>
        <w:rPr>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投标人名称</w:t>
      </w:r>
      <w:r>
        <w:rPr>
          <w:rFonts w:hint="eastAsia" w:hAnsi="宋体"/>
          <w:color w:val="auto"/>
          <w:sz w:val="21"/>
          <w:szCs w:val="21"/>
        </w:rPr>
        <w:t>的法定代表人（单位负责人）。就参加贵方招标编号为</w:t>
      </w:r>
      <w:r>
        <w:rPr>
          <w:rFonts w:hint="eastAsia" w:hAnsi="宋体"/>
          <w:i/>
          <w:color w:val="auto"/>
          <w:sz w:val="21"/>
          <w:szCs w:val="21"/>
          <w:u w:val="single"/>
        </w:rPr>
        <w:t>项目编号</w:t>
      </w:r>
      <w:r>
        <w:rPr>
          <w:rFonts w:hint="eastAsia" w:hAnsi="宋体"/>
          <w:color w:val="auto"/>
          <w:sz w:val="21"/>
          <w:szCs w:val="21"/>
        </w:rPr>
        <w:t>的</w:t>
      </w:r>
      <w:r>
        <w:rPr>
          <w:rFonts w:hint="eastAsia" w:hAnsi="宋体"/>
          <w:i/>
          <w:color w:val="auto"/>
          <w:sz w:val="21"/>
          <w:szCs w:val="21"/>
          <w:u w:val="single"/>
        </w:rPr>
        <w:t>项目名称</w:t>
      </w:r>
      <w:r>
        <w:rPr>
          <w:rFonts w:hint="eastAsia" w:hAnsi="宋体"/>
          <w:color w:val="auto"/>
          <w:sz w:val="21"/>
          <w:szCs w:val="21"/>
        </w:rPr>
        <w:t>公开招标项目的投标报价，签署上述项目的投标文件及合同的执行、完成、服务和保修，签署合同和处理与之有关的一切事务。</w:t>
      </w:r>
    </w:p>
    <w:p>
      <w:pPr>
        <w:pStyle w:val="48"/>
        <w:spacing w:line="480" w:lineRule="auto"/>
        <w:ind w:firstLine="472" w:firstLineChars="225"/>
        <w:jc w:val="left"/>
        <w:rPr>
          <w:color w:val="auto"/>
          <w:sz w:val="21"/>
          <w:szCs w:val="21"/>
        </w:rPr>
      </w:pPr>
      <w:r>
        <w:rPr>
          <w:rFonts w:hint="eastAsia" w:hAnsi="宋体"/>
          <w:color w:val="auto"/>
          <w:sz w:val="21"/>
          <w:szCs w:val="21"/>
        </w:rPr>
        <w:t>特此证明。</w:t>
      </w:r>
    </w:p>
    <w:p>
      <w:pPr>
        <w:pStyle w:val="48"/>
        <w:spacing w:line="480" w:lineRule="auto"/>
        <w:ind w:firstLine="472" w:firstLineChars="225"/>
        <w:jc w:val="left"/>
        <w:rPr>
          <w:color w:val="auto"/>
          <w:sz w:val="21"/>
          <w:szCs w:val="21"/>
        </w:rPr>
      </w:pPr>
    </w:p>
    <w:p>
      <w:pPr>
        <w:pStyle w:val="48"/>
        <w:spacing w:line="480" w:lineRule="auto"/>
        <w:ind w:firstLine="472" w:firstLineChars="225"/>
        <w:jc w:val="left"/>
        <w:rPr>
          <w:color w:val="auto"/>
          <w:sz w:val="21"/>
          <w:szCs w:val="21"/>
        </w:rPr>
      </w:pPr>
    </w:p>
    <w:p>
      <w:pPr>
        <w:pStyle w:val="48"/>
        <w:spacing w:line="480" w:lineRule="auto"/>
        <w:ind w:left="-538" w:leftChars="-256" w:firstLine="539" w:firstLineChars="257"/>
        <w:jc w:val="center"/>
        <w:rPr>
          <w:bCs/>
          <w:color w:val="auto"/>
          <w:sz w:val="21"/>
          <w:szCs w:val="21"/>
        </w:rPr>
      </w:pPr>
      <w:r>
        <w:rPr>
          <w:rFonts w:hint="eastAsia" w:hAnsi="宋体"/>
          <w:bCs/>
          <w:color w:val="auto"/>
          <w:sz w:val="21"/>
          <w:szCs w:val="21"/>
        </w:rPr>
        <w:t>【此处请粘贴法定代表人（单位负责人）身份证复印件，需清晰反映身份证有效期限】</w:t>
      </w:r>
    </w:p>
    <w:p>
      <w:pPr>
        <w:pStyle w:val="48"/>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Arial"/>
          <w:color w:val="auto"/>
          <w:szCs w:val="21"/>
          <w:u w:val="single"/>
        </w:rPr>
      </w:pPr>
      <w:r>
        <w:rPr>
          <w:rFonts w:hint="eastAsia" w:ascii="宋体" w:hAnsi="宋体" w:cs="Arial"/>
          <w:color w:val="auto"/>
          <w:szCs w:val="21"/>
        </w:rPr>
        <w:t>投标人名称（并加盖公章）：</w:t>
      </w:r>
    </w:p>
    <w:p>
      <w:pPr>
        <w:pStyle w:val="51"/>
        <w:spacing w:before="60" w:line="480" w:lineRule="auto"/>
        <w:ind w:firstLine="3937" w:firstLineChars="1875"/>
        <w:rPr>
          <w:rFonts w:ascii="宋体" w:cs="Arial"/>
          <w:color w:val="auto"/>
          <w:sz w:val="21"/>
          <w:szCs w:val="21"/>
        </w:rPr>
      </w:pPr>
      <w:r>
        <w:rPr>
          <w:rFonts w:hint="eastAsia" w:ascii="宋体" w:hAnsi="宋体" w:cs="Arial"/>
          <w:color w:val="auto"/>
          <w:sz w:val="21"/>
          <w:szCs w:val="21"/>
        </w:rPr>
        <w:t>签署日期：</w:t>
      </w:r>
      <w:r>
        <w:rPr>
          <w:rFonts w:ascii="宋体" w:hAnsi="宋体" w:cs="Arial"/>
          <w:color w:val="auto"/>
          <w:sz w:val="21"/>
          <w:szCs w:val="21"/>
        </w:rPr>
        <w:t xml:space="preserve">   </w:t>
      </w:r>
      <w:r>
        <w:rPr>
          <w:rFonts w:hint="eastAsia" w:ascii="宋体" w:hAnsi="宋体" w:cs="Arial"/>
          <w:color w:val="auto"/>
          <w:sz w:val="21"/>
          <w:szCs w:val="21"/>
        </w:rPr>
        <w:t>年</w:t>
      </w:r>
      <w:r>
        <w:rPr>
          <w:rFonts w:ascii="宋体" w:hAnsi="宋体" w:cs="Arial"/>
          <w:color w:val="auto"/>
          <w:sz w:val="21"/>
          <w:szCs w:val="21"/>
        </w:rPr>
        <w:t xml:space="preserve">   </w:t>
      </w:r>
      <w:r>
        <w:rPr>
          <w:rFonts w:hint="eastAsia" w:ascii="宋体" w:hAnsi="宋体" w:cs="Arial"/>
          <w:color w:val="auto"/>
          <w:sz w:val="21"/>
          <w:szCs w:val="21"/>
        </w:rPr>
        <w:t>月</w:t>
      </w:r>
      <w:r>
        <w:rPr>
          <w:rFonts w:ascii="宋体" w:hAnsi="宋体" w:cs="Arial"/>
          <w:color w:val="auto"/>
          <w:sz w:val="21"/>
          <w:szCs w:val="21"/>
        </w:rPr>
        <w:t xml:space="preserve">  </w:t>
      </w:r>
      <w:r>
        <w:rPr>
          <w:rFonts w:hint="eastAsia" w:ascii="宋体" w:hAnsi="宋体" w:cs="Arial"/>
          <w:color w:val="auto"/>
          <w:sz w:val="21"/>
          <w:szCs w:val="21"/>
        </w:rPr>
        <w:t>日</w:t>
      </w:r>
    </w:p>
    <w:p>
      <w:pPr>
        <w:pStyle w:val="50"/>
        <w:spacing w:line="480" w:lineRule="auto"/>
        <w:rPr>
          <w:rFonts w:ascii="宋体" w:cs="Arial"/>
          <w:color w:val="auto"/>
          <w:sz w:val="21"/>
          <w:szCs w:val="21"/>
        </w:rPr>
      </w:pPr>
    </w:p>
    <w:p>
      <w:pPr>
        <w:rPr>
          <w:color w:val="auto"/>
          <w:szCs w:val="21"/>
        </w:rPr>
      </w:pPr>
    </w:p>
    <w:p>
      <w:pPr>
        <w:spacing w:line="320" w:lineRule="exact"/>
        <w:ind w:firstLine="420" w:firstLineChars="200"/>
        <w:rPr>
          <w:rFonts w:ascii="宋体"/>
          <w:bCs/>
          <w:color w:val="auto"/>
          <w:kern w:val="12"/>
          <w:szCs w:val="21"/>
        </w:rPr>
      </w:pPr>
      <w:r>
        <w:rPr>
          <w:rFonts w:hint="eastAsia" w:ascii="宋体" w:hAnsi="宋体"/>
          <w:bCs/>
          <w:color w:val="auto"/>
          <w:kern w:val="12"/>
          <w:szCs w:val="21"/>
        </w:rPr>
        <w:t>说明：法定代表人（单位负责人）参加本招标项目投标的，仅须出具此证明书。</w:t>
      </w:r>
    </w:p>
    <w:p>
      <w:pPr>
        <w:spacing w:line="480" w:lineRule="exact"/>
        <w:jc w:val="center"/>
        <w:rPr>
          <w:rFonts w:ascii="宋体"/>
          <w:b/>
          <w:bCs/>
          <w:color w:val="auto"/>
          <w:sz w:val="36"/>
          <w:szCs w:val="36"/>
        </w:rPr>
      </w:pPr>
    </w:p>
    <w:p>
      <w:pPr>
        <w:spacing w:line="480" w:lineRule="exact"/>
        <w:jc w:val="center"/>
        <w:rPr>
          <w:rFonts w:ascii="宋体"/>
          <w:b/>
          <w:bCs/>
          <w:color w:val="auto"/>
          <w:sz w:val="24"/>
          <w:szCs w:val="24"/>
        </w:rPr>
      </w:pPr>
      <w:r>
        <w:rPr>
          <w:rFonts w:ascii="宋体" w:hAnsi="宋体"/>
          <w:b/>
          <w:bCs/>
          <w:color w:val="auto"/>
          <w:sz w:val="24"/>
          <w:szCs w:val="24"/>
        </w:rPr>
        <w:t xml:space="preserve">3.3 </w:t>
      </w:r>
      <w:r>
        <w:rPr>
          <w:rFonts w:hint="eastAsia" w:ascii="宋体" w:hAnsi="宋体"/>
          <w:b/>
          <w:bCs/>
          <w:color w:val="auto"/>
          <w:sz w:val="24"/>
          <w:szCs w:val="24"/>
        </w:rPr>
        <w:t>法定代表人（单位负责人）授权书</w:t>
      </w:r>
    </w:p>
    <w:p>
      <w:pPr>
        <w:spacing w:line="480" w:lineRule="exact"/>
        <w:jc w:val="center"/>
        <w:rPr>
          <w:rFonts w:ascii="宋体"/>
          <w:b/>
          <w:bCs/>
          <w:color w:val="auto"/>
          <w:sz w:val="36"/>
          <w:szCs w:val="36"/>
        </w:rPr>
      </w:pP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本人</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法人姓名</w:t>
      </w:r>
      <w:r>
        <w:rPr>
          <w:rFonts w:hint="eastAsia" w:ascii="宋体" w:hAnsi="宋体" w:cs="Arial"/>
          <w:color w:val="auto"/>
          <w:szCs w:val="21"/>
        </w:rPr>
        <w:t>系</w:t>
      </w:r>
      <w:r>
        <w:rPr>
          <w:rFonts w:hint="eastAsia" w:ascii="宋体" w:hAnsi="宋体" w:cs="Arial"/>
          <w:color w:val="auto"/>
          <w:szCs w:val="21"/>
          <w:u w:val="single"/>
        </w:rPr>
        <w:t>　</w:t>
      </w:r>
      <w:r>
        <w:rPr>
          <w:rFonts w:hint="eastAsia" w:ascii="宋体" w:hAnsi="宋体"/>
          <w:i/>
          <w:snapToGrid w:val="0"/>
          <w:color w:val="auto"/>
          <w:szCs w:val="21"/>
          <w:u w:val="single"/>
        </w:rPr>
        <w:t>投标人名称</w:t>
      </w:r>
      <w:r>
        <w:rPr>
          <w:rFonts w:ascii="宋体" w:hAnsi="宋体"/>
          <w:i/>
          <w:snapToGrid w:val="0"/>
          <w:color w:val="auto"/>
          <w:szCs w:val="21"/>
          <w:u w:val="single"/>
        </w:rPr>
        <w:t xml:space="preserve">  </w:t>
      </w:r>
      <w:r>
        <w:rPr>
          <w:rFonts w:hint="eastAsia" w:ascii="宋体" w:hAnsi="宋体" w:cs="Arial"/>
          <w:color w:val="auto"/>
          <w:szCs w:val="21"/>
        </w:rPr>
        <w:t>的法定代表人（单位负责人），现委托</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姓名，职务</w:t>
      </w:r>
      <w:r>
        <w:rPr>
          <w:rFonts w:hint="eastAsia" w:ascii="宋体" w:hAnsi="宋体"/>
          <w:i/>
          <w:snapToGrid w:val="0"/>
          <w:color w:val="auto"/>
          <w:szCs w:val="21"/>
          <w:u w:val="single"/>
          <w:lang w:eastAsia="zh-CN"/>
        </w:rPr>
        <w:t>级联系电话</w:t>
      </w:r>
      <w:r>
        <w:rPr>
          <w:rFonts w:hint="eastAsia" w:ascii="宋体" w:hAnsi="宋体"/>
          <w:i/>
          <w:snapToGrid w:val="0"/>
          <w:color w:val="auto"/>
          <w:szCs w:val="21"/>
          <w:u w:val="single"/>
          <w:lang w:val="en-US" w:eastAsia="zh-CN"/>
        </w:rPr>
        <w:t xml:space="preserve">   </w:t>
      </w:r>
      <w:r>
        <w:rPr>
          <w:rFonts w:hint="eastAsia" w:ascii="宋体" w:hAnsi="宋体" w:cs="Arial"/>
          <w:color w:val="auto"/>
          <w:szCs w:val="21"/>
        </w:rPr>
        <w:t>以我方的名义参加贵方</w:t>
      </w:r>
      <w:r>
        <w:rPr>
          <w:rFonts w:ascii="宋体" w:hAnsi="宋体" w:cs="Arial"/>
          <w:color w:val="auto"/>
          <w:szCs w:val="21"/>
        </w:rPr>
        <w:t>______________________</w:t>
      </w:r>
      <w:r>
        <w:rPr>
          <w:rFonts w:hint="eastAsia" w:ascii="宋体" w:hAnsi="宋体" w:cs="Arial"/>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被授权人无转委托权，特此委托。</w:t>
      </w:r>
    </w:p>
    <w:p>
      <w:pPr>
        <w:spacing w:line="480" w:lineRule="auto"/>
        <w:ind w:firstLine="420" w:firstLineChars="200"/>
        <w:rPr>
          <w:rFonts w:ascii="宋体"/>
          <w:color w:val="auto"/>
          <w:szCs w:val="21"/>
        </w:rPr>
      </w:pPr>
      <w:r>
        <w:rPr>
          <w:rFonts w:hint="eastAsia" w:ascii="宋体" w:hAnsi="宋体"/>
          <w:color w:val="auto"/>
          <w:szCs w:val="21"/>
        </w:rPr>
        <w:t>投标人名称：</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（全称）</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（盖单位公章）</w:t>
      </w:r>
    </w:p>
    <w:p>
      <w:pPr>
        <w:spacing w:line="480" w:lineRule="auto"/>
        <w:ind w:firstLine="420" w:firstLineChars="200"/>
        <w:rPr>
          <w:rFonts w:ascii="宋体" w:cs="Arial"/>
          <w:color w:val="auto"/>
          <w:szCs w:val="21"/>
        </w:rPr>
      </w:pPr>
      <w:r>
        <w:rPr>
          <w:rFonts w:hint="eastAsia" w:ascii="宋体" w:hAnsi="宋体" w:cs="Arial"/>
          <w:color w:val="auto"/>
          <w:szCs w:val="21"/>
        </w:rPr>
        <w:t>法定代表人（单位负责人）：</w:t>
      </w:r>
      <w:r>
        <w:rPr>
          <w:rFonts w:ascii="宋体" w:hAnsi="宋体" w:cs="Arial"/>
          <w:color w:val="auto"/>
          <w:szCs w:val="21"/>
        </w:rPr>
        <w:t xml:space="preserve">              </w:t>
      </w:r>
      <w:r>
        <w:rPr>
          <w:rFonts w:hint="eastAsia" w:ascii="宋体" w:hAnsi="宋体" w:cs="Arial"/>
          <w:color w:val="auto"/>
          <w:szCs w:val="21"/>
        </w:rPr>
        <w:t>（签字或加盖名章）</w:t>
      </w:r>
    </w:p>
    <w:p>
      <w:pPr>
        <w:spacing w:line="480" w:lineRule="auto"/>
        <w:ind w:firstLine="420" w:firstLineChars="200"/>
        <w:rPr>
          <w:rFonts w:hint="eastAsia" w:ascii="宋体" w:hAnsi="宋体"/>
          <w:color w:val="auto"/>
          <w:szCs w:val="21"/>
        </w:rPr>
      </w:pPr>
      <w:r>
        <w:rPr>
          <w:rFonts w:hint="eastAsia" w:ascii="宋体" w:hAnsi="宋体" w:cs="Arial"/>
          <w:color w:val="auto"/>
          <w:szCs w:val="21"/>
        </w:rPr>
        <w:t>法定代表人（单位负责人）</w:t>
      </w:r>
      <w:r>
        <w:rPr>
          <w:rFonts w:hint="eastAsia" w:ascii="宋体" w:hAnsi="宋体"/>
          <w:color w:val="auto"/>
          <w:szCs w:val="21"/>
        </w:rPr>
        <w:t>授权代表：</w:t>
      </w:r>
      <w:r>
        <w:rPr>
          <w:rFonts w:ascii="宋体" w:hAnsi="宋体"/>
          <w:color w:val="auto"/>
          <w:szCs w:val="21"/>
        </w:rPr>
        <w:t xml:space="preserve">  </w:t>
      </w:r>
      <w:r>
        <w:rPr>
          <w:rFonts w:hint="eastAsia" w:ascii="宋体" w:hAnsi="宋体"/>
          <w:color w:val="auto"/>
          <w:szCs w:val="21"/>
        </w:rPr>
        <w:t>（签字或加盖名章）</w:t>
      </w:r>
    </w:p>
    <w:p>
      <w:pPr>
        <w:pStyle w:val="2"/>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联系电话：</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Cs w:val="21"/>
              </w:rPr>
            </w:pPr>
            <w:r>
              <w:rPr>
                <w:rFonts w:hint="eastAsia" w:ascii="宋体" w:hAnsi="宋体"/>
                <w:color w:val="auto"/>
                <w:szCs w:val="21"/>
              </w:rPr>
              <w:t>法定代表人（单位负责人）身份证（正面）</w:t>
            </w:r>
          </w:p>
        </w:tc>
        <w:tc>
          <w:tcPr>
            <w:tcW w:w="4485" w:type="dxa"/>
            <w:gridSpan w:val="2"/>
            <w:vAlign w:val="center"/>
          </w:tcPr>
          <w:p>
            <w:pPr>
              <w:jc w:val="center"/>
              <w:rPr>
                <w:rFonts w:ascii="宋体"/>
                <w:color w:val="auto"/>
                <w:szCs w:val="21"/>
              </w:rPr>
            </w:pPr>
            <w:r>
              <w:rPr>
                <w:rFonts w:hint="eastAsia" w:ascii="宋体" w:hAnsi="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Cs w:val="21"/>
              </w:rPr>
            </w:pPr>
            <w:bookmarkStart w:id="17" w:name="_资格证明文件"/>
            <w:bookmarkEnd w:id="17"/>
            <w:bookmarkStart w:id="18" w:name="_Toc364329026"/>
            <w:r>
              <w:rPr>
                <w:rFonts w:hint="eastAsia" w:ascii="宋体" w:hAnsi="宋体"/>
                <w:color w:val="auto"/>
                <w:szCs w:val="21"/>
              </w:rPr>
              <w:t>法定代表人（单位负责人）授权代表身份证</w:t>
            </w:r>
          </w:p>
          <w:p>
            <w:pPr>
              <w:jc w:val="center"/>
              <w:rPr>
                <w:rFonts w:ascii="宋体"/>
                <w:color w:val="auto"/>
                <w:szCs w:val="21"/>
              </w:rPr>
            </w:pPr>
            <w:r>
              <w:rPr>
                <w:rFonts w:hint="eastAsia" w:ascii="宋体" w:hAnsi="宋体"/>
                <w:color w:val="auto"/>
                <w:szCs w:val="21"/>
              </w:rPr>
              <w:t>（正面）</w:t>
            </w:r>
            <w:bookmarkEnd w:id="18"/>
          </w:p>
        </w:tc>
        <w:tc>
          <w:tcPr>
            <w:tcW w:w="4492" w:type="dxa"/>
            <w:gridSpan w:val="2"/>
            <w:vAlign w:val="center"/>
          </w:tcPr>
          <w:p>
            <w:pPr>
              <w:jc w:val="center"/>
              <w:rPr>
                <w:rFonts w:ascii="宋体"/>
                <w:color w:val="auto"/>
                <w:szCs w:val="21"/>
              </w:rPr>
            </w:pPr>
            <w:bookmarkStart w:id="19" w:name="_Toc364329027"/>
            <w:r>
              <w:rPr>
                <w:rFonts w:hint="eastAsia" w:ascii="宋体" w:hAnsi="宋体"/>
                <w:color w:val="auto"/>
                <w:szCs w:val="21"/>
              </w:rPr>
              <w:t>法定代表人（单位负责人）授权代表身份证</w:t>
            </w:r>
          </w:p>
          <w:p>
            <w:pPr>
              <w:jc w:val="center"/>
              <w:rPr>
                <w:rFonts w:ascii="宋体"/>
                <w:color w:val="auto"/>
                <w:szCs w:val="21"/>
              </w:rPr>
            </w:pPr>
            <w:r>
              <w:rPr>
                <w:rFonts w:hint="eastAsia" w:ascii="宋体" w:hAnsi="宋体"/>
                <w:color w:val="auto"/>
                <w:szCs w:val="21"/>
              </w:rPr>
              <w:t>（反面）</w:t>
            </w:r>
            <w:bookmarkEnd w:id="19"/>
          </w:p>
        </w:tc>
      </w:tr>
    </w:tbl>
    <w:p>
      <w:pPr>
        <w:spacing w:line="320" w:lineRule="exact"/>
        <w:ind w:left="2" w:firstLine="357" w:firstLineChars="149"/>
        <w:rPr>
          <w:rFonts w:ascii="宋体" w:cs="Courier New"/>
          <w:color w:val="auto"/>
          <w:sz w:val="24"/>
          <w:szCs w:val="24"/>
        </w:rPr>
      </w:pPr>
    </w:p>
    <w:p>
      <w:pPr>
        <w:widowControl/>
        <w:spacing w:before="100" w:beforeAutospacing="1" w:after="100" w:afterAutospacing="1" w:line="360" w:lineRule="auto"/>
        <w:jc w:val="center"/>
        <w:rPr>
          <w:rFonts w:ascii="宋体"/>
          <w:b/>
          <w:bCs/>
          <w:color w:val="auto"/>
          <w:sz w:val="24"/>
          <w:szCs w:val="24"/>
        </w:rPr>
      </w:pPr>
      <w:r>
        <w:rPr>
          <w:rFonts w:ascii="宋体" w:hAnsi="宋体"/>
          <w:b/>
          <w:bCs/>
          <w:color w:val="auto"/>
          <w:sz w:val="24"/>
          <w:szCs w:val="24"/>
        </w:rPr>
        <w:t xml:space="preserve">3.4 </w:t>
      </w:r>
      <w:r>
        <w:rPr>
          <w:rFonts w:hint="eastAsia" w:ascii="宋体" w:hAnsi="宋体"/>
          <w:b/>
          <w:bCs/>
          <w:color w:val="auto"/>
          <w:sz w:val="24"/>
          <w:szCs w:val="24"/>
        </w:rPr>
        <w:t>没有重大违法记录的声明</w:t>
      </w:r>
    </w:p>
    <w:p>
      <w:pPr>
        <w:spacing w:beforeLines="50" w:afterLines="50"/>
        <w:jc w:val="center"/>
        <w:rPr>
          <w:rFonts w:ascii="宋体" w:cs="Arial"/>
          <w:color w:val="auto"/>
          <w:kern w:val="0"/>
          <w:sz w:val="28"/>
          <w:szCs w:val="28"/>
        </w:rPr>
      </w:pPr>
      <w:r>
        <w:rPr>
          <w:rFonts w:hint="eastAsia" w:ascii="宋体" w:hAnsi="宋体" w:cs="Arial"/>
          <w:color w:val="auto"/>
          <w:kern w:val="0"/>
          <w:sz w:val="28"/>
          <w:szCs w:val="28"/>
        </w:rPr>
        <w:t>声　</w:t>
      </w:r>
      <w:r>
        <w:rPr>
          <w:rFonts w:ascii="宋体" w:hAnsi="宋体" w:cs="Arial"/>
          <w:color w:val="auto"/>
          <w:kern w:val="0"/>
          <w:sz w:val="28"/>
          <w:szCs w:val="28"/>
        </w:rPr>
        <w:t xml:space="preserve">   </w:t>
      </w:r>
      <w:r>
        <w:rPr>
          <w:rFonts w:hint="eastAsia" w:ascii="宋体" w:hAnsi="宋体" w:cs="Arial"/>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投标人名称（盖章）：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br w:type="page"/>
      </w:r>
      <w:r>
        <w:rPr>
          <w:rFonts w:ascii="宋体" w:hAnsi="宋体"/>
          <w:b/>
          <w:bCs/>
          <w:color w:val="auto"/>
          <w:sz w:val="24"/>
          <w:szCs w:val="24"/>
        </w:rPr>
        <w:t xml:space="preserve">3.5 </w:t>
      </w:r>
      <w:r>
        <w:rPr>
          <w:rFonts w:hint="eastAsia" w:ascii="宋体" w:hAnsi="宋体"/>
          <w:b/>
          <w:bCs/>
          <w:color w:val="auto"/>
          <w:sz w:val="24"/>
          <w:szCs w:val="24"/>
        </w:rPr>
        <w:t>投标承诺函</w:t>
      </w:r>
    </w:p>
    <w:p>
      <w:pPr>
        <w:autoSpaceDE w:val="0"/>
        <w:autoSpaceDN w:val="0"/>
        <w:snapToGrid w:val="0"/>
        <w:spacing w:line="360" w:lineRule="auto"/>
        <w:jc w:val="center"/>
        <w:rPr>
          <w:rFonts w:ascii="宋体"/>
          <w:b/>
          <w:bCs/>
          <w:color w:val="auto"/>
          <w:sz w:val="24"/>
          <w:szCs w:val="24"/>
        </w:rPr>
      </w:pPr>
    </w:p>
    <w:p>
      <w:pPr>
        <w:spacing w:beforeLines="50" w:afterLines="50" w:line="360" w:lineRule="auto"/>
        <w:contextualSpacing/>
        <w:rPr>
          <w:rFonts w:ascii="宋体" w:cs="宋体"/>
          <w:color w:val="auto"/>
          <w:szCs w:val="21"/>
          <w:lang w:val="zh-CN"/>
        </w:rPr>
      </w:pPr>
      <w:r>
        <w:rPr>
          <w:rFonts w:hint="eastAsia" w:ascii="宋体" w:hAnsi="宋体" w:cs="宋体"/>
          <w:color w:val="auto"/>
          <w:szCs w:val="21"/>
          <w:lang w:val="zh-CN"/>
        </w:rPr>
        <w:t>（采购人）：</w:t>
      </w:r>
    </w:p>
    <w:p>
      <w:pPr>
        <w:spacing w:beforeLines="50" w:afterLines="50"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经研究，我方自愿参与贵方年</w:t>
      </w:r>
      <w:r>
        <w:rPr>
          <w:rFonts w:ascii="宋体" w:hAnsi="宋体" w:cs="宋体"/>
          <w:color w:val="auto"/>
          <w:szCs w:val="21"/>
          <w:lang w:val="zh-CN"/>
        </w:rPr>
        <w:t>____</w:t>
      </w:r>
      <w:r>
        <w:rPr>
          <w:rFonts w:hint="eastAsia" w:ascii="宋体" w:hAnsi="宋体" w:cs="宋体"/>
          <w:color w:val="auto"/>
          <w:szCs w:val="21"/>
          <w:lang w:val="zh-CN"/>
        </w:rPr>
        <w:t>月日</w:t>
      </w:r>
      <w:r>
        <w:rPr>
          <w:rFonts w:ascii="宋体" w:hAnsi="宋体" w:cs="宋体"/>
          <w:color w:val="auto"/>
          <w:szCs w:val="21"/>
          <w:u w:val="single"/>
          <w:lang w:val="zh-CN"/>
        </w:rPr>
        <w:t>_</w:t>
      </w:r>
      <w:r>
        <w:rPr>
          <w:rFonts w:hint="eastAsia" w:ascii="宋体" w:hAnsi="宋体" w:cs="宋体"/>
          <w:color w:val="auto"/>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一、在投标有效期内撤销投标文件；</w:t>
      </w:r>
    </w:p>
    <w:p>
      <w:pPr>
        <w:spacing w:beforeLines="50" w:afterLines="50"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二、在投标文件中提供虚假材料；</w:t>
      </w:r>
    </w:p>
    <w:p>
      <w:pPr>
        <w:spacing w:beforeLines="50" w:afterLines="50"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四、与采购人、其他投标人或者采购代理机构恶意串通；</w:t>
      </w:r>
    </w:p>
    <w:p>
      <w:pPr>
        <w:spacing w:beforeLines="50" w:afterLines="50"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ascii="宋体" w:cs="Arial"/>
          <w:color w:val="auto"/>
          <w:szCs w:val="21"/>
        </w:rPr>
      </w:pPr>
      <w:r>
        <w:rPr>
          <w:rFonts w:hint="eastAsia" w:ascii="宋体" w:hAnsi="宋体" w:cs="Arial"/>
          <w:color w:val="auto"/>
          <w:szCs w:val="21"/>
        </w:rPr>
        <w:t>投标人名称（盖章）：　　　　　　　　　</w:t>
      </w:r>
    </w:p>
    <w:p>
      <w:pPr>
        <w:spacing w:line="480" w:lineRule="auto"/>
        <w:ind w:firstLine="4357" w:firstLineChars="2075"/>
        <w:rPr>
          <w:rFonts w:ascii="宋体" w:cs="Arial"/>
          <w:color w:val="auto"/>
          <w:szCs w:val="21"/>
        </w:rPr>
      </w:pPr>
      <w:r>
        <w:rPr>
          <w:rFonts w:hint="eastAsia" w:ascii="宋体" w:hAnsi="宋体" w:cs="Arial"/>
          <w:color w:val="auto"/>
          <w:szCs w:val="21"/>
        </w:rPr>
        <w:t>日　</w:t>
      </w:r>
      <w:r>
        <w:rPr>
          <w:rFonts w:ascii="宋体" w:hAnsi="宋体" w:cs="Arial"/>
          <w:color w:val="auto"/>
          <w:szCs w:val="21"/>
        </w:rPr>
        <w:t xml:space="preserve">  </w:t>
      </w:r>
      <w:r>
        <w:rPr>
          <w:rFonts w:hint="eastAsia" w:ascii="宋体" w:hAnsi="宋体" w:cs="Arial"/>
          <w:color w:val="auto"/>
          <w:szCs w:val="21"/>
        </w:rPr>
        <w:t>期：</w:t>
      </w:r>
      <w:r>
        <w:rPr>
          <w:rFonts w:ascii="宋体" w:hAnsi="宋体" w:cs="Arial"/>
          <w:color w:val="auto"/>
          <w:szCs w:val="21"/>
        </w:rPr>
        <w:t xml:space="preserve">      </w:t>
      </w:r>
      <w:r>
        <w:rPr>
          <w:rFonts w:hint="eastAsia" w:ascii="宋体" w:hAnsi="宋体" w:cs="Arial"/>
          <w:color w:val="auto"/>
          <w:szCs w:val="21"/>
        </w:rPr>
        <w:t>年</w:t>
      </w:r>
      <w:r>
        <w:rPr>
          <w:rFonts w:ascii="宋体" w:hAnsi="宋体" w:cs="Arial"/>
          <w:color w:val="auto"/>
          <w:szCs w:val="21"/>
        </w:rPr>
        <w:t xml:space="preserve">    </w:t>
      </w:r>
      <w:r>
        <w:rPr>
          <w:rFonts w:hint="eastAsia" w:ascii="宋体" w:hAnsi="宋体" w:cs="Arial"/>
          <w:color w:val="auto"/>
          <w:szCs w:val="21"/>
        </w:rPr>
        <w:t>月</w:t>
      </w:r>
      <w:r>
        <w:rPr>
          <w:rFonts w:ascii="宋体" w:hAnsi="宋体" w:cs="Arial"/>
          <w:color w:val="auto"/>
          <w:szCs w:val="21"/>
        </w:rPr>
        <w:t xml:space="preserve">    </w:t>
      </w:r>
      <w:r>
        <w:rPr>
          <w:rFonts w:hint="eastAsia" w:ascii="宋体" w:hAnsi="宋体" w:cs="Arial"/>
          <w:color w:val="auto"/>
          <w:szCs w:val="21"/>
        </w:rPr>
        <w:t>日</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3.6 </w:t>
      </w:r>
      <w:r>
        <w:rPr>
          <w:rFonts w:hint="eastAsia" w:ascii="宋体" w:hAnsi="宋体"/>
          <w:b/>
          <w:bCs/>
          <w:color w:val="auto"/>
          <w:sz w:val="24"/>
          <w:szCs w:val="24"/>
        </w:rPr>
        <w:t>其他资格证书或材料</w:t>
      </w:r>
      <w:r>
        <w:rPr>
          <w:rFonts w:ascii="宋体" w:hAnsi="宋体"/>
          <w:b/>
          <w:bCs/>
          <w:color w:val="auto"/>
          <w:sz w:val="24"/>
          <w:szCs w:val="24"/>
        </w:rPr>
        <w:t xml:space="preserve"> </w:t>
      </w:r>
    </w:p>
    <w:p>
      <w:pPr>
        <w:autoSpaceDE w:val="0"/>
        <w:autoSpaceDN w:val="0"/>
        <w:adjustRightInd w:val="0"/>
        <w:spacing w:line="360" w:lineRule="auto"/>
        <w:jc w:val="center"/>
        <w:outlineLvl w:val="0"/>
        <w:rPr>
          <w:rFonts w:ascii="宋体"/>
          <w:b/>
          <w:bCs/>
          <w:color w:val="auto"/>
          <w:sz w:val="24"/>
          <w:szCs w:val="24"/>
        </w:rPr>
      </w:pPr>
    </w:p>
    <w:p>
      <w:pPr>
        <w:autoSpaceDE w:val="0"/>
        <w:autoSpaceDN w:val="0"/>
        <w:adjustRightInd w:val="0"/>
        <w:spacing w:line="360" w:lineRule="auto"/>
        <w:jc w:val="center"/>
        <w:outlineLvl w:val="0"/>
        <w:rPr>
          <w:rFonts w:hAnsi="宋体"/>
          <w:b/>
          <w:snapToGrid w:val="0"/>
          <w:color w:val="auto"/>
          <w:kern w:val="0"/>
          <w:sz w:val="28"/>
          <w:szCs w:val="28"/>
        </w:rPr>
      </w:pPr>
      <w:r>
        <w:rPr>
          <w:rFonts w:hint="eastAsia" w:hAnsi="宋体"/>
          <w:b/>
          <w:snapToGrid w:val="0"/>
          <w:color w:val="auto"/>
          <w:kern w:val="0"/>
          <w:sz w:val="28"/>
          <w:szCs w:val="28"/>
        </w:rPr>
        <w:t>（供应商依据采购文件，提供所需证书或材料。）</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both"/>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四、符合性审查证明材料</w:t>
      </w:r>
    </w:p>
    <w:p>
      <w:pPr>
        <w:autoSpaceDE w:val="0"/>
        <w:autoSpaceDN w:val="0"/>
        <w:adjustRightInd w:val="0"/>
        <w:spacing w:line="360" w:lineRule="auto"/>
        <w:jc w:val="both"/>
        <w:outlineLvl w:val="0"/>
        <w:rPr>
          <w:rFonts w:hAnsi="宋体"/>
          <w:b/>
          <w:snapToGrid w:val="0"/>
          <w:color w:val="auto"/>
          <w:kern w:val="0"/>
          <w:sz w:val="36"/>
          <w:szCs w:val="36"/>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4.1 投标分项报价表</w:t>
      </w: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（根据采购清单自拟格式）</w:t>
      </w: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4.2 技术规格偏离表</w:t>
      </w:r>
    </w:p>
    <w:p>
      <w:pPr>
        <w:spacing w:before="50" w:after="156"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 xml:space="preserve">项目名称：   </w:t>
      </w:r>
    </w:p>
    <w:tbl>
      <w:tblPr>
        <w:tblStyle w:val="24"/>
        <w:tblW w:w="9322" w:type="dxa"/>
        <w:jc w:val="center"/>
        <w:tblLayout w:type="fixed"/>
        <w:tblCellMar>
          <w:top w:w="0" w:type="dxa"/>
          <w:left w:w="108" w:type="dxa"/>
          <w:bottom w:w="0" w:type="dxa"/>
          <w:right w:w="108" w:type="dxa"/>
        </w:tblCellMar>
      </w:tblPr>
      <w:tblGrid>
        <w:gridCol w:w="828"/>
        <w:gridCol w:w="1980"/>
        <w:gridCol w:w="2335"/>
        <w:gridCol w:w="2336"/>
        <w:gridCol w:w="993"/>
        <w:gridCol w:w="850"/>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233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233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spacing w:before="50" w:after="156" w:afterLines="50" w:line="360" w:lineRule="auto"/>
        <w:ind w:firstLine="2692" w:firstLineChars="745"/>
        <w:contextualSpacing/>
        <w:jc w:val="left"/>
        <w:rPr>
          <w:rFonts w:asciiTheme="minorEastAsia" w:hAnsiTheme="minorEastAsia"/>
          <w:b/>
          <w:snapToGrid w:val="0"/>
          <w:color w:val="auto"/>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color w:val="auto"/>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color w:val="auto"/>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color w:val="auto"/>
          <w:kern w:val="0"/>
          <w:sz w:val="36"/>
          <w:szCs w:val="36"/>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4.3 技术方案（实施方案）</w:t>
      </w:r>
    </w:p>
    <w:p>
      <w:pPr>
        <w:autoSpaceDE w:val="0"/>
        <w:autoSpaceDN w:val="0"/>
        <w:adjustRightInd w:val="0"/>
        <w:spacing w:line="480" w:lineRule="auto"/>
        <w:jc w:val="center"/>
        <w:rPr>
          <w:rFonts w:cs="宋体" w:asciiTheme="minorEastAsia" w:hAnsiTheme="minorEastAsia"/>
          <w:color w:val="auto"/>
          <w:sz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outlineLvl w:val="0"/>
        <w:rPr>
          <w:rFonts w:ascii="宋体" w:cs="宋体"/>
          <w:color w:val="auto"/>
          <w:sz w:val="24"/>
          <w:lang w:val="zh-CN"/>
        </w:rPr>
      </w:pPr>
    </w:p>
    <w:p>
      <w:pPr>
        <w:spacing w:line="480" w:lineRule="exact"/>
        <w:jc w:val="center"/>
        <w:rPr>
          <w:rFonts w:ascii="宋体" w:hAnsi="宋体"/>
          <w:b/>
          <w:bCs/>
          <w:color w:val="auto"/>
          <w:sz w:val="36"/>
          <w:szCs w:val="36"/>
        </w:rPr>
      </w:pPr>
    </w:p>
    <w:p>
      <w:pPr>
        <w:spacing w:line="300" w:lineRule="exact"/>
        <w:rPr>
          <w:rFonts w:asciiTheme="minorEastAsia" w:hAnsiTheme="minorEastAsia"/>
          <w:color w:val="auto"/>
          <w:sz w:val="24"/>
          <w:szCs w:val="24"/>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ascii="宋体" w:hAnsi="宋体"/>
          <w:b/>
          <w:bCs/>
          <w:color w:val="auto"/>
          <w:sz w:val="36"/>
          <w:szCs w:val="36"/>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4.4 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jc w:val="center"/>
              <w:rPr>
                <w:rFonts w:ascii="宋体" w:hAnsi="宋体" w:eastAsia="宋体" w:cs="Times New Roman"/>
                <w:color w:val="auto"/>
                <w:sz w:val="24"/>
                <w:szCs w:val="24"/>
              </w:rPr>
            </w:pPr>
          </w:p>
        </w:tc>
        <w:tc>
          <w:tcPr>
            <w:tcW w:w="3579" w:type="dxa"/>
            <w:vAlign w:val="center"/>
          </w:tcPr>
          <w:p>
            <w:pPr>
              <w:pStyle w:val="9"/>
              <w:spacing w:line="360" w:lineRule="auto"/>
              <w:jc w:val="center"/>
              <w:rPr>
                <w:rFonts w:ascii="宋体" w:hAnsi="宋体" w:eastAsia="宋体" w:cs="Times New Roman"/>
                <w:color w:val="auto"/>
                <w:sz w:val="24"/>
                <w:szCs w:val="24"/>
              </w:rPr>
            </w:pPr>
          </w:p>
        </w:tc>
        <w:tc>
          <w:tcPr>
            <w:tcW w:w="1440" w:type="dxa"/>
            <w:vAlign w:val="center"/>
          </w:tcPr>
          <w:p>
            <w:pPr>
              <w:pStyle w:val="9"/>
              <w:spacing w:line="360" w:lineRule="auto"/>
              <w:jc w:val="center"/>
              <w:rPr>
                <w:rFonts w:ascii="宋体" w:hAnsi="宋体" w:eastAsia="宋体" w:cs="Times New Roman"/>
                <w:color w:val="auto"/>
                <w:sz w:val="24"/>
                <w:szCs w:val="24"/>
              </w:rPr>
            </w:pPr>
          </w:p>
        </w:tc>
        <w:tc>
          <w:tcPr>
            <w:tcW w:w="1706" w:type="dxa"/>
            <w:vAlign w:val="center"/>
          </w:tcPr>
          <w:p>
            <w:pPr>
              <w:pStyle w:val="9"/>
              <w:spacing w:line="360" w:lineRule="auto"/>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jc w:val="center"/>
              <w:rPr>
                <w:rFonts w:ascii="宋体" w:hAnsi="宋体" w:eastAsia="宋体" w:cs="Times New Roman"/>
                <w:color w:val="auto"/>
                <w:sz w:val="24"/>
                <w:szCs w:val="24"/>
              </w:rPr>
            </w:pPr>
          </w:p>
        </w:tc>
        <w:tc>
          <w:tcPr>
            <w:tcW w:w="3579" w:type="dxa"/>
            <w:vAlign w:val="center"/>
          </w:tcPr>
          <w:p>
            <w:pPr>
              <w:pStyle w:val="9"/>
              <w:spacing w:line="360" w:lineRule="auto"/>
              <w:jc w:val="center"/>
              <w:rPr>
                <w:rFonts w:ascii="宋体" w:hAnsi="宋体" w:eastAsia="宋体" w:cs="Times New Roman"/>
                <w:color w:val="auto"/>
                <w:sz w:val="24"/>
                <w:szCs w:val="24"/>
              </w:rPr>
            </w:pPr>
          </w:p>
        </w:tc>
        <w:tc>
          <w:tcPr>
            <w:tcW w:w="1440" w:type="dxa"/>
            <w:vAlign w:val="center"/>
          </w:tcPr>
          <w:p>
            <w:pPr>
              <w:pStyle w:val="9"/>
              <w:spacing w:line="360" w:lineRule="auto"/>
              <w:jc w:val="center"/>
              <w:rPr>
                <w:rFonts w:ascii="宋体" w:hAnsi="宋体" w:eastAsia="宋体" w:cs="Times New Roman"/>
                <w:color w:val="auto"/>
                <w:sz w:val="24"/>
                <w:szCs w:val="24"/>
              </w:rPr>
            </w:pPr>
          </w:p>
        </w:tc>
        <w:tc>
          <w:tcPr>
            <w:tcW w:w="1706" w:type="dxa"/>
            <w:vAlign w:val="center"/>
          </w:tcPr>
          <w:p>
            <w:pPr>
              <w:pStyle w:val="9"/>
              <w:spacing w:line="360" w:lineRule="auto"/>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jc w:val="center"/>
              <w:rPr>
                <w:rFonts w:ascii="宋体" w:hAnsi="宋体" w:eastAsia="宋体" w:cs="Times New Roman"/>
                <w:color w:val="auto"/>
                <w:sz w:val="24"/>
                <w:szCs w:val="24"/>
              </w:rPr>
            </w:pPr>
          </w:p>
        </w:tc>
        <w:tc>
          <w:tcPr>
            <w:tcW w:w="3579" w:type="dxa"/>
            <w:vAlign w:val="center"/>
          </w:tcPr>
          <w:p>
            <w:pPr>
              <w:pStyle w:val="9"/>
              <w:spacing w:line="360" w:lineRule="auto"/>
              <w:jc w:val="center"/>
              <w:rPr>
                <w:rFonts w:ascii="宋体" w:hAnsi="宋体" w:eastAsia="宋体" w:cs="Times New Roman"/>
                <w:color w:val="auto"/>
                <w:sz w:val="24"/>
                <w:szCs w:val="24"/>
              </w:rPr>
            </w:pPr>
          </w:p>
        </w:tc>
        <w:tc>
          <w:tcPr>
            <w:tcW w:w="1440" w:type="dxa"/>
            <w:vAlign w:val="center"/>
          </w:tcPr>
          <w:p>
            <w:pPr>
              <w:pStyle w:val="9"/>
              <w:spacing w:line="360" w:lineRule="auto"/>
              <w:jc w:val="center"/>
              <w:rPr>
                <w:rFonts w:ascii="宋体" w:hAnsi="宋体" w:eastAsia="宋体" w:cs="Times New Roman"/>
                <w:color w:val="auto"/>
                <w:sz w:val="24"/>
                <w:szCs w:val="24"/>
              </w:rPr>
            </w:pPr>
          </w:p>
        </w:tc>
        <w:tc>
          <w:tcPr>
            <w:tcW w:w="1706" w:type="dxa"/>
            <w:vAlign w:val="center"/>
          </w:tcPr>
          <w:p>
            <w:pPr>
              <w:pStyle w:val="9"/>
              <w:spacing w:line="360" w:lineRule="auto"/>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jc w:val="center"/>
              <w:rPr>
                <w:rFonts w:ascii="宋体"/>
                <w:color w:val="auto"/>
              </w:rPr>
            </w:pPr>
          </w:p>
        </w:tc>
        <w:tc>
          <w:tcPr>
            <w:tcW w:w="3579" w:type="dxa"/>
            <w:vAlign w:val="center"/>
          </w:tcPr>
          <w:p>
            <w:pPr>
              <w:jc w:val="center"/>
              <w:rPr>
                <w:rFonts w:ascii="宋体"/>
                <w:color w:val="auto"/>
              </w:rPr>
            </w:pPr>
          </w:p>
        </w:tc>
        <w:tc>
          <w:tcPr>
            <w:tcW w:w="1440" w:type="dxa"/>
            <w:vAlign w:val="center"/>
          </w:tcPr>
          <w:p>
            <w:pPr>
              <w:jc w:val="center"/>
              <w:rPr>
                <w:rFonts w:ascii="宋体"/>
                <w:color w:val="auto"/>
              </w:rPr>
            </w:pPr>
          </w:p>
        </w:tc>
        <w:tc>
          <w:tcPr>
            <w:tcW w:w="1706" w:type="dxa"/>
            <w:vAlign w:val="center"/>
          </w:tcPr>
          <w:p>
            <w:pPr>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jc w:val="center"/>
              <w:rPr>
                <w:rFonts w:ascii="宋体"/>
                <w:color w:val="auto"/>
              </w:rPr>
            </w:pPr>
          </w:p>
        </w:tc>
        <w:tc>
          <w:tcPr>
            <w:tcW w:w="3579" w:type="dxa"/>
            <w:vAlign w:val="center"/>
          </w:tcPr>
          <w:p>
            <w:pPr>
              <w:jc w:val="center"/>
              <w:rPr>
                <w:rFonts w:ascii="宋体"/>
                <w:color w:val="auto"/>
              </w:rPr>
            </w:pPr>
          </w:p>
        </w:tc>
        <w:tc>
          <w:tcPr>
            <w:tcW w:w="1440" w:type="dxa"/>
            <w:vAlign w:val="center"/>
          </w:tcPr>
          <w:p>
            <w:pPr>
              <w:jc w:val="center"/>
              <w:rPr>
                <w:rFonts w:ascii="宋体"/>
                <w:color w:val="auto"/>
              </w:rPr>
            </w:pPr>
          </w:p>
        </w:tc>
        <w:tc>
          <w:tcPr>
            <w:tcW w:w="1706" w:type="dxa"/>
            <w:vAlign w:val="center"/>
          </w:tcPr>
          <w:p>
            <w:pPr>
              <w:jc w:val="cente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pStyle w:val="2"/>
        <w:ind w:firstLine="340"/>
        <w:rPr>
          <w:color w:val="auto"/>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4.5 售后服务方案</w:t>
      </w: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pStyle w:val="2"/>
        <w:ind w:left="0" w:leftChars="0" w:firstLine="0" w:firstLineChars="0"/>
        <w:rPr>
          <w:color w:val="auto"/>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4.6 中小企业声明函</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w:t>
      </w:r>
      <w:r>
        <w:rPr>
          <w:color w:val="auto"/>
          <w:sz w:val="24"/>
          <w:szCs w:val="24"/>
          <w:u w:val="single"/>
        </w:rPr>
        <w:t>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p>
    <w:p>
      <w:pPr>
        <w:spacing w:before="156" w:beforeLines="50" w:after="156" w:afterLines="50" w:line="360" w:lineRule="auto"/>
        <w:ind w:right="420" w:firstLine="3840" w:firstLineChars="16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pStyle w:val="2"/>
        <w:ind w:firstLine="340"/>
        <w:rPr>
          <w:color w:val="auto"/>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b/>
          <w:bCs/>
          <w:color w:val="auto"/>
          <w:sz w:val="36"/>
          <w:szCs w:val="36"/>
        </w:rPr>
      </w:pPr>
      <w:r>
        <w:rPr>
          <w:rFonts w:hint="eastAsia" w:ascii="宋体" w:hAnsi="宋体" w:cs="Arial"/>
          <w:color w:val="auto"/>
          <w:kern w:val="0"/>
          <w:sz w:val="24"/>
          <w:szCs w:val="24"/>
        </w:rPr>
        <w:t>2、如投标人为联合投标的，联合投标人需分别填写上述《中小企业声明函》。</w:t>
      </w: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4.7 残疾人福利性单位声明函</w:t>
      </w:r>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Arial"/>
          <w:color w:val="auto"/>
          <w:kern w:val="0"/>
          <w:sz w:val="24"/>
          <w:szCs w:val="24"/>
          <w:u w:val="single"/>
        </w:rPr>
        <w:t>　     　</w:t>
      </w:r>
      <w:r>
        <w:rPr>
          <w:rFonts w:hint="eastAsia" w:ascii="宋体" w:hAnsi="宋体"/>
          <w:color w:val="auto"/>
          <w:sz w:val="24"/>
          <w:szCs w:val="24"/>
        </w:rPr>
        <w:t>单位的</w:t>
      </w:r>
      <w:r>
        <w:rPr>
          <w:rFonts w:hint="eastAsia" w:ascii="宋体" w:hAnsi="宋体" w:cs="Arial"/>
          <w:color w:val="auto"/>
          <w:kern w:val="0"/>
          <w:sz w:val="24"/>
          <w:szCs w:val="24"/>
          <w:u w:val="single"/>
        </w:rPr>
        <w:t>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before="156" w:beforeLines="50" w:after="156" w:afterLines="50" w:line="360" w:lineRule="auto"/>
        <w:ind w:right="420" w:firstLine="4320" w:firstLineChars="18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spacing w:line="360" w:lineRule="auto"/>
        <w:rPr>
          <w:rFonts w:ascii="宋体" w:hAnsi="宋体"/>
          <w:color w:val="auto"/>
          <w:sz w:val="24"/>
          <w:szCs w:val="24"/>
        </w:rPr>
      </w:pPr>
    </w:p>
    <w:p>
      <w:pPr>
        <w:rPr>
          <w:color w:val="auto"/>
        </w:rPr>
      </w:pPr>
    </w:p>
    <w:p>
      <w:pPr>
        <w:rPr>
          <w:color w:val="auto"/>
        </w:rPr>
      </w:pPr>
    </w:p>
    <w:p>
      <w:pPr>
        <w:rPr>
          <w:color w:val="auto"/>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 xml:space="preserve">4.8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ind w:firstLine="480" w:firstLineChars="200"/>
        <w:jc w:val="center"/>
        <w:rPr>
          <w:rFonts w:ascii="宋体" w:hAnsi="宋体"/>
          <w:color w:val="auto"/>
          <w:sz w:val="24"/>
          <w:szCs w:val="24"/>
        </w:rPr>
      </w:pPr>
      <w:r>
        <w:rPr>
          <w:rFonts w:hint="eastAsia" w:ascii="宋体" w:hAnsi="宋体"/>
          <w:color w:val="auto"/>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r>
        <w:rPr>
          <w:rFonts w:hint="eastAsia" w:ascii="宋体" w:hAnsi="宋体" w:cs="黑体"/>
          <w:b/>
          <w:bCs/>
          <w:color w:val="auto"/>
          <w:sz w:val="28"/>
          <w:szCs w:val="28"/>
          <w:lang w:val="zh-CN"/>
        </w:rPr>
        <w:t>4.</w:t>
      </w:r>
      <w:r>
        <w:rPr>
          <w:rFonts w:hint="eastAsia" w:ascii="宋体" w:hAnsi="宋体" w:cs="黑体"/>
          <w:b/>
          <w:bCs/>
          <w:color w:val="auto"/>
          <w:sz w:val="28"/>
          <w:szCs w:val="28"/>
          <w:lang w:val="en-US" w:eastAsia="zh-CN"/>
        </w:rPr>
        <w:t>9</w:t>
      </w:r>
      <w:r>
        <w:rPr>
          <w:rFonts w:hint="eastAsia" w:ascii="宋体" w:hAnsi="宋体" w:cs="黑体"/>
          <w:b/>
          <w:bCs/>
          <w:color w:val="auto"/>
          <w:sz w:val="28"/>
          <w:szCs w:val="28"/>
          <w:lang w:val="zh-CN"/>
        </w:rPr>
        <w:t>“环境标志产品政府采购品目清单”优先采购产品情况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color w:val="auto"/>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snapToGrid w:val="0"/>
        <w:spacing w:line="500" w:lineRule="exact"/>
        <w:rPr>
          <w:rFonts w:ascii="宋体" w:cs="宋体"/>
          <w:color w:val="auto"/>
          <w:szCs w:val="21"/>
          <w:lang w:val="zh-CN"/>
        </w:rPr>
      </w:pPr>
    </w:p>
    <w:p>
      <w:pPr>
        <w:ind w:left="630" w:hanging="630" w:hangingChars="300"/>
        <w:rPr>
          <w:rFonts w:ascii="宋体" w:cs="宋体"/>
          <w:color w:val="auto"/>
          <w:szCs w:val="21"/>
          <w:lang w:val="zh-CN"/>
        </w:rPr>
      </w:pPr>
      <w:r>
        <w:rPr>
          <w:rFonts w:hint="eastAsia" w:ascii="宋体" w:hAnsi="宋体" w:cs="宋体"/>
          <w:color w:val="auto"/>
          <w:szCs w:val="21"/>
          <w:lang w:val="zh-CN"/>
        </w:rPr>
        <w:t>说明：所投产品节能认证证书须附后。</w:t>
      </w:r>
    </w:p>
    <w:p>
      <w:pPr>
        <w:ind w:left="630" w:hanging="630" w:hangingChars="300"/>
        <w:rPr>
          <w:rFonts w:ascii="宋体" w:cs="宋体"/>
          <w:color w:val="auto"/>
          <w:szCs w:val="21"/>
          <w:lang w:val="zh-CN"/>
        </w:rPr>
      </w:pPr>
    </w:p>
    <w:p>
      <w:pPr>
        <w:spacing w:line="480" w:lineRule="auto"/>
        <w:rPr>
          <w:rFonts w:ascii="宋体" w:cs="Arial"/>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五、其他资料（若有）</w:t>
      </w:r>
    </w:p>
    <w:p>
      <w:pPr>
        <w:rPr>
          <w:color w:val="auto"/>
        </w:rPr>
      </w:pPr>
    </w:p>
    <w:p>
      <w:pPr>
        <w:rPr>
          <w:color w:val="auto"/>
        </w:rPr>
      </w:pPr>
    </w:p>
    <w:p>
      <w:pPr>
        <w:rPr>
          <w:color w:val="auto"/>
        </w:rPr>
      </w:pPr>
    </w:p>
    <w:p>
      <w:pPr>
        <w:spacing w:line="360" w:lineRule="auto"/>
        <w:jc w:val="center"/>
        <w:rPr>
          <w:rFonts w:asci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auto"/>
          <w:sz w:val="28"/>
          <w:szCs w:val="28"/>
        </w:rPr>
      </w:pPr>
      <w:r>
        <w:rPr>
          <w:rFonts w:asci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1478" w:right="1078" w:bottom="1928" w:left="11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简隶书">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8D323"/>
    <w:multiLevelType w:val="singleLevel"/>
    <w:tmpl w:val="AC48D323"/>
    <w:lvl w:ilvl="0" w:tentative="0">
      <w:start w:val="2"/>
      <w:numFmt w:val="decimal"/>
      <w:suff w:val="nothing"/>
      <w:lvlText w:val="%1、"/>
      <w:lvlJc w:val="left"/>
    </w:lvl>
  </w:abstractNum>
  <w:abstractNum w:abstractNumId="1">
    <w:nsid w:val="ACEF56A4"/>
    <w:multiLevelType w:val="singleLevel"/>
    <w:tmpl w:val="ACEF56A4"/>
    <w:lvl w:ilvl="0" w:tentative="0">
      <w:start w:val="1"/>
      <w:numFmt w:val="chineseCounting"/>
      <w:suff w:val="space"/>
      <w:lvlText w:val="第%1章"/>
      <w:lvlJc w:val="left"/>
      <w:rPr>
        <w:rFonts w:hint="eastAsia"/>
      </w:rPr>
    </w:lvl>
  </w:abstractNum>
  <w:abstractNum w:abstractNumId="2">
    <w:nsid w:val="BCCC8CF0"/>
    <w:multiLevelType w:val="singleLevel"/>
    <w:tmpl w:val="BCCC8CF0"/>
    <w:lvl w:ilvl="0" w:tentative="0">
      <w:start w:val="1"/>
      <w:numFmt w:val="decimal"/>
      <w:suff w:val="nothing"/>
      <w:lvlText w:val="%1、"/>
      <w:lvlJc w:val="left"/>
    </w:lvl>
  </w:abstractNum>
  <w:abstractNum w:abstractNumId="3">
    <w:nsid w:val="E31B524A"/>
    <w:multiLevelType w:val="singleLevel"/>
    <w:tmpl w:val="E31B524A"/>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00000014"/>
    <w:multiLevelType w:val="multilevel"/>
    <w:tmpl w:val="00000014"/>
    <w:lvl w:ilvl="0" w:tentative="0">
      <w:start w:val="1"/>
      <w:numFmt w:val="decimal"/>
      <w:pStyle w:val="5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523A57B"/>
    <w:multiLevelType w:val="singleLevel"/>
    <w:tmpl w:val="1523A57B"/>
    <w:lvl w:ilvl="0" w:tentative="0">
      <w:start w:val="1"/>
      <w:numFmt w:val="decimal"/>
      <w:suff w:val="nothing"/>
      <w:lvlText w:val="%1、"/>
      <w:lvlJc w:val="left"/>
    </w:lvl>
  </w:abstractNum>
  <w:abstractNum w:abstractNumId="8">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C99F775"/>
    <w:multiLevelType w:val="singleLevel"/>
    <w:tmpl w:val="1C99F775"/>
    <w:lvl w:ilvl="0" w:tentative="0">
      <w:start w:val="1"/>
      <w:numFmt w:val="decimal"/>
      <w:suff w:val="nothing"/>
      <w:lvlText w:val="%1、"/>
      <w:lvlJc w:val="left"/>
    </w:lvl>
  </w:abstractNum>
  <w:abstractNum w:abstractNumId="10">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3">
    <w:nsid w:val="2EE9EDD6"/>
    <w:multiLevelType w:val="singleLevel"/>
    <w:tmpl w:val="2EE9EDD6"/>
    <w:lvl w:ilvl="0" w:tentative="0">
      <w:start w:val="1"/>
      <w:numFmt w:val="decimal"/>
      <w:suff w:val="nothing"/>
      <w:lvlText w:val="（%1）"/>
      <w:lvlJc w:val="left"/>
    </w:lvl>
  </w:abstractNum>
  <w:abstractNum w:abstractNumId="14">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6">
    <w:nsid w:val="40FD4A4D"/>
    <w:multiLevelType w:val="singleLevel"/>
    <w:tmpl w:val="40FD4A4D"/>
    <w:lvl w:ilvl="0" w:tentative="0">
      <w:start w:val="1"/>
      <w:numFmt w:val="decimal"/>
      <w:suff w:val="nothing"/>
      <w:lvlText w:val="%1、"/>
      <w:lvlJc w:val="left"/>
    </w:lvl>
  </w:abstractNum>
  <w:abstractNum w:abstractNumId="17">
    <w:nsid w:val="4413E38B"/>
    <w:multiLevelType w:val="singleLevel"/>
    <w:tmpl w:val="4413E38B"/>
    <w:lvl w:ilvl="0" w:tentative="0">
      <w:start w:val="1"/>
      <w:numFmt w:val="decimal"/>
      <w:suff w:val="nothing"/>
      <w:lvlText w:val="%1、"/>
      <w:lvlJc w:val="left"/>
    </w:lvl>
  </w:abstractNum>
  <w:abstractNum w:abstractNumId="18">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9">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9F817E8"/>
    <w:multiLevelType w:val="singleLevel"/>
    <w:tmpl w:val="59F817E8"/>
    <w:lvl w:ilvl="0" w:tentative="0">
      <w:start w:val="1"/>
      <w:numFmt w:val="chineseCounting"/>
      <w:pStyle w:val="56"/>
      <w:suff w:val="nothing"/>
      <w:lvlText w:val="%1、"/>
      <w:lvlJc w:val="left"/>
      <w:rPr>
        <w:rFonts w:cs="Times New Roman"/>
      </w:rPr>
    </w:lvl>
  </w:abstractNum>
  <w:abstractNum w:abstractNumId="21">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20"/>
  </w:num>
  <w:num w:numId="4">
    <w:abstractNumId w:val="1"/>
  </w:num>
  <w:num w:numId="5">
    <w:abstractNumId w:val="0"/>
  </w:num>
  <w:num w:numId="6">
    <w:abstractNumId w:val="11"/>
  </w:num>
  <w:num w:numId="7">
    <w:abstractNumId w:val="22"/>
  </w:num>
  <w:num w:numId="8">
    <w:abstractNumId w:val="14"/>
  </w:num>
  <w:num w:numId="9">
    <w:abstractNumId w:val="21"/>
  </w:num>
  <w:num w:numId="10">
    <w:abstractNumId w:val="8"/>
  </w:num>
  <w:num w:numId="11">
    <w:abstractNumId w:val="10"/>
  </w:num>
  <w:num w:numId="12">
    <w:abstractNumId w:val="19"/>
  </w:num>
  <w:num w:numId="13">
    <w:abstractNumId w:val="15"/>
  </w:num>
  <w:num w:numId="14">
    <w:abstractNumId w:val="12"/>
  </w:num>
  <w:num w:numId="15">
    <w:abstractNumId w:val="18"/>
  </w:num>
  <w:num w:numId="16">
    <w:abstractNumId w:val="7"/>
  </w:num>
  <w:num w:numId="17">
    <w:abstractNumId w:val="16"/>
  </w:num>
  <w:num w:numId="18">
    <w:abstractNumId w:val="17"/>
  </w:num>
  <w:num w:numId="19">
    <w:abstractNumId w:val="9"/>
  </w:num>
  <w:num w:numId="20">
    <w:abstractNumId w:val="13"/>
  </w:num>
  <w:num w:numId="21">
    <w:abstractNumId w:val="3"/>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02D36930"/>
    <w:rsid w:val="032575FD"/>
    <w:rsid w:val="0E6A08F8"/>
    <w:rsid w:val="13404256"/>
    <w:rsid w:val="18102077"/>
    <w:rsid w:val="1A22272A"/>
    <w:rsid w:val="1F381905"/>
    <w:rsid w:val="34344D6A"/>
    <w:rsid w:val="39D706B5"/>
    <w:rsid w:val="4F5F1BF3"/>
    <w:rsid w:val="577B0413"/>
    <w:rsid w:val="587D50D4"/>
    <w:rsid w:val="606B484D"/>
    <w:rsid w:val="665C6E2A"/>
    <w:rsid w:val="673B2EC6"/>
    <w:rsid w:val="69753CE7"/>
    <w:rsid w:val="73B320DC"/>
    <w:rsid w:val="7D174DEC"/>
    <w:rsid w:val="7DF35934"/>
    <w:rsid w:val="7F0717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2"/>
    <w:qFormat/>
    <w:uiPriority w:val="99"/>
    <w:pPr>
      <w:ind w:firstLine="420" w:firstLineChars="100"/>
    </w:pPr>
    <w:rPr>
      <w:rFonts w:ascii="宋体" w:hAnsi="Times New Roman"/>
      <w:kern w:val="0"/>
      <w:sz w:val="34"/>
      <w:szCs w:val="20"/>
    </w:rPr>
  </w:style>
  <w:style w:type="paragraph" w:styleId="3">
    <w:name w:val="Body Text"/>
    <w:basedOn w:val="1"/>
    <w:link w:val="34"/>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unhideWhenUsed/>
    <w:qFormat/>
    <w:uiPriority w:val="0"/>
    <w:pPr>
      <w:jc w:val="left"/>
    </w:pPr>
    <w:rPr>
      <w:rFonts w:ascii="Calibri" w:hAnsi="Calibri" w:eastAsia="宋体" w:cs="Times New Roman"/>
      <w:szCs w:val="24"/>
    </w:rPr>
  </w:style>
  <w:style w:type="paragraph" w:styleId="11">
    <w:name w:val="Body Text 3"/>
    <w:basedOn w:val="1"/>
    <w:link w:val="33"/>
    <w:qFormat/>
    <w:uiPriority w:val="99"/>
    <w:rPr>
      <w:rFonts w:ascii="Times New Roman" w:hAnsi="Times New Roman"/>
      <w:color w:val="FF0000"/>
      <w:sz w:val="24"/>
      <w:szCs w:val="24"/>
    </w:rPr>
  </w:style>
  <w:style w:type="paragraph" w:styleId="12">
    <w:name w:val="Body Text Indent"/>
    <w:basedOn w:val="1"/>
    <w:link w:val="35"/>
    <w:qFormat/>
    <w:uiPriority w:val="99"/>
    <w:pPr>
      <w:adjustRightInd w:val="0"/>
      <w:spacing w:after="120" w:line="360" w:lineRule="atLeast"/>
      <w:ind w:left="420" w:leftChars="200"/>
      <w:jc w:val="left"/>
      <w:textAlignment w:val="baseline"/>
    </w:pPr>
    <w:rPr>
      <w:kern w:val="0"/>
      <w:sz w:val="24"/>
      <w:szCs w:val="20"/>
    </w:rPr>
  </w:style>
  <w:style w:type="paragraph" w:styleId="13">
    <w:name w:val="Block Text"/>
    <w:basedOn w:val="1"/>
    <w:qFormat/>
    <w:uiPriority w:val="0"/>
    <w:pPr>
      <w:adjustRightInd w:val="0"/>
      <w:spacing w:line="300" w:lineRule="auto"/>
      <w:ind w:left="958" w:right="-120" w:rightChars="-120"/>
    </w:pPr>
    <w:rPr>
      <w:kern w:val="0"/>
      <w:sz w:val="28"/>
      <w:szCs w:val="20"/>
    </w:rPr>
  </w:style>
  <w:style w:type="paragraph" w:styleId="14">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5">
    <w:name w:val="toc 3"/>
    <w:basedOn w:val="1"/>
    <w:next w:val="1"/>
    <w:qFormat/>
    <w:uiPriority w:val="99"/>
    <w:pPr>
      <w:ind w:left="480"/>
      <w:jc w:val="left"/>
    </w:pPr>
    <w:rPr>
      <w:rFonts w:ascii="Times New Roman" w:hAnsi="Times New Roman"/>
      <w:i/>
      <w:iCs/>
      <w:color w:val="0000FF"/>
      <w:sz w:val="20"/>
      <w:szCs w:val="20"/>
    </w:rPr>
  </w:style>
  <w:style w:type="paragraph" w:styleId="16">
    <w:name w:val="Plain Text"/>
    <w:basedOn w:val="1"/>
    <w:link w:val="36"/>
    <w:qFormat/>
    <w:uiPriority w:val="0"/>
    <w:rPr>
      <w:sz w:val="24"/>
    </w:rPr>
  </w:style>
  <w:style w:type="paragraph" w:styleId="17">
    <w:name w:val="Date"/>
    <w:basedOn w:val="1"/>
    <w:next w:val="1"/>
    <w:link w:val="37"/>
    <w:qFormat/>
    <w:uiPriority w:val="99"/>
    <w:pPr>
      <w:ind w:left="100" w:leftChars="2500"/>
    </w:pPr>
  </w:style>
  <w:style w:type="paragraph" w:styleId="18">
    <w:name w:val="Balloon Text"/>
    <w:basedOn w:val="1"/>
    <w:link w:val="38"/>
    <w:semiHidden/>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Hyperlink"/>
    <w:basedOn w:val="26"/>
    <w:qFormat/>
    <w:uiPriority w:val="99"/>
    <w:rPr>
      <w:rFonts w:cs="Times New Roman"/>
      <w:color w:val="0000FF"/>
      <w:u w:val="single"/>
    </w:rPr>
  </w:style>
  <w:style w:type="character" w:customStyle="1" w:styleId="29">
    <w:name w:val="标题 1 Char"/>
    <w:basedOn w:val="26"/>
    <w:link w:val="4"/>
    <w:qFormat/>
    <w:locked/>
    <w:uiPriority w:val="99"/>
    <w:rPr>
      <w:rFonts w:ascii="Calibri" w:hAnsi="Calibri" w:eastAsia="宋体" w:cs="Times New Roman"/>
      <w:b/>
      <w:bCs/>
      <w:kern w:val="44"/>
      <w:sz w:val="44"/>
      <w:szCs w:val="44"/>
    </w:rPr>
  </w:style>
  <w:style w:type="character" w:customStyle="1" w:styleId="30">
    <w:name w:val="标题 2 Char"/>
    <w:basedOn w:val="26"/>
    <w:link w:val="5"/>
    <w:qFormat/>
    <w:locked/>
    <w:uiPriority w:val="99"/>
    <w:rPr>
      <w:rFonts w:ascii="Arial" w:hAnsi="Arial" w:eastAsia="黑体" w:cs="Times New Roman"/>
      <w:b/>
      <w:bCs/>
      <w:kern w:val="0"/>
      <w:sz w:val="32"/>
      <w:szCs w:val="32"/>
    </w:rPr>
  </w:style>
  <w:style w:type="character" w:customStyle="1" w:styleId="31">
    <w:name w:val="标题 3 Char"/>
    <w:basedOn w:val="26"/>
    <w:link w:val="6"/>
    <w:qFormat/>
    <w:locked/>
    <w:uiPriority w:val="99"/>
    <w:rPr>
      <w:rFonts w:ascii="宋体" w:hAnsi="宋体" w:eastAsia="宋体" w:cs="Times New Roman"/>
      <w:b/>
      <w:color w:val="000000"/>
      <w:kern w:val="0"/>
      <w:sz w:val="20"/>
      <w:szCs w:val="20"/>
      <w:lang w:val="en-GB"/>
    </w:rPr>
  </w:style>
  <w:style w:type="character" w:customStyle="1" w:styleId="32">
    <w:name w:val="标题 4 Char"/>
    <w:basedOn w:val="26"/>
    <w:link w:val="7"/>
    <w:qFormat/>
    <w:locked/>
    <w:uiPriority w:val="99"/>
    <w:rPr>
      <w:rFonts w:ascii="Arial" w:hAnsi="Arial" w:eastAsia="黑体" w:cs="Times New Roman"/>
      <w:b/>
      <w:bCs/>
      <w:kern w:val="0"/>
      <w:sz w:val="28"/>
      <w:szCs w:val="28"/>
    </w:rPr>
  </w:style>
  <w:style w:type="character" w:customStyle="1" w:styleId="33">
    <w:name w:val="正文文本 3 Char"/>
    <w:basedOn w:val="26"/>
    <w:link w:val="11"/>
    <w:qFormat/>
    <w:locked/>
    <w:uiPriority w:val="99"/>
    <w:rPr>
      <w:rFonts w:ascii="Times New Roman" w:hAnsi="Times New Roman" w:eastAsia="宋体" w:cs="Times New Roman"/>
      <w:color w:val="FF0000"/>
      <w:sz w:val="24"/>
      <w:szCs w:val="24"/>
    </w:rPr>
  </w:style>
  <w:style w:type="character" w:customStyle="1" w:styleId="34">
    <w:name w:val="正文文本 Char"/>
    <w:basedOn w:val="26"/>
    <w:link w:val="3"/>
    <w:semiHidden/>
    <w:qFormat/>
    <w:locked/>
    <w:uiPriority w:val="99"/>
    <w:rPr>
      <w:rFonts w:cs="Times New Roman"/>
    </w:rPr>
  </w:style>
  <w:style w:type="character" w:customStyle="1" w:styleId="35">
    <w:name w:val="正文文本缩进 Char"/>
    <w:basedOn w:val="26"/>
    <w:link w:val="12"/>
    <w:qFormat/>
    <w:locked/>
    <w:uiPriority w:val="99"/>
    <w:rPr>
      <w:sz w:val="24"/>
    </w:rPr>
  </w:style>
  <w:style w:type="character" w:customStyle="1" w:styleId="36">
    <w:name w:val="纯文本 Char"/>
    <w:basedOn w:val="26"/>
    <w:link w:val="16"/>
    <w:qFormat/>
    <w:locked/>
    <w:uiPriority w:val="0"/>
    <w:rPr>
      <w:rFonts w:eastAsia="宋体" w:cs="Times New Roman"/>
      <w:sz w:val="24"/>
    </w:rPr>
  </w:style>
  <w:style w:type="character" w:customStyle="1" w:styleId="37">
    <w:name w:val="日期 Char"/>
    <w:basedOn w:val="26"/>
    <w:link w:val="17"/>
    <w:qFormat/>
    <w:locked/>
    <w:uiPriority w:val="99"/>
    <w:rPr>
      <w:rFonts w:cs="Times New Roman"/>
    </w:rPr>
  </w:style>
  <w:style w:type="character" w:customStyle="1" w:styleId="38">
    <w:name w:val="批注框文本 Char"/>
    <w:basedOn w:val="26"/>
    <w:link w:val="18"/>
    <w:semiHidden/>
    <w:qFormat/>
    <w:locked/>
    <w:uiPriority w:val="99"/>
    <w:rPr>
      <w:rFonts w:cs="Times New Roman"/>
      <w:sz w:val="18"/>
      <w:szCs w:val="18"/>
    </w:rPr>
  </w:style>
  <w:style w:type="character" w:customStyle="1" w:styleId="39">
    <w:name w:val="页脚 Char"/>
    <w:basedOn w:val="26"/>
    <w:link w:val="19"/>
    <w:qFormat/>
    <w:locked/>
    <w:uiPriority w:val="99"/>
    <w:rPr>
      <w:rFonts w:cs="Times New Roman"/>
      <w:sz w:val="18"/>
      <w:szCs w:val="18"/>
    </w:rPr>
  </w:style>
  <w:style w:type="character" w:customStyle="1" w:styleId="40">
    <w:name w:val="页眉 Char"/>
    <w:basedOn w:val="26"/>
    <w:link w:val="20"/>
    <w:qFormat/>
    <w:locked/>
    <w:uiPriority w:val="99"/>
    <w:rPr>
      <w:rFonts w:cs="Times New Roman"/>
      <w:sz w:val="18"/>
      <w:szCs w:val="18"/>
    </w:rPr>
  </w:style>
  <w:style w:type="character" w:customStyle="1" w:styleId="41">
    <w:name w:val="HTML 预设格式 Char"/>
    <w:basedOn w:val="26"/>
    <w:link w:val="22"/>
    <w:semiHidden/>
    <w:qFormat/>
    <w:locked/>
    <w:uiPriority w:val="99"/>
    <w:rPr>
      <w:rFonts w:ascii="宋体" w:hAnsi="宋体" w:eastAsia="宋体" w:cs="宋体"/>
      <w:kern w:val="0"/>
      <w:sz w:val="24"/>
      <w:szCs w:val="24"/>
    </w:rPr>
  </w:style>
  <w:style w:type="character" w:customStyle="1" w:styleId="42">
    <w:name w:val="正文首行缩进 Char"/>
    <w:basedOn w:val="34"/>
    <w:link w:val="2"/>
    <w:qFormat/>
    <w:locked/>
    <w:uiPriority w:val="99"/>
    <w:rPr>
      <w:rFonts w:ascii="宋体" w:hAnsi="Times New Roman" w:eastAsia="宋体"/>
      <w:kern w:val="0"/>
      <w:sz w:val="20"/>
      <w:szCs w:val="20"/>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6"/>
    <w:qFormat/>
    <w:uiPriority w:val="99"/>
    <w:rPr>
      <w:rFonts w:cs="Times New Roman"/>
    </w:rPr>
  </w:style>
  <w:style w:type="paragraph" w:customStyle="1" w:styleId="55">
    <w:name w:val="样式 标题 1 + 四号 居中 段前: 12 磅 段后: 12 磅 行距: 单倍行距"/>
    <w:basedOn w:val="4"/>
    <w:uiPriority w:val="99"/>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7">
    <w:name w:val="正文文本缩进 Char1"/>
    <w:basedOn w:val="26"/>
    <w:semiHidden/>
    <w:uiPriority w:val="99"/>
    <w:rPr>
      <w:rFonts w:cs="Times New Roman"/>
    </w:rPr>
  </w:style>
  <w:style w:type="paragraph" w:customStyle="1" w:styleId="58">
    <w:name w:val="纯文本1"/>
    <w:basedOn w:val="1"/>
    <w:uiPriority w:val="99"/>
    <w:rPr>
      <w:rFonts w:cs="黑体"/>
      <w:sz w:val="24"/>
      <w:szCs w:val="24"/>
    </w:rPr>
  </w:style>
  <w:style w:type="paragraph" w:customStyle="1" w:styleId="59">
    <w:name w:val="样式 标题 3 + (中文) 黑体 小四 非加粗 段前: 7.8 磅 段后: 0 磅 行距: 固定值 20 磅"/>
    <w:basedOn w:val="6"/>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0">
    <w:name w:val="font31"/>
    <w:uiPriority w:val="0"/>
    <w:rPr>
      <w:rFonts w:hint="eastAsia" w:ascii="宋体" w:hAnsi="宋体" w:eastAsia="宋体" w:cs="宋体"/>
      <w:color w:val="000000"/>
      <w:sz w:val="20"/>
      <w:szCs w:val="20"/>
      <w:u w:val="none"/>
    </w:rPr>
  </w:style>
  <w:style w:type="character" w:customStyle="1" w:styleId="61">
    <w:name w:val="font12"/>
    <w:qFormat/>
    <w:uiPriority w:val="0"/>
    <w:rPr>
      <w:rFonts w:hint="default" w:ascii="Calibri" w:hAnsi="Calibri" w:cs="Calibri"/>
      <w:color w:val="000000"/>
      <w:sz w:val="20"/>
      <w:szCs w:val="20"/>
      <w:u w:val="none"/>
    </w:rPr>
  </w:style>
  <w:style w:type="character" w:customStyle="1" w:styleId="62">
    <w:name w:val="font111"/>
    <w:qFormat/>
    <w:uiPriority w:val="0"/>
    <w:rPr>
      <w:rFonts w:hint="default" w:ascii="等线" w:hAnsi="等线" w:eastAsia="等线" w:cs="等线"/>
      <w:color w:val="000000"/>
      <w:sz w:val="20"/>
      <w:szCs w:val="20"/>
      <w:u w:val="none"/>
    </w:rPr>
  </w:style>
  <w:style w:type="character" w:customStyle="1" w:styleId="63">
    <w:name w:val="font81"/>
    <w:uiPriority w:val="0"/>
    <w:rPr>
      <w:rFonts w:hint="default" w:ascii="等线" w:hAnsi="等线" w:eastAsia="等线" w:cs="等线"/>
      <w:color w:val="000000"/>
      <w:sz w:val="18"/>
      <w:szCs w:val="18"/>
      <w:u w:val="none"/>
    </w:rPr>
  </w:style>
  <w:style w:type="character" w:customStyle="1" w:styleId="64">
    <w:name w:val="font61"/>
    <w:uiPriority w:val="0"/>
    <w:rPr>
      <w:rFonts w:hint="eastAsia" w:ascii="宋体" w:hAnsi="宋体" w:eastAsia="宋体" w:cs="宋体"/>
      <w:color w:val="000000"/>
      <w:sz w:val="18"/>
      <w:szCs w:val="18"/>
      <w:u w:val="none"/>
    </w:rPr>
  </w:style>
  <w:style w:type="character" w:customStyle="1" w:styleId="65">
    <w:name w:val="font51"/>
    <w:uiPriority w:val="0"/>
    <w:rPr>
      <w:rFonts w:hint="eastAsia" w:ascii="宋体" w:hAnsi="宋体" w:eastAsia="宋体" w:cs="宋体"/>
      <w:color w:val="000000"/>
      <w:sz w:val="20"/>
      <w:szCs w:val="20"/>
      <w:u w:val="none"/>
    </w:rPr>
  </w:style>
  <w:style w:type="character" w:customStyle="1" w:styleId="66">
    <w:name w:val="font71"/>
    <w:uiPriority w:val="0"/>
    <w:rPr>
      <w:rFonts w:hint="default" w:ascii="Times New Roman" w:hAnsi="Times New Roman" w:cs="Times New Roman"/>
      <w:color w:val="000000"/>
      <w:sz w:val="20"/>
      <w:szCs w:val="20"/>
      <w:u w:val="none"/>
    </w:rPr>
  </w:style>
  <w:style w:type="paragraph" w:customStyle="1" w:styleId="67">
    <w:name w:val="正文 New New New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0</TotalTime>
  <ScaleCrop>false</ScaleCrop>
  <LinksUpToDate>false</LinksUpToDate>
  <CharactersWithSpaces>37743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Administrator</cp:lastModifiedBy>
  <cp:lastPrinted>2020-03-06T09:23:00Z</cp:lastPrinted>
  <dcterms:modified xsi:type="dcterms:W3CDTF">2020-03-10T09:59:07Z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