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b/>
          <w:bCs/>
          <w:sz w:val="52"/>
          <w:szCs w:val="52"/>
        </w:rPr>
      </w:pPr>
      <w:r>
        <w:rPr>
          <w:rFonts w:hint="eastAsia"/>
          <w:b/>
          <w:bCs/>
          <w:sz w:val="52"/>
          <w:szCs w:val="52"/>
        </w:rPr>
        <w:t>西关街道办事处许昌市土产公司家属院等2个家属院改造工程</w:t>
      </w:r>
    </w:p>
    <w:p>
      <w:pPr>
        <w:autoSpaceDE w:val="0"/>
        <w:autoSpaceDN w:val="0"/>
        <w:adjustRightInd w:val="0"/>
        <w:jc w:val="center"/>
        <w:rPr>
          <w:rFonts w:hAnsi="宋体" w:cs="宋体"/>
          <w:b/>
          <w:sz w:val="32"/>
          <w:szCs w:val="32"/>
        </w:rPr>
      </w:pPr>
      <w:r>
        <w:rPr>
          <w:rFonts w:hint="eastAsia"/>
          <w:b/>
          <w:bCs/>
        </w:rPr>
        <w:t>不见面开标</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z w:val="52"/>
          <w:szCs w:val="52"/>
        </w:rPr>
      </w:pPr>
      <w:r>
        <w:rPr>
          <w:rFonts w:hint="eastAsia" w:hAnsi="宋体" w:cs="宋体"/>
          <w:b/>
          <w:sz w:val="52"/>
          <w:szCs w:val="52"/>
        </w:rPr>
        <w:t>招标文件</w:t>
      </w:r>
    </w:p>
    <w:p>
      <w:pPr>
        <w:autoSpaceDE w:val="0"/>
        <w:autoSpaceDN w:val="0"/>
        <w:adjustRightInd w:val="0"/>
        <w:jc w:val="center"/>
        <w:rPr>
          <w:rFonts w:hAnsi="宋体" w:cs="宋体"/>
          <w:b/>
          <w:sz w:val="52"/>
          <w:szCs w:val="52"/>
        </w:rPr>
      </w:pPr>
      <w:r>
        <w:rPr>
          <w:rFonts w:hint="eastAsia" w:hAnsi="宋体" w:cs="宋体"/>
          <w:b/>
          <w:sz w:val="36"/>
          <w:szCs w:val="36"/>
        </w:rPr>
        <w:t>项目编号：XCGC-F2020014</w:t>
      </w:r>
    </w:p>
    <w:p>
      <w:pPr>
        <w:pStyle w:val="16"/>
        <w:tabs>
          <w:tab w:val="left" w:pos="1980"/>
        </w:tabs>
        <w:spacing w:line="1000" w:lineRule="exact"/>
        <w:rPr>
          <w:rFonts w:hAnsi="宋体"/>
          <w:b/>
          <w:color w:val="auto"/>
          <w:sz w:val="32"/>
          <w:szCs w:val="32"/>
        </w:rPr>
      </w:pPr>
    </w:p>
    <w:p>
      <w:pPr>
        <w:pStyle w:val="16"/>
        <w:tabs>
          <w:tab w:val="left" w:pos="1980"/>
        </w:tabs>
        <w:spacing w:line="1000" w:lineRule="exact"/>
        <w:rPr>
          <w:rFonts w:hAnsi="宋体"/>
          <w:b/>
          <w:color w:val="auto"/>
          <w:sz w:val="32"/>
          <w:szCs w:val="32"/>
        </w:rPr>
      </w:pPr>
    </w:p>
    <w:p>
      <w:pPr>
        <w:pStyle w:val="16"/>
        <w:tabs>
          <w:tab w:val="left" w:pos="1980"/>
        </w:tabs>
        <w:spacing w:line="1000" w:lineRule="exact"/>
        <w:rPr>
          <w:rFonts w:hAnsi="宋体"/>
          <w:b/>
          <w:color w:val="auto"/>
          <w:sz w:val="32"/>
          <w:szCs w:val="32"/>
        </w:rPr>
      </w:pPr>
    </w:p>
    <w:p>
      <w:pPr>
        <w:pStyle w:val="16"/>
        <w:tabs>
          <w:tab w:val="left" w:pos="1980"/>
        </w:tabs>
        <w:spacing w:line="1000" w:lineRule="exact"/>
        <w:rPr>
          <w:rFonts w:hAnsi="宋体"/>
          <w:b/>
          <w:color w:val="auto"/>
          <w:sz w:val="32"/>
          <w:szCs w:val="32"/>
        </w:rPr>
      </w:pPr>
    </w:p>
    <w:p>
      <w:pPr>
        <w:pStyle w:val="16"/>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   标   人：许昌市魏都区西关街道办事处</w:t>
      </w:r>
    </w:p>
    <w:p>
      <w:pPr>
        <w:pStyle w:val="16"/>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招标代理机构：河南招标采购服务有限公司</w:t>
      </w:r>
    </w:p>
    <w:p>
      <w:pPr>
        <w:pStyle w:val="16"/>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日        期：二〇二〇年三月</w:t>
      </w:r>
    </w:p>
    <w:p>
      <w:pPr>
        <w:ind w:firstLine="3465" w:firstLineChars="1083"/>
        <w:rPr>
          <w:rFonts w:hAnsi="宋体" w:cs="宋体"/>
          <w:b/>
          <w:sz w:val="32"/>
          <w:szCs w:val="32"/>
        </w:rPr>
      </w:pPr>
    </w:p>
    <w:p>
      <w:pPr>
        <w:ind w:firstLine="3465" w:firstLineChars="1083"/>
        <w:rPr>
          <w:rFonts w:hAnsi="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ind w:firstLine="4765" w:firstLineChars="1083"/>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snapToGrid w:val="0"/>
        <w:spacing w:beforeLines="50"/>
        <w:jc w:val="center"/>
        <w:rPr>
          <w:rFonts w:hAnsi="宋体" w:cs="宋体"/>
          <w:b/>
          <w:sz w:val="32"/>
          <w:szCs w:val="32"/>
        </w:rPr>
      </w:pPr>
      <w:r>
        <w:rPr>
          <w:rFonts w:hint="eastAsia" w:hAnsi="宋体" w:cs="宋体"/>
          <w:b/>
          <w:sz w:val="36"/>
          <w:szCs w:val="36"/>
        </w:rPr>
        <w:t>第一章  招标公告</w:t>
      </w:r>
    </w:p>
    <w:p>
      <w:pPr>
        <w:spacing w:line="440" w:lineRule="exact"/>
        <w:outlineLvl w:val="0"/>
        <w:rPr>
          <w:rFonts w:hAnsi="宋体" w:cs="宋体"/>
          <w:b/>
          <w:sz w:val="24"/>
          <w:szCs w:val="24"/>
        </w:rPr>
      </w:pPr>
      <w:r>
        <w:rPr>
          <w:rFonts w:hint="eastAsia" w:hAnsi="宋体" w:cs="宋体"/>
          <w:b/>
          <w:sz w:val="24"/>
          <w:szCs w:val="24"/>
        </w:rPr>
        <w:t>1.招标条件</w:t>
      </w:r>
    </w:p>
    <w:p>
      <w:pPr>
        <w:tabs>
          <w:tab w:val="left" w:pos="982"/>
        </w:tabs>
        <w:spacing w:line="440" w:lineRule="exact"/>
        <w:ind w:firstLine="480" w:firstLineChars="200"/>
        <w:jc w:val="left"/>
        <w:rPr>
          <w:rFonts w:hAnsi="宋体" w:cs="宋体"/>
          <w:b/>
          <w:sz w:val="24"/>
          <w:szCs w:val="24"/>
          <w:u w:val="single"/>
        </w:rPr>
      </w:pPr>
      <w:r>
        <w:rPr>
          <w:rFonts w:hint="eastAsia" w:hAnsi="宋体" w:eastAsia="宋体" w:cs="宋体"/>
          <w:bCs/>
          <w:sz w:val="24"/>
          <w:szCs w:val="24"/>
        </w:rPr>
        <w:t>西关街道办事处许昌市土产公司家属院等2个家属院改造工程已由许魏发改【2019】38号文件批准建设，招标人为许昌市魏都区西关街道办事处，建设资金为财政资金，项目出资比例为100%。项目已具备招标条件，现对该项目的施工进行公开招标。</w:t>
      </w:r>
    </w:p>
    <w:p>
      <w:pPr>
        <w:tabs>
          <w:tab w:val="left" w:pos="4420"/>
        </w:tabs>
        <w:spacing w:line="44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2.1项目编号：XCGC-F2020014</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2.2项目概况：本项目主要建设内容有：电缆桥架敷设、排水沟清淤、外墙面改造、楼梯间窗户更换、楼梯间顶面、墙面改造、车棚屋面更换、院内设置垃圾桶、太阳能路灯等。</w:t>
      </w:r>
      <w:r>
        <w:rPr>
          <w:rFonts w:hAnsi="宋体" w:eastAsia="宋体" w:cs="宋体"/>
          <w:bCs/>
          <w:sz w:val="24"/>
          <w:szCs w:val="24"/>
        </w:rPr>
        <w:t xml:space="preserve"> </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2.3招标控制价：第一标段：1371273.76元；第二标段：608933.77元。</w:t>
      </w:r>
      <w:r>
        <w:rPr>
          <w:rFonts w:hAnsi="宋体" w:eastAsia="宋体" w:cs="宋体"/>
          <w:bCs/>
          <w:sz w:val="24"/>
          <w:szCs w:val="24"/>
        </w:rPr>
        <w:t xml:space="preserve"> </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2.4招标范围：招标文件、施工图纸、工程量清单、答疑纪要和补充文件（如有）范围内的所有建设内容。</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2.5标段划分：本项目共二个标段。第一标段为许昌市土产公司家属院改造工程；第二标段为许昌市解放路99号家属院改造工程。</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2.6计划工期:</w:t>
      </w:r>
      <w:r>
        <w:rPr>
          <w:rFonts w:hint="eastAsia" w:hAnsi="宋体" w:cs="宋体"/>
          <w:bCs/>
          <w:sz w:val="24"/>
          <w:szCs w:val="24"/>
        </w:rPr>
        <w:t xml:space="preserve"> 60日历天/标段。</w:t>
      </w:r>
      <w:r>
        <w:rPr>
          <w:rFonts w:hint="eastAsia" w:hAnsi="宋体" w:eastAsia="宋体" w:cs="宋体"/>
          <w:bCs/>
          <w:sz w:val="24"/>
          <w:szCs w:val="24"/>
        </w:rPr>
        <w:t xml:space="preserve"> </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2.7质量要求：合格（符合国家现行的验收规范和标准）。</w:t>
      </w:r>
    </w:p>
    <w:p>
      <w:pPr>
        <w:spacing w:line="440" w:lineRule="exact"/>
        <w:outlineLvl w:val="0"/>
        <w:rPr>
          <w:rFonts w:hAnsi="宋体" w:cs="宋体"/>
          <w:b/>
          <w:sz w:val="24"/>
          <w:szCs w:val="24"/>
        </w:rPr>
      </w:pPr>
      <w:r>
        <w:rPr>
          <w:rFonts w:hint="eastAsia" w:hAnsi="宋体" w:cs="宋体"/>
          <w:b/>
          <w:sz w:val="24"/>
          <w:szCs w:val="24"/>
        </w:rPr>
        <w:t>3.投标人资格要求</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3.1</w:t>
      </w:r>
      <w:bookmarkStart w:id="83" w:name="_GoBack"/>
      <w:r>
        <w:rPr>
          <w:rFonts w:hint="eastAsia" w:hAnsi="宋体"/>
          <w:sz w:val="24"/>
        </w:rPr>
        <w:t>投标人须具有独立法人资格，</w:t>
      </w:r>
      <w:r>
        <w:rPr>
          <w:rFonts w:hint="eastAsia" w:hAnsi="宋体" w:eastAsia="宋体" w:cs="宋体"/>
          <w:bCs/>
          <w:sz w:val="24"/>
          <w:szCs w:val="24"/>
        </w:rPr>
        <w:t>具备建筑工程施工总承包三级及以上资质，具有有效的安全生产许可证，并在人员、设备、资金等方面具有相应的施工能力。拟派项目负责人具有二级及以上建筑工程专业注册建造师执业资格和有效的安全生产考核合格证，且未担任其它在施建设工程的项目负责人。</w:t>
      </w:r>
      <w:bookmarkEnd w:id="83"/>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3.2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 xml:space="preserve"> 3.3本次招标不接受联合体投标。</w:t>
      </w:r>
    </w:p>
    <w:p>
      <w:pPr>
        <w:tabs>
          <w:tab w:val="left" w:pos="982"/>
        </w:tabs>
        <w:spacing w:line="440" w:lineRule="exact"/>
        <w:ind w:firstLine="480" w:firstLineChars="200"/>
        <w:jc w:val="left"/>
        <w:rPr>
          <w:rFonts w:hAnsi="宋体" w:cs="宋体"/>
          <w:sz w:val="24"/>
          <w:szCs w:val="24"/>
        </w:rPr>
      </w:pPr>
      <w:r>
        <w:rPr>
          <w:rFonts w:hint="eastAsia" w:hAnsi="宋体" w:eastAsia="宋体" w:cs="宋体"/>
          <w:bCs/>
          <w:sz w:val="24"/>
          <w:szCs w:val="24"/>
        </w:rPr>
        <w:t xml:space="preserve"> 3.4本次招标实行资格后审。</w:t>
      </w:r>
    </w:p>
    <w:p>
      <w:pPr>
        <w:spacing w:line="440" w:lineRule="exact"/>
        <w:outlineLvl w:val="0"/>
        <w:rPr>
          <w:rFonts w:hAnsi="宋体"/>
          <w:b/>
          <w:sz w:val="24"/>
          <w:szCs w:val="24"/>
        </w:rPr>
      </w:pPr>
      <w:r>
        <w:rPr>
          <w:rFonts w:hint="eastAsia" w:hAnsi="宋体"/>
          <w:b/>
          <w:sz w:val="24"/>
          <w:szCs w:val="24"/>
        </w:rPr>
        <w:t>4.网上下载招标文件</w:t>
      </w:r>
    </w:p>
    <w:p>
      <w:pPr>
        <w:pStyle w:val="8"/>
        <w:wordWrap w:val="0"/>
        <w:spacing w:beforeAutospacing="0" w:afterAutospacing="0" w:line="44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8"/>
        <w:spacing w:beforeAutospacing="0" w:afterAutospacing="0" w:line="44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440" w:lineRule="exact"/>
        <w:outlineLvl w:val="0"/>
        <w:rPr>
          <w:rFonts w:hAnsi="宋体"/>
          <w:b/>
          <w:sz w:val="24"/>
          <w:szCs w:val="24"/>
        </w:rPr>
      </w:pPr>
      <w:r>
        <w:rPr>
          <w:rFonts w:hint="eastAsia" w:hAnsi="宋体"/>
          <w:b/>
          <w:sz w:val="24"/>
          <w:szCs w:val="24"/>
        </w:rPr>
        <w:t>5.招标文件和施工图纸的获取</w:t>
      </w:r>
    </w:p>
    <w:p>
      <w:pPr>
        <w:widowControl/>
        <w:spacing w:before="226" w:line="460" w:lineRule="atLeast"/>
        <w:ind w:firstLine="480"/>
        <w:jc w:val="left"/>
        <w:rPr>
          <w:rFonts w:hAnsi="宋体"/>
          <w:sz w:val="24"/>
          <w:szCs w:val="24"/>
        </w:rPr>
      </w:pPr>
      <w:r>
        <w:rPr>
          <w:rFonts w:hint="eastAsia" w:hAnsi="宋体"/>
          <w:sz w:val="24"/>
          <w:szCs w:val="24"/>
        </w:rPr>
        <w:t xml:space="preserve"> 5.1招标文件的获取：投标人于投标文件递交截止时间前均可登录《全国公共资源交易平台(河南省▪许昌市)》（http://www.xcggzy.gov.cn/），通过“投标人/供应商登录” 入口自行下载。</w:t>
      </w:r>
    </w:p>
    <w:p>
      <w:pPr>
        <w:tabs>
          <w:tab w:val="left" w:pos="7095"/>
        </w:tabs>
        <w:spacing w:line="440" w:lineRule="exact"/>
        <w:ind w:firstLine="360" w:firstLineChars="150"/>
        <w:rPr>
          <w:rFonts w:hAnsi="宋体"/>
          <w:sz w:val="24"/>
          <w:szCs w:val="24"/>
        </w:rPr>
      </w:pPr>
      <w:r>
        <w:rPr>
          <w:rFonts w:hint="eastAsia" w:hAnsi="宋体"/>
          <w:sz w:val="24"/>
          <w:szCs w:val="24"/>
        </w:rPr>
        <w:t xml:space="preserve"> 5.2施工图纸下载：按照施工招标文件中第二章投标人须知前附表第2.1项自行下载。</w:t>
      </w:r>
    </w:p>
    <w:p>
      <w:pPr>
        <w:autoSpaceDE w:val="0"/>
        <w:autoSpaceDN w:val="0"/>
        <w:adjustRightInd w:val="0"/>
        <w:spacing w:line="440" w:lineRule="exact"/>
        <w:ind w:firstLine="480"/>
        <w:jc w:val="left"/>
        <w:rPr>
          <w:rFonts w:hAnsi="宋体" w:cs="宋体"/>
          <w:b/>
          <w:bCs/>
          <w:sz w:val="24"/>
        </w:rPr>
      </w:pPr>
      <w:r>
        <w:rPr>
          <w:rFonts w:hint="eastAsia" w:hAnsi="宋体"/>
          <w:sz w:val="24"/>
          <w:szCs w:val="24"/>
        </w:rPr>
        <w:t>5.3招标文件每套售价300元/标段，投标人于开标结束后转账至支付宝账户：13937120256（转账时请备注项目编号、所属标段及公司名称）。</w:t>
      </w:r>
    </w:p>
    <w:p>
      <w:pPr>
        <w:autoSpaceDE w:val="0"/>
        <w:autoSpaceDN w:val="0"/>
        <w:adjustRightInd w:val="0"/>
        <w:spacing w:line="440" w:lineRule="exact"/>
        <w:jc w:val="left"/>
        <w:rPr>
          <w:rFonts w:hAnsi="宋体" w:cs="宋体"/>
          <w:b/>
          <w:bCs/>
          <w:sz w:val="24"/>
        </w:rPr>
      </w:pPr>
      <w:r>
        <w:rPr>
          <w:rFonts w:hint="eastAsia" w:hAnsi="宋体" w:cs="宋体"/>
          <w:b/>
          <w:bCs/>
          <w:sz w:val="24"/>
        </w:rPr>
        <w:t>6.投标文件的提交</w:t>
      </w:r>
    </w:p>
    <w:p>
      <w:pPr>
        <w:spacing w:line="440" w:lineRule="exact"/>
        <w:ind w:firstLine="465"/>
        <w:rPr>
          <w:rFonts w:hAnsi="宋体" w:cs="宋体"/>
          <w:sz w:val="24"/>
          <w:szCs w:val="24"/>
        </w:rPr>
      </w:pPr>
      <w:r>
        <w:rPr>
          <w:rFonts w:hint="eastAsia" w:hAnsi="宋体" w:cs="宋体"/>
          <w:sz w:val="24"/>
          <w:szCs w:val="24"/>
        </w:rPr>
        <w:t>6.1 本项目为全流程电子化交易项目，</w:t>
      </w:r>
      <w:r>
        <w:rPr>
          <w:rFonts w:hint="eastAsia" w:hAnsi="宋体"/>
          <w:bCs/>
          <w:sz w:val="24"/>
        </w:rPr>
        <w:t>投标人应按规定在投标截止时间（同开标时间）前通过《全国公共资源交易平台(河南省▪许昌市)》公共资源交易系统成功上传本项目加密电子投标文件。</w:t>
      </w:r>
    </w:p>
    <w:p>
      <w:pPr>
        <w:spacing w:line="440" w:lineRule="exact"/>
        <w:ind w:firstLine="465"/>
        <w:rPr>
          <w:rFonts w:hAnsi="宋体" w:cs="宋体"/>
          <w:sz w:val="24"/>
          <w:szCs w:val="24"/>
        </w:rPr>
      </w:pPr>
      <w:r>
        <w:rPr>
          <w:rFonts w:hint="eastAsia" w:hAnsi="宋体" w:cs="宋体"/>
          <w:sz w:val="24"/>
          <w:szCs w:val="24"/>
        </w:rPr>
        <w:t>6.2 投标文件提交的截止时间及开标时间：2020年3月23日08时30分。</w:t>
      </w:r>
    </w:p>
    <w:p>
      <w:pPr>
        <w:widowControl/>
        <w:spacing w:line="360" w:lineRule="auto"/>
        <w:ind w:firstLine="480" w:firstLineChars="200"/>
        <w:rPr>
          <w:rFonts w:hAnsi="宋体"/>
          <w:bCs/>
          <w:sz w:val="24"/>
        </w:rPr>
      </w:pPr>
      <w:r>
        <w:rPr>
          <w:rFonts w:hint="eastAsia" w:hAnsi="宋体"/>
          <w:bCs/>
          <w:sz w:val="24"/>
        </w:rPr>
        <w:t>6.3招标人（代理机构）线上开标地点：许昌市公共资源交易中心（龙兴路与竹林路交汇处创业服务中心C 座）三楼开标</w:t>
      </w:r>
      <w:r>
        <w:rPr>
          <w:rFonts w:hint="eastAsia" w:hAnsi="宋体"/>
          <w:bCs/>
          <w:sz w:val="24"/>
          <w:u w:val="single"/>
        </w:rPr>
        <w:t>二</w:t>
      </w:r>
      <w:r>
        <w:rPr>
          <w:rFonts w:hint="eastAsia" w:hAnsi="宋体"/>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spacing w:line="440" w:lineRule="exact"/>
        <w:outlineLvl w:val="0"/>
        <w:rPr>
          <w:rFonts w:hAnsi="宋体" w:cs="宋体"/>
          <w:b/>
          <w:sz w:val="24"/>
          <w:szCs w:val="24"/>
        </w:rPr>
      </w:pPr>
      <w:r>
        <w:rPr>
          <w:rFonts w:hint="eastAsia" w:hAnsi="宋体" w:cs="宋体"/>
          <w:b/>
          <w:sz w:val="24"/>
          <w:szCs w:val="24"/>
        </w:rPr>
        <w:t>7.发布公告的媒介</w:t>
      </w:r>
    </w:p>
    <w:p>
      <w:pPr>
        <w:spacing w:line="440" w:lineRule="exact"/>
        <w:rPr>
          <w:rFonts w:hAnsi="宋体" w:cs="宋体"/>
          <w:b/>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440" w:lineRule="exact"/>
        <w:outlineLvl w:val="0"/>
        <w:rPr>
          <w:rFonts w:hAnsi="宋体" w:cs="宋体"/>
          <w:b/>
          <w:sz w:val="24"/>
          <w:szCs w:val="24"/>
        </w:rPr>
      </w:pPr>
      <w:r>
        <w:rPr>
          <w:rFonts w:hint="eastAsia" w:hAnsi="宋体" w:cs="宋体"/>
          <w:b/>
          <w:sz w:val="24"/>
          <w:szCs w:val="24"/>
        </w:rPr>
        <w:t>8.联系方式</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招 标 人：许昌市魏都区西关街道办事处</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地    址：</w:t>
      </w:r>
      <w:r>
        <w:rPr>
          <w:rFonts w:hint="eastAsia" w:hAnsi="宋体" w:eastAsia="宋体" w:cs="宋体"/>
          <w:sz w:val="24"/>
        </w:rPr>
        <w:t>许昌市解放路北段</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联 系 人：</w:t>
      </w:r>
      <w:r>
        <w:rPr>
          <w:rFonts w:hint="eastAsia" w:hAnsi="宋体"/>
          <w:sz w:val="24"/>
          <w:szCs w:val="24"/>
        </w:rPr>
        <w:t>梁炎磊</w:t>
      </w:r>
    </w:p>
    <w:p>
      <w:pPr>
        <w:spacing w:line="440" w:lineRule="exact"/>
        <w:ind w:firstLine="480" w:firstLineChars="200"/>
        <w:outlineLvl w:val="0"/>
        <w:rPr>
          <w:rFonts w:hint="default" w:hAnsi="宋体" w:eastAsia="宋体" w:cs="宋体"/>
          <w:bCs/>
          <w:sz w:val="24"/>
          <w:szCs w:val="24"/>
          <w:lang w:val="en-US" w:eastAsia="zh-CN"/>
        </w:rPr>
      </w:pPr>
      <w:r>
        <w:rPr>
          <w:rFonts w:hint="eastAsia" w:hAnsi="宋体" w:eastAsia="宋体" w:cs="宋体"/>
          <w:bCs/>
          <w:sz w:val="24"/>
          <w:szCs w:val="24"/>
        </w:rPr>
        <w:t>联系电话：</w:t>
      </w:r>
      <w:r>
        <w:rPr>
          <w:rFonts w:hint="eastAsia" w:hAnsi="宋体" w:eastAsia="宋体"/>
          <w:sz w:val="24"/>
          <w:szCs w:val="24"/>
          <w:lang w:val="en-US" w:eastAsia="zh-CN"/>
        </w:rPr>
        <w:t>13837471125</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代理机构：河南招标采购服务有限公司</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地  址：</w:t>
      </w:r>
      <w:r>
        <w:rPr>
          <w:rFonts w:hAnsi="宋体" w:eastAsia="宋体" w:cs="宋体"/>
          <w:bCs/>
          <w:sz w:val="24"/>
          <w:szCs w:val="24"/>
        </w:rPr>
        <w:t>许昌市城乡一体化示范区芙蓉大道芙蓉商务中心1号楼21层</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联 系 人：刘女士    李先生</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联系电话：0374-2219766   13938779030</w:t>
      </w:r>
    </w:p>
    <w:p>
      <w:pPr>
        <w:spacing w:line="440" w:lineRule="exact"/>
        <w:rPr>
          <w:rFonts w:hAnsi="宋体"/>
          <w:b/>
          <w:sz w:val="28"/>
          <w:szCs w:val="28"/>
        </w:rPr>
      </w:pPr>
    </w:p>
    <w:p>
      <w:pPr>
        <w:pStyle w:val="2"/>
        <w:ind w:firstLine="240"/>
        <w:jc w:val="right"/>
        <w:rPr>
          <w:rFonts w:hAnsi="宋体" w:eastAsia="宋体" w:cs="宋体"/>
          <w:bCs/>
          <w:sz w:val="24"/>
          <w:szCs w:val="24"/>
        </w:rPr>
      </w:pPr>
      <w:r>
        <w:rPr>
          <w:rFonts w:hint="eastAsia" w:hAnsi="宋体" w:eastAsia="宋体" w:cs="宋体"/>
          <w:bCs/>
          <w:sz w:val="24"/>
          <w:szCs w:val="24"/>
        </w:rPr>
        <w:t>许昌市魏都区西关街道办事处</w:t>
      </w:r>
    </w:p>
    <w:p>
      <w:pPr>
        <w:pStyle w:val="2"/>
        <w:wordWrap w:val="0"/>
        <w:ind w:firstLine="240"/>
        <w:jc w:val="right"/>
      </w:pPr>
      <w:r>
        <w:rPr>
          <w:rFonts w:hint="eastAsia" w:hAnsi="宋体" w:eastAsia="宋体" w:cs="宋体"/>
          <w:bCs/>
          <w:sz w:val="24"/>
          <w:szCs w:val="24"/>
        </w:rPr>
        <w:t>2020年3月6日</w:t>
      </w:r>
    </w:p>
    <w:p>
      <w:pPr>
        <w:spacing w:line="440" w:lineRule="exact"/>
        <w:rPr>
          <w:rFonts w:hAnsi="宋体"/>
          <w:b/>
          <w:sz w:val="28"/>
          <w:szCs w:val="28"/>
        </w:rPr>
      </w:pPr>
    </w:p>
    <w:p>
      <w:pPr>
        <w:spacing w:line="440" w:lineRule="exact"/>
        <w:rPr>
          <w:rFonts w:hAnsi="宋体"/>
          <w:b/>
          <w:sz w:val="28"/>
          <w:szCs w:val="28"/>
        </w:rPr>
      </w:pPr>
    </w:p>
    <w:p>
      <w:pPr>
        <w:spacing w:line="440" w:lineRule="exact"/>
        <w:rPr>
          <w:rFonts w:hAnsi="宋体"/>
          <w:b/>
          <w:sz w:val="28"/>
          <w:szCs w:val="28"/>
        </w:rPr>
      </w:pPr>
      <w:r>
        <w:rPr>
          <w:rFonts w:hint="eastAsia" w:hAnsi="宋体"/>
          <w:b/>
          <w:sz w:val="28"/>
          <w:szCs w:val="28"/>
        </w:rPr>
        <w:t>温馨提示：</w:t>
      </w:r>
    </w:p>
    <w:p>
      <w:pPr>
        <w:spacing w:line="360" w:lineRule="auto"/>
        <w:ind w:firstLine="560"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spacing w:line="360" w:lineRule="auto"/>
        <w:ind w:firstLine="480" w:firstLineChars="200"/>
        <w:rPr>
          <w:rFonts w:hAnsi="宋体"/>
          <w:sz w:val="24"/>
        </w:rPr>
      </w:pPr>
      <w:r>
        <w:rPr>
          <w:rFonts w:hint="eastAsia" w:hAnsi="宋体"/>
          <w:sz w:val="24"/>
        </w:rPr>
        <w:t>1.投标人应按招标文件规定编制、提交、解密电子投标文件。</w:t>
      </w:r>
    </w:p>
    <w:p>
      <w:pPr>
        <w:spacing w:line="360" w:lineRule="auto"/>
        <w:ind w:firstLine="480" w:firstLineChars="200"/>
        <w:rPr>
          <w:rFonts w:hAnsi="宋体"/>
          <w:sz w:val="24"/>
        </w:rPr>
      </w:pPr>
      <w:r>
        <w:rPr>
          <w:rFonts w:hint="eastAsia" w:hAnsi="宋体"/>
          <w:sz w:val="24"/>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Ansi="宋体"/>
          <w:b/>
          <w:bCs/>
          <w:sz w:val="24"/>
        </w:rPr>
      </w:pPr>
      <w:r>
        <w:rPr>
          <w:rFonts w:hint="eastAsia" w:hAnsi="宋体"/>
          <w:b/>
          <w:bCs/>
          <w:sz w:val="24"/>
        </w:rPr>
        <w:t>3.电子投标文件的制作</w:t>
      </w:r>
    </w:p>
    <w:p>
      <w:pPr>
        <w:spacing w:line="360" w:lineRule="auto"/>
        <w:ind w:firstLine="480" w:firstLineChars="200"/>
        <w:rPr>
          <w:rFonts w:hAnsi="宋体"/>
          <w:sz w:val="24"/>
        </w:rPr>
      </w:pPr>
      <w:r>
        <w:rPr>
          <w:rFonts w:hint="eastAsia" w:hAnsi="宋体"/>
          <w:sz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）下载“许昌投标文件制作系统SEARUN 最新版本”，按招标文件要求制作电子投标文件。</w:t>
      </w:r>
    </w:p>
    <w:p>
      <w:pPr>
        <w:spacing w:line="360" w:lineRule="auto"/>
        <w:ind w:firstLine="480" w:firstLineChars="200"/>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sz w:val="24"/>
        </w:rPr>
      </w:pPr>
      <w:r>
        <w:rPr>
          <w:rFonts w:hint="eastAsia" w:hAnsi="宋体"/>
          <w:sz w:val="24"/>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sz w:val="24"/>
        </w:rPr>
      </w:pPr>
      <w:r>
        <w:rPr>
          <w:rFonts w:hint="eastAsia" w:hAnsi="宋体"/>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sz w:val="24"/>
        </w:rPr>
      </w:pPr>
      <w:r>
        <w:rPr>
          <w:rFonts w:hint="eastAsia" w:hAnsi="宋体"/>
          <w:sz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rPr>
        <w:t>4.1</w:t>
      </w:r>
      <w:r>
        <w:rPr>
          <w:rFonts w:hint="eastAsia" w:hAnsi="宋体" w:cs="宋体"/>
          <w:sz w:val="24"/>
          <w:lang w:val="zh-CN"/>
        </w:rPr>
        <w:t>使用银行转帐方式</w:t>
      </w:r>
      <w:r>
        <w:rPr>
          <w:rFonts w:hint="eastAsia" w:hAnsi="宋体" w:cs="宋体"/>
          <w:sz w:val="24"/>
        </w:rPr>
        <w:t>提交</w:t>
      </w:r>
      <w:r>
        <w:rPr>
          <w:rFonts w:hint="eastAsia" w:hAnsi="宋体" w:cs="宋体"/>
          <w:sz w:val="24"/>
          <w:lang w:val="zh-CN"/>
        </w:rPr>
        <w:t>的，投标人通过基本账户将款项一次足额递交、成功绑定，以收款人到账时间为准。</w:t>
      </w:r>
    </w:p>
    <w:p>
      <w:pPr>
        <w:autoSpaceDE w:val="0"/>
        <w:autoSpaceDN w:val="0"/>
        <w:adjustRightInd w:val="0"/>
        <w:spacing w:line="340" w:lineRule="exact"/>
        <w:ind w:firstLine="480" w:firstLineChars="200"/>
        <w:rPr>
          <w:rFonts w:hAnsi="宋体" w:cs="宋体"/>
          <w:sz w:val="24"/>
        </w:rPr>
      </w:pPr>
      <w:r>
        <w:rPr>
          <w:rFonts w:hint="eastAsia" w:hAnsi="宋体" w:cs="宋体"/>
          <w:sz w:val="24"/>
        </w:rPr>
        <w:t>4.1.1</w:t>
      </w:r>
      <w:r>
        <w:rPr>
          <w:rFonts w:hint="eastAsia" w:hAnsi="宋体" w:cs="宋体"/>
          <w:sz w:val="24"/>
          <w:lang w:val="zh-CN"/>
        </w:rPr>
        <w:t>投标人网上</w:t>
      </w:r>
      <w:r>
        <w:rPr>
          <w:rFonts w:hint="eastAsia" w:hAnsi="宋体" w:cs="宋体"/>
          <w:sz w:val="24"/>
        </w:rPr>
        <w:t>下载招标文件并</w:t>
      </w:r>
      <w:r>
        <w:rPr>
          <w:rFonts w:hint="eastAsia" w:hAnsi="宋体" w:cs="宋体"/>
          <w:sz w:val="24"/>
          <w:lang w:val="zh-CN"/>
        </w:rPr>
        <w:t>根据每个标段的缴纳说明单在</w:t>
      </w:r>
      <w:r>
        <w:rPr>
          <w:rFonts w:hint="eastAsia" w:hAnsi="宋体" w:cs="宋体"/>
          <w:sz w:val="24"/>
        </w:rPr>
        <w:t>开标</w:t>
      </w:r>
      <w:r>
        <w:rPr>
          <w:rFonts w:hint="eastAsia" w:hAnsi="宋体" w:cs="宋体"/>
          <w:sz w:val="24"/>
          <w:lang w:val="zh-CN"/>
        </w:rPr>
        <w:t>截止时间前</w:t>
      </w:r>
      <w:r>
        <w:rPr>
          <w:rFonts w:hint="eastAsia" w:hAnsi="宋体" w:cs="宋体"/>
          <w:sz w:val="24"/>
        </w:rPr>
        <w:t>提交。</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ind w:firstLine="480" w:firstLineChars="200"/>
        <w:rPr>
          <w:rFonts w:hAnsi="宋体" w:cs="宋体"/>
          <w:sz w:val="24"/>
        </w:rPr>
      </w:pPr>
      <w:r>
        <w:rPr>
          <w:rFonts w:hint="eastAsia" w:hAnsi="宋体" w:cs="宋体"/>
          <w:sz w:val="24"/>
        </w:rPr>
        <w:t>4.1.2提交</w:t>
      </w:r>
      <w:r>
        <w:rPr>
          <w:rFonts w:hint="eastAsia" w:hAnsi="宋体" w:cs="宋体"/>
          <w:sz w:val="24"/>
          <w:lang w:val="zh-CN"/>
        </w:rPr>
        <w:t>后</w:t>
      </w:r>
      <w:r>
        <w:rPr>
          <w:rFonts w:hint="eastAsia" w:hAnsi="宋体" w:cs="宋体"/>
          <w:sz w:val="24"/>
        </w:rPr>
        <w:t>再次</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r>
        <w:rPr>
          <w:rFonts w:hint="eastAsia" w:hAnsi="宋体" w:cs="宋体"/>
          <w:sz w:val="24"/>
        </w:rPr>
        <w:t>，前述系统显示“</w:t>
      </w:r>
      <w:r>
        <w:rPr>
          <w:rFonts w:hint="eastAsia" w:hAnsi="宋体" w:cs="宋体"/>
          <w:sz w:val="24"/>
          <w:lang w:val="zh-CN"/>
        </w:rPr>
        <w:t>许昌公共资源交易中心保证金缴纳回执</w:t>
      </w:r>
      <w:r>
        <w:rPr>
          <w:rFonts w:hint="eastAsia" w:hAnsi="宋体" w:cs="宋体"/>
          <w:sz w:val="24"/>
        </w:rPr>
        <w:t>”表示投标保证金提交完成。</w:t>
      </w:r>
      <w:r>
        <w:rPr>
          <w:rFonts w:hint="eastAsia" w:hAnsi="宋体" w:cs="宋体"/>
          <w:sz w:val="24"/>
          <w:lang w:val="zh-CN"/>
        </w:rPr>
        <w:t>未绑定标段的投标保证金，视为未按</w:t>
      </w:r>
      <w:r>
        <w:rPr>
          <w:rFonts w:hint="eastAsia" w:hAnsi="宋体" w:cs="宋体"/>
          <w:sz w:val="24"/>
        </w:rPr>
        <w:t>规定提交。</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rPr>
        <w:t>4.1.3投标人按照所投项目及标段</w:t>
      </w:r>
      <w:r>
        <w:rPr>
          <w:rFonts w:hint="eastAsia" w:hAnsi="宋体" w:cs="宋体"/>
          <w:sz w:val="24"/>
          <w:lang w:val="zh-CN"/>
        </w:rPr>
        <w:t>将缴纳凭证“许昌公共资源交易中心保证金缴纳回执”附于投标文件中。</w:t>
      </w:r>
    </w:p>
    <w:p>
      <w:pPr>
        <w:autoSpaceDE w:val="0"/>
        <w:autoSpaceDN w:val="0"/>
        <w:adjustRightInd w:val="0"/>
        <w:spacing w:line="340" w:lineRule="exact"/>
        <w:ind w:firstLine="480" w:firstLineChars="200"/>
        <w:rPr>
          <w:rFonts w:hAnsi="宋体"/>
          <w:sz w:val="24"/>
        </w:rPr>
      </w:pPr>
      <w:r>
        <w:rPr>
          <w:rFonts w:hint="eastAsia" w:hAnsi="宋体" w:cs="宋体"/>
          <w:sz w:val="24"/>
        </w:rPr>
        <w:t>4.2</w:t>
      </w:r>
      <w:r>
        <w:rPr>
          <w:rFonts w:hint="eastAsia" w:hAnsi="宋体" w:cs="宋体"/>
          <w:sz w:val="24"/>
          <w:lang w:val="zh-CN"/>
        </w:rPr>
        <w:t>使用银行</w:t>
      </w:r>
      <w:r>
        <w:rPr>
          <w:rFonts w:hint="eastAsia" w:hAnsi="宋体" w:cs="宋体"/>
          <w:sz w:val="24"/>
        </w:rPr>
        <w:t>保函</w:t>
      </w:r>
      <w:r>
        <w:rPr>
          <w:rFonts w:hint="eastAsia" w:hAnsi="宋体" w:cs="宋体"/>
          <w:sz w:val="24"/>
          <w:lang w:val="zh-CN"/>
        </w:rPr>
        <w:t>方式</w:t>
      </w:r>
      <w:r>
        <w:rPr>
          <w:rFonts w:hint="eastAsia" w:hAnsi="宋体" w:cs="宋体"/>
          <w:sz w:val="24"/>
        </w:rPr>
        <w:t>提交</w:t>
      </w:r>
      <w:r>
        <w:rPr>
          <w:rFonts w:hint="eastAsia" w:hAnsi="宋体" w:cs="宋体"/>
          <w:sz w:val="24"/>
          <w:lang w:val="zh-CN"/>
        </w:rPr>
        <w:t>的，投标人</w:t>
      </w:r>
      <w:r>
        <w:rPr>
          <w:rFonts w:hint="eastAsia" w:hAnsi="宋体" w:cs="宋体"/>
          <w:sz w:val="24"/>
        </w:rPr>
        <w:t>办理投标</w:t>
      </w:r>
      <w:r>
        <w:rPr>
          <w:rFonts w:hint="eastAsia" w:hAnsi="宋体" w:cs="宋体"/>
          <w:sz w:val="24"/>
          <w:lang w:val="zh-CN"/>
        </w:rPr>
        <w:t>银行保函，银行保函</w:t>
      </w:r>
      <w:r>
        <w:rPr>
          <w:rFonts w:hint="eastAsia" w:hAnsi="宋体" w:cs="宋体"/>
          <w:sz w:val="24"/>
        </w:rPr>
        <w:t>应</w:t>
      </w:r>
      <w:r>
        <w:rPr>
          <w:rFonts w:hint="eastAsia" w:hAnsi="宋体" w:cs="宋体"/>
          <w:sz w:val="24"/>
          <w:lang w:val="zh-CN"/>
        </w:rPr>
        <w:t>明确</w:t>
      </w:r>
      <w:r>
        <w:rPr>
          <w:rFonts w:hint="eastAsia" w:hAnsi="宋体" w:cs="宋体"/>
          <w:sz w:val="24"/>
        </w:rPr>
        <w:t>所投</w:t>
      </w:r>
      <w:r>
        <w:rPr>
          <w:rFonts w:hint="eastAsia" w:hAnsi="宋体" w:cs="宋体"/>
          <w:sz w:val="24"/>
          <w:lang w:val="zh-CN"/>
        </w:rPr>
        <w:t>项目名称、项目编号及标段、受益人（招标人）、有效期（不低于本项目投标有效期）、担保金额（不低于本项目本标段投标保证金数额）。投标人应将</w:t>
      </w:r>
      <w:r>
        <w:rPr>
          <w:rFonts w:hint="eastAsia" w:hAnsi="宋体" w:cs="宋体"/>
          <w:sz w:val="24"/>
        </w:rPr>
        <w:t>投标</w:t>
      </w:r>
      <w:r>
        <w:rPr>
          <w:rFonts w:hint="eastAsia" w:hAnsi="宋体" w:cs="宋体"/>
          <w:sz w:val="24"/>
          <w:lang w:val="zh-CN"/>
        </w:rPr>
        <w:t>银行保函原件扫描件附于投标文件中，否则视为未按</w:t>
      </w:r>
      <w:r>
        <w:rPr>
          <w:rFonts w:hint="eastAsia" w:hAnsi="宋体" w:cs="宋体"/>
          <w:sz w:val="24"/>
        </w:rPr>
        <w:t>规定提交投标保证金</w:t>
      </w:r>
      <w:r>
        <w:rPr>
          <w:rFonts w:hint="eastAsia" w:hAnsi="宋体" w:cs="宋体"/>
          <w:sz w:val="24"/>
          <w:lang w:val="zh-CN"/>
        </w:rPr>
        <w:t>。</w:t>
      </w:r>
    </w:p>
    <w:p>
      <w:pPr>
        <w:spacing w:line="360" w:lineRule="auto"/>
        <w:ind w:firstLine="480" w:firstLineChars="200"/>
        <w:rPr>
          <w:rFonts w:hAnsi="宋体"/>
          <w:b/>
          <w:bCs/>
          <w:sz w:val="24"/>
        </w:rPr>
      </w:pPr>
      <w:r>
        <w:rPr>
          <w:rFonts w:hint="eastAsia" w:hAnsi="宋体"/>
          <w:b/>
          <w:bCs/>
          <w:sz w:val="24"/>
        </w:rPr>
        <w:t>5.加密电子投标文件的提交</w:t>
      </w:r>
    </w:p>
    <w:p>
      <w:pPr>
        <w:spacing w:line="360" w:lineRule="auto"/>
        <w:ind w:firstLine="480" w:firstLineChars="200"/>
        <w:rPr>
          <w:rFonts w:hAnsi="宋体"/>
          <w:sz w:val="24"/>
        </w:rPr>
      </w:pPr>
      <w:r>
        <w:rPr>
          <w:rFonts w:hint="eastAsia" w:hAnsi="宋体"/>
          <w:sz w:val="24"/>
        </w:rPr>
        <w:t>5.1加密电子投标文件应按规定在投标截止时间（开标时间）之前成功提交至《全国公共资源交易平台(河南省▪许昌市)》公共资源交易系统（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w:t>
      </w:r>
    </w:p>
    <w:p>
      <w:pPr>
        <w:spacing w:line="360" w:lineRule="auto"/>
        <w:ind w:firstLine="480" w:firstLineChars="200"/>
        <w:rPr>
          <w:rFonts w:hAnsi="宋体"/>
          <w:sz w:val="24"/>
        </w:rPr>
      </w:pPr>
      <w:r>
        <w:rPr>
          <w:rFonts w:hint="eastAsia" w:hAnsi="宋体"/>
          <w:sz w:val="24"/>
        </w:rPr>
        <w:t>投标人应充分考虑并预留技术处理和上传数据所需时间。</w:t>
      </w:r>
    </w:p>
    <w:p>
      <w:pPr>
        <w:spacing w:line="360" w:lineRule="auto"/>
        <w:ind w:firstLine="480" w:firstLineChars="200"/>
        <w:rPr>
          <w:rFonts w:hAnsi="宋体"/>
          <w:sz w:val="24"/>
        </w:rPr>
      </w:pPr>
      <w:r>
        <w:rPr>
          <w:rFonts w:hint="eastAsia" w:hAnsi="宋体"/>
          <w:sz w:val="24"/>
        </w:rPr>
        <w:t>5.2 投标人对同一项目多个标段进行投标的，加密电子投标文件应按标段分别提交。</w:t>
      </w:r>
    </w:p>
    <w:p>
      <w:pPr>
        <w:spacing w:line="360" w:lineRule="auto"/>
        <w:ind w:firstLine="480" w:firstLineChars="200"/>
        <w:rPr>
          <w:rFonts w:hAnsi="宋体"/>
          <w:sz w:val="24"/>
        </w:rPr>
      </w:pPr>
      <w:r>
        <w:rPr>
          <w:rFonts w:hint="eastAsia" w:hAnsi="宋体"/>
          <w:sz w:val="24"/>
        </w:rPr>
        <w:t>5.3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）生成“投标文件提交回执单”。</w:t>
      </w:r>
    </w:p>
    <w:p>
      <w:pPr>
        <w:spacing w:line="360" w:lineRule="auto"/>
        <w:ind w:firstLine="480" w:firstLineChars="200"/>
        <w:rPr>
          <w:rFonts w:hAnsi="宋体"/>
          <w:b/>
          <w:bCs/>
          <w:sz w:val="24"/>
        </w:rPr>
      </w:pPr>
      <w:r>
        <w:rPr>
          <w:rFonts w:hint="eastAsia" w:hAnsi="宋体"/>
          <w:b/>
          <w:bCs/>
          <w:sz w:val="24"/>
        </w:rPr>
        <w:t>6.远程不见面开标（电子投标文件的解密）</w:t>
      </w:r>
    </w:p>
    <w:p>
      <w:pPr>
        <w:spacing w:line="360" w:lineRule="auto"/>
        <w:ind w:firstLine="480" w:firstLineChars="200"/>
        <w:rPr>
          <w:rFonts w:hAnsi="宋体"/>
          <w:sz w:val="24"/>
        </w:rPr>
      </w:pPr>
      <w:r>
        <w:rPr>
          <w:rFonts w:hint="eastAsia" w:hAnsi="宋体"/>
          <w:sz w:val="24"/>
        </w:rPr>
        <w:t>6.1 投标人应熟悉《许昌市不见面开标操作手册》，并提前设置不见面开标浏览器（设置流程详见《许昌市不见面开标操作手册》）。</w:t>
      </w:r>
    </w:p>
    <w:p>
      <w:pPr>
        <w:spacing w:line="360" w:lineRule="auto"/>
        <w:ind w:firstLine="480" w:firstLineChars="200"/>
        <w:rPr>
          <w:rFonts w:hAnsi="宋体"/>
          <w:sz w:val="24"/>
        </w:rPr>
      </w:pPr>
      <w:r>
        <w:rPr>
          <w:rFonts w:hint="eastAsia" w:hAnsi="宋体"/>
          <w:sz w:val="24"/>
        </w:rPr>
        <w:t>6.2 《许昌市不见面开标操作手册》下载路径：全国公共资源交易平台（河南省·许昌市）—“资料下载”栏目。</w:t>
      </w:r>
    </w:p>
    <w:p>
      <w:pPr>
        <w:spacing w:line="360" w:lineRule="auto"/>
        <w:ind w:firstLine="480" w:firstLineChars="200"/>
        <w:rPr>
          <w:rFonts w:hAnsi="宋体"/>
          <w:sz w:val="24"/>
        </w:rPr>
      </w:pPr>
      <w:r>
        <w:rPr>
          <w:rFonts w:hint="eastAsia" w:hAnsi="宋体"/>
          <w:sz w:val="24"/>
        </w:rPr>
        <w:t>6.3开标时间前投标人应登录本项目不见面开标大厅，按照招标文件确定的开标时间准时参加网上开标。</w:t>
      </w:r>
    </w:p>
    <w:p>
      <w:pPr>
        <w:spacing w:line="360" w:lineRule="auto"/>
        <w:ind w:firstLine="480" w:firstLineChars="200"/>
        <w:rPr>
          <w:rFonts w:hAnsi="宋体"/>
          <w:sz w:val="24"/>
        </w:rPr>
      </w:pPr>
      <w:r>
        <w:rPr>
          <w:rFonts w:hint="eastAsia" w:hAnsi="宋体"/>
          <w:sz w:val="24"/>
        </w:rPr>
        <w:t>6.4投标人对开标过程和开标记录如有疑义，可在本项目不见面开标大厅“文字互动”对话框或“新增质疑”处在线提出询问。</w:t>
      </w:r>
    </w:p>
    <w:p>
      <w:pPr>
        <w:spacing w:line="360" w:lineRule="auto"/>
        <w:ind w:firstLine="480" w:firstLineChars="200"/>
        <w:rPr>
          <w:rFonts w:hAnsi="宋体"/>
          <w:sz w:val="24"/>
        </w:rPr>
      </w:pPr>
      <w:r>
        <w:rPr>
          <w:rFonts w:hint="eastAsia" w:hAnsi="宋体"/>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pacing w:line="360" w:lineRule="auto"/>
        <w:ind w:firstLine="480" w:firstLineChars="200"/>
        <w:rPr>
          <w:rFonts w:hAnsi="宋体"/>
          <w:sz w:val="24"/>
        </w:rPr>
      </w:pPr>
      <w:r>
        <w:rPr>
          <w:rFonts w:hint="eastAsia" w:hAnsi="宋体"/>
          <w:sz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spacing w:line="360" w:lineRule="auto"/>
        <w:ind w:firstLine="480" w:firstLineChars="200"/>
        <w:rPr>
          <w:rFonts w:hAnsi="宋体"/>
          <w:sz w:val="24"/>
        </w:rPr>
      </w:pPr>
      <w:r>
        <w:rPr>
          <w:rFonts w:hint="eastAsia" w:hAnsi="宋体"/>
          <w:sz w:val="24"/>
        </w:rPr>
        <w:t>7.1全流程电子化交易（远程不见面开标）项目，评标委员会以成功上传、解密的电子投标文件为评标依据。</w:t>
      </w:r>
    </w:p>
    <w:p>
      <w:pPr>
        <w:autoSpaceDE w:val="0"/>
        <w:autoSpaceDN w:val="0"/>
        <w:spacing w:line="360" w:lineRule="auto"/>
        <w:ind w:firstLine="480" w:firstLineChars="200"/>
        <w:jc w:val="left"/>
        <w:outlineLvl w:val="0"/>
        <w:rPr>
          <w:rFonts w:hAnsi="宋体" w:eastAsia="宋体" w:cs="宋体"/>
          <w:sz w:val="24"/>
        </w:rPr>
      </w:pPr>
      <w:r>
        <w:rPr>
          <w:rFonts w:hint="eastAsia" w:hAnsi="宋体"/>
          <w:sz w:val="24"/>
        </w:rPr>
        <w:t>7.2</w:t>
      </w:r>
      <w:r>
        <w:rPr>
          <w:rFonts w:hint="eastAsia" w:hAnsi="宋体" w:eastAsia="宋体" w:cs="宋体"/>
          <w:sz w:val="24"/>
        </w:rPr>
        <w:t>评审期间，保持投标文件提供的联系方式畅通，评标委员会随时可能对投标文件内容质询，投标人应及时进行答复（包括但不限于电子文档、电子邮件等）。</w:t>
      </w:r>
    </w:p>
    <w:p>
      <w:pPr>
        <w:pStyle w:val="2"/>
        <w:ind w:firstLine="480" w:firstLineChars="200"/>
        <w:rPr>
          <w:rFonts w:hAnsi="宋体" w:eastAsia="宋体" w:cs="宋体"/>
          <w:sz w:val="24"/>
        </w:rPr>
      </w:pPr>
      <w:r>
        <w:rPr>
          <w:rFonts w:hint="eastAsia" w:hAnsi="宋体"/>
          <w:sz w:val="24"/>
        </w:rPr>
        <w:t>7.3</w:t>
      </w:r>
      <w:r>
        <w:rPr>
          <w:rFonts w:hint="eastAsia" w:hAnsi="宋体" w:eastAsia="宋体" w:cs="宋体"/>
          <w:sz w:val="24"/>
        </w:rPr>
        <w:t xml:space="preserve"> 有多轮报价的，各投标人应提前准备好分项报价，为多轮报价做好准备，在</w:t>
      </w:r>
      <w:r>
        <w:rPr>
          <w:rFonts w:hAnsi="宋体" w:eastAsia="宋体" w:cs="宋体"/>
          <w:sz w:val="24"/>
        </w:rPr>
        <w:t>谈判小组</w:t>
      </w:r>
      <w:r>
        <w:rPr>
          <w:rFonts w:hint="eastAsia" w:hAnsi="宋体" w:eastAsia="宋体" w:cs="宋体"/>
          <w:sz w:val="24"/>
        </w:rPr>
        <w:t>发起报价通知后，</w:t>
      </w:r>
      <w:r>
        <w:rPr>
          <w:rFonts w:hAnsi="宋体" w:eastAsia="宋体" w:cs="宋体"/>
          <w:sz w:val="24"/>
        </w:rPr>
        <w:t>在规定时间内提交</w:t>
      </w:r>
      <w:r>
        <w:rPr>
          <w:rFonts w:hint="eastAsia" w:hAnsi="宋体" w:eastAsia="宋体" w:cs="宋体"/>
          <w:sz w:val="24"/>
        </w:rPr>
        <w:t>有效</w:t>
      </w:r>
      <w:r>
        <w:rPr>
          <w:rFonts w:hAnsi="宋体" w:eastAsia="宋体" w:cs="宋体"/>
          <w:sz w:val="24"/>
        </w:rPr>
        <w:t>报价</w:t>
      </w:r>
      <w:r>
        <w:rPr>
          <w:rFonts w:hint="eastAsia" w:hAnsi="宋体" w:eastAsia="宋体" w:cs="宋体"/>
          <w:sz w:val="24"/>
        </w:rPr>
        <w:t>。</w:t>
      </w:r>
    </w:p>
    <w:p>
      <w:pPr>
        <w:widowControl/>
        <w:jc w:val="center"/>
        <w:rPr>
          <w:rFonts w:hAnsi="宋体" w:cs="宋体"/>
          <w:b/>
          <w:sz w:val="36"/>
          <w:szCs w:val="36"/>
        </w:rPr>
      </w:pPr>
      <w:r>
        <w:rPr>
          <w:rFonts w:hAnsi="宋体" w:cs="宋体"/>
          <w:b/>
          <w:sz w:val="36"/>
          <w:szCs w:val="36"/>
        </w:rPr>
        <w:br w:type="page"/>
      </w: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rPr>
                <w:rFonts w:hAnsi="宋体" w:eastAsia="宋体" w:cs="宋体"/>
                <w:sz w:val="24"/>
              </w:rPr>
            </w:pPr>
            <w:r>
              <w:rPr>
                <w:rFonts w:hint="eastAsia" w:hAnsi="宋体" w:eastAsia="宋体" w:cs="宋体"/>
                <w:sz w:val="24"/>
              </w:rPr>
              <w:t>招 标 人：许昌市魏都区西关街道办事处</w:t>
            </w:r>
          </w:p>
          <w:p>
            <w:pPr>
              <w:rPr>
                <w:rFonts w:hAnsi="宋体" w:eastAsia="宋体" w:cs="宋体"/>
                <w:sz w:val="24"/>
              </w:rPr>
            </w:pPr>
            <w:r>
              <w:rPr>
                <w:rFonts w:hint="eastAsia" w:hAnsi="宋体" w:eastAsia="宋体" w:cs="宋体"/>
                <w:sz w:val="24"/>
              </w:rPr>
              <w:t>地    址：许昌市解放路北段</w:t>
            </w:r>
          </w:p>
          <w:p>
            <w:pPr>
              <w:rPr>
                <w:rFonts w:hAnsi="宋体" w:eastAsia="宋体" w:cs="宋体"/>
                <w:bCs/>
                <w:sz w:val="24"/>
              </w:rPr>
            </w:pPr>
            <w:r>
              <w:rPr>
                <w:rFonts w:hint="eastAsia" w:hAnsi="宋体" w:eastAsia="宋体" w:cs="宋体"/>
                <w:bCs/>
                <w:sz w:val="24"/>
              </w:rPr>
              <w:t>联 系 人：</w:t>
            </w:r>
            <w:r>
              <w:rPr>
                <w:rFonts w:hint="eastAsia" w:hAnsi="宋体"/>
                <w:sz w:val="24"/>
                <w:szCs w:val="24"/>
              </w:rPr>
              <w:t>梁炎磊</w:t>
            </w:r>
          </w:p>
          <w:p>
            <w:pPr>
              <w:rPr>
                <w:rFonts w:hAnsi="宋体" w:eastAsia="宋体" w:cs="宋体"/>
                <w:bCs/>
                <w:sz w:val="24"/>
              </w:rPr>
            </w:pPr>
            <w:r>
              <w:rPr>
                <w:rFonts w:hint="eastAsia" w:hAnsi="宋体" w:eastAsia="宋体" w:cs="宋体"/>
                <w:bCs/>
                <w:sz w:val="24"/>
              </w:rPr>
              <w:t>联系电话：</w:t>
            </w:r>
            <w:r>
              <w:rPr>
                <w:rFonts w:hint="eastAsia" w:hAnsi="宋体" w:eastAsia="宋体"/>
                <w:sz w:val="24"/>
                <w:szCs w:val="24"/>
                <w:lang w:val="en-US" w:eastAsia="zh-CN"/>
              </w:rPr>
              <w:t>13837471125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rPr>
                <w:rFonts w:hAnsi="宋体" w:eastAsia="宋体" w:cs="宋体"/>
                <w:bCs/>
                <w:sz w:val="24"/>
              </w:rPr>
            </w:pPr>
            <w:r>
              <w:rPr>
                <w:rFonts w:hint="eastAsia" w:hAnsi="宋体" w:eastAsia="宋体" w:cs="宋体"/>
                <w:bCs/>
                <w:sz w:val="24"/>
              </w:rPr>
              <w:t>代理机构：河南招标采购服务有限公司</w:t>
            </w:r>
          </w:p>
          <w:p>
            <w:pPr>
              <w:rPr>
                <w:rFonts w:hAnsi="宋体" w:eastAsia="宋体" w:cs="宋体"/>
                <w:bCs/>
                <w:sz w:val="24"/>
              </w:rPr>
            </w:pPr>
            <w:r>
              <w:rPr>
                <w:rFonts w:hint="eastAsia" w:hAnsi="宋体" w:eastAsia="宋体" w:cs="宋体"/>
                <w:bCs/>
                <w:sz w:val="24"/>
              </w:rPr>
              <w:t>地  址：</w:t>
            </w:r>
            <w:r>
              <w:rPr>
                <w:rFonts w:hAnsi="宋体" w:eastAsia="宋体" w:cs="宋体"/>
                <w:bCs/>
                <w:sz w:val="24"/>
              </w:rPr>
              <w:t>许昌市城乡一体化示范区芙蓉大道芙蓉商务中心1号楼21层</w:t>
            </w:r>
          </w:p>
          <w:p>
            <w:pPr>
              <w:rPr>
                <w:rFonts w:hAnsi="宋体" w:eastAsia="宋体" w:cs="宋体"/>
                <w:bCs/>
                <w:sz w:val="24"/>
              </w:rPr>
            </w:pPr>
            <w:r>
              <w:rPr>
                <w:rFonts w:hint="eastAsia" w:hAnsi="宋体" w:eastAsia="宋体" w:cs="宋体"/>
                <w:bCs/>
                <w:sz w:val="24"/>
              </w:rPr>
              <w:t>联 系 人：刘女士    李先生</w:t>
            </w:r>
          </w:p>
          <w:p>
            <w:pPr>
              <w:rPr>
                <w:rFonts w:hAnsi="宋体" w:eastAsia="宋体" w:cs="宋体"/>
                <w:bCs/>
                <w:sz w:val="24"/>
              </w:rPr>
            </w:pPr>
            <w:r>
              <w:rPr>
                <w:rFonts w:hint="eastAsia" w:hAnsi="宋体" w:eastAsia="宋体" w:cs="宋体"/>
                <w:bCs/>
                <w:sz w:val="24"/>
              </w:rPr>
              <w:t>联系电话：0374-2219766   13938779030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rPr>
                <w:rFonts w:hAnsi="宋体" w:eastAsia="宋体" w:cs="宋体"/>
                <w:sz w:val="24"/>
              </w:rPr>
            </w:pPr>
            <w:r>
              <w:rPr>
                <w:rFonts w:hint="eastAsia" w:hAnsi="宋体" w:eastAsia="宋体" w:cs="宋体"/>
                <w:bCs/>
                <w:sz w:val="24"/>
                <w:szCs w:val="24"/>
              </w:rPr>
              <w:t>西关街道办事处许昌市土产公司家属院等2个家属院改造工程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rPr>
                <w:rFonts w:hAnsi="宋体" w:eastAsia="宋体" w:cs="宋体"/>
                <w:sz w:val="24"/>
              </w:rPr>
            </w:pPr>
            <w:r>
              <w:rPr>
                <w:rFonts w:hint="eastAsia" w:hAnsi="宋体" w:eastAsia="宋体" w:cs="宋体"/>
                <w:bCs/>
                <w:sz w:val="24"/>
                <w:szCs w:val="24"/>
              </w:rPr>
              <w:t>该项目位于许昌市魏都区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highlight w:val="yellow"/>
              </w:rPr>
            </w:pPr>
            <w:r>
              <w:rPr>
                <w:rFonts w:hint="eastAsia" w:hAnsi="宋体" w:eastAsia="宋体" w:cs="宋体"/>
                <w:sz w:val="24"/>
                <w:szCs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rPr>
                <w:rFonts w:hAnsi="宋体" w:eastAsia="宋体" w:cs="宋体"/>
                <w:sz w:val="24"/>
              </w:rPr>
            </w:pPr>
            <w:r>
              <w:rPr>
                <w:rFonts w:hint="eastAsia" w:hAnsi="宋体" w:eastAsia="宋体" w:cs="宋体"/>
                <w:sz w:val="24"/>
              </w:rPr>
              <w:t>招标文件和工程量清单及图纸的获取：投标人于投标文件递交截止时间前均可登录【全国公共资源交易平台(河南省</w:t>
            </w:r>
            <w:r>
              <w:rPr>
                <w:rFonts w:hint="eastAsia" w:ascii="MS Mincho" w:hAnsi="MS Mincho" w:eastAsia="MS Mincho" w:cs="MS Mincho"/>
                <w:sz w:val="24"/>
              </w:rPr>
              <w:t>▪</w:t>
            </w:r>
            <w:r>
              <w:rPr>
                <w:rFonts w:hint="eastAsia" w:hAnsi="宋体" w:eastAsia="宋体" w:cs="宋体"/>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szCs w:val="24"/>
              </w:rPr>
              <w:t>2020年3月23日08时30分</w:t>
            </w:r>
            <w:r>
              <w:rPr>
                <w:rFonts w:hint="eastAsia" w:hAnsi="宋体" w:eastAsia="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sz w:val="24"/>
              </w:rPr>
            </w:pPr>
            <w:r>
              <w:rPr>
                <w:rFonts w:hint="eastAsia" w:hAnsi="宋体" w:eastAsia="宋体" w:cs="宋体"/>
                <w:sz w:val="24"/>
              </w:rPr>
              <w:t xml:space="preserve">2、基本户备案流程： </w:t>
            </w:r>
          </w:p>
          <w:p>
            <w:pPr>
              <w:autoSpaceDE w:val="0"/>
              <w:autoSpaceDN w:val="0"/>
              <w:adjustRightInd w:val="0"/>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sz w:val="24"/>
              </w:rPr>
            </w:pPr>
            <w:r>
              <w:rPr>
                <w:rFonts w:hint="eastAsia" w:hAnsi="宋体" w:eastAsia="宋体" w:cs="宋体"/>
                <w:sz w:val="24"/>
              </w:rPr>
              <w:t>3、特殊情况处理：</w:t>
            </w:r>
          </w:p>
          <w:p>
            <w:pPr>
              <w:autoSpaceDE w:val="0"/>
              <w:autoSpaceDN w:val="0"/>
              <w:adjustRightInd w:val="0"/>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4" w:colFirst="0" w:colLast="2"/>
            <w:bookmarkStart w:id="3" w:name="_Hlk424659721"/>
            <w:bookmarkStart w:id="4" w:name="OLE_LINK3"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同投标截止时间</w:t>
            </w:r>
            <w:r>
              <w:rPr>
                <w:rFonts w:hint="eastAsia" w:hAnsi="宋体" w:eastAsia="宋体" w:cs="宋体"/>
                <w:sz w:val="24"/>
              </w:rPr>
              <w:t>。</w:t>
            </w:r>
          </w:p>
          <w:p>
            <w:pPr>
              <w:autoSpaceDE w:val="0"/>
              <w:autoSpaceDN w:val="0"/>
              <w:adjustRightInd w:val="0"/>
              <w:spacing w:line="276" w:lineRule="auto"/>
              <w:ind w:firstLine="480" w:firstLineChars="200"/>
              <w:jc w:val="left"/>
              <w:rPr>
                <w:rFonts w:hAnsi="宋体" w:eastAsia="宋体" w:cs="宋体"/>
                <w:b/>
                <w:bCs/>
                <w:sz w:val="24"/>
              </w:rPr>
            </w:pPr>
            <w:r>
              <w:rPr>
                <w:rFonts w:hint="eastAsia" w:hAnsi="宋体" w:eastAsia="宋体" w:cs="宋体"/>
                <w:b/>
                <w:bCs/>
                <w:sz w:val="24"/>
              </w:rPr>
              <w:t>第一标段：</w:t>
            </w:r>
          </w:p>
          <w:p>
            <w:pPr>
              <w:autoSpaceDE w:val="0"/>
              <w:autoSpaceDN w:val="0"/>
              <w:adjustRightInd w:val="0"/>
              <w:spacing w:line="276" w:lineRule="auto"/>
              <w:ind w:firstLine="480" w:firstLineChars="200"/>
              <w:jc w:val="left"/>
              <w:rPr>
                <w:rFonts w:hAnsi="宋体" w:eastAsia="宋体" w:cs="宋体"/>
                <w:b/>
                <w:bCs/>
                <w:sz w:val="24"/>
                <w:lang w:val="zh-CN"/>
              </w:rPr>
            </w:pPr>
            <w:r>
              <w:rPr>
                <w:rFonts w:hint="eastAsia" w:hAnsi="宋体" w:eastAsia="宋体" w:cs="宋体"/>
                <w:b/>
                <w:bCs/>
                <w:sz w:val="24"/>
              </w:rPr>
              <w:t>金额：贰万元</w:t>
            </w:r>
            <w:r>
              <w:rPr>
                <w:rFonts w:hint="eastAsia" w:hAnsi="宋体" w:eastAsia="宋体" w:cs="宋体"/>
                <w:b/>
                <w:bCs/>
                <w:sz w:val="24"/>
                <w:lang w:val="zh-CN"/>
              </w:rPr>
              <w:t>整（¥</w:t>
            </w:r>
            <w:r>
              <w:rPr>
                <w:rFonts w:hint="eastAsia" w:hAnsi="宋体" w:eastAsia="宋体" w:cs="宋体"/>
                <w:b/>
                <w:bCs/>
                <w:sz w:val="24"/>
              </w:rPr>
              <w:t>20000</w:t>
            </w:r>
            <w:r>
              <w:rPr>
                <w:rFonts w:hint="eastAsia" w:hAnsi="宋体" w:eastAsia="宋体" w:cs="宋体"/>
                <w:b/>
                <w:bCs/>
                <w:sz w:val="24"/>
                <w:lang w:val="zh-CN"/>
              </w:rPr>
              <w:t>.00元）</w:t>
            </w:r>
          </w:p>
          <w:p>
            <w:pPr>
              <w:autoSpaceDE w:val="0"/>
              <w:autoSpaceDN w:val="0"/>
              <w:adjustRightInd w:val="0"/>
              <w:spacing w:line="276" w:lineRule="auto"/>
              <w:ind w:firstLine="480" w:firstLineChars="200"/>
              <w:jc w:val="left"/>
              <w:rPr>
                <w:rFonts w:hAnsi="宋体" w:eastAsia="宋体" w:cs="宋体"/>
                <w:b/>
                <w:bCs/>
                <w:sz w:val="24"/>
              </w:rPr>
            </w:pPr>
            <w:r>
              <w:rPr>
                <w:rFonts w:hint="eastAsia" w:hAnsi="宋体" w:eastAsia="宋体" w:cs="宋体"/>
                <w:b/>
                <w:bCs/>
                <w:sz w:val="24"/>
              </w:rPr>
              <w:t>第二标段：</w:t>
            </w:r>
          </w:p>
          <w:p>
            <w:pPr>
              <w:autoSpaceDE w:val="0"/>
              <w:autoSpaceDN w:val="0"/>
              <w:adjustRightInd w:val="0"/>
              <w:spacing w:line="276" w:lineRule="auto"/>
              <w:ind w:firstLine="480" w:firstLineChars="200"/>
              <w:jc w:val="left"/>
              <w:rPr>
                <w:rFonts w:hAnsi="宋体" w:eastAsia="宋体" w:cs="宋体"/>
                <w:b/>
                <w:bCs/>
                <w:sz w:val="24"/>
              </w:rPr>
            </w:pPr>
            <w:r>
              <w:rPr>
                <w:rFonts w:hint="eastAsia" w:hAnsi="宋体" w:eastAsia="宋体" w:cs="宋体"/>
                <w:b/>
                <w:bCs/>
                <w:sz w:val="24"/>
              </w:rPr>
              <w:t>金额：壹万</w:t>
            </w:r>
            <w:r>
              <w:rPr>
                <w:rFonts w:hint="eastAsia" w:hAnsi="宋体" w:eastAsia="宋体" w:cs="宋体"/>
                <w:b/>
                <w:bCs/>
                <w:sz w:val="24"/>
                <w:lang w:val="zh-CN"/>
              </w:rPr>
              <w:t>元整（¥</w:t>
            </w:r>
            <w:r>
              <w:rPr>
                <w:rFonts w:hint="eastAsia" w:hAnsi="宋体" w:eastAsia="宋体" w:cs="宋体"/>
                <w:b/>
                <w:bCs/>
                <w:sz w:val="24"/>
              </w:rPr>
              <w:t>10000</w:t>
            </w:r>
            <w:r>
              <w:rPr>
                <w:rFonts w:hint="eastAsia" w:hAnsi="宋体" w:eastAsia="宋体" w:cs="宋体"/>
                <w:b/>
                <w:bCs/>
                <w:sz w:val="24"/>
                <w:lang w:val="zh-CN"/>
              </w:rPr>
              <w:t>.00元）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使用银行保函方式的，</w:t>
            </w:r>
            <w:r>
              <w:rPr>
                <w:rFonts w:hint="eastAsia" w:hAnsi="宋体" w:cs="宋体"/>
                <w:sz w:val="24"/>
              </w:rPr>
              <w:t>投标</w:t>
            </w:r>
            <w:r>
              <w:rPr>
                <w:rFonts w:hint="eastAsia" w:hAnsi="宋体" w:cs="宋体"/>
                <w:sz w:val="24"/>
                <w:lang w:val="zh-CN"/>
              </w:rPr>
              <w:t>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合法的银行保函原件扫描件附于投标文件中，否则视为未按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投标人网上下载招标文件后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2.3投标人成功绑定投标保证金，将缴纳凭证</w:t>
            </w:r>
            <w:r>
              <w:rPr>
                <w:rFonts w:hint="eastAsia" w:hAnsi="宋体" w:cs="宋体"/>
                <w:sz w:val="24"/>
              </w:rPr>
              <w:t>即本项目投保保证金</w:t>
            </w:r>
            <w:r>
              <w:rPr>
                <w:rFonts w:hint="eastAsia" w:hAnsi="宋体" w:cs="宋体"/>
                <w:sz w:val="24"/>
                <w:lang w:val="zh-CN"/>
              </w:rPr>
              <w:t>“许昌公共资源交易中心保证金缴纳回执”附于投标文件中，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276"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2016、2017、2018</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2017年1月1日以来。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2017年1月1日以来。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360" w:lineRule="auto"/>
              <w:rPr>
                <w:rFonts w:hAnsi="宋体" w:eastAsia="宋体" w:cs="宋体"/>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许昌投标文件制作系统SEARUNV1.1</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rPr>
              <w:t>许昌市公共资源交易中心开标二室(许昌市龙兴路竹林路交汇处公共资源大厦三楼）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spacing w:line="520" w:lineRule="exact"/>
              <w:rPr>
                <w:rFonts w:hAnsi="宋体" w:eastAsia="宋体" w:cs="宋体"/>
                <w:sz w:val="24"/>
              </w:rPr>
            </w:pPr>
            <w:r>
              <w:rPr>
                <w:rFonts w:hint="eastAsia" w:hAnsi="宋体" w:eastAsia="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eastAsia="宋体" w:cs="宋体"/>
                <w:sz w:val="24"/>
              </w:rPr>
            </w:pPr>
            <w:r>
              <w:rPr>
                <w:rFonts w:hint="eastAsia" w:hAnsi="宋体" w:eastAsia="宋体" w:cs="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eastAsia="宋体" w:cs="宋体"/>
                <w:sz w:val="24"/>
              </w:rPr>
            </w:pPr>
            <w:r>
              <w:rPr>
                <w:rFonts w:hint="eastAsia" w:hAnsi="宋体" w:eastAsia="宋体" w:cs="宋体"/>
                <w:sz w:val="24"/>
              </w:rPr>
              <w:t>(3)解密完成后，招标人（代理机构）点击“系数抽取”按钮进行系数抽取，系数抽取情况在“公告通知”处显示。</w:t>
            </w:r>
          </w:p>
          <w:p>
            <w:pPr>
              <w:spacing w:line="520" w:lineRule="exact"/>
              <w:rPr>
                <w:rFonts w:hAnsi="宋体" w:eastAsia="宋体" w:cs="宋体"/>
                <w:sz w:val="24"/>
              </w:rPr>
            </w:pPr>
            <w:r>
              <w:rPr>
                <w:rFonts w:hint="eastAsia" w:hAnsi="宋体" w:eastAsia="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ind w:firstLine="120" w:firstLineChars="50"/>
              <w:rPr>
                <w:rFonts w:hAnsi="宋体" w:eastAsia="宋体" w:cs="宋体"/>
                <w:sz w:val="24"/>
              </w:rPr>
            </w:pPr>
            <w:r>
              <w:rPr>
                <w:rFonts w:hint="eastAsia" w:hAnsi="宋体" w:eastAsia="宋体" w:cs="宋体"/>
                <w:sz w:val="24"/>
              </w:rPr>
              <w:t xml:space="preserve"> (5)如无投标人提出异议，招标代理机构通过“文字互动”对话框通知各投标人进行电子签章。投标人应在《开标记录表》上进行电子签章，未进行电子签章的视为对开标结果无异议。</w:t>
            </w:r>
          </w:p>
          <w:p>
            <w:pPr>
              <w:spacing w:line="520" w:lineRule="exact"/>
              <w:rPr>
                <w:rFonts w:hAnsi="宋体" w:eastAsia="宋体" w:cs="宋体"/>
                <w:sz w:val="24"/>
              </w:rPr>
            </w:pPr>
            <w:r>
              <w:rPr>
                <w:rFonts w:hint="eastAsia" w:hAnsi="宋体" w:eastAsia="宋体" w:cs="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Ansi="宋体" w:eastAsia="宋体" w:cs="宋体"/>
                <w:b/>
                <w:bCs/>
                <w:sz w:val="24"/>
              </w:rPr>
            </w:pPr>
            <w:r>
              <w:rPr>
                <w:rFonts w:hint="eastAsia" w:hAnsi="宋体" w:eastAsia="宋体" w:cs="宋体"/>
                <w:sz w:val="24"/>
              </w:rPr>
              <w:t>指2017年1月1日以来（以合同签订时间为准）以来已经完成的建筑工程。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autoSpaceDE w:val="0"/>
              <w:autoSpaceDN w:val="0"/>
              <w:adjustRightInd w:val="0"/>
              <w:spacing w:line="420" w:lineRule="exact"/>
              <w:rPr>
                <w:rFonts w:hAnsi="宋体" w:eastAsia="宋体" w:cs="宋体"/>
                <w:b/>
                <w:sz w:val="24"/>
              </w:rPr>
            </w:pPr>
            <w:r>
              <w:rPr>
                <w:rFonts w:hint="eastAsia" w:hAnsi="宋体" w:eastAsia="宋体" w:cs="宋体"/>
                <w:b/>
                <w:sz w:val="24"/>
              </w:rPr>
              <w:t>本工程设招标控制价：</w:t>
            </w:r>
          </w:p>
          <w:p>
            <w:pPr>
              <w:autoSpaceDE w:val="0"/>
              <w:autoSpaceDN w:val="0"/>
              <w:adjustRightInd w:val="0"/>
              <w:spacing w:line="420" w:lineRule="exact"/>
              <w:rPr>
                <w:rFonts w:hAnsi="宋体" w:eastAsia="宋体" w:cs="宋体"/>
                <w:b/>
                <w:sz w:val="24"/>
              </w:rPr>
            </w:pPr>
            <w:r>
              <w:rPr>
                <w:rFonts w:hint="eastAsia" w:hAnsi="宋体" w:eastAsia="宋体" w:cs="宋体"/>
                <w:b/>
                <w:sz w:val="24"/>
              </w:rPr>
              <w:t>第一标段</w:t>
            </w:r>
          </w:p>
          <w:p>
            <w:pPr>
              <w:autoSpaceDE w:val="0"/>
              <w:autoSpaceDN w:val="0"/>
              <w:adjustRightInd w:val="0"/>
              <w:spacing w:line="420" w:lineRule="exact"/>
              <w:rPr>
                <w:rFonts w:hAnsi="宋体" w:eastAsia="宋体" w:cs="宋体"/>
                <w:sz w:val="24"/>
              </w:rPr>
            </w:pPr>
            <w:r>
              <w:rPr>
                <w:rFonts w:hint="eastAsia" w:hAnsi="宋体" w:eastAsia="宋体" w:cs="宋体"/>
                <w:sz w:val="24"/>
              </w:rPr>
              <w:t>大写：壹佰叁拾柒万壹仟贰佰柒拾叁元柒角陆分</w:t>
            </w:r>
            <w:r>
              <w:rPr>
                <w:rFonts w:hAnsi="宋体" w:eastAsia="宋体" w:cs="宋体"/>
                <w:sz w:val="24"/>
              </w:rPr>
              <w:t xml:space="preserve"> </w:t>
            </w:r>
          </w:p>
          <w:p>
            <w:pPr>
              <w:autoSpaceDE w:val="0"/>
              <w:autoSpaceDN w:val="0"/>
              <w:adjustRightInd w:val="0"/>
              <w:spacing w:line="420" w:lineRule="exact"/>
              <w:rPr>
                <w:rFonts w:hAnsi="宋体" w:eastAsia="宋体" w:cs="宋体"/>
                <w:sz w:val="24"/>
              </w:rPr>
            </w:pPr>
            <w:r>
              <w:rPr>
                <w:rFonts w:hint="eastAsia" w:hAnsi="宋体" w:eastAsia="宋体" w:cs="宋体"/>
                <w:sz w:val="24"/>
              </w:rPr>
              <w:t>小写：1371273.76元</w:t>
            </w:r>
          </w:p>
          <w:p>
            <w:pPr>
              <w:autoSpaceDE w:val="0"/>
              <w:autoSpaceDN w:val="0"/>
              <w:adjustRightInd w:val="0"/>
              <w:spacing w:line="420" w:lineRule="exact"/>
              <w:rPr>
                <w:rFonts w:hAnsi="宋体" w:eastAsia="宋体" w:cs="宋体"/>
                <w:b/>
                <w:sz w:val="24"/>
              </w:rPr>
            </w:pPr>
            <w:r>
              <w:rPr>
                <w:rFonts w:hint="eastAsia" w:hAnsi="宋体" w:eastAsia="宋体" w:cs="宋体"/>
                <w:b/>
                <w:sz w:val="24"/>
              </w:rPr>
              <w:t>第二标段</w:t>
            </w:r>
          </w:p>
          <w:p>
            <w:pPr>
              <w:autoSpaceDE w:val="0"/>
              <w:autoSpaceDN w:val="0"/>
              <w:adjustRightInd w:val="0"/>
              <w:spacing w:line="420" w:lineRule="exact"/>
              <w:rPr>
                <w:rFonts w:hAnsi="宋体" w:eastAsia="宋体" w:cs="宋体"/>
                <w:sz w:val="24"/>
              </w:rPr>
            </w:pPr>
            <w:r>
              <w:rPr>
                <w:rFonts w:hint="eastAsia" w:hAnsi="宋体" w:eastAsia="宋体" w:cs="宋体"/>
                <w:sz w:val="24"/>
              </w:rPr>
              <w:t>大写：陆拾万零捌仟玖佰叁拾叁元柒角柒分</w:t>
            </w:r>
            <w:r>
              <w:rPr>
                <w:rFonts w:hAnsi="宋体" w:eastAsia="宋体" w:cs="宋体"/>
                <w:sz w:val="24"/>
              </w:rPr>
              <w:t xml:space="preserve"> </w:t>
            </w:r>
          </w:p>
          <w:p>
            <w:pPr>
              <w:autoSpaceDE w:val="0"/>
              <w:autoSpaceDN w:val="0"/>
              <w:adjustRightInd w:val="0"/>
              <w:spacing w:line="420" w:lineRule="exact"/>
              <w:rPr>
                <w:rFonts w:hAnsi="宋体" w:eastAsia="宋体" w:cs="宋体"/>
                <w:sz w:val="24"/>
              </w:rPr>
            </w:pPr>
            <w:r>
              <w:rPr>
                <w:rFonts w:hint="eastAsia" w:hAnsi="宋体" w:eastAsia="宋体" w:cs="宋体"/>
                <w:sz w:val="24"/>
              </w:rPr>
              <w:t xml:space="preserve">小写：608933.77元 </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1、未成功上传的投标文件；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5、招标人及其代理机构需留存项目电子档案时，可在质疑期满后使用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6、商务标投标文件制作注意事项：</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360" w:lineRule="auto"/>
              <w:jc w:val="left"/>
              <w:outlineLvl w:val="0"/>
            </w:pPr>
            <w:r>
              <w:rPr>
                <w:rFonts w:hint="eastAsia" w:hAnsi="宋体" w:eastAsia="宋体" w:cs="宋体"/>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sz w:val="24"/>
        </w:rPr>
      </w:pPr>
      <w:bookmarkStart w:id="7"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1.2.3 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52045535"/>
      <w:bookmarkStart w:id="10" w:name="_Toc144974503"/>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2312"/>
      <w:bookmarkStart w:id="14" w:name="_Toc152045536"/>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79632555"/>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6"/>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5546"/>
      <w:bookmarkStart w:id="33" w:name="_Toc152042322"/>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（9）近年发生的诉讼及仲裁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40" w:lineRule="exact"/>
        <w:ind w:firstLine="520" w:firstLineChars="200"/>
        <w:jc w:val="left"/>
        <w:outlineLvl w:val="0"/>
        <w:rPr>
          <w:rFonts w:hAnsi="宋体" w:cs="宋体"/>
          <w:sz w:val="24"/>
        </w:rPr>
      </w:pPr>
      <w:r>
        <w:rPr>
          <w:rFonts w:hint="eastAsia" w:hAnsi="宋体" w:cs="宋体"/>
          <w:bCs/>
          <w:sz w:val="26"/>
          <w:szCs w:val="26"/>
        </w:rPr>
        <w:t>（</w:t>
      </w:r>
      <w:r>
        <w:rPr>
          <w:rFonts w:hint="eastAsia" w:hAnsi="宋体" w:cs="宋体"/>
          <w:sz w:val="24"/>
        </w:rPr>
        <w:t>1）内容完整性</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（8）施工进度表或网络计划图</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投标保证金提交：按《投标人须知前附表》3.4.2条规定。</w:t>
      </w:r>
    </w:p>
    <w:p>
      <w:pPr>
        <w:autoSpaceDE w:val="0"/>
        <w:autoSpaceDN w:val="0"/>
        <w:adjustRightInd w:val="0"/>
        <w:spacing w:line="276" w:lineRule="auto"/>
        <w:ind w:firstLine="480" w:firstLineChars="200"/>
        <w:jc w:val="left"/>
        <w:rPr>
          <w:rFonts w:hAnsi="宋体" w:eastAsia="宋体" w:cs="宋体"/>
          <w:b/>
          <w:bCs/>
          <w:sz w:val="24"/>
        </w:rPr>
      </w:pPr>
      <w:r>
        <w:rPr>
          <w:rFonts w:hint="eastAsia" w:ascii="新宋体" w:hAnsi="新宋体" w:eastAsia="新宋体" w:cs="仿宋_GB2312"/>
          <w:sz w:val="24"/>
          <w:lang w:val="zh-CN"/>
        </w:rPr>
        <w:t>3.4.2.1 投标保证金的</w:t>
      </w:r>
      <w:r>
        <w:rPr>
          <w:rFonts w:hint="eastAsia" w:ascii="新宋体" w:hAnsi="新宋体" w:eastAsia="新宋体" w:cs="仿宋_GB2312"/>
          <w:sz w:val="24"/>
        </w:rPr>
        <w:t>提交</w:t>
      </w:r>
      <w:r>
        <w:rPr>
          <w:rFonts w:hint="eastAsia" w:ascii="新宋体" w:hAnsi="新宋体" w:eastAsia="新宋体" w:cs="仿宋_GB2312"/>
          <w:sz w:val="24"/>
          <w:lang w:val="zh-CN"/>
        </w:rPr>
        <w:t>方式：</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投标保证金的</w:t>
      </w:r>
      <w:r>
        <w:rPr>
          <w:rFonts w:hint="eastAsia" w:hAnsi="宋体" w:cs="宋体"/>
          <w:sz w:val="24"/>
        </w:rPr>
        <w:t>提交</w:t>
      </w:r>
      <w:r>
        <w:rPr>
          <w:rFonts w:hint="eastAsia" w:hAnsi="宋体" w:cs="宋体"/>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sz w:val="24"/>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w:t>
      </w:r>
      <w:r>
        <w:rPr>
          <w:rFonts w:hint="eastAsia" w:hAnsi="宋体" w:cs="宋体"/>
          <w:sz w:val="24"/>
        </w:rPr>
        <w:t>投标</w:t>
      </w:r>
      <w:r>
        <w:rPr>
          <w:rFonts w:hint="eastAsia" w:hAnsi="宋体" w:cs="宋体"/>
          <w:sz w:val="24"/>
          <w:lang w:val="zh-CN"/>
        </w:rPr>
        <w:t>银行保函原件扫描件附于投标文件中，否则视为未按</w:t>
      </w:r>
      <w:r>
        <w:rPr>
          <w:rFonts w:hint="eastAsia" w:hAnsi="宋体" w:cs="宋体"/>
          <w:sz w:val="24"/>
        </w:rPr>
        <w:t>规定提交</w:t>
      </w:r>
      <w:r>
        <w:rPr>
          <w:rFonts w:hint="eastAsia" w:hAnsi="宋体" w:cs="宋体"/>
          <w:sz w:val="24"/>
          <w:lang w:val="zh-CN"/>
        </w:rPr>
        <w:t>。</w:t>
      </w:r>
      <w:r>
        <w:rPr>
          <w:rFonts w:hint="eastAsia" w:hAnsi="宋体" w:cs="宋体"/>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3.4.2.2 </w:t>
      </w:r>
      <w:r>
        <w:rPr>
          <w:rFonts w:hint="eastAsia" w:ascii="新宋体" w:hAnsi="新宋体" w:eastAsia="新宋体" w:cs="仿宋_GB2312"/>
          <w:sz w:val="24"/>
          <w:lang w:val="zh-CN"/>
        </w:rPr>
        <w:t>投标保证金</w:t>
      </w:r>
      <w:r>
        <w:rPr>
          <w:rFonts w:hint="eastAsia" w:ascii="新宋体" w:hAnsi="新宋体" w:eastAsia="新宋体" w:cs="仿宋_GB2312"/>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w:t>
      </w:r>
      <w:r>
        <w:rPr>
          <w:rFonts w:hint="eastAsia" w:ascii="新宋体" w:hAnsi="新宋体" w:eastAsia="新宋体" w:cs="仿宋_GB2312"/>
          <w:sz w:val="24"/>
        </w:rPr>
        <w:t>再次</w:t>
      </w:r>
      <w:r>
        <w:rPr>
          <w:rFonts w:hint="eastAsia" w:ascii="新宋体" w:hAnsi="新宋体" w:eastAsia="新宋体" w:cs="仿宋_GB2312"/>
          <w:sz w:val="24"/>
          <w:lang w:val="zh-CN"/>
        </w:rPr>
        <w:t>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投标人成功绑定投标保证金，将缴纳凭证“许昌公共资源交易中心保证金缴纳回执”附于投标文件中；未绑定标段的投标保证金，视为未按</w:t>
      </w:r>
      <w:r>
        <w:rPr>
          <w:rFonts w:hint="eastAsia" w:hAnsi="宋体" w:cs="宋体"/>
          <w:sz w:val="24"/>
        </w:rPr>
        <w:t>规定</w:t>
      </w:r>
      <w:r>
        <w:rPr>
          <w:rFonts w:hint="eastAsia" w:hAnsi="宋体" w:cs="宋体"/>
          <w:sz w:val="24"/>
          <w:lang w:val="zh-CN"/>
        </w:rPr>
        <w:t>交纳。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sz w:val="24"/>
        </w:rPr>
      </w:pPr>
      <w:r>
        <w:rPr>
          <w:rFonts w:hint="eastAsia" w:hAnsi="宋体" w:cs="宋体"/>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ascii="新宋体" w:hAnsi="新宋体" w:eastAsia="新宋体" w:cs="仿宋_GB2312"/>
          <w:sz w:val="24"/>
        </w:rPr>
      </w:pPr>
      <w:r>
        <w:rPr>
          <w:rFonts w:hint="eastAsia" w:hAnsi="宋体" w:cs="宋体"/>
          <w:sz w:val="24"/>
        </w:rPr>
        <w:t xml:space="preserve">3.5.6  </w:t>
      </w:r>
      <w:r>
        <w:rPr>
          <w:rFonts w:hint="eastAsia" w:ascii="新宋体" w:hAnsi="新宋体" w:eastAsia="新宋体" w:cs="仿宋_GB2312"/>
          <w:sz w:val="24"/>
        </w:rPr>
        <w:t>未按规定提交投标保证金的，由评标委员会否决其投标。</w:t>
      </w:r>
    </w:p>
    <w:p>
      <w:pPr>
        <w:pStyle w:val="2"/>
        <w:ind w:firstLine="241"/>
        <w:rPr>
          <w:rFonts w:eastAsia="新宋体"/>
          <w:b/>
          <w:bCs/>
        </w:rPr>
      </w:pPr>
      <w:r>
        <w:rPr>
          <w:rFonts w:hint="eastAsia" w:ascii="新宋体" w:hAnsi="新宋体" w:eastAsia="新宋体" w:cs="仿宋_GB2312"/>
          <w:b/>
          <w:bCs/>
          <w:sz w:val="24"/>
        </w:rPr>
        <w:t>注：具体评审内容依据第三章评标办法。</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79632571"/>
      <w:bookmarkStart w:id="40" w:name="_Toc144974521"/>
      <w:bookmarkStart w:id="41" w:name="_Toc152042329"/>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bookmarkStart w:id="43" w:name="_Toc283559961"/>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tabs>
          <w:tab w:val="left" w:pos="7095"/>
        </w:tabs>
        <w:spacing w:line="360" w:lineRule="auto"/>
        <w:ind w:firstLine="480" w:firstLineChars="200"/>
        <w:rPr>
          <w:rFonts w:hAnsi="宋体"/>
          <w:sz w:val="24"/>
          <w:szCs w:val="24"/>
        </w:rPr>
      </w:pPr>
      <w:r>
        <w:rPr>
          <w:rFonts w:hint="eastAsia" w:hAnsi="宋体"/>
          <w:sz w:val="24"/>
          <w:szCs w:val="24"/>
        </w:rPr>
        <w:t>3.7.5 当生成的电子投标文件投标报价大小写不一致时，以大写为准。</w:t>
      </w:r>
    </w:p>
    <w:p>
      <w:pPr>
        <w:autoSpaceDE w:val="0"/>
        <w:autoSpaceDN w:val="0"/>
        <w:adjustRightInd w:val="0"/>
        <w:spacing w:line="460" w:lineRule="exact"/>
        <w:jc w:val="left"/>
        <w:rPr>
          <w:rFonts w:hAnsi="宋体" w:cs="宋体"/>
          <w:sz w:val="24"/>
        </w:rPr>
      </w:pPr>
      <w:r>
        <w:rPr>
          <w:rFonts w:hint="eastAsia" w:hAnsi="宋体" w:cs="宋体"/>
          <w:b/>
          <w:bCs/>
          <w:sz w:val="24"/>
        </w:rPr>
        <w:t>3.7.8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3.7.8.2 商务标投标文件制作技术咨询：0374-2961598。</w:t>
      </w:r>
    </w:p>
    <w:p>
      <w:pPr>
        <w:pStyle w:val="16"/>
        <w:spacing w:line="440" w:lineRule="exact"/>
        <w:jc w:val="both"/>
        <w:outlineLvl w:val="0"/>
        <w:rPr>
          <w:rFonts w:hAnsi="宋体"/>
          <w:b/>
          <w:color w:val="auto"/>
        </w:rPr>
      </w:pPr>
      <w:r>
        <w:rPr>
          <w:rFonts w:hint="eastAsia" w:hAnsi="宋体"/>
          <w:b/>
          <w:color w:val="auto"/>
        </w:rPr>
        <w:t>4. 投标</w:t>
      </w:r>
      <w:bookmarkEnd w:id="43"/>
    </w:p>
    <w:p>
      <w:pPr>
        <w:autoSpaceDE w:val="0"/>
        <w:autoSpaceDN w:val="0"/>
        <w:spacing w:line="440" w:lineRule="exact"/>
        <w:jc w:val="left"/>
        <w:outlineLvl w:val="0"/>
        <w:rPr>
          <w:rFonts w:hAnsi="宋体" w:cs="宋体"/>
          <w:b/>
          <w:sz w:val="24"/>
        </w:rPr>
      </w:pPr>
      <w:bookmarkStart w:id="44" w:name="_Toc283559967"/>
      <w:bookmarkStart w:id="45" w:name="_Toc283559970"/>
      <w:r>
        <w:rPr>
          <w:rFonts w:hint="eastAsia" w:hAnsi="宋体" w:cs="宋体"/>
          <w:b/>
          <w:sz w:val="24"/>
        </w:rPr>
        <w:t>4.1 投标文件的提交</w:t>
      </w:r>
    </w:p>
    <w:p>
      <w:pPr>
        <w:autoSpaceDE w:val="0"/>
        <w:autoSpaceDN w:val="0"/>
        <w:spacing w:line="440" w:lineRule="exact"/>
        <w:ind w:firstLine="480" w:firstLineChars="200"/>
        <w:jc w:val="left"/>
        <w:outlineLvl w:val="0"/>
        <w:rPr>
          <w:rFonts w:hAnsi="宋体" w:cs="宋体"/>
          <w:strike/>
          <w:sz w:val="24"/>
        </w:rPr>
      </w:pPr>
      <w:bookmarkStart w:id="46" w:name="_Toc283559964"/>
      <w:r>
        <w:rPr>
          <w:rFonts w:hint="eastAsia" w:hAnsi="宋体" w:cs="宋体"/>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逾期未成功上传的电子投标文件，招标人不予受理。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投标文件的修改与撤回</w:t>
      </w:r>
      <w:bookmarkEnd w:id="46"/>
    </w:p>
    <w:p>
      <w:pPr>
        <w:autoSpaceDE w:val="0"/>
        <w:autoSpaceDN w:val="0"/>
        <w:spacing w:line="440" w:lineRule="exact"/>
        <w:ind w:firstLine="480" w:firstLineChars="200"/>
        <w:jc w:val="left"/>
        <w:rPr>
          <w:rFonts w:hAnsi="宋体" w:cs="宋体"/>
          <w:sz w:val="24"/>
        </w:rPr>
      </w:pPr>
      <w:r>
        <w:rPr>
          <w:rFonts w:hint="eastAsia" w:hAnsi="宋体" w:cs="宋体"/>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投标人应当在投标截止时间前完成电子投标文件的提交，可以补充、修改或撤回。投标截止时间前未完成电子投标文件提交、取得“投标文件提交回执单”的，视为撤回投标文件。</w:t>
      </w:r>
    </w:p>
    <w:p>
      <w:pPr>
        <w:pStyle w:val="16"/>
        <w:spacing w:line="440" w:lineRule="exact"/>
        <w:jc w:val="both"/>
        <w:outlineLvl w:val="0"/>
        <w:rPr>
          <w:rFonts w:hAnsi="宋体"/>
          <w:b/>
          <w:color w:val="auto"/>
        </w:rPr>
      </w:pPr>
      <w:r>
        <w:rPr>
          <w:rFonts w:hint="eastAsia" w:hAnsi="宋体"/>
          <w:b/>
          <w:color w:val="auto"/>
        </w:rPr>
        <w:t>5. 开标</w:t>
      </w:r>
      <w:bookmarkEnd w:id="44"/>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4"/>
        </w:rPr>
      </w:pPr>
      <w:r>
        <w:rPr>
          <w:rFonts w:hint="eastAsia" w:hAnsi="宋体" w:cs="宋体"/>
          <w:b/>
          <w:sz w:val="24"/>
        </w:rPr>
        <w:t>5.2 开标程序</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(2)投标截止时间到达时，招标代理机构点击“开标”按钮，开标开始</w:t>
      </w:r>
      <w:r>
        <w:rPr>
          <w:rFonts w:hint="eastAsia" w:hAnsi="宋体" w:eastAsia="宋体" w:cs="宋体"/>
          <w:sz w:val="24"/>
        </w:rPr>
        <w:t>并进行解密，解密时限为60分钟，各投标人可以远程进行解密投标文件。</w:t>
      </w:r>
      <w:r>
        <w:rPr>
          <w:rFonts w:hint="eastAsia" w:hAnsi="宋体" w:cs="宋体"/>
          <w:sz w:val="24"/>
        </w:rPr>
        <w:t>。投标人未进行解密或未按规定进行解密的，视为放弃投标。待全部投标人解密完成后，招标人（代理机构）进行一键解密。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(3)解密完成后，招标人（代理机构）点击“系数抽取”按钮进行系数抽取，系数抽取情况在“公告通知”处显示。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 (5)如无投标人提出异议，招标代理机构通过“文字互动”对话框通知各投标人进行电子签章。投标人应在《开标记录表》上进行电子签章，未进行电子签章的视为对开标结果无异议。</w:t>
      </w:r>
    </w:p>
    <w:p>
      <w:pPr>
        <w:spacing w:line="360" w:lineRule="auto"/>
        <w:ind w:firstLine="480" w:firstLineChars="200"/>
        <w:rPr>
          <w:rFonts w:hAnsi="宋体" w:cs="宋体"/>
          <w:sz w:val="24"/>
        </w:rPr>
      </w:pPr>
      <w:r>
        <w:rPr>
          <w:rFonts w:hint="eastAsia" w:hAnsi="宋体" w:cs="宋体"/>
          <w:sz w:val="24"/>
        </w:rPr>
        <w:t>（6）招标人（代理机构）签章并上传《开标记录表》，不见面开标活动结束。</w:t>
      </w:r>
    </w:p>
    <w:p>
      <w:pPr>
        <w:pStyle w:val="16"/>
        <w:spacing w:line="440" w:lineRule="exact"/>
        <w:jc w:val="both"/>
        <w:outlineLvl w:val="0"/>
        <w:rPr>
          <w:rFonts w:hAnsi="宋体"/>
          <w:b/>
          <w:color w:val="auto"/>
        </w:rPr>
      </w:pPr>
      <w:r>
        <w:rPr>
          <w:rFonts w:hint="eastAsia" w:hAnsi="宋体"/>
          <w:b/>
          <w:color w:val="auto"/>
        </w:rPr>
        <w:t>6. 评标</w:t>
      </w:r>
      <w:bookmarkEnd w:id="45"/>
    </w:p>
    <w:p>
      <w:pPr>
        <w:autoSpaceDE w:val="0"/>
        <w:autoSpaceDN w:val="0"/>
        <w:adjustRightInd w:val="0"/>
        <w:spacing w:line="440" w:lineRule="exact"/>
        <w:jc w:val="left"/>
        <w:outlineLvl w:val="0"/>
        <w:rPr>
          <w:rFonts w:hAnsi="宋体" w:cs="宋体"/>
          <w:b/>
          <w:sz w:val="24"/>
        </w:rPr>
      </w:pPr>
      <w:bookmarkStart w:id="48" w:name="_Toc283559971"/>
      <w:r>
        <w:rPr>
          <w:rFonts w:hint="eastAsia" w:hAnsi="宋体" w:cs="宋体"/>
          <w:b/>
          <w:sz w:val="24"/>
        </w:rPr>
        <w:t>6.1 评标委员会</w:t>
      </w:r>
      <w:bookmarkEnd w:id="48"/>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49" w:name="_Toc283559972"/>
      <w:r>
        <w:rPr>
          <w:rFonts w:hint="eastAsia" w:hAnsi="宋体" w:cs="宋体"/>
          <w:b/>
          <w:sz w:val="24"/>
        </w:rPr>
        <w:t>6.2 评标原则</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0" w:name="_Toc283559973"/>
      <w:r>
        <w:rPr>
          <w:rFonts w:hint="eastAsia" w:hAnsi="宋体" w:cs="宋体"/>
          <w:b/>
          <w:sz w:val="24"/>
        </w:rPr>
        <w:t>6.3 评标</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6"/>
        <w:spacing w:line="440" w:lineRule="exact"/>
        <w:jc w:val="both"/>
        <w:outlineLvl w:val="0"/>
        <w:rPr>
          <w:rFonts w:hAnsi="宋体"/>
          <w:b/>
          <w:color w:val="auto"/>
        </w:rPr>
      </w:pPr>
      <w:bookmarkStart w:id="51" w:name="_Toc283559974"/>
      <w:r>
        <w:rPr>
          <w:rFonts w:hint="eastAsia" w:hAnsi="宋体"/>
          <w:b/>
          <w:color w:val="auto"/>
        </w:rPr>
        <w:t>7. 合同授予</w:t>
      </w:r>
      <w:bookmarkEnd w:id="51"/>
    </w:p>
    <w:p>
      <w:pPr>
        <w:autoSpaceDE w:val="0"/>
        <w:autoSpaceDN w:val="0"/>
        <w:spacing w:line="440" w:lineRule="exact"/>
        <w:jc w:val="left"/>
        <w:outlineLvl w:val="0"/>
        <w:rPr>
          <w:rFonts w:hAnsi="宋体" w:cs="宋体"/>
          <w:b/>
          <w:sz w:val="24"/>
        </w:rPr>
      </w:pPr>
      <w:bookmarkStart w:id="52" w:name="_Toc283559975"/>
      <w:r>
        <w:rPr>
          <w:rFonts w:hint="eastAsia" w:hAnsi="宋体" w:cs="宋体"/>
          <w:b/>
          <w:sz w:val="24"/>
        </w:rPr>
        <w:t>7.1 定标方式</w:t>
      </w:r>
      <w:bookmarkEnd w:id="52"/>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3" w:name="_Toc283559976"/>
      <w:r>
        <w:rPr>
          <w:rFonts w:hint="eastAsia" w:hAnsi="宋体" w:cs="宋体"/>
          <w:b/>
          <w:sz w:val="24"/>
        </w:rPr>
        <w:t>7.2 中标通知</w:t>
      </w:r>
      <w:bookmarkEnd w:id="5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4" w:name="_Toc152045569"/>
      <w:bookmarkStart w:id="55" w:name="_Toc152042345"/>
      <w:bookmarkStart w:id="56" w:name="_Toc179632587"/>
      <w:bookmarkStart w:id="57" w:name="_Toc144974537"/>
    </w:p>
    <w:p>
      <w:pPr>
        <w:autoSpaceDE w:val="0"/>
        <w:autoSpaceDN w:val="0"/>
        <w:spacing w:line="440" w:lineRule="exact"/>
        <w:jc w:val="left"/>
        <w:outlineLvl w:val="0"/>
        <w:rPr>
          <w:rFonts w:hAnsi="宋体" w:cs="宋体"/>
          <w:b/>
          <w:sz w:val="24"/>
        </w:rPr>
      </w:pPr>
      <w:r>
        <w:rPr>
          <w:rFonts w:hint="eastAsia" w:hAnsi="宋体" w:cs="宋体"/>
          <w:b/>
          <w:sz w:val="24"/>
        </w:rPr>
        <w:t>7.</w:t>
      </w:r>
      <w:bookmarkEnd w:id="54"/>
      <w:bookmarkEnd w:id="55"/>
      <w:bookmarkEnd w:id="56"/>
      <w:bookmarkEnd w:id="57"/>
      <w:bookmarkStart w:id="58" w:name="_Toc283559977"/>
      <w:r>
        <w:rPr>
          <w:rFonts w:hint="eastAsia" w:hAnsi="宋体" w:cs="宋体"/>
          <w:b/>
          <w:sz w:val="24"/>
        </w:rPr>
        <w:t>3签订合同</w:t>
      </w:r>
      <w:bookmarkEnd w:id="58"/>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int="eastAsia" w:hAnsi="宋体" w:cs="宋体"/>
          <w:b/>
          <w:sz w:val="24"/>
        </w:rPr>
        <w:t>8. 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int="eastAsia" w:hAnsi="宋体" w:cs="宋体"/>
          <w:b/>
          <w:sz w:val="24"/>
        </w:rPr>
        <w:t>8.1 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int="eastAsia" w:hAnsi="宋体" w:cs="宋体"/>
          <w:b/>
          <w:sz w:val="24"/>
        </w:rPr>
        <w:t>8.2 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6"/>
        <w:spacing w:line="440" w:lineRule="exact"/>
        <w:jc w:val="both"/>
        <w:outlineLvl w:val="0"/>
        <w:rPr>
          <w:rFonts w:hAnsi="宋体"/>
          <w:b/>
          <w:color w:val="auto"/>
        </w:rPr>
      </w:pPr>
      <w:bookmarkStart w:id="62" w:name="_Toc283559981"/>
      <w:r>
        <w:rPr>
          <w:rFonts w:hint="eastAsia" w:hAnsi="宋体"/>
          <w:b/>
          <w:color w:val="auto"/>
        </w:rPr>
        <w:t>9. 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int="eastAsia" w:hAnsi="宋体" w:cs="宋体"/>
          <w:b/>
          <w:sz w:val="24"/>
        </w:rPr>
        <w:t>9.1 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int="eastAsia" w:hAnsi="宋体" w:cs="宋体"/>
          <w:b/>
          <w:sz w:val="24"/>
        </w:rPr>
        <w:t>9.2 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int="eastAsia" w:hAnsi="宋体" w:cs="宋体"/>
          <w:b/>
          <w:sz w:val="24"/>
        </w:rPr>
        <w:t>9.3 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int="eastAsia" w:hAnsi="宋体" w:cs="宋体"/>
          <w:b/>
          <w:sz w:val="24"/>
        </w:rPr>
        <w:t>9.4 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int="eastAsia" w:hAnsi="宋体" w:cs="宋体"/>
          <w:b/>
          <w:sz w:val="24"/>
        </w:rPr>
        <w:t>9.5 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6"/>
        <w:spacing w:line="440" w:lineRule="exact"/>
        <w:jc w:val="both"/>
        <w:outlineLvl w:val="0"/>
        <w:rPr>
          <w:rFonts w:hAnsi="宋体"/>
          <w:b/>
          <w:color w:val="auto"/>
        </w:rPr>
      </w:pPr>
      <w:bookmarkStart w:id="68" w:name="_Toc283559987"/>
      <w:r>
        <w:rPr>
          <w:rFonts w:hint="eastAsia" w:hAnsi="宋体"/>
          <w:b/>
          <w:color w:val="auto"/>
        </w:rPr>
        <w:t>10. 需要补充的其他内容</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评标办法（综合评标法）</w:t>
      </w:r>
    </w:p>
    <w:p>
      <w:pPr>
        <w:snapToGrid w:val="0"/>
        <w:spacing w:line="360" w:lineRule="auto"/>
        <w:rPr>
          <w:rFonts w:hAnsi="宋体" w:cs="宋体"/>
          <w:sz w:val="24"/>
        </w:rPr>
      </w:pPr>
      <w:r>
        <w:rPr>
          <w:rFonts w:hint="eastAsia" w:hAnsi="宋体" w:cs="宋体"/>
          <w:sz w:val="24"/>
        </w:rPr>
        <w:t xml:space="preserve">     </w:t>
      </w:r>
      <w:bookmarkStart w:id="69" w:name="_Toc283559990"/>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招标人代表1人组成，其中注册造价工程师不少于2人。评标委员会主任从4名随机抽取的评标专家中产生，与投标人有利害关系的专家不得进入评标委员会。</w:t>
      </w:r>
    </w:p>
    <w:p>
      <w:pPr>
        <w:snapToGrid w:val="0"/>
        <w:spacing w:line="360" w:lineRule="auto"/>
        <w:rPr>
          <w:rFonts w:ascii="新宋体" w:hAnsi="新宋体" w:eastAsia="新宋体"/>
          <w:sz w:val="24"/>
        </w:rPr>
      </w:pPr>
      <w:r>
        <w:rPr>
          <w:rFonts w:hint="eastAsia" w:hAnsi="宋体" w:cs="宋体"/>
          <w:sz w:val="24"/>
        </w:rPr>
        <w:t xml:space="preserve">     </w:t>
      </w:r>
      <w:r>
        <w:rPr>
          <w:rFonts w:hint="eastAsia" w:ascii="新宋体" w:hAnsi="新宋体" w:eastAsia="新宋体"/>
          <w:sz w:val="24"/>
        </w:rPr>
        <w:t>三、评标采用综合评标法，是指评标委员会根据招标文件要求，应从技术标、商务标、综合标三部分进行综合评审。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eastAsia="新宋体"/>
          <w:b/>
          <w:sz w:val="24"/>
        </w:rPr>
      </w:pPr>
      <w:r>
        <w:rPr>
          <w:rFonts w:hint="eastAsia" w:hAnsi="宋体" w:cs="宋体"/>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（6）投标文件是否对招标文件的实质性要求和条件作出响应（包括是否按规定缴纳投标保证金）；</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b/>
          <w:sz w:val="24"/>
        </w:rPr>
        <w:t>七、</w:t>
      </w:r>
      <w:r>
        <w:rPr>
          <w:rFonts w:hint="eastAsia" w:ascii="新宋体" w:hAnsi="新宋体" w:eastAsia="新宋体" w:cs="宋体"/>
          <w:b/>
          <w:sz w:val="24"/>
        </w:rPr>
        <w:t>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评标委员会根据招标文件要求应从技术标、商务标、综合标三部分进行综合评审。技术标的权重占25%，商务标的权重占50%，综合标的权重占25%。</w:t>
      </w:r>
    </w:p>
    <w:p>
      <w:pPr>
        <w:snapToGrid w:val="0"/>
        <w:spacing w:line="360" w:lineRule="auto"/>
        <w:rPr>
          <w:rFonts w:hAnsi="宋体" w:cs="宋体"/>
          <w:b/>
          <w:sz w:val="24"/>
        </w:rPr>
      </w:pPr>
      <w:r>
        <w:rPr>
          <w:rFonts w:hint="eastAsia" w:hAnsi="宋体" w:cs="宋体"/>
          <w:b/>
          <w:sz w:val="24"/>
        </w:rPr>
        <w:t>（一）技术标（25分）</w:t>
      </w:r>
    </w:p>
    <w:p>
      <w:pPr>
        <w:snapToGrid w:val="0"/>
        <w:spacing w:line="360" w:lineRule="auto"/>
        <w:rPr>
          <w:rFonts w:ascii="新宋体" w:hAnsi="新宋体" w:eastAsia="新宋体"/>
          <w:sz w:val="24"/>
        </w:rPr>
      </w:pPr>
      <w:r>
        <w:rPr>
          <w:rFonts w:ascii="新宋体" w:hAnsi="新宋体" w:eastAsia="新宋体"/>
          <w:sz w:val="24"/>
        </w:rPr>
        <w:t>评审内容</w:t>
      </w:r>
      <w:r>
        <w:rPr>
          <w:rFonts w:hint="eastAsia" w:ascii="新宋体" w:hAnsi="新宋体" w:eastAsia="新宋体"/>
          <w:sz w:val="24"/>
        </w:rPr>
        <w:t>：</w:t>
      </w:r>
    </w:p>
    <w:tbl>
      <w:tblPr>
        <w:tblStyle w:val="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sz w:val="21"/>
                <w:szCs w:val="21"/>
              </w:rPr>
            </w:pPr>
            <w:bookmarkStart w:id="70" w:name="_Toc295572535"/>
            <w:bookmarkStart w:id="71" w:name="_Toc272833453"/>
            <w:bookmarkStart w:id="72" w:name="_Toc273546398"/>
            <w:bookmarkStart w:id="73" w:name="_Toc270931534"/>
            <w:r>
              <w:rPr>
                <w:rFonts w:hint="eastAsia" w:hAnsi="宋体" w:eastAsia="宋体" w:cs="宋体"/>
                <w:b/>
                <w:bCs/>
                <w:sz w:val="21"/>
                <w:szCs w:val="21"/>
              </w:rPr>
              <w:t>序号</w:t>
            </w:r>
          </w:p>
        </w:tc>
        <w:tc>
          <w:tcPr>
            <w:tcW w:w="1123"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内容</w:t>
            </w:r>
          </w:p>
        </w:tc>
        <w:tc>
          <w:tcPr>
            <w:tcW w:w="980"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分值</w:t>
            </w:r>
          </w:p>
        </w:tc>
        <w:tc>
          <w:tcPr>
            <w:tcW w:w="5344"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评审标准</w:t>
            </w:r>
          </w:p>
        </w:tc>
        <w:tc>
          <w:tcPr>
            <w:tcW w:w="1241"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sz w:val="21"/>
                <w:szCs w:val="21"/>
              </w:rPr>
            </w:pPr>
            <w:r>
              <w:rPr>
                <w:sz w:val="21"/>
                <w:szCs w:val="21"/>
              </w:rPr>
              <w:t>1</w:t>
            </w:r>
          </w:p>
        </w:tc>
        <w:tc>
          <w:tcPr>
            <w:tcW w:w="1123" w:type="dxa"/>
            <w:vMerge w:val="restart"/>
            <w:tcBorders>
              <w:tl2br w:val="nil"/>
              <w:tr2bl w:val="nil"/>
            </w:tcBorders>
            <w:vAlign w:val="center"/>
          </w:tcPr>
          <w:p>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pPr>
              <w:jc w:val="cente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sz w:val="21"/>
                <w:szCs w:val="21"/>
              </w:rPr>
            </w:pPr>
            <w:r>
              <w:rPr>
                <w:sz w:val="21"/>
                <w:szCs w:val="21"/>
              </w:rPr>
              <w:t>2</w:t>
            </w:r>
          </w:p>
        </w:tc>
        <w:tc>
          <w:tcPr>
            <w:tcW w:w="1123" w:type="dxa"/>
            <w:vMerge w:val="restart"/>
            <w:tcBorders>
              <w:tl2br w:val="nil"/>
              <w:tr2bl w:val="nil"/>
            </w:tcBorders>
            <w:vAlign w:val="center"/>
          </w:tcPr>
          <w:p>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sz w:val="21"/>
                <w:szCs w:val="21"/>
              </w:rPr>
            </w:pPr>
            <w:r>
              <w:rPr>
                <w:sz w:val="21"/>
                <w:szCs w:val="21"/>
              </w:rPr>
              <w:t xml:space="preserve"> 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sz w:val="21"/>
                <w:szCs w:val="21"/>
              </w:rPr>
            </w:pPr>
            <w:r>
              <w:rPr>
                <w:sz w:val="21"/>
                <w:szCs w:val="21"/>
              </w:rPr>
              <w:t>3</w:t>
            </w:r>
          </w:p>
        </w:tc>
        <w:tc>
          <w:tcPr>
            <w:tcW w:w="1123" w:type="dxa"/>
            <w:vMerge w:val="restart"/>
            <w:tcBorders>
              <w:tl2br w:val="nil"/>
              <w:tr2bl w:val="nil"/>
            </w:tcBorders>
            <w:vAlign w:val="center"/>
          </w:tcPr>
          <w:p>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sz w:val="21"/>
                <w:szCs w:val="21"/>
              </w:rPr>
            </w:pPr>
            <w:r>
              <w:rPr>
                <w:sz w:val="21"/>
                <w:szCs w:val="21"/>
              </w:rPr>
              <w:t>4</w:t>
            </w:r>
          </w:p>
        </w:tc>
        <w:tc>
          <w:tcPr>
            <w:tcW w:w="1123" w:type="dxa"/>
            <w:vMerge w:val="restart"/>
            <w:tcBorders>
              <w:tl2br w:val="nil"/>
              <w:tr2bl w:val="nil"/>
            </w:tcBorders>
            <w:vAlign w:val="center"/>
          </w:tcPr>
          <w:p>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sz w:val="21"/>
                <w:szCs w:val="21"/>
              </w:rPr>
            </w:pPr>
            <w:r>
              <w:rPr>
                <w:sz w:val="21"/>
                <w:szCs w:val="21"/>
              </w:rPr>
              <w:t>5</w:t>
            </w:r>
          </w:p>
        </w:tc>
        <w:tc>
          <w:tcPr>
            <w:tcW w:w="1123" w:type="dxa"/>
            <w:vMerge w:val="restart"/>
            <w:tcBorders>
              <w:tl2br w:val="nil"/>
              <w:tr2bl w:val="nil"/>
            </w:tcBorders>
            <w:vAlign w:val="center"/>
          </w:tcPr>
          <w:p>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pPr>
              <w:jc w:val="center"/>
              <w:rPr>
                <w:rFonts w:eastAsia="宋体"/>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6</w:t>
            </w:r>
          </w:p>
        </w:tc>
        <w:tc>
          <w:tcPr>
            <w:tcW w:w="1123" w:type="dxa"/>
            <w:vMerge w:val="restart"/>
            <w:tcBorders>
              <w:tl2br w:val="nil"/>
              <w:tr2bl w:val="nil"/>
            </w:tcBorders>
            <w:vAlign w:val="center"/>
          </w:tcPr>
          <w:p>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sz w:val="21"/>
                <w:szCs w:val="21"/>
              </w:rPr>
            </w:pPr>
            <w:r>
              <w:rPr>
                <w:sz w:val="21"/>
                <w:szCs w:val="21"/>
              </w:rPr>
              <w:t>7</w:t>
            </w:r>
          </w:p>
        </w:tc>
        <w:tc>
          <w:tcPr>
            <w:tcW w:w="1123" w:type="dxa"/>
            <w:vMerge w:val="restart"/>
            <w:tcBorders>
              <w:tl2br w:val="nil"/>
              <w:tr2bl w:val="nil"/>
            </w:tcBorders>
            <w:vAlign w:val="center"/>
          </w:tcPr>
          <w:p>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8</w:t>
            </w:r>
          </w:p>
        </w:tc>
        <w:tc>
          <w:tcPr>
            <w:tcW w:w="1123" w:type="dxa"/>
            <w:vMerge w:val="restart"/>
            <w:tcBorders>
              <w:tl2br w:val="nil"/>
              <w:tr2bl w:val="nil"/>
            </w:tcBorders>
            <w:vAlign w:val="center"/>
          </w:tcPr>
          <w:p>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9</w:t>
            </w:r>
          </w:p>
        </w:tc>
        <w:tc>
          <w:tcPr>
            <w:tcW w:w="1123" w:type="dxa"/>
            <w:vMerge w:val="restart"/>
            <w:tcBorders>
              <w:tl2br w:val="nil"/>
              <w:tr2bl w:val="nil"/>
            </w:tcBorders>
            <w:vAlign w:val="center"/>
          </w:tcPr>
          <w:p>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sz w:val="21"/>
                <w:szCs w:val="21"/>
              </w:rPr>
            </w:pPr>
            <w:r>
              <w:rPr>
                <w:sz w:val="21"/>
                <w:szCs w:val="21"/>
              </w:rPr>
              <w:t>10</w:t>
            </w:r>
          </w:p>
        </w:tc>
        <w:tc>
          <w:tcPr>
            <w:tcW w:w="1123" w:type="dxa"/>
            <w:vMerge w:val="restart"/>
            <w:tcBorders>
              <w:tl2br w:val="nil"/>
              <w:tr2bl w:val="nil"/>
            </w:tcBorders>
            <w:vAlign w:val="center"/>
          </w:tcPr>
          <w:p>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sz w:val="21"/>
                <w:szCs w:val="21"/>
              </w:rPr>
            </w:pPr>
            <w:r>
              <w:rPr>
                <w:sz w:val="21"/>
                <w:szCs w:val="21"/>
              </w:rPr>
              <w:t>11</w:t>
            </w:r>
          </w:p>
        </w:tc>
        <w:tc>
          <w:tcPr>
            <w:tcW w:w="1123" w:type="dxa"/>
            <w:vMerge w:val="restart"/>
            <w:tcBorders>
              <w:tl2br w:val="nil"/>
              <w:tr2bl w:val="nil"/>
            </w:tcBorders>
            <w:vAlign w:val="center"/>
          </w:tcPr>
          <w:p>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12</w:t>
            </w:r>
          </w:p>
        </w:tc>
        <w:tc>
          <w:tcPr>
            <w:tcW w:w="1123" w:type="dxa"/>
            <w:vMerge w:val="restart"/>
            <w:tcBorders>
              <w:tl2br w:val="nil"/>
              <w:tr2bl w:val="nil"/>
            </w:tcBorders>
            <w:vAlign w:val="center"/>
          </w:tcPr>
          <w:p>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13</w:t>
            </w:r>
          </w:p>
        </w:tc>
        <w:tc>
          <w:tcPr>
            <w:tcW w:w="1123" w:type="dxa"/>
            <w:vMerge w:val="restart"/>
            <w:tcBorders>
              <w:tl2br w:val="nil"/>
              <w:tr2bl w:val="nil"/>
            </w:tcBorders>
            <w:vAlign w:val="center"/>
          </w:tcPr>
          <w:p>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sz w:val="21"/>
                <w:szCs w:val="21"/>
              </w:rPr>
            </w:pPr>
            <w:r>
              <w:rPr>
                <w:rFonts w:hint="eastAsia"/>
                <w:sz w:val="21"/>
                <w:szCs w:val="21"/>
              </w:rPr>
              <w:t>合计</w:t>
            </w:r>
          </w:p>
        </w:tc>
        <w:tc>
          <w:tcPr>
            <w:tcW w:w="980" w:type="dxa"/>
            <w:tcBorders>
              <w:tl2br w:val="nil"/>
              <w:tr2bl w:val="nil"/>
            </w:tcBorders>
            <w:vAlign w:val="center"/>
          </w:tcPr>
          <w:p>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pPr>
              <w:rPr>
                <w:sz w:val="21"/>
                <w:szCs w:val="21"/>
              </w:rPr>
            </w:pPr>
          </w:p>
        </w:tc>
        <w:tc>
          <w:tcPr>
            <w:tcW w:w="1241" w:type="dxa"/>
            <w:tcBorders>
              <w:tl2br w:val="nil"/>
              <w:tr2bl w:val="nil"/>
            </w:tcBorders>
            <w:vAlign w:val="center"/>
          </w:tcPr>
          <w:p>
            <w:pPr>
              <w:jc w:val="center"/>
              <w:rPr>
                <w:sz w:val="21"/>
                <w:szCs w:val="21"/>
              </w:rPr>
            </w:pPr>
            <w:r>
              <w:rPr>
                <w:sz w:val="21"/>
                <w:szCs w:val="21"/>
              </w:rPr>
              <w:t>10≤</w:t>
            </w:r>
            <w:r>
              <w:rPr>
                <w:rFonts w:hint="eastAsia"/>
                <w:sz w:val="21"/>
                <w:szCs w:val="21"/>
              </w:rPr>
              <w:t>得分</w:t>
            </w:r>
            <w:r>
              <w:rPr>
                <w:sz w:val="21"/>
                <w:szCs w:val="21"/>
              </w:rPr>
              <w:t>≤25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4"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rPr>
        <w:fldChar w:fldCharType="begin"/>
      </w:r>
      <w:r>
        <w:rPr>
          <w:rFonts w:hint="eastAsia" w:ascii="新宋体" w:hAnsi="新宋体" w:eastAsia="新宋体"/>
          <w:sz w:val="24"/>
        </w:rPr>
        <w:instrText xml:space="preserve"> = 3 \* GB3 \* MERGEFORMAT </w:instrText>
      </w:r>
      <w:r>
        <w:rPr>
          <w:rFonts w:hint="eastAsia" w:ascii="新宋体" w:hAnsi="新宋体" w:eastAsia="新宋体"/>
          <w:sz w:val="24"/>
        </w:rPr>
        <w:fldChar w:fldCharType="separate"/>
      </w:r>
      <w:r>
        <w:rPr>
          <w:rFonts w:hint="eastAsia" w:ascii="新宋体" w:hAnsi="新宋体" w:eastAsia="新宋体"/>
          <w:sz w:val="24"/>
        </w:rPr>
        <w:t>③</w:t>
      </w:r>
      <w:r>
        <w:rPr>
          <w:rFonts w:hint="eastAsia" w:ascii="新宋体" w:hAnsi="新宋体" w:eastAsia="新宋体"/>
          <w:sz w:val="24"/>
        </w:rPr>
        <w:fldChar w:fldCharType="end"/>
      </w:r>
      <w:r>
        <w:rPr>
          <w:rFonts w:hint="eastAsia" w:ascii="新宋体" w:hAnsi="新宋体" w:eastAsia="新宋体"/>
          <w:sz w:val="24"/>
        </w:rPr>
        <w:t>上述招标控制价、投标报价、有效投标报价在参与评标基准价计算时，均不含：规费、安全文明施工措施费、暂列金额与专业暂估价、增值税。</w:t>
      </w:r>
      <w:bookmarkEnd w:id="74"/>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3"/>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（四）综合标（25分）</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2"/>
        <w:gridCol w:w="2050"/>
        <w:gridCol w:w="4950"/>
        <w:gridCol w:w="20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9" w:hRule="atLeast"/>
          <w:jc w:val="center"/>
        </w:trPr>
        <w:tc>
          <w:tcPr>
            <w:tcW w:w="662" w:type="dxa"/>
            <w:vAlign w:val="center"/>
          </w:tcPr>
          <w:p>
            <w:pPr>
              <w:jc w:val="center"/>
              <w:rPr>
                <w:rFonts w:hAnsi="宋体" w:eastAsia="宋体" w:cs="宋体"/>
                <w:sz w:val="21"/>
                <w:szCs w:val="21"/>
              </w:rPr>
            </w:pPr>
            <w:r>
              <w:rPr>
                <w:rFonts w:hint="eastAsia" w:hAnsi="宋体" w:eastAsia="宋体" w:cs="宋体"/>
                <w:sz w:val="21"/>
                <w:szCs w:val="21"/>
              </w:rPr>
              <w:t>序号</w:t>
            </w:r>
          </w:p>
        </w:tc>
        <w:tc>
          <w:tcPr>
            <w:tcW w:w="2050" w:type="dxa"/>
            <w:vAlign w:val="center"/>
          </w:tcPr>
          <w:p>
            <w:pPr>
              <w:jc w:val="center"/>
              <w:rPr>
                <w:rFonts w:hAnsi="宋体" w:eastAsia="宋体" w:cs="宋体"/>
                <w:sz w:val="21"/>
                <w:szCs w:val="21"/>
              </w:rPr>
            </w:pPr>
            <w:r>
              <w:rPr>
                <w:rFonts w:hint="eastAsia" w:hAnsi="宋体" w:eastAsia="宋体" w:cs="宋体"/>
                <w:b/>
                <w:sz w:val="21"/>
                <w:szCs w:val="21"/>
              </w:rPr>
              <w:t>量化因素</w:t>
            </w:r>
          </w:p>
        </w:tc>
        <w:tc>
          <w:tcPr>
            <w:tcW w:w="4950" w:type="dxa"/>
            <w:vAlign w:val="center"/>
          </w:tcPr>
          <w:p>
            <w:pPr>
              <w:jc w:val="center"/>
              <w:rPr>
                <w:rFonts w:hAnsi="宋体" w:eastAsia="宋体" w:cs="宋体"/>
                <w:sz w:val="21"/>
                <w:szCs w:val="21"/>
              </w:rPr>
            </w:pPr>
            <w:r>
              <w:rPr>
                <w:rFonts w:hint="eastAsia" w:hAnsi="宋体" w:eastAsia="宋体" w:cs="宋体"/>
                <w:b/>
                <w:sz w:val="21"/>
                <w:szCs w:val="21"/>
              </w:rPr>
              <w:t>评分标准</w:t>
            </w:r>
          </w:p>
        </w:tc>
        <w:tc>
          <w:tcPr>
            <w:tcW w:w="2074" w:type="dxa"/>
            <w:vAlign w:val="center"/>
          </w:tcPr>
          <w:p>
            <w:pPr>
              <w:jc w:val="center"/>
              <w:rPr>
                <w:rFonts w:hAnsi="宋体" w:eastAsia="宋体" w:cs="宋体"/>
                <w:b/>
                <w:sz w:val="21"/>
                <w:szCs w:val="21"/>
              </w:rPr>
            </w:pPr>
            <w:r>
              <w:rPr>
                <w:rFonts w:hint="eastAsia" w:hAnsi="宋体" w:eastAsia="宋体" w:cs="宋体"/>
                <w:b/>
                <w:sz w:val="21"/>
                <w:szCs w:val="21"/>
              </w:rPr>
              <w:t>评审得分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662" w:type="dxa"/>
            <w:vAlign w:val="center"/>
          </w:tcPr>
          <w:p>
            <w:pPr>
              <w:autoSpaceDE w:val="0"/>
              <w:autoSpaceDN w:val="0"/>
              <w:adjustRightInd w:val="0"/>
              <w:jc w:val="center"/>
              <w:rPr>
                <w:rFonts w:eastAsia="宋体"/>
                <w:sz w:val="21"/>
                <w:szCs w:val="21"/>
              </w:rPr>
            </w:pPr>
            <w:r>
              <w:rPr>
                <w:rFonts w:hint="eastAsia"/>
                <w:sz w:val="21"/>
                <w:szCs w:val="21"/>
              </w:rPr>
              <w:t>1</w:t>
            </w:r>
          </w:p>
        </w:tc>
        <w:tc>
          <w:tcPr>
            <w:tcW w:w="2050" w:type="dxa"/>
            <w:vAlign w:val="center"/>
          </w:tcPr>
          <w:p>
            <w:pPr>
              <w:autoSpaceDE w:val="0"/>
              <w:autoSpaceDN w:val="0"/>
              <w:adjustRightInd w:val="0"/>
              <w:rPr>
                <w:sz w:val="21"/>
                <w:szCs w:val="21"/>
              </w:rPr>
            </w:pPr>
            <w:r>
              <w:rPr>
                <w:rFonts w:hint="eastAsia"/>
                <w:sz w:val="21"/>
                <w:szCs w:val="21"/>
              </w:rPr>
              <w:t>企业业绩（0-4分）</w:t>
            </w:r>
          </w:p>
        </w:tc>
        <w:tc>
          <w:tcPr>
            <w:tcW w:w="4950" w:type="dxa"/>
            <w:vAlign w:val="center"/>
          </w:tcPr>
          <w:p>
            <w:pPr>
              <w:snapToGrid w:val="0"/>
              <w:spacing w:line="360" w:lineRule="auto"/>
              <w:rPr>
                <w:sz w:val="21"/>
                <w:szCs w:val="21"/>
              </w:rPr>
            </w:pPr>
            <w:r>
              <w:rPr>
                <w:rFonts w:hint="eastAsia" w:hAnsi="宋体" w:eastAsia="宋体" w:cs="宋体"/>
                <w:sz w:val="21"/>
                <w:szCs w:val="21"/>
              </w:rPr>
              <w:t>2017年1月1日以来（以合同签订时间为准）：企业具有类似工程施工业绩者，每项得2.0分，本项最高得</w:t>
            </w:r>
            <w:r>
              <w:rPr>
                <w:rFonts w:hint="eastAsia" w:hAnsi="宋体" w:cs="宋体"/>
                <w:sz w:val="21"/>
                <w:szCs w:val="21"/>
              </w:rPr>
              <w:t>4</w:t>
            </w:r>
            <w:r>
              <w:rPr>
                <w:rFonts w:hint="eastAsia" w:hAnsi="宋体" w:eastAsia="宋体" w:cs="宋体"/>
                <w:sz w:val="21"/>
                <w:szCs w:val="21"/>
              </w:rPr>
              <w:t>分。（以施工合同和竣工验收表为准或施工合同和中标通知书为准）</w:t>
            </w:r>
          </w:p>
        </w:tc>
        <w:tc>
          <w:tcPr>
            <w:tcW w:w="2074" w:type="dxa"/>
            <w:vAlign w:val="center"/>
          </w:tcPr>
          <w:p>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662" w:type="dxa"/>
            <w:vAlign w:val="center"/>
          </w:tcPr>
          <w:p>
            <w:pPr>
              <w:jc w:val="center"/>
              <w:rPr>
                <w:rFonts w:eastAsia="宋体"/>
                <w:sz w:val="21"/>
                <w:szCs w:val="21"/>
              </w:rPr>
            </w:pPr>
            <w:r>
              <w:rPr>
                <w:rFonts w:hint="eastAsia"/>
                <w:sz w:val="21"/>
                <w:szCs w:val="21"/>
              </w:rPr>
              <w:t>2</w:t>
            </w:r>
          </w:p>
        </w:tc>
        <w:tc>
          <w:tcPr>
            <w:tcW w:w="2050" w:type="dxa"/>
            <w:vAlign w:val="center"/>
          </w:tcPr>
          <w:p>
            <w:pPr>
              <w:rPr>
                <w:sz w:val="21"/>
                <w:szCs w:val="21"/>
              </w:rPr>
            </w:pPr>
            <w:r>
              <w:rPr>
                <w:rFonts w:hint="eastAsia"/>
                <w:sz w:val="21"/>
                <w:szCs w:val="21"/>
              </w:rPr>
              <w:t>项目经理业绩(0-6分）</w:t>
            </w:r>
          </w:p>
        </w:tc>
        <w:tc>
          <w:tcPr>
            <w:tcW w:w="4950" w:type="dxa"/>
            <w:vAlign w:val="center"/>
          </w:tcPr>
          <w:p>
            <w:pPr>
              <w:snapToGrid w:val="0"/>
              <w:spacing w:line="360" w:lineRule="auto"/>
              <w:rPr>
                <w:sz w:val="21"/>
                <w:szCs w:val="21"/>
              </w:rPr>
            </w:pPr>
            <w:r>
              <w:rPr>
                <w:rFonts w:hint="eastAsia" w:hAnsi="宋体" w:eastAsia="宋体" w:cs="宋体"/>
                <w:sz w:val="21"/>
                <w:szCs w:val="21"/>
              </w:rPr>
              <w:t>2017年1月1日以来（以合同签订时间为准）：拟派项目经理具有类似工程施工业绩者，得6分，本项最高得</w:t>
            </w:r>
            <w:r>
              <w:rPr>
                <w:rFonts w:hint="eastAsia" w:hAnsi="宋体" w:cs="宋体"/>
                <w:sz w:val="21"/>
                <w:szCs w:val="21"/>
              </w:rPr>
              <w:t>6</w:t>
            </w:r>
            <w:r>
              <w:rPr>
                <w:rFonts w:hint="eastAsia" w:hAnsi="宋体" w:eastAsia="宋体" w:cs="宋体"/>
                <w:sz w:val="21"/>
                <w:szCs w:val="21"/>
              </w:rPr>
              <w:t>分。（以施工合同和竣工验收表为准或施工合同和中标通知书为准。若施工合同或竣工验收表中未注明项目经理姓名者须提供建设单位出具的相关证明文件）与企业业绩不重复。</w:t>
            </w:r>
          </w:p>
        </w:tc>
        <w:tc>
          <w:tcPr>
            <w:tcW w:w="2074" w:type="dxa"/>
            <w:vAlign w:val="center"/>
          </w:tcPr>
          <w:p>
            <w:pPr>
              <w:jc w:val="center"/>
              <w:rPr>
                <w:sz w:val="21"/>
                <w:szCs w:val="21"/>
              </w:rPr>
            </w:pPr>
            <w:r>
              <w:rPr>
                <w:sz w:val="21"/>
                <w:szCs w:val="21"/>
              </w:rPr>
              <w:t>0</w:t>
            </w:r>
            <w:r>
              <w:rPr>
                <w:rFonts w:hint="eastAsia"/>
                <w:sz w:val="21"/>
                <w:szCs w:val="21"/>
              </w:rPr>
              <w:t>＜得分</w:t>
            </w:r>
            <w:r>
              <w:rPr>
                <w:sz w:val="21"/>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jc w:val="center"/>
        </w:trPr>
        <w:tc>
          <w:tcPr>
            <w:tcW w:w="662" w:type="dxa"/>
            <w:vMerge w:val="restart"/>
            <w:vAlign w:val="center"/>
          </w:tcPr>
          <w:p>
            <w:pPr>
              <w:jc w:val="center"/>
              <w:rPr>
                <w:rFonts w:eastAsia="宋体"/>
                <w:sz w:val="21"/>
                <w:szCs w:val="21"/>
              </w:rPr>
            </w:pPr>
            <w:r>
              <w:rPr>
                <w:rFonts w:hint="eastAsia"/>
                <w:sz w:val="21"/>
                <w:szCs w:val="21"/>
              </w:rPr>
              <w:t>3</w:t>
            </w:r>
          </w:p>
        </w:tc>
        <w:tc>
          <w:tcPr>
            <w:tcW w:w="2050" w:type="dxa"/>
            <w:vMerge w:val="restart"/>
            <w:vAlign w:val="center"/>
          </w:tcPr>
          <w:p>
            <w:pPr>
              <w:spacing w:line="240" w:lineRule="exact"/>
              <w:jc w:val="left"/>
              <w:rPr>
                <w:sz w:val="21"/>
                <w:szCs w:val="21"/>
              </w:rPr>
            </w:pPr>
            <w:r>
              <w:rPr>
                <w:rFonts w:hint="eastAsia"/>
                <w:sz w:val="21"/>
                <w:szCs w:val="21"/>
              </w:rPr>
              <w:t>优惠承诺（1-4分）</w:t>
            </w:r>
          </w:p>
        </w:tc>
        <w:tc>
          <w:tcPr>
            <w:tcW w:w="4950" w:type="dxa"/>
            <w:vAlign w:val="center"/>
          </w:tcPr>
          <w:p>
            <w:pPr>
              <w:snapToGrid w:val="0"/>
              <w:spacing w:line="360" w:lineRule="auto"/>
              <w:rPr>
                <w:rFonts w:hAnsi="宋体" w:eastAsia="宋体" w:cs="宋体"/>
                <w:sz w:val="21"/>
                <w:szCs w:val="21"/>
              </w:rPr>
            </w:pPr>
            <w:r>
              <w:rPr>
                <w:rFonts w:hint="eastAsia" w:hAnsi="宋体" w:eastAsia="宋体" w:cs="宋体"/>
                <w:sz w:val="21"/>
                <w:szCs w:val="21"/>
              </w:rPr>
              <w:t>优惠承诺应是书面的符合工程实际情况，确保依法依规，优惠合理，详实可行。</w:t>
            </w:r>
          </w:p>
        </w:tc>
        <w:tc>
          <w:tcPr>
            <w:tcW w:w="2074" w:type="dxa"/>
            <w:vAlign w:val="center"/>
          </w:tcPr>
          <w:p>
            <w:pPr>
              <w:jc w:val="center"/>
              <w:rPr>
                <w:sz w:val="21"/>
                <w:szCs w:val="21"/>
              </w:rPr>
            </w:pPr>
            <w:r>
              <w:rPr>
                <w:sz w:val="21"/>
                <w:szCs w:val="21"/>
              </w:rPr>
              <w:t>3</w:t>
            </w:r>
            <w:r>
              <w:rPr>
                <w:rFonts w:hint="eastAsia"/>
                <w:sz w:val="21"/>
                <w:szCs w:val="21"/>
              </w:rPr>
              <w:t>＜得分</w:t>
            </w:r>
            <w:r>
              <w:rPr>
                <w:sz w:val="21"/>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4" w:hRule="atLeast"/>
          <w:jc w:val="center"/>
        </w:trPr>
        <w:tc>
          <w:tcPr>
            <w:tcW w:w="662" w:type="dxa"/>
            <w:vMerge w:val="continue"/>
            <w:vAlign w:val="center"/>
          </w:tcPr>
          <w:p>
            <w:pPr>
              <w:jc w:val="left"/>
              <w:rPr>
                <w:sz w:val="21"/>
                <w:szCs w:val="21"/>
              </w:rPr>
            </w:pPr>
          </w:p>
        </w:tc>
        <w:tc>
          <w:tcPr>
            <w:tcW w:w="2050" w:type="dxa"/>
            <w:vMerge w:val="continue"/>
            <w:vAlign w:val="center"/>
          </w:tcPr>
          <w:p>
            <w:pPr>
              <w:spacing w:line="240" w:lineRule="exact"/>
              <w:jc w:val="left"/>
              <w:rPr>
                <w:sz w:val="21"/>
                <w:szCs w:val="21"/>
              </w:rPr>
            </w:pPr>
          </w:p>
        </w:tc>
        <w:tc>
          <w:tcPr>
            <w:tcW w:w="4950" w:type="dxa"/>
            <w:vAlign w:val="center"/>
          </w:tcPr>
          <w:p>
            <w:pPr>
              <w:snapToGrid w:val="0"/>
              <w:spacing w:line="360" w:lineRule="auto"/>
              <w:rPr>
                <w:rFonts w:hAnsi="宋体" w:eastAsia="宋体" w:cs="宋体"/>
                <w:sz w:val="21"/>
                <w:szCs w:val="21"/>
              </w:rPr>
            </w:pPr>
            <w:r>
              <w:rPr>
                <w:rFonts w:hint="eastAsia" w:hAnsi="宋体" w:eastAsia="宋体" w:cs="宋体"/>
                <w:sz w:val="21"/>
                <w:szCs w:val="21"/>
              </w:rPr>
              <w:t>优惠承诺符合工程实际情况，确保依法依规，优惠基本合理，基本详实可行。</w:t>
            </w:r>
          </w:p>
        </w:tc>
        <w:tc>
          <w:tcPr>
            <w:tcW w:w="2074" w:type="dxa"/>
            <w:vAlign w:val="center"/>
          </w:tcPr>
          <w:p>
            <w:pPr>
              <w:jc w:val="center"/>
              <w:rPr>
                <w:sz w:val="21"/>
                <w:szCs w:val="21"/>
              </w:rPr>
            </w:pPr>
            <w:r>
              <w:rPr>
                <w:sz w:val="21"/>
                <w:szCs w:val="21"/>
              </w:rPr>
              <w:t>1≤</w:t>
            </w:r>
            <w:r>
              <w:rPr>
                <w:rFonts w:hint="eastAsia"/>
                <w:sz w:val="21"/>
                <w:szCs w:val="21"/>
              </w:rPr>
              <w:t>得分</w:t>
            </w:r>
            <w:r>
              <w:rPr>
                <w:sz w:val="21"/>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9" w:hRule="atLeast"/>
          <w:jc w:val="center"/>
        </w:trPr>
        <w:tc>
          <w:tcPr>
            <w:tcW w:w="662" w:type="dxa"/>
            <w:vMerge w:val="restart"/>
            <w:vAlign w:val="center"/>
          </w:tcPr>
          <w:p>
            <w:pPr>
              <w:tabs>
                <w:tab w:val="left" w:pos="366"/>
              </w:tabs>
              <w:jc w:val="center"/>
              <w:rPr>
                <w:rFonts w:eastAsia="宋体"/>
                <w:sz w:val="21"/>
                <w:szCs w:val="21"/>
              </w:rPr>
            </w:pPr>
            <w:r>
              <w:rPr>
                <w:rFonts w:hint="eastAsia"/>
                <w:sz w:val="21"/>
                <w:szCs w:val="21"/>
              </w:rPr>
              <w:t>4</w:t>
            </w:r>
          </w:p>
        </w:tc>
        <w:tc>
          <w:tcPr>
            <w:tcW w:w="2050" w:type="dxa"/>
            <w:vMerge w:val="restart"/>
            <w:vAlign w:val="center"/>
          </w:tcPr>
          <w:p>
            <w:pPr>
              <w:spacing w:line="240" w:lineRule="exact"/>
              <w:jc w:val="left"/>
              <w:rPr>
                <w:sz w:val="21"/>
                <w:szCs w:val="21"/>
              </w:rPr>
            </w:pPr>
            <w:r>
              <w:rPr>
                <w:rFonts w:hint="eastAsia"/>
                <w:sz w:val="21"/>
                <w:szCs w:val="21"/>
              </w:rPr>
              <w:t>履职尽责承诺（1-3分）</w:t>
            </w:r>
          </w:p>
        </w:tc>
        <w:tc>
          <w:tcPr>
            <w:tcW w:w="4950" w:type="dxa"/>
            <w:vAlign w:val="center"/>
          </w:tcPr>
          <w:p>
            <w:pPr>
              <w:snapToGrid w:val="0"/>
              <w:spacing w:line="360" w:lineRule="auto"/>
              <w:rPr>
                <w:rFonts w:hAnsi="宋体" w:eastAsia="宋体" w:cs="宋体"/>
                <w:sz w:val="21"/>
                <w:szCs w:val="21"/>
              </w:rPr>
            </w:pPr>
            <w:r>
              <w:rPr>
                <w:rFonts w:hint="eastAsia" w:hAnsi="宋体" w:eastAsia="宋体" w:cs="宋体"/>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2074" w:type="dxa"/>
            <w:vAlign w:val="center"/>
          </w:tcPr>
          <w:p>
            <w:pPr>
              <w:jc w:val="center"/>
              <w:rPr>
                <w:sz w:val="21"/>
                <w:szCs w:val="21"/>
              </w:rPr>
            </w:pPr>
            <w:r>
              <w:rPr>
                <w:sz w:val="21"/>
                <w:szCs w:val="21"/>
              </w:rPr>
              <w:t>2</w:t>
            </w:r>
            <w:r>
              <w:rPr>
                <w:rFonts w:hint="eastAsia"/>
                <w:sz w:val="21"/>
                <w:szCs w:val="21"/>
              </w:rPr>
              <w:t>＜得分</w:t>
            </w:r>
            <w:r>
              <w:rPr>
                <w:sz w:val="21"/>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662" w:type="dxa"/>
            <w:vMerge w:val="continue"/>
            <w:vAlign w:val="center"/>
          </w:tcPr>
          <w:p>
            <w:pPr>
              <w:jc w:val="left"/>
              <w:rPr>
                <w:sz w:val="21"/>
                <w:szCs w:val="21"/>
              </w:rPr>
            </w:pPr>
          </w:p>
        </w:tc>
        <w:tc>
          <w:tcPr>
            <w:tcW w:w="2050" w:type="dxa"/>
            <w:vMerge w:val="continue"/>
            <w:vAlign w:val="center"/>
          </w:tcPr>
          <w:p>
            <w:pPr>
              <w:spacing w:line="240" w:lineRule="exact"/>
              <w:jc w:val="left"/>
              <w:rPr>
                <w:sz w:val="21"/>
                <w:szCs w:val="21"/>
              </w:rPr>
            </w:pPr>
          </w:p>
        </w:tc>
        <w:tc>
          <w:tcPr>
            <w:tcW w:w="4950" w:type="dxa"/>
            <w:vAlign w:val="center"/>
          </w:tcPr>
          <w:p>
            <w:pPr>
              <w:snapToGrid w:val="0"/>
              <w:spacing w:line="360" w:lineRule="auto"/>
              <w:rPr>
                <w:rFonts w:hAnsi="宋体" w:eastAsia="宋体" w:cs="宋体"/>
                <w:sz w:val="21"/>
                <w:szCs w:val="21"/>
              </w:rPr>
            </w:pPr>
            <w:r>
              <w:rPr>
                <w:rFonts w:hint="eastAsia" w:hAnsi="宋体" w:eastAsia="宋体" w:cs="宋体"/>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2074" w:type="dxa"/>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662" w:type="dxa"/>
            <w:vAlign w:val="center"/>
          </w:tcPr>
          <w:p>
            <w:pPr>
              <w:jc w:val="center"/>
              <w:rPr>
                <w:rFonts w:eastAsia="宋体"/>
                <w:sz w:val="21"/>
                <w:szCs w:val="21"/>
              </w:rPr>
            </w:pPr>
            <w:r>
              <w:rPr>
                <w:rFonts w:hint="eastAsia"/>
                <w:sz w:val="21"/>
                <w:szCs w:val="21"/>
              </w:rPr>
              <w:t>5</w:t>
            </w:r>
          </w:p>
        </w:tc>
        <w:tc>
          <w:tcPr>
            <w:tcW w:w="2050" w:type="dxa"/>
            <w:vAlign w:val="center"/>
          </w:tcPr>
          <w:p>
            <w:pPr>
              <w:spacing w:line="240" w:lineRule="exact"/>
              <w:jc w:val="left"/>
              <w:rPr>
                <w:sz w:val="21"/>
                <w:szCs w:val="21"/>
              </w:rPr>
            </w:pPr>
            <w:r>
              <w:rPr>
                <w:rFonts w:hint="eastAsia"/>
                <w:sz w:val="21"/>
                <w:szCs w:val="21"/>
              </w:rPr>
              <w:t>企业信用（含纳税诚信）（0-4分）</w:t>
            </w:r>
          </w:p>
        </w:tc>
        <w:tc>
          <w:tcPr>
            <w:tcW w:w="4950" w:type="dxa"/>
            <w:vAlign w:val="center"/>
          </w:tcPr>
          <w:p>
            <w:pPr>
              <w:snapToGrid w:val="0"/>
              <w:spacing w:line="360" w:lineRule="auto"/>
              <w:rPr>
                <w:rFonts w:hAnsi="宋体" w:eastAsia="宋体" w:cs="宋体"/>
                <w:sz w:val="21"/>
                <w:szCs w:val="21"/>
              </w:rPr>
            </w:pPr>
            <w:r>
              <w:rPr>
                <w:rFonts w:hint="eastAsia" w:hAnsi="宋体" w:eastAsia="宋体" w:cs="宋体"/>
                <w:sz w:val="21"/>
                <w:szCs w:val="21"/>
              </w:rPr>
              <w:t>1、自2016年1月1日以来获得市级及以上安全文明工地的，得2分。（以荣誉证书为准）</w:t>
            </w:r>
          </w:p>
          <w:p>
            <w:pPr>
              <w:snapToGrid w:val="0"/>
              <w:spacing w:line="360" w:lineRule="auto"/>
              <w:rPr>
                <w:rFonts w:hAnsi="宋体" w:eastAsia="宋体" w:cs="宋体"/>
                <w:sz w:val="21"/>
                <w:szCs w:val="21"/>
              </w:rPr>
            </w:pPr>
            <w:r>
              <w:rPr>
                <w:rFonts w:hint="eastAsia" w:hAnsi="宋体" w:eastAsia="宋体" w:cs="宋体"/>
                <w:sz w:val="21"/>
                <w:szCs w:val="21"/>
              </w:rPr>
              <w:t>2、自2016年1月1日以来获得市级及以上安全先进企业的，得1分。（以荣誉证书为准）</w:t>
            </w:r>
          </w:p>
          <w:p>
            <w:pPr>
              <w:snapToGrid w:val="0"/>
              <w:spacing w:line="360" w:lineRule="auto"/>
              <w:rPr>
                <w:rFonts w:hAnsi="宋体" w:eastAsia="宋体" w:cs="宋体"/>
                <w:sz w:val="21"/>
                <w:szCs w:val="21"/>
              </w:rPr>
            </w:pPr>
            <w:r>
              <w:rPr>
                <w:rFonts w:hint="eastAsia" w:hAnsi="宋体" w:eastAsia="宋体" w:cs="宋体"/>
                <w:sz w:val="21"/>
                <w:szCs w:val="21"/>
              </w:rPr>
              <w:t>3、自2016年1月1日以来获得市级及以上质量管理先进企业的，得1分</w:t>
            </w:r>
          </w:p>
        </w:tc>
        <w:tc>
          <w:tcPr>
            <w:tcW w:w="2074" w:type="dxa"/>
            <w:vAlign w:val="center"/>
          </w:tcPr>
          <w:p>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4" w:hRule="atLeast"/>
          <w:jc w:val="center"/>
        </w:trPr>
        <w:tc>
          <w:tcPr>
            <w:tcW w:w="662" w:type="dxa"/>
            <w:vAlign w:val="center"/>
          </w:tcPr>
          <w:p>
            <w:pPr>
              <w:jc w:val="center"/>
              <w:rPr>
                <w:sz w:val="21"/>
                <w:szCs w:val="21"/>
              </w:rPr>
            </w:pPr>
            <w:r>
              <w:rPr>
                <w:rFonts w:hint="eastAsia"/>
                <w:sz w:val="21"/>
                <w:szCs w:val="21"/>
              </w:rPr>
              <w:t>6</w:t>
            </w:r>
          </w:p>
        </w:tc>
        <w:tc>
          <w:tcPr>
            <w:tcW w:w="2050" w:type="dxa"/>
            <w:vAlign w:val="center"/>
          </w:tcPr>
          <w:p>
            <w:pPr>
              <w:spacing w:line="240" w:lineRule="exact"/>
              <w:jc w:val="left"/>
              <w:rPr>
                <w:sz w:val="21"/>
                <w:szCs w:val="21"/>
              </w:rPr>
            </w:pPr>
            <w:r>
              <w:rPr>
                <w:rFonts w:hint="eastAsia"/>
                <w:sz w:val="21"/>
                <w:szCs w:val="21"/>
              </w:rPr>
              <w:t>项目经理信用（0-2分）</w:t>
            </w:r>
          </w:p>
        </w:tc>
        <w:tc>
          <w:tcPr>
            <w:tcW w:w="4950" w:type="dxa"/>
            <w:vAlign w:val="center"/>
          </w:tcPr>
          <w:p>
            <w:pPr>
              <w:snapToGrid w:val="0"/>
              <w:spacing w:line="360" w:lineRule="auto"/>
              <w:rPr>
                <w:rFonts w:hAnsi="宋体" w:eastAsia="宋体" w:cs="宋体"/>
                <w:sz w:val="21"/>
                <w:szCs w:val="21"/>
              </w:rPr>
            </w:pPr>
            <w:r>
              <w:rPr>
                <w:rFonts w:hint="eastAsia" w:hAnsi="宋体" w:eastAsia="宋体" w:cs="宋体"/>
                <w:sz w:val="21"/>
                <w:szCs w:val="21"/>
              </w:rPr>
              <w:t>1、自2016年1月1日以来项目经理获得过省级以上（含省级）科技进步奖者得1分。（需提供获奖证书和同级奖励文件扫描件，以证书时间为准）</w:t>
            </w:r>
          </w:p>
          <w:p>
            <w:pPr>
              <w:snapToGrid w:val="0"/>
              <w:spacing w:line="360" w:lineRule="auto"/>
              <w:rPr>
                <w:rFonts w:hAnsi="宋体" w:eastAsia="宋体" w:cs="宋体"/>
                <w:sz w:val="21"/>
                <w:szCs w:val="21"/>
              </w:rPr>
            </w:pPr>
            <w:r>
              <w:rPr>
                <w:rFonts w:hint="eastAsia" w:hAnsi="宋体" w:eastAsia="宋体" w:cs="宋体"/>
                <w:sz w:val="21"/>
                <w:szCs w:val="21"/>
              </w:rPr>
              <w:t>2、自2016年1月1日以来项目经理获得过省级以上（含省级）安全文明标准工地奖的得1分。（需提供获奖证书和同级奖励文件扫描件，以证书时间为准）</w:t>
            </w:r>
          </w:p>
        </w:tc>
        <w:tc>
          <w:tcPr>
            <w:tcW w:w="2074" w:type="dxa"/>
            <w:vAlign w:val="center"/>
          </w:tcPr>
          <w:p>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662" w:type="dxa"/>
            <w:vAlign w:val="center"/>
          </w:tcPr>
          <w:p>
            <w:pPr>
              <w:tabs>
                <w:tab w:val="left" w:pos="379"/>
              </w:tabs>
              <w:jc w:val="center"/>
              <w:rPr>
                <w:sz w:val="21"/>
                <w:szCs w:val="21"/>
              </w:rPr>
            </w:pPr>
            <w:r>
              <w:rPr>
                <w:rFonts w:hint="eastAsia"/>
                <w:sz w:val="21"/>
                <w:szCs w:val="21"/>
              </w:rPr>
              <w:t>7</w:t>
            </w:r>
          </w:p>
        </w:tc>
        <w:tc>
          <w:tcPr>
            <w:tcW w:w="2050" w:type="dxa"/>
            <w:vAlign w:val="center"/>
          </w:tcPr>
          <w:p>
            <w:pPr>
              <w:jc w:val="center"/>
              <w:rPr>
                <w:sz w:val="21"/>
                <w:szCs w:val="21"/>
              </w:rPr>
            </w:pPr>
            <w:r>
              <w:rPr>
                <w:rFonts w:hint="eastAsia"/>
                <w:sz w:val="21"/>
                <w:szCs w:val="21"/>
              </w:rPr>
              <w:t>招标人意见（0-2分）</w:t>
            </w:r>
          </w:p>
        </w:tc>
        <w:tc>
          <w:tcPr>
            <w:tcW w:w="4950" w:type="dxa"/>
            <w:vAlign w:val="center"/>
          </w:tcPr>
          <w:p>
            <w:pPr>
              <w:snapToGrid w:val="0"/>
              <w:spacing w:line="360" w:lineRule="auto"/>
              <w:rPr>
                <w:rFonts w:hAnsi="宋体" w:eastAsia="宋体" w:cs="宋体"/>
                <w:sz w:val="21"/>
                <w:szCs w:val="21"/>
              </w:rPr>
            </w:pPr>
            <w:r>
              <w:rPr>
                <w:rFonts w:hint="eastAsia" w:hAnsi="宋体" w:eastAsia="宋体" w:cs="宋体"/>
                <w:sz w:val="21"/>
                <w:szCs w:val="21"/>
              </w:rPr>
              <w:t>拟派项目技术负责人具有中级及以上职称者得</w:t>
            </w:r>
            <w:r>
              <w:rPr>
                <w:rFonts w:hint="eastAsia" w:hAnsi="宋体" w:cs="宋体"/>
                <w:sz w:val="21"/>
                <w:szCs w:val="21"/>
              </w:rPr>
              <w:t>2</w:t>
            </w:r>
            <w:r>
              <w:rPr>
                <w:rFonts w:hint="eastAsia" w:hAnsi="宋体" w:eastAsia="宋体" w:cs="宋体"/>
                <w:sz w:val="21"/>
                <w:szCs w:val="21"/>
              </w:rPr>
              <w:t>分；（职称证以人事部门颁发的为准）</w:t>
            </w:r>
          </w:p>
        </w:tc>
        <w:tc>
          <w:tcPr>
            <w:tcW w:w="2074" w:type="dxa"/>
            <w:vAlign w:val="center"/>
          </w:tcPr>
          <w:p>
            <w:pPr>
              <w:jc w:val="center"/>
              <w:rPr>
                <w:sz w:val="21"/>
                <w:szCs w:val="21"/>
              </w:rPr>
            </w:pPr>
            <w:r>
              <w:rPr>
                <w:sz w:val="21"/>
                <w:szCs w:val="21"/>
              </w:rPr>
              <w:t>0≤</w:t>
            </w:r>
            <w:r>
              <w:rPr>
                <w:rFonts w:hint="eastAsia"/>
                <w:sz w:val="21"/>
                <w:szCs w:val="21"/>
              </w:rPr>
              <w:t>得分</w:t>
            </w:r>
            <w:r>
              <w:rPr>
                <w:sz w:val="21"/>
                <w:szCs w:val="21"/>
              </w:rPr>
              <w:t>≤2</w:t>
            </w:r>
            <w:r>
              <w:rPr>
                <w:rFonts w:hint="eastAsia"/>
                <w:sz w:val="21"/>
                <w:szCs w:val="21"/>
              </w:rPr>
              <w:t>分</w:t>
            </w:r>
          </w:p>
        </w:tc>
      </w:tr>
    </w:tbl>
    <w:p>
      <w:pPr>
        <w:snapToGrid w:val="0"/>
        <w:spacing w:line="360" w:lineRule="auto"/>
        <w:rPr>
          <w:rFonts w:hAnsi="宋体" w:cs="宋体"/>
          <w:b/>
          <w:bCs/>
          <w:sz w:val="24"/>
          <w:szCs w:val="24"/>
        </w:rPr>
      </w:pP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投标人综合得分＝技术标得分＋商务标得分＋综合标得分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70"/>
    <w:bookmarkEnd w:id="71"/>
    <w:bookmarkEnd w:id="72"/>
    <w:bookmarkEnd w:id="73"/>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7"/>
        <w:keepNext w:val="0"/>
        <w:keepLines w:val="0"/>
        <w:snapToGrid w:val="0"/>
        <w:spacing w:line="336"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17"/>
        <w:keepNext w:val="0"/>
        <w:keepLines w:val="0"/>
        <w:snapToGrid w:val="0"/>
        <w:spacing w:line="336"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w:t>
      </w:r>
      <w:bookmarkEnd w:id="69"/>
    </w:p>
    <w:p>
      <w:pPr>
        <w:tabs>
          <w:tab w:val="left" w:pos="5000"/>
        </w:tabs>
        <w:spacing w:line="360" w:lineRule="auto"/>
        <w:ind w:firstLine="490"/>
        <w:rPr>
          <w:rFonts w:hAnsi="宋体" w:cs="宋体"/>
          <w:bCs/>
          <w:sz w:val="28"/>
          <w:szCs w:val="28"/>
        </w:rPr>
      </w:pPr>
      <w:bookmarkStart w:id="77" w:name="_Toc278443514"/>
    </w:p>
    <w:p>
      <w:pPr>
        <w:tabs>
          <w:tab w:val="left" w:pos="5000"/>
        </w:tabs>
        <w:spacing w:line="360" w:lineRule="auto"/>
        <w:ind w:firstLine="490"/>
        <w:rPr>
          <w:rFonts w:hAnsi="宋体" w:cs="宋体"/>
          <w:b/>
          <w:sz w:val="32"/>
          <w:szCs w:val="32"/>
        </w:rPr>
      </w:pPr>
      <w:r>
        <w:rPr>
          <w:rFonts w:hint="eastAsia" w:hAnsi="宋体" w:cs="宋体"/>
          <w:bCs/>
          <w:sz w:val="28"/>
          <w:szCs w:val="28"/>
        </w:rPr>
        <w:t>采用由中华人民共和国住房和城乡建设部与国家工商行政管理局联合制定的《建设工程施工合同》(GF2017-0201)签订合</w:t>
      </w:r>
      <w:bookmarkEnd w:id="77"/>
      <w:bookmarkStart w:id="78" w:name="_Toc278443518"/>
      <w:r>
        <w:rPr>
          <w:rFonts w:hint="eastAsia" w:hAnsi="宋体" w:cs="宋体"/>
          <w:bCs/>
          <w:sz w:val="28"/>
          <w:szCs w:val="28"/>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2678" w:firstLineChars="744"/>
        <w:outlineLvl w:val="0"/>
        <w:rPr>
          <w:rFonts w:hAnsi="宋体" w:cs="宋体"/>
          <w:b/>
          <w:sz w:val="36"/>
          <w:szCs w:val="36"/>
        </w:rPr>
      </w:pPr>
      <w:r>
        <w:rPr>
          <w:rFonts w:hint="eastAsia" w:hAnsi="宋体" w:cs="宋体"/>
          <w:b/>
          <w:sz w:val="36"/>
          <w:szCs w:val="36"/>
        </w:rPr>
        <w:br w:type="page"/>
      </w:r>
    </w:p>
    <w:p>
      <w:pPr>
        <w:autoSpaceDE w:val="0"/>
        <w:autoSpaceDN w:val="0"/>
        <w:adjustRightInd w:val="0"/>
        <w:ind w:firstLine="2678" w:firstLineChars="744"/>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u w:val="single"/>
        </w:rPr>
      </w:pPr>
      <w:r>
        <w:rPr>
          <w:rFonts w:hint="eastAsia" w:hAnsi="宋体" w:cs="宋体"/>
          <w:sz w:val="24"/>
        </w:rPr>
        <w:t>(2)</w:t>
      </w:r>
      <w:r>
        <w:rPr>
          <w:rFonts w:hint="eastAsia" w:hAnsi="宋体" w:cs="宋体"/>
          <w:sz w:val="24"/>
          <w:u w:val="single"/>
        </w:rPr>
        <w:t>《河南省通用安装工程预算定额》（HA02-31-2016）、《河南省房屋建筑与装饰工程预算定额》（HA01-31-2016）、《河南省市政工程预算定额》（HA02-31-2016）、《建设工程工程量清单计价规范》（GB50500－2013）及相关计价文件。</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材料价格按2019年第五期《许昌工程造价信息》、10月份主材价及市场调查价；</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widowControl/>
        <w:jc w:val="center"/>
        <w:rPr>
          <w:rFonts w:hAnsi="宋体" w:cs="宋体"/>
          <w:b/>
          <w:sz w:val="36"/>
          <w:szCs w:val="36"/>
        </w:rPr>
      </w:pPr>
      <w:r>
        <w:rPr>
          <w:rFonts w:hAnsi="宋体" w:cs="宋体"/>
          <w:b/>
          <w:sz w:val="36"/>
          <w:szCs w:val="36"/>
        </w:rPr>
        <w:br w:type="page"/>
      </w:r>
      <w:r>
        <w:rPr>
          <w:rFonts w:hint="eastAsia" w:hAnsi="宋体" w:cs="宋体"/>
          <w:b/>
          <w:sz w:val="36"/>
          <w:szCs w:val="36"/>
        </w:rPr>
        <w:t>第六章 图 纸</w:t>
      </w:r>
      <w:bookmarkEnd w:id="78"/>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按照招标文件中第二章投标人须知前附表第2.1项下载。</w:t>
      </w:r>
    </w:p>
    <w:p>
      <w:pPr>
        <w:autoSpaceDE w:val="0"/>
        <w:autoSpaceDN w:val="0"/>
        <w:adjustRightInd w:val="0"/>
        <w:jc w:val="center"/>
        <w:outlineLvl w:val="0"/>
        <w:rPr>
          <w:rFonts w:hAnsi="宋体" w:cs="宋体"/>
          <w:sz w:val="28"/>
          <w:szCs w:val="28"/>
        </w:rPr>
      </w:pPr>
      <w:bookmarkStart w:id="79"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9"/>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80"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1048" w:firstLineChars="437"/>
        <w:rPr>
          <w:rFonts w:hAnsi="宋体" w:cs="宋体"/>
          <w:sz w:val="24"/>
        </w:rPr>
      </w:pPr>
      <w:r>
        <w:rPr>
          <w:rFonts w:hint="eastAsia" w:hAnsi="宋体" w:cs="宋体"/>
          <w:sz w:val="24"/>
        </w:rPr>
        <w:t>暂列金额RMB￥：元</w:t>
      </w:r>
    </w:p>
    <w:p>
      <w:pPr>
        <w:spacing w:line="480" w:lineRule="exact"/>
        <w:ind w:firstLine="1048" w:firstLineChars="437"/>
        <w:rPr>
          <w:rFonts w:hAnsi="宋体" w:cs="宋体"/>
          <w:sz w:val="24"/>
        </w:rPr>
      </w:pPr>
      <w:r>
        <w:rPr>
          <w:rFonts w:hint="eastAsia" w:hAnsi="宋体" w:cs="宋体"/>
          <w:sz w:val="24"/>
        </w:rPr>
        <w:t>专业暂估价RMB￥：元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 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我方承诺，若我方中标，愿意按国家发改委“计价格（2002）1980号”规定缴纳招标代理服务费等相关费用。</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9"/>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规费RMB￥：元</w:t>
            </w:r>
          </w:p>
          <w:p>
            <w:pPr>
              <w:spacing w:line="480" w:lineRule="exact"/>
              <w:ind w:firstLine="600" w:firstLineChars="250"/>
              <w:rPr>
                <w:rFonts w:hAnsi="宋体" w:eastAsia="宋体" w:cs="宋体"/>
                <w:sz w:val="24"/>
              </w:rPr>
            </w:pPr>
            <w:r>
              <w:rPr>
                <w:rFonts w:hint="eastAsia" w:hAnsi="宋体" w:eastAsia="宋体" w:cs="宋体"/>
                <w:sz w:val="24"/>
              </w:rPr>
              <w:t>税金RMB￥：元</w:t>
            </w:r>
          </w:p>
          <w:p>
            <w:pPr>
              <w:spacing w:line="480" w:lineRule="exact"/>
              <w:ind w:firstLine="600" w:firstLineChars="250"/>
              <w:rPr>
                <w:rFonts w:hAnsi="宋体" w:eastAsia="宋体" w:cs="宋体"/>
                <w:sz w:val="24"/>
              </w:rPr>
            </w:pPr>
            <w:r>
              <w:rPr>
                <w:rFonts w:hint="eastAsia" w:hAnsi="宋体" w:eastAsia="宋体" w:cs="宋体"/>
                <w:sz w:val="24"/>
              </w:rPr>
              <w:t>安全文明措施费RMB￥：元</w:t>
            </w:r>
          </w:p>
          <w:p>
            <w:pPr>
              <w:spacing w:line="480" w:lineRule="exact"/>
              <w:ind w:firstLine="600" w:firstLineChars="250"/>
              <w:rPr>
                <w:rFonts w:hAnsi="宋体" w:cs="宋体"/>
                <w:sz w:val="24"/>
              </w:rPr>
            </w:pPr>
            <w:r>
              <w:rPr>
                <w:rFonts w:hint="eastAsia" w:hAnsi="宋体" w:cs="宋体"/>
                <w:sz w:val="24"/>
              </w:rPr>
              <w:t>暂列金额RMB￥：元</w:t>
            </w:r>
          </w:p>
          <w:p>
            <w:pPr>
              <w:spacing w:line="480" w:lineRule="exact"/>
              <w:ind w:firstLine="600" w:firstLineChars="250"/>
              <w:rPr>
                <w:rFonts w:hAnsi="宋体" w:cs="宋体"/>
                <w:sz w:val="24"/>
              </w:rPr>
            </w:pPr>
            <w:r>
              <w:rPr>
                <w:rFonts w:hint="eastAsia" w:hAnsi="宋体" w:cs="宋体"/>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spacing w:line="276" w:lineRule="auto"/>
              <w:rPr>
                <w:rFonts w:hAnsi="宋体"/>
                <w:sz w:val="24"/>
              </w:rPr>
            </w:pPr>
            <w:r>
              <w:rPr>
                <w:rFonts w:hint="eastAsia" w:hAnsi="宋体"/>
                <w:sz w:val="24"/>
              </w:rPr>
              <w:t>承  诺：</w:t>
            </w:r>
          </w:p>
          <w:p>
            <w:pPr>
              <w:spacing w:line="276" w:lineRule="auto"/>
              <w:rPr>
                <w:rFonts w:hAnsi="宋体"/>
                <w:sz w:val="24"/>
              </w:rPr>
            </w:pPr>
          </w:p>
          <w:p>
            <w:pPr>
              <w:spacing w:line="276" w:lineRule="auto"/>
              <w:rPr>
                <w:rFonts w:hAnsi="宋体"/>
                <w:sz w:val="24"/>
              </w:rPr>
            </w:pPr>
          </w:p>
          <w:p>
            <w:pPr>
              <w:spacing w:line="276" w:lineRule="auto"/>
              <w:rPr>
                <w:rFonts w:hAnsi="宋体"/>
                <w:sz w:val="24"/>
              </w:rPr>
            </w:pPr>
          </w:p>
          <w:p>
            <w:pPr>
              <w:rPr>
                <w:rFonts w:hAnsi="宋体" w:eastAsia="宋体" w:cs="宋体"/>
                <w:sz w:val="24"/>
              </w:rPr>
            </w:pPr>
            <w:r>
              <w:rPr>
                <w:rFonts w:hint="eastAsia" w:ascii="新宋体" w:hAnsi="新宋体" w:eastAsia="新宋体"/>
                <w:sz w:val="24"/>
              </w:rPr>
              <w:t>（包含优惠承诺、质量承诺、服务承诺及按扬尘污染整治标准进行各工序的施工等）</w:t>
            </w:r>
          </w:p>
        </w:tc>
      </w:tr>
    </w:tbl>
    <w:p>
      <w:pPr>
        <w:ind w:right="475"/>
        <w:jc w:val="right"/>
        <w:rPr>
          <w:rFonts w:hAnsi="宋体" w:cs="宋体"/>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line="420" w:lineRule="exact"/>
        <w:jc w:val="center"/>
        <w:outlineLvl w:val="0"/>
        <w:rPr>
          <w:rFonts w:hAnsi="宋体" w:cs="仿宋_GB2312"/>
          <w:b/>
          <w:sz w:val="36"/>
          <w:szCs w:val="36"/>
        </w:rPr>
      </w:pPr>
      <w:r>
        <w:rPr>
          <w:rFonts w:hint="eastAsia" w:hAnsi="宋体" w:cs="宋体"/>
          <w:sz w:val="28"/>
          <w:szCs w:val="28"/>
        </w:rPr>
        <w:br w:type="page"/>
      </w:r>
      <w:bookmarkEnd w:id="80"/>
      <w:r>
        <w:rPr>
          <w:rFonts w:hint="eastAsia" w:ascii="黑体" w:hAnsi="新宋体" w:eastAsia="黑体" w:cs="黑体"/>
          <w:sz w:val="36"/>
          <w:szCs w:val="36"/>
        </w:rPr>
        <w:t>二、</w:t>
      </w:r>
      <w:r>
        <w:rPr>
          <w:rFonts w:hint="eastAsia" w:hAnsi="宋体" w:cs="仿宋_GB2312"/>
          <w:b/>
          <w:sz w:val="36"/>
          <w:szCs w:val="36"/>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sz w:val="24"/>
        </w:rPr>
        <w:t>联系电话:</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宋体"/>
          <w:b/>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autoSpaceDE w:val="0"/>
        <w:autoSpaceDN w:val="0"/>
        <w:adjustRightInd w:val="0"/>
        <w:spacing w:beforeLines="100" w:afterLines="100" w:line="420" w:lineRule="exact"/>
        <w:jc w:val="center"/>
        <w:outlineLvl w:val="0"/>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340" w:lineRule="exact"/>
        <w:rPr>
          <w:rFonts w:hAnsi="宋体" w:cs="宋体"/>
          <w:sz w:val="24"/>
        </w:rPr>
      </w:pPr>
      <w:r>
        <w:rPr>
          <w:rFonts w:hint="eastAsia" w:hAnsi="宋体" w:cs="宋体"/>
          <w:sz w:val="24"/>
        </w:rPr>
        <w:t>附提交凭证：</w:t>
      </w:r>
    </w:p>
    <w:p>
      <w:pPr>
        <w:numPr>
          <w:ilvl w:val="0"/>
          <w:numId w:val="4"/>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附本项目本标段</w:t>
      </w:r>
      <w:r>
        <w:rPr>
          <w:rFonts w:hint="eastAsia" w:hAnsi="宋体" w:cs="宋体"/>
          <w:sz w:val="24"/>
          <w:lang w:val="zh-CN"/>
        </w:rPr>
        <w:t>“许昌公共资源交易中心保证金缴纳回执”。</w:t>
      </w:r>
    </w:p>
    <w:p>
      <w:pPr>
        <w:autoSpaceDE w:val="0"/>
        <w:autoSpaceDN w:val="0"/>
        <w:adjustRightInd w:val="0"/>
        <w:spacing w:line="360" w:lineRule="auto"/>
        <w:ind w:right="215"/>
        <w:rPr>
          <w:rFonts w:hAnsi="宋体"/>
          <w:b/>
          <w:sz w:val="32"/>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9"/>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rPr>
          <w:rFonts w:hAnsi="宋体" w:cs="宋体"/>
          <w:sz w:val="24"/>
        </w:rPr>
      </w:pPr>
    </w:p>
    <w:tbl>
      <w:tblPr>
        <w:tblStyle w:val="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p>
    <w:tbl>
      <w:tblPr>
        <w:tblStyle w:val="9"/>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（工程名称）（标段）</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44"/>
          <w:szCs w:val="44"/>
        </w:rPr>
      </w:pPr>
      <w:r>
        <w:rPr>
          <w:rFonts w:hint="eastAsia" w:hAnsi="宋体" w:cs="宋体"/>
          <w:b/>
          <w:sz w:val="36"/>
          <w:szCs w:val="36"/>
        </w:rPr>
        <w:br w:type="page"/>
      </w: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tabs>
          <w:tab w:val="center" w:pos="4739"/>
        </w:tabs>
        <w:ind w:left="180"/>
        <w:rPr>
          <w:rFonts w:hAnsi="宋体" w:cs="宋体"/>
          <w:b/>
          <w:bCs/>
          <w:sz w:val="26"/>
          <w:szCs w:val="26"/>
        </w:rPr>
      </w:pPr>
      <w:r>
        <w:rPr>
          <w:rFonts w:hint="eastAsia" w:hAnsi="宋体" w:cs="宋体"/>
          <w:b/>
          <w:bCs/>
          <w:sz w:val="26"/>
          <w:szCs w:val="26"/>
        </w:rPr>
        <w:t>（1）内容完整性</w:t>
      </w:r>
    </w:p>
    <w:p>
      <w:pPr>
        <w:tabs>
          <w:tab w:val="center" w:pos="4739"/>
        </w:tabs>
        <w:ind w:left="180"/>
        <w:rPr>
          <w:rFonts w:hAnsi="宋体" w:cs="宋体"/>
          <w:b/>
          <w:bCs/>
          <w:sz w:val="26"/>
          <w:szCs w:val="26"/>
        </w:rPr>
      </w:pPr>
      <w:r>
        <w:rPr>
          <w:rFonts w:hint="eastAsia" w:hAnsi="宋体" w:cs="宋体"/>
          <w:b/>
          <w:bCs/>
          <w:sz w:val="26"/>
          <w:szCs w:val="26"/>
        </w:rPr>
        <w:t>（2）主要施工方案与技术措施</w:t>
      </w:r>
    </w:p>
    <w:p>
      <w:pPr>
        <w:tabs>
          <w:tab w:val="center" w:pos="4739"/>
        </w:tabs>
        <w:ind w:left="180"/>
        <w:rPr>
          <w:rFonts w:hAnsi="宋体" w:cs="宋体"/>
          <w:b/>
          <w:bCs/>
          <w:sz w:val="26"/>
          <w:szCs w:val="26"/>
        </w:rPr>
      </w:pPr>
      <w:r>
        <w:rPr>
          <w:rFonts w:hint="eastAsia" w:hAnsi="宋体" w:cs="宋体"/>
          <w:b/>
          <w:bCs/>
          <w:sz w:val="26"/>
          <w:szCs w:val="26"/>
        </w:rPr>
        <w:t>（3）质量管理体系与措施</w:t>
      </w:r>
    </w:p>
    <w:p>
      <w:pPr>
        <w:tabs>
          <w:tab w:val="center" w:pos="4739"/>
        </w:tabs>
        <w:ind w:left="180"/>
        <w:rPr>
          <w:rFonts w:hAnsi="宋体" w:cs="宋体"/>
          <w:b/>
          <w:bCs/>
          <w:sz w:val="26"/>
          <w:szCs w:val="26"/>
        </w:rPr>
      </w:pPr>
      <w:r>
        <w:rPr>
          <w:rFonts w:hint="eastAsia" w:hAnsi="宋体" w:cs="宋体"/>
          <w:b/>
          <w:bCs/>
          <w:sz w:val="26"/>
          <w:szCs w:val="26"/>
        </w:rPr>
        <w:t>（4）安全管理体系与措施</w:t>
      </w:r>
    </w:p>
    <w:p>
      <w:pPr>
        <w:tabs>
          <w:tab w:val="center" w:pos="4739"/>
        </w:tabs>
        <w:ind w:left="180"/>
        <w:rPr>
          <w:rFonts w:hAnsi="宋体" w:cs="宋体"/>
          <w:b/>
          <w:bCs/>
          <w:sz w:val="26"/>
          <w:szCs w:val="26"/>
        </w:rPr>
      </w:pPr>
      <w:r>
        <w:rPr>
          <w:rFonts w:hint="eastAsia" w:hAnsi="宋体" w:cs="宋体"/>
          <w:b/>
          <w:bCs/>
          <w:sz w:val="26"/>
          <w:szCs w:val="26"/>
        </w:rPr>
        <w:t>（5）文明施工、环境保护管理体系及施工现场扬尘治理措施</w:t>
      </w:r>
    </w:p>
    <w:p>
      <w:pPr>
        <w:tabs>
          <w:tab w:val="center" w:pos="4739"/>
        </w:tabs>
        <w:ind w:left="180"/>
        <w:rPr>
          <w:rFonts w:hAnsi="宋体" w:cs="宋体"/>
          <w:b/>
          <w:bCs/>
          <w:sz w:val="26"/>
          <w:szCs w:val="26"/>
        </w:rPr>
      </w:pPr>
      <w:r>
        <w:rPr>
          <w:rFonts w:hint="eastAsia" w:hAnsi="宋体" w:cs="宋体"/>
          <w:b/>
          <w:bCs/>
          <w:sz w:val="26"/>
          <w:szCs w:val="26"/>
        </w:rPr>
        <w:t>（6）工期保证措施</w:t>
      </w:r>
    </w:p>
    <w:p>
      <w:pPr>
        <w:tabs>
          <w:tab w:val="center" w:pos="4739"/>
        </w:tabs>
        <w:ind w:left="180"/>
        <w:rPr>
          <w:rFonts w:hAnsi="宋体" w:cs="宋体"/>
          <w:b/>
          <w:bCs/>
          <w:sz w:val="26"/>
          <w:szCs w:val="26"/>
        </w:rPr>
      </w:pPr>
      <w:r>
        <w:rPr>
          <w:rFonts w:hint="eastAsia" w:hAnsi="宋体" w:cs="宋体"/>
          <w:b/>
          <w:bCs/>
          <w:sz w:val="26"/>
          <w:szCs w:val="26"/>
        </w:rPr>
        <w:t>（7）拟投入资源配备计划</w:t>
      </w:r>
    </w:p>
    <w:p>
      <w:pPr>
        <w:tabs>
          <w:tab w:val="center" w:pos="4739"/>
        </w:tabs>
        <w:ind w:left="180"/>
        <w:rPr>
          <w:rFonts w:hAnsi="宋体" w:cs="宋体"/>
          <w:b/>
          <w:bCs/>
          <w:sz w:val="26"/>
          <w:szCs w:val="26"/>
        </w:rPr>
      </w:pPr>
      <w:r>
        <w:rPr>
          <w:rFonts w:hint="eastAsia" w:hAnsi="宋体" w:cs="宋体"/>
          <w:b/>
          <w:bCs/>
          <w:sz w:val="26"/>
          <w:szCs w:val="26"/>
        </w:rPr>
        <w:t>（8）施工进度表或网络计划图</w:t>
      </w:r>
    </w:p>
    <w:p>
      <w:pPr>
        <w:tabs>
          <w:tab w:val="center" w:pos="4739"/>
        </w:tabs>
        <w:ind w:left="180"/>
        <w:rPr>
          <w:rFonts w:hAnsi="宋体" w:cs="宋体"/>
          <w:b/>
          <w:bCs/>
          <w:sz w:val="26"/>
          <w:szCs w:val="26"/>
        </w:rPr>
      </w:pPr>
      <w:r>
        <w:rPr>
          <w:rFonts w:hint="eastAsia" w:hAnsi="宋体" w:cs="宋体"/>
          <w:b/>
          <w:bCs/>
          <w:sz w:val="26"/>
          <w:szCs w:val="26"/>
        </w:rPr>
        <w:t>（9）施工总平面图布置</w:t>
      </w:r>
    </w:p>
    <w:p>
      <w:pPr>
        <w:tabs>
          <w:tab w:val="center" w:pos="4739"/>
        </w:tabs>
        <w:ind w:left="180"/>
        <w:rPr>
          <w:rFonts w:hAnsi="宋体" w:cs="宋体"/>
          <w:b/>
          <w:bCs/>
          <w:sz w:val="26"/>
          <w:szCs w:val="26"/>
        </w:rPr>
      </w:pPr>
      <w:r>
        <w:rPr>
          <w:rFonts w:hint="eastAsia" w:hAnsi="宋体" w:cs="宋体"/>
          <w:b/>
          <w:bCs/>
          <w:sz w:val="26"/>
          <w:szCs w:val="26"/>
        </w:rPr>
        <w:t>（10）技术创新的应用实施措施</w:t>
      </w:r>
    </w:p>
    <w:p>
      <w:pPr>
        <w:tabs>
          <w:tab w:val="center" w:pos="4739"/>
        </w:tabs>
        <w:ind w:left="180"/>
        <w:rPr>
          <w:rFonts w:hAnsi="宋体" w:cs="宋体"/>
          <w:b/>
          <w:bCs/>
          <w:sz w:val="26"/>
          <w:szCs w:val="26"/>
        </w:rPr>
      </w:pPr>
      <w:r>
        <w:rPr>
          <w:rFonts w:hint="eastAsia" w:hAnsi="宋体" w:cs="宋体"/>
          <w:b/>
          <w:bCs/>
          <w:sz w:val="26"/>
          <w:szCs w:val="26"/>
        </w:rPr>
        <w:t>（11）采用新工艺、新技术、新设备、新材料、BIM等的程度</w:t>
      </w:r>
    </w:p>
    <w:p>
      <w:pPr>
        <w:tabs>
          <w:tab w:val="center" w:pos="4739"/>
        </w:tabs>
        <w:ind w:left="180"/>
        <w:rPr>
          <w:rFonts w:hAnsi="宋体" w:cs="宋体"/>
          <w:b/>
          <w:bCs/>
          <w:sz w:val="26"/>
          <w:szCs w:val="26"/>
        </w:rPr>
      </w:pPr>
      <w:r>
        <w:rPr>
          <w:rFonts w:hint="eastAsia" w:hAnsi="宋体" w:cs="宋体"/>
          <w:b/>
          <w:bCs/>
          <w:sz w:val="26"/>
          <w:szCs w:val="26"/>
        </w:rPr>
        <w:t>（12）施工现场实施信息化监控和数据处理</w:t>
      </w:r>
    </w:p>
    <w:p>
      <w:pPr>
        <w:autoSpaceDE w:val="0"/>
        <w:autoSpaceDN w:val="0"/>
        <w:spacing w:line="540" w:lineRule="exact"/>
        <w:ind w:firstLine="130" w:firstLineChars="50"/>
        <w:jc w:val="left"/>
        <w:rPr>
          <w:rFonts w:hAnsi="宋体" w:cs="宋体"/>
          <w:b/>
          <w:sz w:val="26"/>
          <w:szCs w:val="26"/>
        </w:rPr>
      </w:pPr>
      <w:r>
        <w:rPr>
          <w:rFonts w:hint="eastAsia" w:hAnsi="宋体" w:cs="宋体"/>
          <w:b/>
          <w:bCs/>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0" w:type="first"/>
      <w:footerReference r:id="rId9"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pBdr>
                    <w:top w:val="single" w:color="auto" w:sz="4" w:space="0"/>
                  </w:pBdr>
                  <w:ind w:right="360"/>
                  <w:jc w:val="center"/>
                </w:pPr>
                <w:r>
                  <w:fldChar w:fldCharType="begin"/>
                </w:r>
                <w:r>
                  <w:rPr>
                    <w:rStyle w:val="12"/>
                  </w:rPr>
                  <w:instrText xml:space="preserve"> PAGE </w:instrText>
                </w:r>
                <w:r>
                  <w:fldChar w:fldCharType="separate"/>
                </w:r>
                <w:r>
                  <w:rPr>
                    <w:rStyle w:val="12"/>
                  </w:rPr>
                  <w:t>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1673"/>
    <w:rsid w:val="000310D4"/>
    <w:rsid w:val="000432ED"/>
    <w:rsid w:val="0006136C"/>
    <w:rsid w:val="0007083C"/>
    <w:rsid w:val="00071018"/>
    <w:rsid w:val="000A4ACF"/>
    <w:rsid w:val="000A4B94"/>
    <w:rsid w:val="000D26A9"/>
    <w:rsid w:val="000E5DE8"/>
    <w:rsid w:val="000F3E50"/>
    <w:rsid w:val="000F459D"/>
    <w:rsid w:val="000F66D9"/>
    <w:rsid w:val="000F6F95"/>
    <w:rsid w:val="001015B8"/>
    <w:rsid w:val="0010171B"/>
    <w:rsid w:val="00106D22"/>
    <w:rsid w:val="00112BE9"/>
    <w:rsid w:val="00121F94"/>
    <w:rsid w:val="00123585"/>
    <w:rsid w:val="00124C0C"/>
    <w:rsid w:val="00153D65"/>
    <w:rsid w:val="00154DE4"/>
    <w:rsid w:val="00155798"/>
    <w:rsid w:val="001768B3"/>
    <w:rsid w:val="00184B91"/>
    <w:rsid w:val="001868E2"/>
    <w:rsid w:val="00190CA3"/>
    <w:rsid w:val="001B3FB5"/>
    <w:rsid w:val="001C3F56"/>
    <w:rsid w:val="001D1431"/>
    <w:rsid w:val="001D37BC"/>
    <w:rsid w:val="001D687A"/>
    <w:rsid w:val="001D6C4E"/>
    <w:rsid w:val="001F2568"/>
    <w:rsid w:val="001F5720"/>
    <w:rsid w:val="0020296B"/>
    <w:rsid w:val="0020445D"/>
    <w:rsid w:val="002415A9"/>
    <w:rsid w:val="002639F8"/>
    <w:rsid w:val="00276551"/>
    <w:rsid w:val="00294330"/>
    <w:rsid w:val="00294ACF"/>
    <w:rsid w:val="002966D9"/>
    <w:rsid w:val="00296B80"/>
    <w:rsid w:val="002A696E"/>
    <w:rsid w:val="002B535B"/>
    <w:rsid w:val="002B616B"/>
    <w:rsid w:val="002C5BF9"/>
    <w:rsid w:val="002C61C6"/>
    <w:rsid w:val="002D33A7"/>
    <w:rsid w:val="002E2FFB"/>
    <w:rsid w:val="002E376F"/>
    <w:rsid w:val="002E76C5"/>
    <w:rsid w:val="0031627C"/>
    <w:rsid w:val="00336A88"/>
    <w:rsid w:val="003373E4"/>
    <w:rsid w:val="003702A0"/>
    <w:rsid w:val="00380EDB"/>
    <w:rsid w:val="003B4E74"/>
    <w:rsid w:val="003B534F"/>
    <w:rsid w:val="003C299D"/>
    <w:rsid w:val="00425696"/>
    <w:rsid w:val="00470530"/>
    <w:rsid w:val="00472957"/>
    <w:rsid w:val="00493C6B"/>
    <w:rsid w:val="004B37FB"/>
    <w:rsid w:val="004B7AB0"/>
    <w:rsid w:val="004C1BA1"/>
    <w:rsid w:val="004D7711"/>
    <w:rsid w:val="004F07E8"/>
    <w:rsid w:val="004F2668"/>
    <w:rsid w:val="004F5208"/>
    <w:rsid w:val="00500738"/>
    <w:rsid w:val="0050085D"/>
    <w:rsid w:val="00506E4D"/>
    <w:rsid w:val="00524065"/>
    <w:rsid w:val="00547524"/>
    <w:rsid w:val="005556E8"/>
    <w:rsid w:val="005B2530"/>
    <w:rsid w:val="005D27A6"/>
    <w:rsid w:val="005D3872"/>
    <w:rsid w:val="0061290A"/>
    <w:rsid w:val="0061481C"/>
    <w:rsid w:val="00615E17"/>
    <w:rsid w:val="00620E75"/>
    <w:rsid w:val="006259AD"/>
    <w:rsid w:val="00631E65"/>
    <w:rsid w:val="0063378C"/>
    <w:rsid w:val="00634E07"/>
    <w:rsid w:val="00653774"/>
    <w:rsid w:val="00682561"/>
    <w:rsid w:val="006A31F8"/>
    <w:rsid w:val="006B072C"/>
    <w:rsid w:val="006B7778"/>
    <w:rsid w:val="006D5D6D"/>
    <w:rsid w:val="006E08B6"/>
    <w:rsid w:val="006F14F5"/>
    <w:rsid w:val="0070276D"/>
    <w:rsid w:val="007122BF"/>
    <w:rsid w:val="007318DC"/>
    <w:rsid w:val="0075048C"/>
    <w:rsid w:val="00757D89"/>
    <w:rsid w:val="00764241"/>
    <w:rsid w:val="00772E5C"/>
    <w:rsid w:val="00776137"/>
    <w:rsid w:val="007831DB"/>
    <w:rsid w:val="00790DBC"/>
    <w:rsid w:val="00792C2C"/>
    <w:rsid w:val="00796AF7"/>
    <w:rsid w:val="007A213A"/>
    <w:rsid w:val="007B6D1A"/>
    <w:rsid w:val="007C0EAF"/>
    <w:rsid w:val="007C1FB6"/>
    <w:rsid w:val="007E1335"/>
    <w:rsid w:val="007E6EC1"/>
    <w:rsid w:val="00805616"/>
    <w:rsid w:val="00807369"/>
    <w:rsid w:val="008612AE"/>
    <w:rsid w:val="00872E73"/>
    <w:rsid w:val="00882E9E"/>
    <w:rsid w:val="00892C13"/>
    <w:rsid w:val="008B5AE3"/>
    <w:rsid w:val="008D074E"/>
    <w:rsid w:val="008D2093"/>
    <w:rsid w:val="008D5AE3"/>
    <w:rsid w:val="008E640B"/>
    <w:rsid w:val="008E6A24"/>
    <w:rsid w:val="0090127E"/>
    <w:rsid w:val="00902390"/>
    <w:rsid w:val="00902DAC"/>
    <w:rsid w:val="009058D9"/>
    <w:rsid w:val="00942073"/>
    <w:rsid w:val="009425BA"/>
    <w:rsid w:val="0095421D"/>
    <w:rsid w:val="0095656E"/>
    <w:rsid w:val="00957C23"/>
    <w:rsid w:val="00964592"/>
    <w:rsid w:val="009725E8"/>
    <w:rsid w:val="009772DB"/>
    <w:rsid w:val="00982351"/>
    <w:rsid w:val="009A5E0F"/>
    <w:rsid w:val="009A62EF"/>
    <w:rsid w:val="009B403B"/>
    <w:rsid w:val="009D4DFC"/>
    <w:rsid w:val="009D716C"/>
    <w:rsid w:val="00A00798"/>
    <w:rsid w:val="00A016E5"/>
    <w:rsid w:val="00A11AEA"/>
    <w:rsid w:val="00A11B8C"/>
    <w:rsid w:val="00A14663"/>
    <w:rsid w:val="00A335BB"/>
    <w:rsid w:val="00A34834"/>
    <w:rsid w:val="00A410F4"/>
    <w:rsid w:val="00A422F6"/>
    <w:rsid w:val="00A43DB5"/>
    <w:rsid w:val="00A7544A"/>
    <w:rsid w:val="00A917B4"/>
    <w:rsid w:val="00A948AA"/>
    <w:rsid w:val="00AA48E5"/>
    <w:rsid w:val="00AD79EB"/>
    <w:rsid w:val="00AE07B7"/>
    <w:rsid w:val="00AE1046"/>
    <w:rsid w:val="00AE1A2D"/>
    <w:rsid w:val="00AF431D"/>
    <w:rsid w:val="00B20E1E"/>
    <w:rsid w:val="00B2280C"/>
    <w:rsid w:val="00B258EF"/>
    <w:rsid w:val="00B31840"/>
    <w:rsid w:val="00B354CE"/>
    <w:rsid w:val="00B50827"/>
    <w:rsid w:val="00B56052"/>
    <w:rsid w:val="00B5742F"/>
    <w:rsid w:val="00B57CD2"/>
    <w:rsid w:val="00B66F77"/>
    <w:rsid w:val="00B70F95"/>
    <w:rsid w:val="00B80677"/>
    <w:rsid w:val="00BA2CF1"/>
    <w:rsid w:val="00BC1F1F"/>
    <w:rsid w:val="00BC5B90"/>
    <w:rsid w:val="00BE0598"/>
    <w:rsid w:val="00C26BCD"/>
    <w:rsid w:val="00C34B49"/>
    <w:rsid w:val="00C43D25"/>
    <w:rsid w:val="00C63C42"/>
    <w:rsid w:val="00C70C78"/>
    <w:rsid w:val="00C81278"/>
    <w:rsid w:val="00C92076"/>
    <w:rsid w:val="00C95572"/>
    <w:rsid w:val="00CA2F93"/>
    <w:rsid w:val="00CB75D8"/>
    <w:rsid w:val="00CC5433"/>
    <w:rsid w:val="00CE07E1"/>
    <w:rsid w:val="00CE106D"/>
    <w:rsid w:val="00CF1BCA"/>
    <w:rsid w:val="00D005DE"/>
    <w:rsid w:val="00D33880"/>
    <w:rsid w:val="00D422B7"/>
    <w:rsid w:val="00D519D9"/>
    <w:rsid w:val="00D55744"/>
    <w:rsid w:val="00D70280"/>
    <w:rsid w:val="00D77007"/>
    <w:rsid w:val="00DA67B9"/>
    <w:rsid w:val="00DB3705"/>
    <w:rsid w:val="00DB7688"/>
    <w:rsid w:val="00DC5756"/>
    <w:rsid w:val="00DD68BE"/>
    <w:rsid w:val="00DF203A"/>
    <w:rsid w:val="00DF67C1"/>
    <w:rsid w:val="00DF68FB"/>
    <w:rsid w:val="00E52957"/>
    <w:rsid w:val="00E65D2F"/>
    <w:rsid w:val="00EA7812"/>
    <w:rsid w:val="00EB1ECD"/>
    <w:rsid w:val="00EF567C"/>
    <w:rsid w:val="00EF7D94"/>
    <w:rsid w:val="00F11597"/>
    <w:rsid w:val="00F21EAE"/>
    <w:rsid w:val="00F23030"/>
    <w:rsid w:val="00F244BB"/>
    <w:rsid w:val="00F45404"/>
    <w:rsid w:val="00F51DBA"/>
    <w:rsid w:val="00F57960"/>
    <w:rsid w:val="00F65359"/>
    <w:rsid w:val="00F65C07"/>
    <w:rsid w:val="00F67A2C"/>
    <w:rsid w:val="00F7300A"/>
    <w:rsid w:val="00F85E3C"/>
    <w:rsid w:val="00F9449A"/>
    <w:rsid w:val="00F94C73"/>
    <w:rsid w:val="00F95ABF"/>
    <w:rsid w:val="00FE4A3E"/>
    <w:rsid w:val="00FE6984"/>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C874989"/>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2"/>
    <w:basedOn w:val="1"/>
    <w:next w:val="1"/>
    <w:link w:val="2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Ansi="宋体" w:cs="宋体"/>
      <w:sz w:val="24"/>
    </w:rPr>
  </w:style>
  <w:style w:type="table" w:styleId="10">
    <w:name w:val="Table Grid"/>
    <w:basedOn w:val="9"/>
    <w:unhideWhenUsed/>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FollowedHyperlink"/>
    <w:basedOn w:val="11"/>
    <w:uiPriority w:val="0"/>
    <w:rPr>
      <w:color w:val="000000"/>
      <w:u w:val="none"/>
    </w:rPr>
  </w:style>
  <w:style w:type="character" w:styleId="14">
    <w:name w:val="Emphasis"/>
    <w:basedOn w:val="11"/>
    <w:qFormat/>
    <w:uiPriority w:val="0"/>
  </w:style>
  <w:style w:type="character" w:styleId="15">
    <w:name w:val="Hyperlink"/>
    <w:basedOn w:val="11"/>
    <w:qFormat/>
    <w:uiPriority w:val="0"/>
    <w:rPr>
      <w:color w:val="000000"/>
      <w:u w:val="none"/>
    </w:rPr>
  </w:style>
  <w:style w:type="paragraph" w:customStyle="1" w:styleId="16">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7">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character" w:customStyle="1" w:styleId="18">
    <w:name w:val="red"/>
    <w:basedOn w:val="11"/>
    <w:qFormat/>
    <w:uiPriority w:val="0"/>
    <w:rPr>
      <w:color w:val="FF0000"/>
      <w:sz w:val="18"/>
      <w:szCs w:val="18"/>
    </w:rPr>
  </w:style>
  <w:style w:type="character" w:customStyle="1" w:styleId="19">
    <w:name w:val="red1"/>
    <w:basedOn w:val="11"/>
    <w:qFormat/>
    <w:uiPriority w:val="0"/>
    <w:rPr>
      <w:color w:val="FF0000"/>
      <w:sz w:val="18"/>
      <w:szCs w:val="18"/>
    </w:rPr>
  </w:style>
  <w:style w:type="character" w:customStyle="1" w:styleId="20">
    <w:name w:val="red2"/>
    <w:basedOn w:val="11"/>
    <w:qFormat/>
    <w:uiPriority w:val="0"/>
    <w:rPr>
      <w:color w:val="CC0000"/>
    </w:rPr>
  </w:style>
  <w:style w:type="character" w:customStyle="1" w:styleId="21">
    <w:name w:val="red3"/>
    <w:basedOn w:val="11"/>
    <w:uiPriority w:val="0"/>
    <w:rPr>
      <w:color w:val="FF0000"/>
    </w:rPr>
  </w:style>
  <w:style w:type="character" w:customStyle="1" w:styleId="22">
    <w:name w:val="hover25"/>
    <w:basedOn w:val="11"/>
    <w:uiPriority w:val="0"/>
  </w:style>
  <w:style w:type="character" w:customStyle="1" w:styleId="23">
    <w:name w:val="green"/>
    <w:basedOn w:val="11"/>
    <w:qFormat/>
    <w:uiPriority w:val="0"/>
    <w:rPr>
      <w:color w:val="66AE00"/>
      <w:sz w:val="18"/>
      <w:szCs w:val="18"/>
    </w:rPr>
  </w:style>
  <w:style w:type="character" w:customStyle="1" w:styleId="24">
    <w:name w:val="green1"/>
    <w:basedOn w:val="11"/>
    <w:qFormat/>
    <w:uiPriority w:val="0"/>
    <w:rPr>
      <w:color w:val="66AE00"/>
      <w:sz w:val="18"/>
      <w:szCs w:val="18"/>
    </w:rPr>
  </w:style>
  <w:style w:type="character" w:customStyle="1" w:styleId="25">
    <w:name w:val="blue"/>
    <w:basedOn w:val="11"/>
    <w:qFormat/>
    <w:uiPriority w:val="0"/>
    <w:rPr>
      <w:color w:val="0371C6"/>
      <w:sz w:val="21"/>
      <w:szCs w:val="21"/>
    </w:rPr>
  </w:style>
  <w:style w:type="character" w:customStyle="1" w:styleId="26">
    <w:name w:val="gb-jt"/>
    <w:basedOn w:val="11"/>
    <w:qFormat/>
    <w:uiPriority w:val="0"/>
  </w:style>
  <w:style w:type="character" w:customStyle="1" w:styleId="27">
    <w:name w:val="right"/>
    <w:basedOn w:val="11"/>
    <w:uiPriority w:val="0"/>
    <w:rPr>
      <w:color w:val="999999"/>
      <w:sz w:val="18"/>
      <w:szCs w:val="18"/>
    </w:rPr>
  </w:style>
  <w:style w:type="character" w:customStyle="1" w:styleId="28">
    <w:name w:val="标题 2 Char"/>
    <w:basedOn w:val="11"/>
    <w:link w:val="4"/>
    <w:semiHidden/>
    <w:qFormat/>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5616</Words>
  <Characters>32016</Characters>
  <Lines>266</Lines>
  <Paragraphs>75</Paragraphs>
  <TotalTime>8</TotalTime>
  <ScaleCrop>false</ScaleCrop>
  <LinksUpToDate>false</LinksUpToDate>
  <CharactersWithSpaces>37557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2020-01-02T03:14:00Z</dcterms:created>
  <dc:creator>Administrator</dc:creator>
  <cp:lastModifiedBy>开标室</cp:lastModifiedBy>
  <cp:lastPrinted>2019-09-06T01:27:00Z</cp:lastPrinted>
  <dcterms:modified xsi:type="dcterms:W3CDTF">2020-03-11T02:33:10Z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