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河南省第三强制隔离戒毒所安防监控系统升级改造项目（不见面开标）</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p>
    <w:p>
      <w:pPr>
        <w:ind w:firstLine="904" w:firstLineChars="25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p>
    <w:p>
      <w:pPr>
        <w:ind w:firstLine="723" w:firstLineChars="2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项目编号：JZFCG-G20</w:t>
      </w:r>
      <w:r>
        <w:rPr>
          <w:rFonts w:hint="eastAsia" w:asciiTheme="majorEastAsia" w:hAnsiTheme="majorEastAsia" w:eastAsiaTheme="majorEastAsia" w:cstheme="majorEastAsia"/>
          <w:b/>
          <w:bCs/>
          <w:sz w:val="36"/>
          <w:szCs w:val="36"/>
          <w:lang w:val="en-US" w:eastAsia="zh-CN"/>
        </w:rPr>
        <w:t>20007</w:t>
      </w:r>
      <w:r>
        <w:rPr>
          <w:rFonts w:hint="eastAsia" w:asciiTheme="majorEastAsia" w:hAnsiTheme="majorEastAsia" w:eastAsiaTheme="majorEastAsia" w:cstheme="majorEastAsia"/>
          <w:b/>
          <w:bCs/>
          <w:sz w:val="36"/>
          <w:szCs w:val="36"/>
        </w:rPr>
        <w:t>号</w:t>
      </w:r>
    </w:p>
    <w:p>
      <w:pPr>
        <w:ind w:firstLine="723" w:firstLineChars="2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河南省第三强制隔离戒毒所</w:t>
      </w:r>
    </w:p>
    <w:p>
      <w:pPr>
        <w:ind w:firstLine="723" w:firstLineChars="2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代理机构：许昌光大电子商务技术服务有限公司</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val="en-US" w:eastAsia="zh-CN"/>
        </w:rPr>
        <w:t>三</w:t>
      </w:r>
      <w:r>
        <w:rPr>
          <w:rFonts w:hint="eastAsia" w:asciiTheme="majorEastAsia" w:hAnsiTheme="majorEastAsia" w:eastAsiaTheme="majorEastAsia" w:cstheme="majorEastAsia"/>
          <w:b/>
          <w:bCs/>
          <w:sz w:val="36"/>
          <w:szCs w:val="36"/>
        </w:rPr>
        <w:t>月</w:t>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5"/>
        <w:widowControl/>
        <w:shd w:val="clear" w:color="auto" w:fill="FFFFFF"/>
        <w:spacing w:line="360" w:lineRule="auto"/>
        <w:ind w:firstLine="420" w:firstLineChars="200"/>
        <w:contextualSpacing/>
        <w:jc w:val="left"/>
        <w:rPr>
          <w:color w:val="auto"/>
          <w:sz w:val="21"/>
          <w:szCs w:val="21"/>
          <w:shd w:val="clear" w:color="auto" w:fill="FFFFFF"/>
        </w:rPr>
      </w:pPr>
      <w:r>
        <w:rPr>
          <w:rFonts w:hint="eastAsia"/>
          <w:color w:val="auto"/>
          <w:sz w:val="21"/>
          <w:szCs w:val="21"/>
          <w:shd w:val="clear" w:color="auto" w:fill="FFFFFF"/>
        </w:rPr>
        <w:t>许昌光大电子商务技术服务有限公司受</w:t>
      </w:r>
      <w:r>
        <w:rPr>
          <w:rFonts w:hint="eastAsia"/>
          <w:color w:val="auto"/>
          <w:sz w:val="21"/>
          <w:szCs w:val="21"/>
          <w:shd w:val="clear" w:color="auto" w:fill="FFFFFF"/>
          <w:lang w:eastAsia="zh-CN"/>
        </w:rPr>
        <w:t>河南省第三强制隔离戒毒所</w:t>
      </w:r>
      <w:r>
        <w:rPr>
          <w:rFonts w:hint="eastAsia"/>
          <w:color w:val="auto"/>
          <w:sz w:val="21"/>
          <w:szCs w:val="21"/>
          <w:shd w:val="clear" w:color="auto" w:fill="FFFFFF"/>
        </w:rPr>
        <w:t>的委托，对“</w:t>
      </w:r>
      <w:r>
        <w:rPr>
          <w:rFonts w:hint="eastAsia"/>
          <w:color w:val="auto"/>
          <w:sz w:val="21"/>
          <w:szCs w:val="21"/>
          <w:shd w:val="clear" w:color="auto" w:fill="FFFFFF"/>
          <w:lang w:eastAsia="zh-CN"/>
        </w:rPr>
        <w:t>河南省第三强制隔离戒毒所安防监控系统升级改造项目</w:t>
      </w:r>
      <w:r>
        <w:rPr>
          <w:rFonts w:hint="eastAsia"/>
          <w:color w:val="auto"/>
          <w:sz w:val="21"/>
          <w:szCs w:val="21"/>
          <w:shd w:val="clear" w:color="auto" w:fill="FFFFFF"/>
        </w:rPr>
        <w:t>”</w:t>
      </w:r>
      <w:r>
        <w:rPr>
          <w:rFonts w:hint="eastAsia"/>
          <w:color w:val="auto"/>
          <w:sz w:val="21"/>
          <w:szCs w:val="21"/>
          <w:shd w:val="clear" w:color="auto" w:fill="FFFFFF"/>
          <w:lang w:eastAsia="zh-CN"/>
        </w:rPr>
        <w:t>（不见面开标）</w:t>
      </w:r>
      <w:r>
        <w:rPr>
          <w:rFonts w:hint="eastAsia"/>
          <w:color w:val="auto"/>
          <w:sz w:val="21"/>
          <w:szCs w:val="21"/>
          <w:shd w:val="clear" w:color="auto" w:fill="FFFFFF"/>
        </w:rPr>
        <w:t>进行公开招标。现邀请符合本招标文件规定条件的供应商前来投标。</w:t>
      </w:r>
    </w:p>
    <w:p>
      <w:pPr>
        <w:pStyle w:val="25"/>
        <w:widowControl/>
        <w:shd w:val="clear" w:color="auto" w:fill="FFFFFF"/>
        <w:spacing w:line="360" w:lineRule="auto"/>
        <w:ind w:firstLine="315" w:firstLineChars="150"/>
        <w:contextualSpacing/>
        <w:jc w:val="left"/>
        <w:rPr>
          <w:rFonts w:cs="黑体" w:asciiTheme="minorEastAsia" w:hAnsiTheme="minorEastAsia" w:eastAsiaTheme="minorEastAsia"/>
          <w:b/>
          <w:bCs/>
          <w:color w:val="auto"/>
          <w:sz w:val="21"/>
          <w:szCs w:val="21"/>
        </w:rPr>
      </w:pPr>
      <w:r>
        <w:rPr>
          <w:rFonts w:hint="eastAsia" w:ascii="黑体" w:hAnsi="黑体" w:eastAsia="黑体" w:cs="黑体"/>
          <w:bCs/>
          <w:color w:val="auto"/>
          <w:sz w:val="21"/>
          <w:szCs w:val="21"/>
          <w:shd w:val="clear" w:color="auto" w:fill="FFFFFF"/>
        </w:rPr>
        <w:t xml:space="preserve"> </w:t>
      </w:r>
      <w:r>
        <w:rPr>
          <w:rFonts w:hint="eastAsia" w:cs="黑体" w:asciiTheme="minorEastAsia" w:hAnsiTheme="minorEastAsia" w:eastAsiaTheme="minorEastAsia"/>
          <w:b/>
          <w:bCs/>
          <w:color w:val="auto"/>
          <w:sz w:val="21"/>
          <w:szCs w:val="21"/>
          <w:shd w:val="clear" w:color="auto" w:fill="FFFFFF"/>
        </w:rPr>
        <w:t>一、项目基本情况</w:t>
      </w:r>
    </w:p>
    <w:p>
      <w:pPr>
        <w:pStyle w:val="25"/>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lang w:eastAsia="zh-CN"/>
        </w:rPr>
      </w:pPr>
      <w:r>
        <w:rPr>
          <w:rFonts w:hint="eastAsia" w:cs="仿宋_GB2312" w:asciiTheme="minorEastAsia" w:hAnsiTheme="minorEastAsia" w:eastAsiaTheme="minorEastAsia"/>
          <w:color w:val="auto"/>
          <w:sz w:val="21"/>
          <w:szCs w:val="21"/>
          <w:shd w:val="clear" w:color="auto" w:fill="FFFFFF"/>
        </w:rPr>
        <w:t>（一）项目名称：</w:t>
      </w:r>
      <w:r>
        <w:rPr>
          <w:rFonts w:hint="eastAsia" w:cs="仿宋_GB2312" w:asciiTheme="minorEastAsia" w:hAnsiTheme="minorEastAsia" w:eastAsiaTheme="minorEastAsia"/>
          <w:color w:val="auto"/>
          <w:sz w:val="21"/>
          <w:szCs w:val="21"/>
          <w:shd w:val="clear" w:color="auto" w:fill="FFFFFF"/>
          <w:lang w:eastAsia="zh-CN"/>
        </w:rPr>
        <w:t>河南省第三强制隔离戒毒所安防监控系统升级改造项目（不见面开标）</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（二）项目编号：JZFCG-G20</w:t>
      </w:r>
      <w:r>
        <w:rPr>
          <w:rFonts w:hint="eastAsia" w:cs="仿宋_GB2312" w:asciiTheme="minorEastAsia" w:hAnsiTheme="minorEastAsia" w:eastAsiaTheme="minorEastAsia"/>
          <w:color w:val="auto"/>
          <w:sz w:val="21"/>
          <w:szCs w:val="21"/>
          <w:shd w:val="clear" w:color="auto" w:fill="FFFFFF"/>
          <w:lang w:val="en-US" w:eastAsia="zh-CN"/>
        </w:rPr>
        <w:t>20007</w:t>
      </w:r>
      <w:r>
        <w:rPr>
          <w:rFonts w:hint="eastAsia" w:cs="仿宋_GB2312" w:asciiTheme="minorEastAsia" w:hAnsiTheme="minorEastAsia" w:eastAsiaTheme="minorEastAsia"/>
          <w:color w:val="auto"/>
          <w:sz w:val="21"/>
          <w:szCs w:val="21"/>
          <w:shd w:val="clear" w:color="auto" w:fill="FFFFFF"/>
        </w:rPr>
        <w:t>号（豫财招标采购-2020-62）</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 xml:space="preserve">（三）采购方式：公开招标                                                                                                                         </w:t>
      </w:r>
    </w:p>
    <w:p>
      <w:pPr>
        <w:pStyle w:val="25"/>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（四）项目主要内容、数量及要求：</w:t>
      </w:r>
      <w:r>
        <w:rPr>
          <w:rFonts w:hint="eastAsia" w:cs="仿宋_GB2312" w:asciiTheme="minorEastAsia" w:hAnsiTheme="minorEastAsia" w:eastAsiaTheme="minorEastAsia"/>
          <w:color w:val="auto"/>
          <w:sz w:val="21"/>
          <w:szCs w:val="21"/>
          <w:shd w:val="clear" w:color="auto" w:fill="FFFFFF"/>
          <w:lang w:eastAsia="zh-CN"/>
        </w:rPr>
        <w:t>河南省第三强制隔离戒毒所安防升级改造</w:t>
      </w:r>
      <w:r>
        <w:rPr>
          <w:rFonts w:hint="eastAsia" w:cs="仿宋_GB2312" w:asciiTheme="minorEastAsia" w:hAnsiTheme="minorEastAsia" w:eastAsiaTheme="minorEastAsia"/>
          <w:color w:val="auto"/>
          <w:sz w:val="21"/>
          <w:szCs w:val="21"/>
          <w:shd w:val="clear" w:color="auto" w:fill="FFFFFF"/>
        </w:rPr>
        <w:t>。（详见招标文件）</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（五）预算金额：</w:t>
      </w:r>
      <w:r>
        <w:rPr>
          <w:rFonts w:hint="eastAsia" w:cs="仿宋_GB2312" w:asciiTheme="minorEastAsia" w:hAnsiTheme="minorEastAsia" w:eastAsiaTheme="minorEastAsia"/>
          <w:color w:val="auto"/>
          <w:sz w:val="21"/>
          <w:szCs w:val="21"/>
          <w:u w:val="single"/>
          <w:shd w:val="clear" w:color="auto" w:fill="FFFFFF"/>
          <w:lang w:eastAsia="zh-CN"/>
        </w:rPr>
        <w:t>2380000.00元</w:t>
      </w:r>
      <w:r>
        <w:rPr>
          <w:rFonts w:hint="eastAsia" w:cs="仿宋_GB2312" w:asciiTheme="minorEastAsia" w:hAnsiTheme="minorEastAsia" w:eastAsiaTheme="minorEastAsia"/>
          <w:color w:val="auto"/>
          <w:sz w:val="21"/>
          <w:szCs w:val="21"/>
          <w:shd w:val="clear" w:color="auto" w:fill="FFFFFF"/>
        </w:rPr>
        <w:t>。最高限价：</w:t>
      </w:r>
      <w:r>
        <w:rPr>
          <w:rFonts w:hint="eastAsia" w:cs="仿宋_GB2312" w:asciiTheme="minorEastAsia" w:hAnsiTheme="minorEastAsia" w:eastAsiaTheme="minorEastAsia"/>
          <w:color w:val="auto"/>
          <w:sz w:val="21"/>
          <w:szCs w:val="21"/>
          <w:u w:val="single"/>
          <w:shd w:val="clear" w:color="auto" w:fill="FFFFFF"/>
          <w:lang w:eastAsia="zh-CN"/>
        </w:rPr>
        <w:t>2380000.00元</w:t>
      </w:r>
      <w:r>
        <w:rPr>
          <w:rFonts w:hint="eastAsia" w:cs="仿宋_GB2312" w:asciiTheme="minorEastAsia" w:hAnsiTheme="minorEastAsia" w:eastAsiaTheme="minorEastAsia"/>
          <w:color w:val="auto"/>
          <w:sz w:val="21"/>
          <w:szCs w:val="21"/>
          <w:shd w:val="clear" w:color="auto" w:fill="FFFFFF"/>
        </w:rPr>
        <w:t>。</w:t>
      </w:r>
    </w:p>
    <w:p>
      <w:pPr>
        <w:pStyle w:val="25"/>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（六）交付（服务、完工）时间 ：自合同生效之日起</w:t>
      </w:r>
      <w:r>
        <w:rPr>
          <w:rFonts w:hint="eastAsia" w:cs="仿宋_GB2312" w:asciiTheme="minorEastAsia" w:hAnsiTheme="minorEastAsia" w:eastAsiaTheme="minorEastAsia"/>
          <w:color w:val="auto"/>
          <w:sz w:val="21"/>
          <w:szCs w:val="21"/>
          <w:shd w:val="clear" w:color="auto" w:fill="FFFFFF"/>
          <w:lang w:val="en-US" w:eastAsia="zh-CN"/>
        </w:rPr>
        <w:t>60</w:t>
      </w:r>
      <w:r>
        <w:rPr>
          <w:rFonts w:hint="eastAsia" w:cs="仿宋_GB2312" w:asciiTheme="minorEastAsia" w:hAnsiTheme="minorEastAsia" w:eastAsiaTheme="minorEastAsia"/>
          <w:color w:val="auto"/>
          <w:sz w:val="21"/>
          <w:szCs w:val="21"/>
          <w:shd w:val="clear" w:color="auto" w:fill="FFFFFF"/>
        </w:rPr>
        <w:t>天。</w:t>
      </w:r>
    </w:p>
    <w:p>
      <w:pPr>
        <w:pStyle w:val="25"/>
        <w:widowControl/>
        <w:shd w:val="clear" w:color="auto" w:fill="FFFFFF"/>
        <w:spacing w:line="360" w:lineRule="auto"/>
        <w:ind w:firstLine="420"/>
        <w:contextualSpacing/>
        <w:jc w:val="left"/>
        <w:rPr>
          <w:rFonts w:cs="仿宋_GB2312" w:asciiTheme="minorEastAsia" w:hAnsi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（七）交付（服务、完工）地点：</w:t>
      </w:r>
      <w:r>
        <w:rPr>
          <w:rFonts w:hint="eastAsia" w:eastAsiaTheme="minorEastAsia"/>
          <w:color w:val="auto"/>
          <w:sz w:val="21"/>
          <w:szCs w:val="21"/>
          <w:shd w:val="clear" w:color="auto" w:fill="FFFFFF"/>
          <w:lang w:eastAsia="zh-CN"/>
        </w:rPr>
        <w:t>河南省第三强制隔离戒毒所</w:t>
      </w:r>
      <w:r>
        <w:rPr>
          <w:rFonts w:hint="eastAsia"/>
          <w:color w:val="auto"/>
          <w:sz w:val="21"/>
          <w:szCs w:val="21"/>
          <w:shd w:val="clear" w:color="auto" w:fill="FFFFFF"/>
        </w:rPr>
        <w:t>指定地点。</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（八）进口产品：不允许。</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（九）分包：不允许。</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二、需要落实的政府采购政策</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本项目落实节能环保、中小微型企业、监狱企业、残疾人福利性单位扶持等相关政府采购政策。</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三、投标人资格要求</w:t>
      </w:r>
    </w:p>
    <w:p>
      <w:pPr>
        <w:pStyle w:val="25"/>
        <w:widowControl/>
        <w:shd w:val="clear" w:color="auto" w:fill="FFFFFF"/>
        <w:spacing w:line="360" w:lineRule="auto"/>
        <w:ind w:firstLine="420"/>
        <w:contextualSpacing/>
        <w:jc w:val="left"/>
        <w:rPr>
          <w:rFonts w:hint="eastAsia" w:ascii="宋体" w:hAnsi="宋体" w:cs="仿宋_GB2312"/>
          <w:color w:val="auto"/>
          <w:sz w:val="21"/>
          <w:szCs w:val="21"/>
          <w:shd w:val="clear" w:color="auto" w:fill="FFFFFF"/>
        </w:rPr>
      </w:pPr>
      <w:r>
        <w:rPr>
          <w:rFonts w:hint="eastAsia" w:ascii="宋体" w:hAnsi="宋体" w:cs="仿宋_GB2312"/>
          <w:color w:val="auto"/>
          <w:sz w:val="21"/>
          <w:szCs w:val="21"/>
          <w:shd w:val="clear" w:color="auto" w:fill="FFFFFF"/>
        </w:rPr>
        <w:t>（一）符合《中华人民共和国政府采购法》第二十二条之规定。</w:t>
      </w:r>
    </w:p>
    <w:p>
      <w:pPr>
        <w:pStyle w:val="25"/>
        <w:widowControl/>
        <w:shd w:val="clear" w:color="auto" w:fill="FFFFFF"/>
        <w:spacing w:line="360" w:lineRule="auto"/>
        <w:ind w:firstLine="420"/>
        <w:contextualSpacing/>
        <w:jc w:val="left"/>
        <w:rPr>
          <w:rFonts w:hint="eastAsia" w:ascii="宋体" w:hAnsi="宋体" w:cs="仿宋_GB2312"/>
          <w:color w:val="auto"/>
          <w:sz w:val="21"/>
          <w:szCs w:val="21"/>
          <w:shd w:val="clear" w:color="auto" w:fill="FFFFFF"/>
        </w:rPr>
      </w:pPr>
      <w:r>
        <w:rPr>
          <w:rFonts w:hint="eastAsia" w:ascii="宋体" w:hAnsi="宋体" w:cs="仿宋_GB2312"/>
          <w:color w:val="auto"/>
          <w:sz w:val="21"/>
          <w:szCs w:val="21"/>
          <w:shd w:val="clear" w:color="auto" w:fill="FFFFFF"/>
        </w:rPr>
        <w:t>（二）投标人需具有电子与智能化工程专业承包二级及以上资质。</w:t>
      </w:r>
    </w:p>
    <w:p>
      <w:pPr>
        <w:pStyle w:val="25"/>
        <w:widowControl/>
        <w:shd w:val="clear" w:color="auto" w:fill="FFFFFF"/>
        <w:wordWrap w:val="0"/>
        <w:spacing w:line="360" w:lineRule="auto"/>
        <w:ind w:firstLine="420"/>
        <w:contextualSpacing/>
        <w:jc w:val="left"/>
        <w:rPr>
          <w:rFonts w:ascii="宋体" w:hAnsi="宋体" w:cs="仿宋_GB2312"/>
          <w:color w:val="auto"/>
          <w:sz w:val="21"/>
          <w:szCs w:val="21"/>
          <w:shd w:val="clear" w:color="auto" w:fill="FFFFFF"/>
        </w:rPr>
      </w:pPr>
      <w:r>
        <w:rPr>
          <w:rFonts w:hint="eastAsia" w:ascii="宋体" w:hAnsi="宋体" w:cs="仿宋_GB2312"/>
          <w:color w:val="auto"/>
          <w:sz w:val="21"/>
          <w:szCs w:val="21"/>
          <w:shd w:val="clear" w:color="auto" w:fill="FFFFFF"/>
        </w:rPr>
        <w:t>（三）</w:t>
      </w:r>
      <w:r>
        <w:rPr>
          <w:rFonts w:ascii="宋体" w:hAnsi="宋体" w:cs="仿宋_GB2312"/>
          <w:color w:val="auto"/>
          <w:sz w:val="21"/>
          <w:szCs w:val="21"/>
          <w:shd w:val="clear" w:color="auto" w:fill="FFFFFF"/>
        </w:rPr>
        <w:t>未被列入“信用中国”网站(www.creditchina.gov.cn)失信被执行人、重大税收违法案件当事人名单；</w:t>
      </w:r>
      <w:r>
        <w:rPr>
          <w:rFonts w:hint="eastAsia" w:ascii="宋体" w:hAnsi="宋体" w:cs="仿宋_GB2312"/>
          <w:color w:val="auto"/>
          <w:sz w:val="21"/>
          <w:szCs w:val="21"/>
          <w:shd w:val="clear" w:color="auto" w:fill="FFFFFF"/>
        </w:rPr>
        <w:t>“</w:t>
      </w:r>
      <w:r>
        <w:rPr>
          <w:rFonts w:ascii="宋体" w:hAnsi="宋体" w:cs="仿宋_GB2312"/>
          <w:color w:val="auto"/>
          <w:sz w:val="21"/>
          <w:szCs w:val="21"/>
          <w:shd w:val="clear" w:color="auto" w:fill="FFFFFF"/>
        </w:rPr>
        <w:t>中国政府采购网</w:t>
      </w:r>
      <w:r>
        <w:rPr>
          <w:rFonts w:hint="eastAsia" w:ascii="宋体" w:hAnsi="宋体" w:cs="仿宋_GB2312"/>
          <w:color w:val="auto"/>
          <w:sz w:val="21"/>
          <w:szCs w:val="21"/>
          <w:shd w:val="clear" w:color="auto" w:fill="FFFFFF"/>
        </w:rPr>
        <w:t>”</w:t>
      </w:r>
      <w:r>
        <w:rPr>
          <w:rFonts w:ascii="宋体" w:hAnsi="宋体" w:cs="仿宋_GB2312"/>
          <w:color w:val="auto"/>
          <w:sz w:val="21"/>
          <w:szCs w:val="21"/>
          <w:shd w:val="clear" w:color="auto" w:fill="FFFFFF"/>
        </w:rPr>
        <w:t xml:space="preserve"> (www.ccgp.gov.cn)政府采购严重违法失信行为记录名单的投标人</w:t>
      </w:r>
      <w:r>
        <w:rPr>
          <w:rFonts w:hint="eastAsia" w:ascii="宋体" w:hAnsi="宋体" w:cs="仿宋_GB2312"/>
          <w:color w:val="auto"/>
          <w:sz w:val="21"/>
          <w:szCs w:val="21"/>
          <w:shd w:val="clear" w:color="auto" w:fill="FFFFFF"/>
        </w:rPr>
        <w:t>；“中国社会组织公共服务平台”网站（</w:t>
      </w:r>
      <w:r>
        <w:rPr>
          <w:rFonts w:ascii="宋体" w:hAnsi="宋体" w:cs="仿宋_GB2312"/>
          <w:color w:val="auto"/>
          <w:sz w:val="21"/>
          <w:szCs w:val="21"/>
          <w:shd w:val="clear" w:color="auto" w:fill="FFFFFF"/>
        </w:rPr>
        <w:t>www.chinanpo.gov.cn</w:t>
      </w:r>
      <w:r>
        <w:rPr>
          <w:rFonts w:hint="eastAsia" w:ascii="宋体" w:hAnsi="宋体" w:cs="仿宋_GB2312"/>
          <w:color w:val="auto"/>
          <w:sz w:val="21"/>
          <w:szCs w:val="21"/>
          <w:shd w:val="clear" w:color="auto" w:fill="FFFFFF"/>
        </w:rPr>
        <w:t>）严重违法失信名单的社会组织。</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ascii="宋体" w:hAnsi="宋体" w:cs="仿宋_GB2312"/>
          <w:color w:val="auto"/>
          <w:sz w:val="21"/>
          <w:szCs w:val="21"/>
          <w:shd w:val="clear" w:color="auto" w:fill="FFFFFF"/>
        </w:rPr>
        <w:t>（四）本次招标不接受联合体投标。</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四、招标文件的获取</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lang w:eastAsia="zh-CN"/>
        </w:rPr>
        <w:t>五</w:t>
      </w:r>
      <w:r>
        <w:rPr>
          <w:rFonts w:hint="eastAsia" w:cs="黑体" w:asciiTheme="minorEastAsia" w:hAnsiTheme="minorEastAsia" w:eastAsiaTheme="minorEastAsia"/>
          <w:b/>
          <w:bCs/>
          <w:color w:val="auto"/>
          <w:sz w:val="21"/>
          <w:szCs w:val="21"/>
          <w:shd w:val="clear" w:color="auto" w:fill="FFFFFF"/>
        </w:rPr>
        <w:t>、投标截止时间、开标时间及地点</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（一）投标截止及开标时间：20</w:t>
      </w:r>
      <w:r>
        <w:rPr>
          <w:rFonts w:hint="eastAsia" w:cs="仿宋_GB2312" w:asciiTheme="minorEastAsia" w:hAnsiTheme="minorEastAsia" w:eastAsiaTheme="minorEastAsia"/>
          <w:color w:val="auto"/>
          <w:sz w:val="21"/>
          <w:szCs w:val="21"/>
          <w:lang w:val="en-US" w:eastAsia="zh-CN"/>
        </w:rPr>
        <w:t>20</w:t>
      </w:r>
      <w:r>
        <w:rPr>
          <w:rFonts w:hint="eastAsia" w:cs="仿宋_GB2312" w:asciiTheme="minorEastAsia" w:hAnsiTheme="minorEastAsia" w:eastAsiaTheme="minorEastAsia"/>
          <w:color w:val="auto"/>
          <w:sz w:val="21"/>
          <w:szCs w:val="21"/>
        </w:rPr>
        <w:t>年</w:t>
      </w:r>
      <w:r>
        <w:rPr>
          <w:rFonts w:hint="eastAsia" w:cs="仿宋_GB2312" w:asciiTheme="minorEastAsia" w:hAnsiTheme="minorEastAsia" w:eastAsiaTheme="minorEastAsia"/>
          <w:color w:val="auto"/>
          <w:sz w:val="21"/>
          <w:szCs w:val="21"/>
          <w:u w:val="single"/>
          <w:lang w:val="en-US" w:eastAsia="zh-CN"/>
        </w:rPr>
        <w:t>3</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u w:val="single"/>
          <w:lang w:val="en-US" w:eastAsia="zh-CN"/>
        </w:rPr>
        <w:t>27</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u w:val="single"/>
          <w:lang w:val="en-US" w:eastAsia="zh-CN"/>
        </w:rPr>
        <w:t>8</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u w:val="single"/>
          <w:lang w:val="en-US" w:eastAsia="zh-CN"/>
        </w:rPr>
        <w:t>30</w:t>
      </w:r>
      <w:r>
        <w:rPr>
          <w:rFonts w:hint="eastAsia" w:cs="仿宋_GB2312" w:asciiTheme="minorEastAsia" w:hAnsiTheme="minorEastAsia" w:eastAsiaTheme="minorEastAsia"/>
          <w:color w:val="auto"/>
          <w:sz w:val="21"/>
          <w:szCs w:val="21"/>
        </w:rPr>
        <w:t>分（北京时间），逾期提交或不符合规定的投标文件不予接受。</w:t>
      </w:r>
    </w:p>
    <w:p>
      <w:pPr>
        <w:pStyle w:val="25"/>
        <w:widowControl/>
        <w:shd w:val="clear" w:color="auto" w:fill="FFFFFF"/>
        <w:spacing w:line="360" w:lineRule="auto"/>
        <w:ind w:firstLine="420"/>
        <w:contextualSpacing/>
        <w:jc w:val="left"/>
        <w:rPr>
          <w:rFonts w:ascii="宋体" w:hAnsi="宋体" w:cs="仿宋_GB2312"/>
          <w:color w:val="auto"/>
          <w:sz w:val="21"/>
          <w:szCs w:val="21"/>
        </w:rPr>
      </w:pPr>
      <w:r>
        <w:rPr>
          <w:rFonts w:hint="eastAsia" w:ascii="宋体" w:hAnsi="宋体" w:cs="仿宋_GB2312"/>
          <w:color w:val="auto"/>
          <w:sz w:val="21"/>
          <w:szCs w:val="21"/>
        </w:rPr>
        <w:t>（二）开标地点：许昌市公共资源交易中心三楼开标</w:t>
      </w:r>
      <w:r>
        <w:rPr>
          <w:rFonts w:hint="eastAsia" w:ascii="宋体" w:hAnsi="宋体" w:cs="仿宋_GB2312"/>
          <w:color w:val="auto"/>
          <w:sz w:val="21"/>
          <w:szCs w:val="21"/>
          <w:u w:val="single"/>
          <w:lang w:val="en-US" w:eastAsia="zh-CN"/>
        </w:rPr>
        <w:t>3</w:t>
      </w:r>
      <w:r>
        <w:rPr>
          <w:rFonts w:hint="eastAsia" w:ascii="宋体" w:hAnsi="宋体" w:cs="仿宋_GB2312"/>
          <w:color w:val="auto"/>
          <w:sz w:val="21"/>
          <w:szCs w:val="21"/>
        </w:rPr>
        <w:t>室。（本项目采用远程不见面开标，投标人无须到现场）。</w:t>
      </w:r>
    </w:p>
    <w:p>
      <w:pPr>
        <w:pStyle w:val="25"/>
        <w:widowControl/>
        <w:shd w:val="clear" w:color="auto" w:fill="FFFFFF"/>
        <w:spacing w:line="360" w:lineRule="auto"/>
        <w:ind w:firstLine="420"/>
        <w:contextualSpacing/>
        <w:jc w:val="left"/>
        <w:rPr>
          <w:rFonts w:ascii="宋体" w:hAnsi="宋体" w:cs="仿宋_GB2312"/>
          <w:color w:val="auto"/>
          <w:sz w:val="21"/>
          <w:szCs w:val="21"/>
        </w:rPr>
      </w:pPr>
      <w:r>
        <w:rPr>
          <w:rFonts w:hint="eastAsia" w:ascii="宋体" w:hAnsi="宋体" w:cs="仿宋_GB2312"/>
          <w:color w:val="auto"/>
          <w:sz w:val="21"/>
          <w:szCs w:val="21"/>
        </w:rPr>
        <w:t>（三） 本项目为全流程电子化交易项目，投标人须提交电子投标文件。</w:t>
      </w:r>
    </w:p>
    <w:p>
      <w:pPr>
        <w:pStyle w:val="25"/>
        <w:widowControl/>
        <w:shd w:val="clear" w:color="auto" w:fill="FFFFFF"/>
        <w:spacing w:line="360" w:lineRule="auto"/>
        <w:ind w:firstLine="420"/>
        <w:contextualSpacing/>
        <w:jc w:val="left"/>
        <w:rPr>
          <w:rFonts w:ascii="宋体" w:hAnsi="宋体" w:cs="仿宋_GB2312"/>
          <w:color w:val="auto"/>
          <w:sz w:val="21"/>
          <w:szCs w:val="21"/>
        </w:rPr>
      </w:pPr>
      <w:r>
        <w:rPr>
          <w:rFonts w:ascii="宋体" w:hAnsi="宋体" w:cs="仿宋_GB2312"/>
          <w:color w:val="auto"/>
          <w:sz w:val="21"/>
          <w:szCs w:val="21"/>
        </w:rPr>
        <w:t>1</w:t>
      </w:r>
      <w:r>
        <w:rPr>
          <w:rFonts w:hint="eastAsia" w:ascii="宋体" w:hAnsi="宋体" w:cs="仿宋_GB2312"/>
          <w:color w:val="auto"/>
          <w:sz w:val="21"/>
          <w:szCs w:val="21"/>
        </w:rPr>
        <w:t>、加密电子投标文件（</w:t>
      </w:r>
      <w:r>
        <w:rPr>
          <w:rFonts w:ascii="宋体" w:hAnsi="宋体" w:cs="仿宋_GB2312"/>
          <w:color w:val="auto"/>
          <w:sz w:val="21"/>
          <w:szCs w:val="21"/>
        </w:rPr>
        <w:t>.file</w:t>
      </w:r>
      <w:r>
        <w:rPr>
          <w:rFonts w:hint="eastAsia" w:ascii="宋体" w:hAnsi="宋体" w:cs="仿宋_GB2312"/>
          <w:color w:val="auto"/>
          <w:sz w:val="21"/>
          <w:szCs w:val="21"/>
        </w:rPr>
        <w:t>格式）须在投标截止时间（开标时间）前通过《全国公共资源交易平台</w:t>
      </w:r>
      <w:r>
        <w:rPr>
          <w:rFonts w:ascii="宋体" w:hAnsi="宋体" w:cs="仿宋_GB2312"/>
          <w:color w:val="auto"/>
          <w:sz w:val="21"/>
          <w:szCs w:val="21"/>
        </w:rPr>
        <w:t>(</w:t>
      </w:r>
      <w:r>
        <w:rPr>
          <w:rFonts w:hint="eastAsia" w:ascii="宋体" w:hAnsi="宋体" w:cs="仿宋_GB2312"/>
          <w:color w:val="auto"/>
          <w:sz w:val="21"/>
          <w:szCs w:val="21"/>
        </w:rPr>
        <w:t>河南省</w:t>
      </w:r>
      <w:r>
        <w:rPr>
          <w:rFonts w:hint="eastAsia" w:ascii="MS Mincho" w:hAnsi="MS Mincho" w:eastAsia="MS Mincho" w:cs="MS Mincho"/>
          <w:color w:val="auto"/>
          <w:sz w:val="21"/>
          <w:szCs w:val="21"/>
        </w:rPr>
        <w:t>▪</w:t>
      </w:r>
      <w:r>
        <w:rPr>
          <w:rFonts w:hint="eastAsia" w:ascii="宋体" w:hAnsi="宋体" w:cs="仿宋_GB2312"/>
          <w:color w:val="auto"/>
          <w:sz w:val="21"/>
          <w:szCs w:val="21"/>
        </w:rPr>
        <w:t>许昌市</w:t>
      </w:r>
      <w:r>
        <w:rPr>
          <w:rFonts w:ascii="宋体" w:hAnsi="宋体" w:cs="仿宋_GB2312"/>
          <w:color w:val="auto"/>
          <w:sz w:val="21"/>
          <w:szCs w:val="21"/>
        </w:rPr>
        <w:t>)</w:t>
      </w:r>
      <w:r>
        <w:rPr>
          <w:rFonts w:hint="eastAsia" w:ascii="宋体" w:hAnsi="宋体" w:cs="仿宋_GB2312"/>
          <w:color w:val="auto"/>
          <w:sz w:val="21"/>
          <w:szCs w:val="21"/>
        </w:rPr>
        <w:t>》公共资源交易系统成功上传。</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ascii="宋体" w:hAnsi="宋体" w:cs="仿宋_GB2312"/>
          <w:color w:val="auto"/>
          <w:sz w:val="21"/>
          <w:szCs w:val="21"/>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Pr>
          <w:rFonts w:hint="eastAsia" w:cs="仿宋_GB2312" w:asciiTheme="minorEastAsia" w:hAnsiTheme="minorEastAsia" w:eastAsiaTheme="minorEastAsia"/>
          <w:color w:val="auto"/>
          <w:sz w:val="21"/>
          <w:szCs w:val="21"/>
        </w:rPr>
        <w:t>。</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lang w:eastAsia="zh-CN"/>
        </w:rPr>
        <w:t>六</w:t>
      </w:r>
      <w:r>
        <w:rPr>
          <w:rFonts w:hint="eastAsia" w:cs="黑体" w:asciiTheme="minorEastAsia" w:hAnsiTheme="minorEastAsia" w:eastAsiaTheme="minorEastAsia"/>
          <w:b/>
          <w:bCs/>
          <w:color w:val="auto"/>
          <w:sz w:val="21"/>
          <w:szCs w:val="21"/>
          <w:shd w:val="clear" w:color="auto" w:fill="FFFFFF"/>
        </w:rPr>
        <w:t>、本次招标公告同时在《中国政府采购网》、《河南省政府采购网》、《全国公共资源交易平台（河南省·许昌市）》发布。</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lang w:eastAsia="zh-CN"/>
        </w:rPr>
        <w:t>七</w:t>
      </w:r>
      <w:r>
        <w:rPr>
          <w:rFonts w:hint="eastAsia" w:cs="黑体" w:asciiTheme="minorEastAsia" w:hAnsiTheme="minorEastAsia" w:eastAsiaTheme="minorEastAsia"/>
          <w:b/>
          <w:bCs/>
          <w:color w:val="auto"/>
          <w:sz w:val="21"/>
          <w:szCs w:val="21"/>
          <w:shd w:val="clear" w:color="auto" w:fill="FFFFFF"/>
        </w:rPr>
        <w:t>、公告期限</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本招标公告自发布之日起公告期限为5个工作日。</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lang w:eastAsia="zh-CN"/>
        </w:rPr>
        <w:t>八</w:t>
      </w:r>
      <w:r>
        <w:rPr>
          <w:rFonts w:hint="eastAsia" w:cs="黑体" w:asciiTheme="minorEastAsia" w:hAnsiTheme="minorEastAsia" w:eastAsiaTheme="minorEastAsia"/>
          <w:b/>
          <w:bCs/>
          <w:color w:val="auto"/>
          <w:sz w:val="21"/>
          <w:szCs w:val="21"/>
        </w:rPr>
        <w:t>、联系方式</w:t>
      </w:r>
    </w:p>
    <w:p>
      <w:pPr>
        <w:pStyle w:val="25"/>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eastAsia="zh-CN"/>
        </w:rPr>
      </w:pPr>
      <w:r>
        <w:rPr>
          <w:rFonts w:hint="eastAsia" w:cs="仿宋_GB2312" w:asciiTheme="minorEastAsia" w:hAnsiTheme="minorEastAsia" w:eastAsiaTheme="minorEastAsia"/>
          <w:color w:val="auto"/>
          <w:sz w:val="21"/>
          <w:szCs w:val="21"/>
        </w:rPr>
        <w:t>采购人：</w:t>
      </w:r>
      <w:r>
        <w:rPr>
          <w:rFonts w:hint="eastAsia" w:cs="仿宋_GB2312" w:asciiTheme="minorEastAsia" w:hAnsiTheme="minorEastAsia" w:eastAsiaTheme="minorEastAsia"/>
          <w:color w:val="auto"/>
          <w:sz w:val="21"/>
          <w:szCs w:val="21"/>
          <w:lang w:eastAsia="zh-CN"/>
        </w:rPr>
        <w:t>河南省第三强制隔离戒毒所</w:t>
      </w:r>
    </w:p>
    <w:p>
      <w:pPr>
        <w:pStyle w:val="25"/>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rPr>
        <w:t>地址：许昌</w:t>
      </w:r>
      <w:r>
        <w:rPr>
          <w:rFonts w:hint="eastAsia" w:cs="仿宋_GB2312" w:asciiTheme="minorEastAsia" w:hAnsiTheme="minorEastAsia" w:eastAsiaTheme="minorEastAsia"/>
          <w:color w:val="auto"/>
          <w:sz w:val="21"/>
          <w:szCs w:val="21"/>
          <w:lang w:eastAsia="zh-CN"/>
        </w:rPr>
        <w:t>市新兴路西段</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联系人：</w:t>
      </w:r>
      <w:r>
        <w:rPr>
          <w:rFonts w:hint="eastAsia" w:cs="仿宋_GB2312" w:asciiTheme="minorEastAsia" w:hAnsiTheme="minorEastAsia" w:eastAsiaTheme="minorEastAsia"/>
          <w:color w:val="auto"/>
          <w:sz w:val="21"/>
          <w:szCs w:val="21"/>
          <w:lang w:eastAsia="zh-CN"/>
        </w:rPr>
        <w:t>邓</w:t>
      </w:r>
      <w:r>
        <w:rPr>
          <w:rFonts w:hint="eastAsia" w:cs="仿宋_GB2312" w:asciiTheme="minorEastAsia" w:hAnsiTheme="minorEastAsia" w:eastAsiaTheme="minorEastAsia"/>
          <w:color w:val="auto"/>
          <w:sz w:val="21"/>
          <w:szCs w:val="21"/>
        </w:rPr>
        <w:t>先生     联系电话：0374-</w:t>
      </w:r>
      <w:r>
        <w:rPr>
          <w:rFonts w:hint="eastAsia" w:cs="仿宋_GB2312" w:asciiTheme="minorEastAsia" w:hAnsiTheme="minorEastAsia" w:eastAsiaTheme="minorEastAsia"/>
          <w:color w:val="auto"/>
          <w:sz w:val="21"/>
          <w:szCs w:val="21"/>
          <w:lang w:val="en-US" w:eastAsia="zh-CN"/>
        </w:rPr>
        <w:t>7369022</w:t>
      </w:r>
      <w:r>
        <w:rPr>
          <w:rFonts w:hint="eastAsia" w:cs="仿宋_GB2312" w:asciiTheme="minorEastAsia" w:hAnsiTheme="minorEastAsia" w:eastAsiaTheme="minorEastAsia"/>
          <w:color w:val="auto"/>
          <w:sz w:val="21"/>
          <w:szCs w:val="21"/>
        </w:rPr>
        <w:t xml:space="preserve">    </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代理机构：许昌光大电子商务技术服务有限公司 </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地址：许昌市智慧大道亨源通世纪广场1号楼401室</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联系人：朱女士     联系电话：13323993003</w:t>
      </w:r>
    </w:p>
    <w:p>
      <w:pPr>
        <w:wordWrap w:val="0"/>
        <w:adjustRightInd w:val="0"/>
        <w:snapToGrid w:val="0"/>
        <w:spacing w:line="360" w:lineRule="auto"/>
        <w:ind w:firstLine="840" w:firstLineChars="400"/>
        <w:jc w:val="right"/>
        <w:rPr>
          <w:rFonts w:cs="仿宋_GB2312" w:asciiTheme="minorEastAsia" w:hAnsiTheme="minorEastAsia"/>
          <w:color w:val="auto"/>
          <w:szCs w:val="21"/>
        </w:rPr>
      </w:pPr>
      <w:r>
        <w:rPr>
          <w:rFonts w:hint="eastAsia" w:cs="仿宋_GB2312" w:asciiTheme="minorEastAsia" w:hAnsiTheme="minorEastAsia"/>
          <w:color w:val="auto"/>
          <w:szCs w:val="21"/>
          <w:lang w:eastAsia="zh-CN"/>
        </w:rPr>
        <w:t>河南省第三强制隔离戒毒所</w:t>
      </w:r>
    </w:p>
    <w:p>
      <w:pPr>
        <w:wordWrap w:val="0"/>
        <w:adjustRightInd w:val="0"/>
        <w:snapToGrid w:val="0"/>
        <w:spacing w:line="360" w:lineRule="auto"/>
        <w:ind w:firstLine="840" w:firstLineChars="400"/>
        <w:jc w:val="right"/>
        <w:rPr>
          <w:rFonts w:cs="仿宋_GB2312" w:asciiTheme="minorEastAsia" w:hAnsiTheme="minorEastAsia"/>
          <w:color w:val="auto"/>
          <w:sz w:val="24"/>
          <w:szCs w:val="24"/>
        </w:rPr>
      </w:pPr>
      <w:r>
        <w:rPr>
          <w:rFonts w:hint="eastAsia" w:ascii="宋体" w:hAnsi="宋体"/>
          <w:color w:val="auto"/>
          <w:szCs w:val="21"/>
        </w:rPr>
        <w:t>二〇二〇年</w:t>
      </w:r>
      <w:r>
        <w:rPr>
          <w:rFonts w:hint="eastAsia" w:ascii="宋体" w:hAnsi="宋体"/>
          <w:color w:val="auto"/>
          <w:szCs w:val="21"/>
          <w:lang w:val="en-US" w:eastAsia="zh-CN"/>
        </w:rPr>
        <w:t>三</w:t>
      </w:r>
      <w:r>
        <w:rPr>
          <w:rFonts w:hint="eastAsia" w:ascii="宋体" w:hAnsi="宋体"/>
          <w:color w:val="auto"/>
          <w:szCs w:val="21"/>
        </w:rPr>
        <w:t>月</w:t>
      </w:r>
      <w:r>
        <w:rPr>
          <w:rFonts w:hint="eastAsia" w:ascii="宋体" w:hAnsi="宋体"/>
          <w:color w:val="auto"/>
          <w:szCs w:val="21"/>
          <w:lang w:val="en-US" w:eastAsia="zh-CN"/>
        </w:rPr>
        <w:t>十一</w:t>
      </w:r>
      <w:r>
        <w:rPr>
          <w:rFonts w:hint="eastAsia" w:ascii="宋体" w:hAnsi="宋体"/>
          <w:color w:val="auto"/>
          <w:szCs w:val="21"/>
        </w:rPr>
        <w:t>日</w:t>
      </w: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投标人应按招标文件规定编制、提交、解密电子投标文件。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电子文件下载、制作、提交期间和远程不见面开标（</w:t>
      </w:r>
      <w:r>
        <w:rPr>
          <w:rFonts w:hint="eastAsia" w:hAnsi="宋体"/>
          <w:color w:val="auto"/>
          <w:szCs w:val="21"/>
        </w:rPr>
        <w:t>电子投标文件的解密</w:t>
      </w:r>
      <w:r>
        <w:rPr>
          <w:rFonts w:hint="eastAsia" w:hAnsi="宋体"/>
          <w:b/>
          <w:color w:val="auto"/>
          <w:szCs w:val="21"/>
        </w:rPr>
        <w:t>）环节，投标人须使用同一个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1"/>
          <w:rFonts w:hAnsi="宋体"/>
          <w:color w:val="auto"/>
          <w:szCs w:val="21"/>
        </w:rPr>
        <w:t>http://221.14.6.70:8088/ggzy/</w:t>
      </w:r>
      <w:r>
        <w:rPr>
          <w:rStyle w:val="31"/>
          <w:rFonts w:hAnsi="宋体"/>
          <w:color w:val="auto"/>
          <w:szCs w:val="21"/>
        </w:rPr>
        <w:fldChar w:fldCharType="end"/>
      </w:r>
      <w:r>
        <w:rPr>
          <w:rFonts w:hint="eastAsia" w:hAnsi="宋体"/>
          <w:color w:val="auto"/>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电子投标文件应按规定在投标截止时间（开标时间）之前成功提交至《全国公共资源交易平台(河南省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1"/>
          <w:rFonts w:hAnsi="宋体"/>
          <w:color w:val="auto"/>
          <w:szCs w:val="21"/>
        </w:rPr>
        <w:t>http://221.14.6.70:8088/ggzy/</w:t>
      </w:r>
      <w:r>
        <w:rPr>
          <w:rStyle w:val="31"/>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电子投标文件成功提交后，《全国公共资源交易平台(河南省</w:t>
      </w:r>
      <w:r>
        <w:rPr>
          <w:rFonts w:hint="eastAsia" w:ascii="MS Mincho" w:hAnsi="MS Mincho" w:cs="MS Mincho"/>
          <w:color w:val="auto"/>
          <w:szCs w:val="21"/>
        </w:rPr>
        <w:t>.</w:t>
      </w:r>
      <w:r>
        <w:rPr>
          <w:rFonts w:hint="eastAsia" w:ascii="宋体" w:hAnsi="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1"/>
          <w:rFonts w:hAnsi="宋体"/>
          <w:color w:val="auto"/>
          <w:szCs w:val="21"/>
        </w:rPr>
        <w:t>http://221.14.6.70:8088/ggzy/</w:t>
      </w:r>
      <w:r>
        <w:rPr>
          <w:rStyle w:val="31"/>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5.远程不见面开标（</w:t>
      </w:r>
      <w:r>
        <w:rPr>
          <w:rFonts w:hint="eastAsia" w:hAnsi="宋体"/>
          <w:b/>
          <w:color w:val="auto"/>
          <w:szCs w:val="21"/>
        </w:rPr>
        <w:t>电子投标文件的解密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 xml:space="preserve">1 </w:t>
      </w:r>
      <w:r>
        <w:rPr>
          <w:rFonts w:hint="eastAsia" w:hAnsi="宋体"/>
          <w:color w:val="auto"/>
          <w:szCs w:val="21"/>
        </w:rPr>
        <w:t>投标人应熟悉《许昌市不见面</w:t>
      </w:r>
      <w:r>
        <w:rPr>
          <w:rFonts w:hint="eastAsia" w:hAnsi="宋体"/>
          <w:color w:val="auto"/>
          <w:szCs w:val="21"/>
          <w:lang w:eastAsia="zh-CN"/>
        </w:rPr>
        <w:t>开标</w:t>
      </w:r>
      <w:r>
        <w:rPr>
          <w:rFonts w:hint="eastAsia" w:hAnsi="宋体"/>
          <w:color w:val="auto"/>
          <w:szCs w:val="21"/>
        </w:rPr>
        <w:t>操作手册》，并提前设置不见面开标浏览器（设置流程详见《许昌市不见面</w:t>
      </w:r>
      <w:r>
        <w:rPr>
          <w:rFonts w:hint="eastAsia" w:hAnsi="宋体"/>
          <w:color w:val="auto"/>
          <w:szCs w:val="21"/>
          <w:lang w:eastAsia="zh-CN"/>
        </w:rPr>
        <w:t>开标</w:t>
      </w:r>
      <w:r>
        <w:rPr>
          <w:rFonts w:hint="eastAsia" w:hAnsi="宋体"/>
          <w:color w:val="auto"/>
          <w:szCs w:val="21"/>
        </w:rPr>
        <w:t>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w:t>
      </w:r>
      <w:r>
        <w:rPr>
          <w:rFonts w:hint="eastAsia" w:hAnsi="宋体"/>
          <w:color w:val="auto"/>
          <w:szCs w:val="21"/>
          <w:lang w:eastAsia="zh-CN"/>
        </w:rPr>
        <w:t>开标</w:t>
      </w:r>
      <w:r>
        <w:rPr>
          <w:rFonts w:hint="eastAsia" w:hAnsi="宋体"/>
          <w:color w:val="auto"/>
          <w:szCs w:val="21"/>
        </w:rPr>
        <w:t>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5.5根据采购代理机构在“文字互动”对话框的通知，投标人选择功能栏“解密环节”按钮进行电子投标文件解密（投标人解密应自采购代理机构点击“开标”按钮后60分钟内完成）。投标人未解密或</w:t>
      </w:r>
      <w:r>
        <w:rPr>
          <w:rFonts w:hint="eastAsia" w:cs="宋体" w:asciiTheme="minorEastAsia" w:hAnsiTheme="minorEastAsia"/>
          <w:color w:val="auto"/>
          <w:kern w:val="0"/>
          <w:szCs w:val="21"/>
        </w:rPr>
        <w:t>因投标人原因解密失败的，其投标将被拒绝。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6.</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6.1</w:t>
      </w:r>
      <w:r>
        <w:rPr>
          <w:rFonts w:hint="eastAsia" w:hAnsi="宋体"/>
          <w:color w:val="auto"/>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6.2 评标期间，投标人应保持通讯手机畅通。</w:t>
      </w:r>
      <w:r>
        <w:rPr>
          <w:rFonts w:hint="eastAsia" w:cs="宋体" w:asciiTheme="minorEastAsia" w:hAnsiTheme="minorEastAsia"/>
          <w:color w:val="auto"/>
          <w:kern w:val="0"/>
          <w:szCs w:val="21"/>
        </w:rPr>
        <w:t>评标委员会</w:t>
      </w:r>
      <w:r>
        <w:rPr>
          <w:rFonts w:hint="eastAsia" w:asciiTheme="minorEastAsia" w:hAnsiTheme="minorEastAsia"/>
          <w:color w:val="auto"/>
          <w:szCs w:val="21"/>
        </w:rPr>
        <w:t>如</w:t>
      </w:r>
      <w:r>
        <w:rPr>
          <w:rFonts w:hint="eastAsia" w:cs="宋体" w:asciiTheme="minorEastAsia" w:hAnsiTheme="minorEastAsia"/>
          <w:color w:val="auto"/>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int="eastAsia" w:cs="宋体" w:asciiTheme="majorEastAsia" w:hAnsiTheme="majorEastAsia" w:eastAsiaTheme="majorEastAsia"/>
          <w:b/>
          <w:color w:val="auto"/>
          <w:kern w:val="0"/>
          <w:sz w:val="32"/>
          <w:szCs w:val="32"/>
        </w:rPr>
      </w:pPr>
      <w:r>
        <w:rPr>
          <w:rFonts w:hint="eastAsia" w:hAnsi="宋体"/>
          <w:color w:val="auto"/>
          <w:szCs w:val="21"/>
        </w:rPr>
        <w:t>6.3有多轮报价得，各投标人应提前准备号分项报价，为多轮报价做好准备，在谈判小组发起报价通知后，在规定时间内提交有效报价。</w:t>
      </w:r>
    </w:p>
    <w:p>
      <w:pPr>
        <w:jc w:val="center"/>
        <w:rPr>
          <w:rFonts w:hint="eastAsia"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项目需求</w:t>
      </w:r>
    </w:p>
    <w:p>
      <w:pPr>
        <w:widowControl/>
        <w:shd w:val="clear" w:color="auto" w:fill="FFFFFF"/>
        <w:spacing w:line="360" w:lineRule="auto"/>
        <w:ind w:firstLine="482" w:firstLineChars="200"/>
        <w:contextualSpacing/>
        <w:jc w:val="left"/>
        <w:rPr>
          <w:rFonts w:hint="eastAsia" w:cs="黑体" w:asciiTheme="minorEastAsia" w:hAnsiTheme="minorEastAsia"/>
          <w:b/>
          <w:bCs/>
          <w:sz w:val="24"/>
          <w:szCs w:val="24"/>
          <w:shd w:val="clear" w:color="auto" w:fill="FFFFFF"/>
          <w:lang w:eastAsia="zh-CN"/>
        </w:rPr>
      </w:pPr>
      <w:r>
        <w:rPr>
          <w:rFonts w:hint="eastAsia" w:cs="黑体" w:asciiTheme="minorEastAsia" w:hAnsiTheme="minorEastAsia"/>
          <w:b/>
          <w:bCs/>
          <w:sz w:val="24"/>
          <w:szCs w:val="24"/>
          <w:shd w:val="clear" w:color="auto" w:fill="FFFFFF"/>
        </w:rPr>
        <w:t>一、采购</w:t>
      </w:r>
      <w:r>
        <w:rPr>
          <w:rFonts w:hint="eastAsia" w:cs="黑体" w:asciiTheme="minorEastAsia" w:hAnsiTheme="minorEastAsia"/>
          <w:b/>
          <w:bCs/>
          <w:sz w:val="24"/>
          <w:szCs w:val="24"/>
          <w:shd w:val="clear" w:color="auto" w:fill="FFFFFF"/>
          <w:lang w:eastAsia="zh-CN"/>
        </w:rPr>
        <w:t>需求</w:t>
      </w:r>
    </w:p>
    <w:p>
      <w:pPr>
        <w:widowControl/>
        <w:shd w:val="clear" w:color="auto" w:fill="FFFFFF"/>
        <w:spacing w:line="360" w:lineRule="auto"/>
        <w:ind w:firstLine="480" w:firstLineChars="200"/>
        <w:contextualSpacing/>
        <w:jc w:val="left"/>
        <w:rPr>
          <w:rFonts w:cs="黑体" w:asciiTheme="minorEastAsia" w:hAnsiTheme="minorEastAsia"/>
          <w:b w:val="0"/>
          <w:bCs w:val="0"/>
          <w:sz w:val="24"/>
          <w:szCs w:val="24"/>
          <w:shd w:val="clear" w:color="auto" w:fill="FFFFFF"/>
        </w:rPr>
      </w:pPr>
      <w:r>
        <w:rPr>
          <w:rFonts w:hint="eastAsia" w:cs="黑体" w:asciiTheme="minorEastAsia" w:hAnsiTheme="minorEastAsia"/>
          <w:b w:val="0"/>
          <w:bCs w:val="0"/>
          <w:sz w:val="24"/>
          <w:szCs w:val="24"/>
          <w:shd w:val="clear" w:color="auto" w:fill="FFFFFF"/>
          <w:lang w:val="en-US" w:eastAsia="zh-CN"/>
        </w:rPr>
        <w:t>1、采购设备</w:t>
      </w:r>
      <w:r>
        <w:rPr>
          <w:rFonts w:hint="eastAsia" w:cs="黑体" w:asciiTheme="minorEastAsia" w:hAnsiTheme="minorEastAsia"/>
          <w:b w:val="0"/>
          <w:bCs w:val="0"/>
          <w:sz w:val="24"/>
          <w:szCs w:val="24"/>
          <w:shd w:val="clear" w:color="auto" w:fill="FFFFFF"/>
        </w:rPr>
        <w:t>清单</w:t>
      </w:r>
    </w:p>
    <w:tbl>
      <w:tblPr>
        <w:tblStyle w:val="27"/>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334"/>
        <w:gridCol w:w="6745"/>
        <w:gridCol w:w="56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334" w:type="dxa"/>
            <w:tcMar>
              <w:left w:w="0" w:type="dxa"/>
              <w:right w:w="0" w:type="dxa"/>
            </w:tcMar>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设备</w:t>
            </w:r>
          </w:p>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6745"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技术参数</w:t>
            </w:r>
          </w:p>
        </w:tc>
        <w:tc>
          <w:tcPr>
            <w:tcW w:w="560"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w:t>
            </w:r>
          </w:p>
        </w:tc>
        <w:tc>
          <w:tcPr>
            <w:tcW w:w="663"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6" w:type="dxa"/>
            <w:gridSpan w:val="3"/>
            <w:vAlign w:val="center"/>
          </w:tcPr>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color w:val="000000"/>
                <w:kern w:val="0"/>
                <w:sz w:val="21"/>
                <w:szCs w:val="21"/>
                <w:lang w:bidi="ar"/>
              </w:rPr>
              <w:t>立体化防控系统（前端）</w:t>
            </w:r>
          </w:p>
        </w:tc>
        <w:tc>
          <w:tcPr>
            <w:tcW w:w="560" w:type="dxa"/>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bidi="ar"/>
              </w:rPr>
              <w:t>室内广角摄像机</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具有300万像素 CMOS传感器。</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最低照度彩色：0.008 lx，黑白:0.001 lx。</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需支持双码流技术，主码流最高2048x1536@30fps，子码流最高704x576@30fps。支持H.265、H.264视频编码格式。</w:t>
            </w:r>
          </w:p>
          <w:p>
            <w:pPr>
              <w:widowControl/>
              <w:jc w:val="left"/>
              <w:textAlignment w:val="center"/>
              <w:rPr>
                <w:rFonts w:hint="eastAsia" w:asciiTheme="minorEastAsia" w:hAnsiTheme="minorEastAsia" w:eastAsiaTheme="minorEastAsia" w:cstheme="minorEastAsia"/>
                <w:color w:val="0000FF"/>
                <w:kern w:val="0"/>
                <w:sz w:val="21"/>
                <w:szCs w:val="21"/>
                <w:lang w:bidi="ar"/>
              </w:rPr>
            </w:pPr>
            <w:r>
              <w:rPr>
                <w:rFonts w:hint="eastAsia" w:asciiTheme="minorEastAsia" w:hAnsiTheme="minorEastAsia" w:eastAsiaTheme="minorEastAsia" w:cstheme="minorEastAsia"/>
                <w:color w:val="000000"/>
                <w:kern w:val="0"/>
                <w:sz w:val="21"/>
                <w:szCs w:val="21"/>
                <w:lang w:bidi="ar"/>
              </w:rPr>
              <w:t>红外补光不小于30米。</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▲内置麦克和外甩线的两路音频输入均支持立体声。支持畸变校正功能，并支持3级畸变校正等级设置。</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▲支持远端放大功能，并支持3级远端放大等级设置。</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需具有黑白名单功能，其中白名单可添加不小于10个IP地址。</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具有存储卡满、存储器卡异常、非法访问、网络断开、IP冲突等检测报警功能。</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当使用一个账户登录，密码输入错误达到5次时，该账户会被锁定一段时间。</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设置密码时，需可以自动提示密码复杂度为高、中、低。</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需支持本地SD卡存储，最大支持256G。</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不低于IK10防暴和IP67防尘防水等级。设备工作状态时，支持空气放电9kV，接触放电7kV。摄像机能够在-25~60摄氏度，湿度小于93%环境下稳定工作。</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设备与客户端之间用100米网线进行传输，数据包丢包数不大于0.1%。具有抗丢包（10%）处理能力。</w:t>
            </w:r>
          </w:p>
          <w:p>
            <w:pPr>
              <w:widowControl/>
              <w:jc w:val="left"/>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000000"/>
                <w:kern w:val="0"/>
                <w:sz w:val="21"/>
                <w:szCs w:val="21"/>
                <w:lang w:bidi="ar"/>
              </w:rPr>
              <w:t>▲同一静止场景相同图像质量下，设备在H.265编码方式时，开启智能编码功能和不开启智能编码相比，码率节约1/2。</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2</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bidi="ar"/>
              </w:rPr>
              <w:t>室内广角摄像机</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具有400万像素 CMOS传感器。在2688x1520 @ 30fps下，清晰度不小于1500TVL。</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支持广角功能，镜头：2.8mm，水平市场价不低于102.7°镜头:4mm, 水平视场角不低于83.7°。</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▲内置GPU芯片。内置红外与白光补光灯。</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▲支持白光报警功能，当报警产生时，可触发联动白光闪烁。</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最低照度彩色：0.001 lx ，灰度等级不小于11级。</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白光补光距离不小于15米。</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需支持双码流技术，主码流最高2688x1520@25fps，子码流704x576@25fps。</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支持H.264、H.265视频编码格式，且具有High Profile编码能力。</w:t>
            </w:r>
          </w:p>
          <w:p>
            <w:pPr>
              <w:widowControl/>
              <w:jc w:val="left"/>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000000"/>
                <w:kern w:val="0"/>
                <w:sz w:val="21"/>
                <w:szCs w:val="21"/>
                <w:lang w:bidi="ar"/>
              </w:rPr>
              <w:t>需具备区域入侵检测、越界检测、进入区域、离开区域等功能。</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3</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bidi="ar"/>
              </w:rPr>
              <w:t>全景拼接摄像机</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全景摄像机采用4个 1/1.8＂4MP CMOS，特写球型摄像机采用1个 1/1.8＂4MP CMOS。自带镜头，另配4个图像采集模块，可输出1路主视频图像和4路辅视频图像。拼接后抓拍图片的分辨率为：主视频：2560×1440；辅视频：5520×2400。内置GPU芯片。</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主视频图像：2560×1440@25fps，辅视频图像：5520×2400@30fps。主视频支持不小于40倍光学变倍。</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彩色：0.0003lux；黑白：0.0001lux。</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支持宽动态不小于106dB。支持7路报警输入接口，2路报警输出接口，支持1路音频输入，1路输出接口。</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水平连续360°旋转。垂直旋转范围为-20°~90°，支持水平手控速度不小于240°/S，云台定位精度为不大于0.1°。垂直手控速度不小于200°/S</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▲产品支持畸变调整功能，支持通过客户端对辅助视频图像的全景画面进行远，中，近3种畸变调整。</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▲产品支持画面调整功能，支持通过客户端对辅助视频图像的全景画面进行上，下，左，右平移和三维空间旋转，进而调整视场画面。</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产品支持人员密度功能，支持通过IE浏览器对辅助视频的全景画面设备不少于6个检测框，检测区域人数可通过OSD叠加的形式显示，并且可设置3个等级的人数，当检测框中的人数在3个等级之间变化时可触发报警。</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▲产品支持全景剪裁功能，支持对辅助图像的全景画面进行框选裁剪，只显示框选内的画面，且检测框可拖拽。剪裁分辨率根据主码流，子码流和第三码流进行设置。</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可对距设备100米处的人脸进行抓拍。</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可通过IE浏览器实时预览设备抓拍的人脸图片，并可在历史记录中存储不小于100张人脸抓拍图片。</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▲红外灯开启时，样机可根据被摄物的距离自动调节红外灯功率密度。红外夜视距离：可识别距离样机550m外人体轮廓。</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电源具有较强适应性，电源电压在DC36V±47%范围内变化时，摄像机可以正常工作</w:t>
            </w:r>
          </w:p>
          <w:p>
            <w:pPr>
              <w:widowControl/>
              <w:jc w:val="left"/>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000000"/>
                <w:kern w:val="0"/>
                <w:sz w:val="21"/>
                <w:szCs w:val="21"/>
                <w:lang w:bidi="ar"/>
              </w:rPr>
              <w:t>具备较好防护性能和环境适应性，支持IP67，10KV防浪涌，工作温度范围可达-45℃-75℃。</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4</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bidi="ar"/>
              </w:rPr>
              <w:t>智能多画面人像识别摄像机</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双400万像素，支持最低照度可达彩色0.0003Lux，黑白0.0001Lux。</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支持快速聚焦功能，设备对监控区域内的移动目标进行跟踪录像，录像通过单帧回放时应能保证每帧画面清晰稳定。</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可在监控画面实时显示行人、车辆的信息。设备支持看清80米处人体轮廓，并可生成人体小图。</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▲摄像机定焦镜头、变焦镜头靶面尺寸均不小于1/1.8英寸。</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▲在设定的侦测区域内有目标移动时，设备可联动开启白光灯并抓拍图像。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设备可同时对行人、非机动车、机动车进行检测、跟踪及抓拍；可支持人脸、车牌的抠图及人脸与人体、车牌与车辆的关联显示。</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设备应支持正面/侧面/背面行人的检测、跟踪、抓拍；应支持对骑自行车、骑三轮车、骑电动车、踩平衡车等非机动车的检测、跟踪、抓拍。</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设备可对30米处的行人进行人脸抓拍，并可生成分辨率不小于110×120的人脸图片。在距离设备30米处，人脸抓拍准确率不小于95%，人体抓拍准确率不小于95%。</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设备具有1个RJ45网络接口，可输出两路视频图像：通道1、通道2。</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▲内置不少于2个GPU芯片。设备可支持白光灯及红外光补光。</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▲可通过客户端软件显示行人的属性，包括上衣颜色、下装颜色、是/否戴眼镜、是/否背包、是/否戴帽子。</w:t>
            </w:r>
          </w:p>
          <w:p>
            <w:pPr>
              <w:widowControl/>
              <w:jc w:val="left"/>
              <w:textAlignment w:val="center"/>
              <w:rPr>
                <w:rFonts w:hint="eastAsia" w:asciiTheme="minorEastAsia" w:hAnsiTheme="minorEastAsia" w:eastAsiaTheme="minorEastAsia" w:cstheme="minorEastAsia"/>
                <w:spacing w:val="-6"/>
                <w:sz w:val="21"/>
                <w:szCs w:val="21"/>
                <w:lang w:val="en-US"/>
              </w:rPr>
            </w:pPr>
            <w:r>
              <w:rPr>
                <w:rFonts w:hint="eastAsia" w:asciiTheme="minorEastAsia" w:hAnsiTheme="minorEastAsia" w:eastAsiaTheme="minorEastAsia" w:cstheme="minorEastAsia"/>
                <w:color w:val="000000"/>
                <w:kern w:val="0"/>
                <w:sz w:val="21"/>
                <w:szCs w:val="21"/>
                <w:lang w:bidi="ar"/>
              </w:rPr>
              <w:t>▲支持检出两眼瞳距20像素点以上的人脸图片，人脸检出率不小于99%，支持单场景同时检出不少于30张人脸图片，并支持面部跟踪。</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5</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bidi="ar"/>
              </w:rPr>
              <w:t>200万枪机</w:t>
            </w:r>
          </w:p>
        </w:tc>
        <w:tc>
          <w:tcPr>
            <w:tcW w:w="6745" w:type="dxa"/>
            <w:vAlign w:val="center"/>
          </w:tcPr>
          <w:p>
            <w:pPr>
              <w:widowControl/>
              <w:jc w:val="left"/>
              <w:textAlignment w:val="center"/>
              <w:rPr>
                <w:rFonts w:hint="eastAsia" w:asciiTheme="minorEastAsia" w:hAnsiTheme="minorEastAsia" w:eastAsiaTheme="minorEastAsia" w:cstheme="minorEastAsia"/>
                <w:spacing w:val="-6"/>
                <w:sz w:val="21"/>
                <w:szCs w:val="21"/>
                <w:lang w:val="en-US"/>
              </w:rPr>
            </w:pPr>
            <w:r>
              <w:rPr>
                <w:rFonts w:hint="eastAsia" w:asciiTheme="minorEastAsia" w:hAnsiTheme="minorEastAsia" w:eastAsiaTheme="minorEastAsia" w:cstheme="minorEastAsia"/>
                <w:color w:val="000000"/>
                <w:kern w:val="0"/>
                <w:sz w:val="21"/>
                <w:szCs w:val="21"/>
                <w:lang w:bidi="ar"/>
              </w:rPr>
              <w:t>具有200万像素CMOS传感器。在1920x1080@25fps下，清晰度不小于1100TVL。</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最低照度彩色：0.001lx，黑白:0.0001lx，灰度等级不小于11级。</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红外补光距离不小于110米。</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支持H.264、H.265、MJPEG视频编码格式，其中H.264支持Baseline/Main/HighProfile。</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信噪比不小于59dB。需具大于105dB宽动态。</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需支持8行字符显示，字体颜色可设置，需具有图片叠加到视频画面功能。</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支持区域遮盖功能，并能支持4块区域。</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需具有黑白名单功能，其中白名单可添加不小于10个MAC地址。</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需具备人脸检测、区域入侵检测、越界检测、虚焦检测、进入区域、离开区域、徘徊、人员聚集、场景变更等功能。</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可开启或关闭智能后检索功能。</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需具有电子防抖、ROI感兴趣区域、SVC可伸缩编码、自动增益、背光补偿、数字降噪、强光抑制、防红外过曝等功能。</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摄像机能够在-45~70摄氏度，湿度小于93%环境下稳定工作。不低于IP67防尘防水等级。</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需支持DC12V供电，且在不小于DC12V±30%范围内变化时可以正常工作。</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设备工作状态时，支持空气放电8kV，接触放电6kV，通讯端口支持6kV峰值电压。</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同一静止场景相同图像质量下，设备在H.265编码方式时，开启智能编码功能和不开启智能编码相比，码率节约1/2。</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6</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bidi="ar"/>
              </w:rPr>
              <w:t>室内4寸球</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视频输出支持1920×1080@25fps，分辨力不小于1100TVL，红外距离可达240米。支持不低于23倍光学变焦。</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支持最低照度可达彩色0.001Lux，黑白0.0005Lux。</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支持水平手控速度不小于200°/S，垂直手控速度不小于100°/S，云台定位精度为小于等于0.1°。</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支持300个预置位，可按照所设置的预置位完成不小于8条巡航路径，支持不小于4条模式路径设置，支持预置位冻结功能；可实现RS485接口优先或RJ45网络接口优先控制功能。</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信噪比≥61dB，网络延时不大于100ms。</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动态范围不小于106dB，照度适应范围不小于135dB，宽动态能力综合得分不小于135。</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具备较强的网络自适应能力，在丢包率为20%的网络环境下，仍可正常显示监视画面。球机应具备本机存储功能，支持SD卡热插拔，最大支持256GB。</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具备较好的电源适应性，电压在DC12V±20%范围内变化时，设备可正常工作。</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水平旋转范围为360°连续旋转，垂直旋转范围为-5°~90°</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支持智能红外、透雾、强光抑制、电子防抖、数字降噪、防红外过曝功能</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支持GB28181协议，支持标准Onvif协议。</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支持区域入侵、越界入侵、徘徊、物品移除、物品遗留、人员聚集、停车，并联动报警。</w:t>
            </w:r>
          </w:p>
          <w:p>
            <w:pPr>
              <w:widowControl/>
              <w:jc w:val="left"/>
              <w:textAlignment w:val="center"/>
              <w:rPr>
                <w:rFonts w:hint="eastAsia" w:asciiTheme="minorEastAsia" w:hAnsiTheme="minorEastAsia" w:eastAsiaTheme="minorEastAsia" w:cstheme="minorEastAsia"/>
                <w:spacing w:val="-6"/>
                <w:sz w:val="21"/>
                <w:szCs w:val="21"/>
                <w:lang w:val="en-US"/>
              </w:rPr>
            </w:pPr>
            <w:r>
              <w:rPr>
                <w:rFonts w:hint="eastAsia" w:asciiTheme="minorEastAsia" w:hAnsiTheme="minorEastAsia" w:eastAsiaTheme="minorEastAsia" w:cstheme="minorEastAsia"/>
                <w:color w:val="000000"/>
                <w:kern w:val="0"/>
                <w:sz w:val="21"/>
                <w:szCs w:val="21"/>
                <w:lang w:bidi="ar"/>
              </w:rPr>
              <w:t>具备较好的防护性能环境适应性，支持IP67，6kV防浪涌，工作温度范围可达-40℃-70℃。</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7</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智能球型摄像机</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视频输出支持2560×1440@25fps，分辨力不小于1400TVL，红外距离可达300米</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▲镜头采用F1.2大光圈。</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支持最低照度可达彩色0.0002Lux，黑白0.0001Lux。</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支持水平手控速度不小于550°/S，垂直速度不小于120°/S，云台定位精度为±0.1°</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支持300个预置位，可按照所设置的预置位完成不小于8条巡航路径，支持不小于4条模式路径设置，支持预置位视频冻结功能；可实现RS485接口优先或RJ45网络接口优先控制功能</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信噪比≥61dB，网络延时不大于100ms</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▲动态范围不小于106dB，照度适应范围不小于138dB，宽动态能力综合得分不小于135。</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具备较强的网络适应能力，在丢包率为20%的网络环境下，仍可正常显示监视画面。</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球机应具备本机存储功能，支持SD卡热插拔，最大支持256GB。</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具备较好的电源适应性，电压在AC24V±30%范围内变化时，设备可正常工作</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水平旋转范围为360°连续旋转，垂直旋转范围为-20°~90°</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支持GB28181协议，支持标准Onvif协议</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支持区域入侵、越界入侵、徘徊、物品移除、物品遗留、人员聚集、停车，并联动报警</w:t>
            </w:r>
          </w:p>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具备较好的防护性能环境适应性，支持IP67，6kV防浪涌，工作温度范围可达-40℃-70℃</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8</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人脸摄像机</w:t>
            </w:r>
          </w:p>
        </w:tc>
        <w:tc>
          <w:tcPr>
            <w:tcW w:w="6745" w:type="dxa"/>
            <w:vAlign w:val="center"/>
          </w:tcPr>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400万星光级1/1.8” CMOS AI人脸客流统计筒型网络摄像机</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需采用深度学习算法，以海量图片及视频资源为路基，通过机器自身提取目标特征，形成深层可供学习的目标图像。极大的提升了人脸及人体目标的跟踪效果。</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 xml:space="preserve">需支持同时检测并且抓拍30张人脸，支持对运动人脸进行检测、跟踪、抓拍、评分、筛选输出最优的人脸抓图，支持最佳抓拍 </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需支持多种智能资源并行：人脸抓拍、客流统计、人脸识别</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客流统计：</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a)结合智能跟踪算法分析行人的行为轨迹，从而精确计算出客流人数及行走方向（进出），并支持徘徊人员去重</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人脸抓拍（正脸抓拍）：</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a)支持对运动人脸进行检测、跟踪、抓拍、评分、筛选，输出最优的人脸</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b)支持人脸去误报、自定义侧脸过滤、最优抓拍人脸</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c)支持对运动人脸进行抓拍，性别、年龄段、年龄、戴眼镜、戴帽子、戴口罩、表情识别</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人脸识别：（人脸库合计9W）</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a)支持配置静态人脸库，至多9个库，进行特殊人员报警、内部人员客流去重</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b)支持自主生成动态人脸库，对配置时间间隔内重复人员标记、客流去重</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最低照度: 彩色: 0.0005Lux @ (F1.2, AGC ON) 黑白: 0.0001 Lux @ (F1.2, AGC ON), 0 Lux with IR</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镜头: （变焦）8-32mm @ F1.8,水平视场角：37.7°~15.1°，垂直视场角：21.0°~8.7°，对角线视场角：43.4°~17.3°</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宽动态: 超宽动态范围达120dB，室内逆光环境下监控</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视频压缩标准: H.265/H.264 / MJPEG</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最大图像尺寸: 2688×1520</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存储功能: 支持Micro SD(即TF卡)/Micro SDHC /Micro SDXC卡(128GB或者256GB)断网本地存储及断网续传,NAS(NFS,SMB/CIFS均支持),配合海康黑卡支持SD卡加密及SD状态检测功能</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接口类型: 甩线</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通讯接口: 1个RJ45 10M / 100M /1000M自适应以太网口；RS-485</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9</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拾音器</w:t>
            </w:r>
          </w:p>
        </w:tc>
        <w:tc>
          <w:tcPr>
            <w:tcW w:w="6745" w:type="dxa"/>
            <w:vAlign w:val="center"/>
          </w:tcPr>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拾音器据声源5米距离声音采集清晰，能够有效监听70平方米范围。</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需支持DC12V供电，且在不小于DC12V±25%范围内变化时可以正常工作。</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拾音器能够在-30~70摄氏度环境下稳定工作。</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套</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10</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摄像机电源</w:t>
            </w:r>
          </w:p>
        </w:tc>
        <w:tc>
          <w:tcPr>
            <w:tcW w:w="6745" w:type="dxa"/>
            <w:vAlign w:val="center"/>
          </w:tcPr>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国标,12V2A输出,Φ2.1圆头，插墙式，输出线长1.5m</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个</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11</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球机支架</w:t>
            </w:r>
          </w:p>
        </w:tc>
        <w:tc>
          <w:tcPr>
            <w:tcW w:w="6745" w:type="dxa"/>
            <w:vAlign w:val="center"/>
          </w:tcPr>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球机专用</w:t>
            </w:r>
            <w:r>
              <w:rPr>
                <w:rFonts w:hint="eastAsia" w:asciiTheme="minorEastAsia" w:hAnsiTheme="minorEastAsia" w:cstheme="minorEastAsia"/>
                <w:color w:val="000000"/>
                <w:kern w:val="0"/>
                <w:sz w:val="21"/>
                <w:szCs w:val="21"/>
                <w:lang w:eastAsia="zh-CN" w:bidi="ar"/>
              </w:rPr>
              <w:t>金属</w:t>
            </w:r>
            <w:r>
              <w:rPr>
                <w:rFonts w:hint="eastAsia" w:asciiTheme="minorEastAsia" w:hAnsiTheme="minorEastAsia" w:eastAsiaTheme="minorEastAsia" w:cstheme="minorEastAsia"/>
                <w:color w:val="000000"/>
                <w:kern w:val="0"/>
                <w:sz w:val="21"/>
                <w:szCs w:val="21"/>
                <w:lang w:bidi="ar"/>
              </w:rPr>
              <w:t>支架</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color w:val="000000"/>
                <w:kern w:val="0"/>
                <w:sz w:val="21"/>
                <w:szCs w:val="21"/>
                <w:lang w:bidi="ar"/>
              </w:rPr>
              <w:t>个</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12</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多画面摄像机支架</w:t>
            </w:r>
          </w:p>
        </w:tc>
        <w:tc>
          <w:tcPr>
            <w:tcW w:w="6745" w:type="dxa"/>
            <w:vAlign w:val="center"/>
          </w:tcPr>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多画面摄像机专用</w:t>
            </w:r>
            <w:r>
              <w:rPr>
                <w:rFonts w:hint="eastAsia" w:asciiTheme="minorEastAsia" w:hAnsiTheme="minorEastAsia" w:cstheme="minorEastAsia"/>
                <w:color w:val="000000"/>
                <w:kern w:val="0"/>
                <w:sz w:val="21"/>
                <w:szCs w:val="21"/>
                <w:lang w:eastAsia="zh-CN" w:bidi="ar"/>
              </w:rPr>
              <w:t>金属</w:t>
            </w:r>
            <w:r>
              <w:rPr>
                <w:rFonts w:hint="eastAsia" w:asciiTheme="minorEastAsia" w:hAnsiTheme="minorEastAsia" w:eastAsiaTheme="minorEastAsia" w:cstheme="minorEastAsia"/>
                <w:color w:val="000000"/>
                <w:kern w:val="0"/>
                <w:sz w:val="21"/>
                <w:szCs w:val="21"/>
                <w:lang w:bidi="ar"/>
              </w:rPr>
              <w:t>支架</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个</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13</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枪机支架</w:t>
            </w:r>
          </w:p>
        </w:tc>
        <w:tc>
          <w:tcPr>
            <w:tcW w:w="6745" w:type="dxa"/>
            <w:vAlign w:val="center"/>
          </w:tcPr>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枪机专用</w:t>
            </w:r>
            <w:r>
              <w:rPr>
                <w:rFonts w:hint="eastAsia" w:asciiTheme="minorEastAsia" w:hAnsiTheme="minorEastAsia" w:cstheme="minorEastAsia"/>
                <w:color w:val="000000"/>
                <w:kern w:val="0"/>
                <w:sz w:val="21"/>
                <w:szCs w:val="21"/>
                <w:lang w:eastAsia="zh-CN" w:bidi="ar"/>
              </w:rPr>
              <w:t>金属</w:t>
            </w:r>
            <w:r>
              <w:rPr>
                <w:rFonts w:hint="eastAsia" w:asciiTheme="minorEastAsia" w:hAnsiTheme="minorEastAsia" w:eastAsiaTheme="minorEastAsia" w:cstheme="minorEastAsia"/>
                <w:color w:val="000000"/>
                <w:kern w:val="0"/>
                <w:sz w:val="21"/>
                <w:szCs w:val="21"/>
                <w:lang w:bidi="ar"/>
              </w:rPr>
              <w:t>支架</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个</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14</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全景拼接摄像机支架</w:t>
            </w:r>
          </w:p>
        </w:tc>
        <w:tc>
          <w:tcPr>
            <w:tcW w:w="6745" w:type="dxa"/>
            <w:vAlign w:val="center"/>
          </w:tcPr>
          <w:p>
            <w:pPr>
              <w:widowControl/>
              <w:jc w:val="left"/>
              <w:textAlignment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color w:val="000000"/>
                <w:kern w:val="0"/>
                <w:sz w:val="21"/>
                <w:szCs w:val="21"/>
                <w:lang w:bidi="ar"/>
              </w:rPr>
              <w:t>全景拼接摄像机专用</w:t>
            </w:r>
            <w:r>
              <w:rPr>
                <w:rFonts w:hint="eastAsia" w:asciiTheme="minorEastAsia" w:hAnsiTheme="minorEastAsia" w:cstheme="minorEastAsia"/>
                <w:color w:val="000000"/>
                <w:kern w:val="0"/>
                <w:sz w:val="21"/>
                <w:szCs w:val="21"/>
                <w:lang w:eastAsia="zh-CN" w:bidi="ar"/>
              </w:rPr>
              <w:t>金属</w:t>
            </w:r>
            <w:r>
              <w:rPr>
                <w:rFonts w:hint="eastAsia" w:asciiTheme="minorEastAsia" w:hAnsiTheme="minorEastAsia" w:eastAsiaTheme="minorEastAsia" w:cstheme="minorEastAsia"/>
                <w:color w:val="000000"/>
                <w:kern w:val="0"/>
                <w:sz w:val="21"/>
                <w:szCs w:val="21"/>
                <w:lang w:bidi="ar"/>
              </w:rPr>
              <w:t>支架</w:t>
            </w:r>
            <w:r>
              <w:rPr>
                <w:rFonts w:hint="eastAsia" w:asciiTheme="minorEastAsia" w:hAnsiTheme="minorEastAsia" w:cstheme="minorEastAsia"/>
                <w:color w:val="000000"/>
                <w:kern w:val="0"/>
                <w:sz w:val="21"/>
                <w:szCs w:val="21"/>
                <w:lang w:eastAsia="zh-CN" w:bidi="ar"/>
              </w:rPr>
              <w:t>。</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个</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6" w:type="dxa"/>
            <w:gridSpan w:val="3"/>
            <w:vAlign w:val="center"/>
          </w:tcPr>
          <w:p>
            <w:pPr>
              <w:widowControl/>
              <w:jc w:val="both"/>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
                <w:color w:val="000000"/>
                <w:kern w:val="0"/>
                <w:sz w:val="21"/>
                <w:szCs w:val="21"/>
                <w:lang w:bidi="ar"/>
              </w:rPr>
              <w:t>安防后端设备</w:t>
            </w:r>
          </w:p>
        </w:tc>
        <w:tc>
          <w:tcPr>
            <w:tcW w:w="560" w:type="dxa"/>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bidi="ar"/>
              </w:rPr>
              <w:t>1</w:t>
            </w:r>
            <w:r>
              <w:rPr>
                <w:rFonts w:hint="eastAsia" w:asciiTheme="minorEastAsia" w:hAnsiTheme="minorEastAsia" w:cstheme="minorEastAsia"/>
                <w:color w:val="000000"/>
                <w:kern w:val="0"/>
                <w:sz w:val="21"/>
                <w:szCs w:val="21"/>
                <w:lang w:val="en-US" w:eastAsia="zh-CN" w:bidi="ar"/>
              </w:rPr>
              <w:t>5</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周界智能主机</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可支持最大接入总带宽512Mbps的16路视频图像。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可接入H.265、H.264、MPEG4、SVAC视频编码格式的IPC。</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支持8T容量的SATA接口硬盘；支持硬盘热插拔和休眠。</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▲支持周界报警过滤功能，对IPC上报的越界侦测报警和区域入侵报警进行去误报，可去除由树叶、灯光、车辆、阴影以及小动物引起的误报，最大支持16路。</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▲支持NVR本地实现行为分析检测的功能,检测到有目标进入划线区域触发区域入侵报警,检测到有目标跨越规则线触发越界侦测报警,最大支持16路。</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支持设置最大最小目标框过滤目标。</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人员密度超限报警功能，接入普通IPC可最大支持8路人员密度统计超限报警，可设置检测区域、人员密度阈值，当视频画面中人数超过阈值时可触发报警联动，通过客户端可接收报警消息、查看报警图片、当前人数，并回放关联录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支持接入人体抓拍机，当抓拍机侦测到人体并触发报警时，NVR可联动录像、保存人体图片、弹出报警画面、声音警告、上传中心、发送邮件、触发报警输出，可按通道、时间检索图片。</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支持对人体抓拍机上报的报警图片进行二次识别，去除非人体报警。</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▲支持对人体图片进行结构化识别，可提取出人体属性（性别、年龄段、衣服颜色、戴眼镜、背包、骑车），并支持按属性进行检索人体图片； 可对图片进行建模，并支持人体以图搜图。</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支持报警输入触发一键撤防功能，撤防的报警类型可选（弹出报警画面、声音警告、上传中心、发送邮件、触发报警输出）。</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支持接入ONVIF协议、RTSP协议、GB/T28181协议的设备，可一键激活并添加局域网内IPC。</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支持同时输出4路 H.264编码、25fps、4096×2160格式的视频图像。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支持1/8、1/4、1/2、1、2、4、8、16、32、64、128、256等倍速回放录像，支持录像文件剪辑和回放截图功能。</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支持将2个网口设置不同网段的IP地址。</w:t>
            </w:r>
          </w:p>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支持8个SATA接口，1个eSATA接口，至少支持2个USB2.0，1个USB3.0接口；支持16路报警输入，8路报警输出接口。</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16</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监控级硬盘</w:t>
            </w:r>
          </w:p>
        </w:tc>
        <w:tc>
          <w:tcPr>
            <w:tcW w:w="6745" w:type="dxa"/>
            <w:vAlign w:val="center"/>
          </w:tcPr>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4TB/64MB(6Gb/秒 NCQ)/5900RPM/SATA3</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17</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智能识别服务器含软件</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支持同时正放或倒放16路分辨率为1920×1080、编码格式为H.265/H.264的视频图像。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支持接入H.265、H.264、MPEG4、SVAC、MJPEG、smart 265、smart 264视频编码格式的IPC。</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▲支持引擎配置，并可显示人脸识别、周界防范等智能分析资源利用率。本地界面可显示SSD中人脸库占用空间、系统保留空间、报警缓存空间、 空闲空间。</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▲支持不少于32个人脸库，库容不低于30万张人脸图片；</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▲支持人脸库自动建模，建模速度50张/秒。</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支持多台设备组成集群，对外唯一IP，集中管理，统一布防；支持N+0集群模式；支持通过集群IP远程预览IP通道的实时视频，远程回放、下载IP通道的录像。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▲人脸签到、考勤支持实时动态展示，包括：姓名、注册库名称、监控点名称、签到时间，可分别设置比对成功人员、比对失败人员、陌生人、高频人员显示/隐藏，并以不同的图标提示，支持自定义提示语。</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▲支持隐私保护，人脸识别界面人脸抓拍图展示保留10秒钟；支持数据安全防护，在用户登出状态下，可进入人脸识别界面，实时展示签到考勤动态，当用户需要查询、修改等操作时提示用户登录。</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支持弹幕显示,录像回放时，当播放至有录像标签时间点时，可在画面上自动叠加显示标签内容。</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内置16个SATA3.0硬盘接口,支持接入1T、2T、3T、4T、6T、8T、10T、12T、14T容量的SATA接口硬盘，需配置32T硬盘。</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满负载条件下的最大接入带宽1024Mbps、最大存储带宽1024Mbps、最大转发带宽1024Mbps、最大回放带宽1024Mbps。</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不低于32路视频流人脸识别和64路图片流人脸识别；支持不低于64路人脸以图搜图功能，可从外部设备、人脸库、人脸检索结果、人员频次分析结果中导入最多10张人脸图片并设置相似度（0～100），检索出符合相似度的人脸图片，可查看人脸背景图、回放关联录像并导出人脸图片。</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▲支持自动统计总人数、已签到人数、未签到人数。</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▲可查询所有注册人员签到、考勤记录，记录支持列表、月历两种展示方式。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支持人脸轨迹功能，可通过地图展示人员行动轨迹。</w:t>
            </w:r>
          </w:p>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支持按性别、眼镜、上衣颜色、骑车、背包等属性分组显示人员录像文件。</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18</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综合管控平台软件</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1、支持接入视频、门禁、报警、可视对讲、存储、拼接控制等设备，并进行集中管控。</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2、支持视频预览、录像回放、云台控制、解码上墙、移动APP等功能。</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3、单个平台支持监控点数量不低于10万路。</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4、▲支持针对所选区域下的监控点状态、录像巡检状态、视频诊断状态及点播状态进行一键巡检，并展示异常状态及在线状态数据，同时支持巡检数据导出，同时支持依照所选区域及其子区域的巡检得分排名。</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5、支持预览上墙、回放上墙、轮巡上墙、报警上墙，支持客户端所在PC机的系统桌面上墙功能；</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6、▲支持根据用户业务需求，支持创建独立的业务目录树，同时也支持在基础目录树上创建更有业务针对性的业务目录区域，支持自定义新建及修改业务目录的名称、关联资源类型及关联目录标识，并支持针对业务目录进行修改、编辑、排序等管理。</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7、支持搜索、查播放、下载标签录像，支持查看录像的标签内容、点位名称、录像开始时间及结束时间；</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8、▲支持针对编码设备进行统一管理、配置、编辑及同步，编码设备添加支持单IP添加、IP段添加、单编号添加及编号段添加等多种方式，同时支持批量导入导出编码设备。</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9、▲支持级联管理，支持配置数据级联上下级域，并支持查看下级、本级及上级域的运行状态（在线状态及跨网域情况等）。</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10、▲支持录像分段回放功能，可以将录像文件等分成多个片段同时回放，通过分割点的图像差异，快速确定回放关键录像时段。</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11、▲支持单画面及多画面播放控制，支持画面倒放、逐帧倒放、逐帧前进，支持调整画面播放倍速，支持1倍、2倍、4倍、8倍、16倍快速播放，也支持1/2、1/4、1/8、1/16倍速慢放，支持高倍速回放的点位还支持32倍、64倍播放。</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12、支持针对一段录像进行标签标注。</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13、精简模式下，支持在同一窗口内，一键快速切换点位预览回放模式。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14、支持根据监控点名字、标签名字和报警名字模糊搜索点位录像，并支持以颜色区分录像类型。红色为报警录像，蓝色为计划录像。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15、支持上传或拍摄一张人脸图片，在所选人脸库中检索人员信息。</w:t>
            </w:r>
          </w:p>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16、▲千亿级数据量下，以脸搜脸检索结果返回时间不超过1秒；千亿级数据量下，以人搜人查询结果返回时间不超过1秒。</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套</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19</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平台服务器</w:t>
            </w:r>
            <w:r>
              <w:rPr>
                <w:rFonts w:hint="eastAsia" w:asciiTheme="minorEastAsia" w:hAnsiTheme="minorEastAsia" w:eastAsiaTheme="minorEastAsia" w:cstheme="minorEastAsia"/>
                <w:color w:val="000000"/>
                <w:kern w:val="0"/>
                <w:sz w:val="21"/>
                <w:szCs w:val="21"/>
                <w:lang w:bidi="ar"/>
              </w:rPr>
              <w:br w:type="textWrapping"/>
            </w:r>
          </w:p>
        </w:tc>
        <w:tc>
          <w:tcPr>
            <w:tcW w:w="6745" w:type="dxa"/>
            <w:vAlign w:val="center"/>
          </w:tcPr>
          <w:p>
            <w:pPr>
              <w:widowControl/>
              <w:jc w:val="left"/>
              <w:textAlignment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kern w:val="0"/>
                <w:sz w:val="21"/>
                <w:szCs w:val="21"/>
                <w:lang w:bidi="ar"/>
              </w:rPr>
              <w:t>不低于4114×2/64G DDR4/600G 10K SAS×4（RAID_10）/SAS_HBA/1GbE×2+10GbE×2/Win Svr 2016 简中标版/550W(1+1)/2U/16DIMM(</w:t>
            </w:r>
            <w:r>
              <w:rPr>
                <w:rFonts w:hint="eastAsia" w:asciiTheme="minorEastAsia" w:hAnsiTheme="minorEastAsia" w:eastAsiaTheme="minorEastAsia" w:cstheme="minorEastAsia"/>
                <w:color w:val="auto"/>
                <w:kern w:val="0"/>
                <w:sz w:val="21"/>
                <w:szCs w:val="21"/>
                <w:lang w:eastAsia="zh-CN" w:bidi="ar"/>
              </w:rPr>
              <w:t>核心</w:t>
            </w:r>
            <w:r>
              <w:rPr>
                <w:rFonts w:hint="eastAsia" w:asciiTheme="minorEastAsia" w:hAnsiTheme="minorEastAsia" w:eastAsiaTheme="minorEastAsia" w:cstheme="minorEastAsia"/>
                <w:color w:val="auto"/>
                <w:kern w:val="0"/>
                <w:sz w:val="21"/>
                <w:szCs w:val="21"/>
                <w:lang w:bidi="ar"/>
              </w:rPr>
              <w:t>产品)</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20</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视频云存储管理服务器</w:t>
            </w:r>
            <w:r>
              <w:rPr>
                <w:rFonts w:hint="eastAsia" w:asciiTheme="minorEastAsia" w:hAnsiTheme="minorEastAsia" w:eastAsiaTheme="minorEastAsia" w:cstheme="minorEastAsia"/>
                <w:color w:val="000000"/>
                <w:kern w:val="0"/>
                <w:sz w:val="21"/>
                <w:szCs w:val="21"/>
                <w:lang w:bidi="ar"/>
              </w:rPr>
              <w:br w:type="textWrapping"/>
            </w:r>
          </w:p>
        </w:tc>
        <w:tc>
          <w:tcPr>
            <w:tcW w:w="6745" w:type="dxa"/>
            <w:vAlign w:val="center"/>
          </w:tcPr>
          <w:p>
            <w:pPr>
              <w:widowControl/>
              <w:jc w:val="left"/>
              <w:textAlignment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kern w:val="0"/>
                <w:sz w:val="21"/>
                <w:szCs w:val="21"/>
                <w:lang w:bidi="ar"/>
              </w:rPr>
              <w:t>不低于2颗E5-2620 V3/32GB DDR4 ECC/480G SSD x3 + 150G SSD x1/热插拔/以太网口1Gx2/冗余电源/2U</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注：操作系统：CentOS7 64位(</w:t>
            </w:r>
            <w:r>
              <w:rPr>
                <w:rFonts w:hint="eastAsia" w:asciiTheme="minorEastAsia" w:hAnsiTheme="minorEastAsia" w:eastAsiaTheme="minorEastAsia" w:cstheme="minorEastAsia"/>
                <w:color w:val="auto"/>
                <w:kern w:val="0"/>
                <w:sz w:val="21"/>
                <w:szCs w:val="21"/>
                <w:lang w:eastAsia="zh-CN" w:bidi="ar"/>
              </w:rPr>
              <w:t>核心</w:t>
            </w:r>
            <w:r>
              <w:rPr>
                <w:rFonts w:hint="eastAsia" w:asciiTheme="minorEastAsia" w:hAnsiTheme="minorEastAsia" w:eastAsiaTheme="minorEastAsia" w:cstheme="minorEastAsia"/>
                <w:color w:val="auto"/>
                <w:kern w:val="0"/>
                <w:sz w:val="21"/>
                <w:szCs w:val="21"/>
                <w:lang w:bidi="ar"/>
              </w:rPr>
              <w:t>产品)</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21</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bidi="ar"/>
              </w:rPr>
              <w:t>视频云存储运维服务器</w:t>
            </w:r>
            <w:r>
              <w:rPr>
                <w:rFonts w:hint="eastAsia" w:asciiTheme="minorEastAsia" w:hAnsiTheme="minorEastAsia" w:eastAsiaTheme="minorEastAsia" w:cstheme="minorEastAsia"/>
                <w:color w:val="000000"/>
                <w:kern w:val="0"/>
                <w:sz w:val="21"/>
                <w:szCs w:val="21"/>
                <w:lang w:bidi="ar"/>
              </w:rPr>
              <w:br w:type="textWrapping"/>
            </w:r>
          </w:p>
        </w:tc>
        <w:tc>
          <w:tcPr>
            <w:tcW w:w="6745" w:type="dxa"/>
            <w:vAlign w:val="center"/>
          </w:tcPr>
          <w:p>
            <w:pPr>
              <w:widowControl/>
              <w:jc w:val="left"/>
              <w:textAlignment w:val="center"/>
              <w:rPr>
                <w:rFonts w:hint="eastAsia" w:asciiTheme="minorEastAsia" w:hAnsiTheme="minorEastAsia" w:eastAsiaTheme="minorEastAsia" w:cstheme="minorEastAsia"/>
                <w:bCs/>
                <w:color w:val="auto"/>
                <w:kern w:val="0"/>
                <w:sz w:val="21"/>
                <w:szCs w:val="21"/>
                <w:lang w:val="en-US"/>
              </w:rPr>
            </w:pPr>
            <w:r>
              <w:rPr>
                <w:rFonts w:hint="eastAsia" w:asciiTheme="minorEastAsia" w:hAnsiTheme="minorEastAsia" w:eastAsiaTheme="minorEastAsia" w:cstheme="minorEastAsia"/>
                <w:color w:val="auto"/>
                <w:kern w:val="0"/>
                <w:sz w:val="21"/>
                <w:szCs w:val="21"/>
                <w:lang w:bidi="ar"/>
              </w:rPr>
              <w:t>不低于2颗E5-2620 V3/16GB DDR4 ECC/1T SATAx2 磁盘/热插拔/以太网口1Gx2/冗余电源/2U,</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注：操作系统：CentOS7 64位(</w:t>
            </w:r>
            <w:r>
              <w:rPr>
                <w:rFonts w:hint="eastAsia" w:asciiTheme="minorEastAsia" w:hAnsiTheme="minorEastAsia" w:eastAsiaTheme="minorEastAsia" w:cstheme="minorEastAsia"/>
                <w:color w:val="auto"/>
                <w:kern w:val="0"/>
                <w:sz w:val="21"/>
                <w:szCs w:val="21"/>
                <w:lang w:eastAsia="zh-CN" w:bidi="ar"/>
              </w:rPr>
              <w:t>核心</w:t>
            </w:r>
            <w:r>
              <w:rPr>
                <w:rFonts w:hint="eastAsia" w:asciiTheme="minorEastAsia" w:hAnsiTheme="minorEastAsia" w:eastAsiaTheme="minorEastAsia" w:cstheme="minorEastAsia"/>
                <w:color w:val="auto"/>
                <w:kern w:val="0"/>
                <w:sz w:val="21"/>
                <w:szCs w:val="21"/>
                <w:lang w:bidi="ar"/>
              </w:rPr>
              <w:t>产品)</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22</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云存储运维平台</w:t>
            </w:r>
          </w:p>
        </w:tc>
        <w:tc>
          <w:tcPr>
            <w:tcW w:w="6745" w:type="dxa"/>
            <w:vAlign w:val="center"/>
          </w:tcPr>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云存储运维软件，支持与原招标单位云存储系统无缝对接</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23</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云存储节点</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单设备应配置≥两颗64位多核处理器，≥8GB内存；内存支持扩展到≥256GB，需配置冗余电源。</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可接入硬盘≥48块SATA/SAS硬盘。本次单台设备配置48块4T企业级硬盘</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系统由管理节点和/或存储节点组成，且系统可扩容，增加管理或存储节点。在多节点系统中，任何一个存储节点出现故障，应不影响数据的正常存取；支持控制流与数据流分离，数据的存储或读取由存储节点并行读写。</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▲支持管理License 授权控制，可限制云存储系统的授权时间、最大接入计划数量、存储节点数量、存储容量、资源池数量等；支持账户冻结、有效期、有效时间段及MAC 地址绑定等安全属性的设定；支持对用户（组）设定各设备节点的访问权限以及各业务功能的应用权限。</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▲一套云存储系统可对外提供多种类型数据混合存储，同时支持分布式流式存储，分布式对象存储、分布式文件存储、分布式块存储。</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▲支持前端设备和存储设备之间直接存储，采用块级存储，不生成文件（即不使用文件系统），无碎片。</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▲支持聚合下载，即并发从多台存储节点中下载某一个时间段录像、图片、智能结构化数据、文件。</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▲支持按照设备可用容量实现负载均衡，各存储节点上存储的数据量在稳定状态下保持均衡，差距小于5%。</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▲支持按照接入任务数实现自动负载均衡，支持前端设备自动分配到存储节点。各节点间读写任务数差距±1。</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支持进行2、4、6、8、16、32、64倍速全帧快进及倒退；进度条拖动视频画面毫秒级（50ms内）响应，不黑屏；快进及倒退相互切换毫秒级(50ms内)响应，不黑屏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支持录像正放切换为倒放，及倒放切换为正放；支持正放1/16、1/8、1/4、1/2、2、4、8、16、32、64、128、256倍速切换为倒放的对应倍速</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▲由2台管理节点构成的HA（主备模式）集群可在线无缝扩充为3台；并支持3台管理节点集群在线扩充为5 台，系统业务均不受影响。</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▲支持图片云间灾备时，可保证图片在主备云中URL一致，实现图片无缝提取。</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支持通过统一运维一键式部署整个云存储系统，一键升级、格式化系统；支持设备自动发现，支持无需登录设备，即可远程配置IP地址；支持单服务、服务集群一键升级，支持升级包的hash签名加密认证。</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单设备应标配≥4个千兆网口，可增扩≥2个万兆口或≥4个光纤接口，并可增扩2个SSD固态硬盘；</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▲云存储支持补录（包括历史流计划补录、手动补录、云间历史流回传等）流控，支持针对不同的通道设置不同的流控速度。</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支持分布式对称架构与非对称架构自由切换，即支持对称架构可升级为非对称架构。</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管理节点支持单机、HA 主备、集群3 种工作模式，管理节点支持2N+1个节点构成的All-Active 集群方式，最大可支持17个节点，管理节点和存储节点都为对等工作模式对外提供服务，元数据副本数最大可达32个副本。</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统一命名空间，将所有物理存储资源虚拟化成统一的存储空间，以唯一业务IP地址对外提供存储服务。</w:t>
            </w:r>
          </w:p>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完全自主产品，采用 Linux（CentOS、RedHat、Ubuntu、SUSE）等主流操作系统,不接受OEM或联合品牌产品。</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24</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云存储授权扩容</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原云存储系统授权扩容，为不影响存储业务，需无缝融入原云存储系统，可支持接入新增云存储节点</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套</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25</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校时服务器</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根据授时信号的强度，支持GPS/北斗自动切换校时，</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守时能力：精度24小时＜28us</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授时容量：单端口≥7000次/秒</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标配4个端口（可选6个端口）</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高授时精度：＜5 us</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授时频段：</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GPS授时中心频率1575MHz</w:t>
            </w:r>
          </w:p>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北斗授时中心频率2491MHz</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26</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校时服务器NTP天线</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内导体材料：裸铜丝；结构：1/1.40±0.02mm；标称截面：1.54 mm2</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绝缘材料：聚乙烯；平均厚度：1.7mm；</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外导体：材料铜丝</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长度不少于60米</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条</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27</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8路解码器</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采用嵌入式架构，专用Linux系统，使用DSP解码。为了设备稳定可靠运行，不接受采用工控机或者PC机的X86架构方案。</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要求设备具备，20个RJ45网络接口，1路语音输入，1路语音输出，1个RS232接口，1个RS485接口，8路报警输入，8路报警输出，1个VGA视频输入接口，1个DVI-I输入接口。输出口支持8个HDMI接口，支持4路模拟音频输出，支持4路模拟视频输出。</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设备可接入海康私有协议（SDK）、RTSP协议、ONVIF协议的前端设备的视频流。</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对以下分辨率的视频图像进行解码后输出：8路分辨率为4000×3000（20fps）的视频图像；16路分辨率为4096×2160（25fps）的视频图像；16路分辨率为3840×2160（25fps）的视频图像；24路分辨率为2592×1944（30fps）的视频图像；40路分辨率为2048×1536（30fps）的视频图像；64路分辨率为1920×1080（30fps）的视频图像；128路分辨率为1280×720（30fps）的视频图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可对以下编码格式的视频图像进行解码后输出：H.264、H.265、Smart264、Smart265、MPEG4视频图像。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设备接入具有智能行为分析功能的摄像机，可解码显示智能行为分析信息，包括移动侦测、越界入侵、区域入侵、起身离开等，并上传报警信息。</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可对客户端电脑桌面解码输出显示。可通过客户端软件导入和导出设备配置参数。</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可将设备当前的解码输出模式设置为一个场景，设备可保存多个场景，并可通过客户端软件切换设备场景。</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可对以下分辨率及编码格式的视频图像进行解码后输出：16路分辨率为1920×1080（30fps）的MJPEG视频图像。</w:t>
            </w:r>
          </w:p>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可通过客户端软件上传分辨率为1920×1080的JPEG图片，作为墙纸显示在窗口图层底图，可通过客户端软件设置底色，当无解码画面时，设备输出显示该底色。</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28</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16路解码器</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采用嵌入式架构，专用Linux系统，使用DSP解码。为了设备稳定可靠运行，不得采用工控机或者PC机的X86架构。</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要求设备具备，20个RJ45网络接口，1路语音输入，1路语音输出，1个RS232接口，1个RS485接口，8路报警输入，8路报警输出，1个VGA视频输入接口，1个DVI-I输入接口。输出口支持16个HDMI接口，支持16路模拟音频输出，支持8路模拟视频输出。</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具有1个电源指示灯，2个硬盘指示灯。</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可对客户端电脑桌面解码输出显示。</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可通过客户端软件将显示窗口在多个显示屏间进行拖动或跨屏显示，并可调节显示窗口大小。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可将视频图像进行轮巡输出显示，并可在客户端软件设置轮巡计划。</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可分别通过IE浏览器及客户端软件两种方式访问设备。</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支持1、2、4、6、8、9、10、12、16、25、36画面分割显示。</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设备可通过RTSP协议、ONVIF协议接入前端设备的视频流。</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可通过客户端软件对接入的云台进行控制；可通过RS-485接口连接键盘实现键盘对接入的云台进行控制。</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可通过客户端软件对设备进行恢复出厂设置。</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设备通过高温、低温、恒定湿热试验（高温55±2℃，低温-10±3℃，持续时间2H；相对湿度90%~95%、温度40±2℃，持续时间48H）。</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对以下分辨率的视频图像进行解码后输出：16路分辨率为4000×3000（20fps）的视频图像；32路分辨率为4096×2160（25fps）的视频图像；32路分辨率为3840×2160（25fps）的视频图像；48路分辨率为2592×1944（30fps，25fps）的视频图像；80路分辨率为2048×1536（30fps）的视频图像；128路分辨率为1920×1080（30fps）的视频图像；256路分辨率为1280×720（30fps）的视频图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可对以下编码格式的视频图像进行解码后输出：H.264、H.265、Smart264、Smart265、MPEG4视频图像。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 xml:space="preserve">可对以下分辨率及编码格式的视频图像进行解码后输出：32路分辨率为1920×1080（30fps）的MJPEG视频图像。 </w:t>
            </w:r>
          </w:p>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可通过VGA视频输入接口接入分辨率为1024×768（60Hz）、800×600（60Hz）、1280×1024</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29</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HDMI传输器</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专业级高清HDMI长距离传输器</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30</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拼接屏安装支架</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定制专用安装支架</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套</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6" w:type="dxa"/>
            <w:gridSpan w:val="3"/>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
                <w:color w:val="000000"/>
                <w:kern w:val="0"/>
                <w:sz w:val="21"/>
                <w:szCs w:val="21"/>
                <w:lang w:bidi="ar"/>
              </w:rPr>
              <w:t>安防其他设备</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bidi="ar"/>
              </w:rPr>
              <w:t>3</w:t>
            </w:r>
            <w:r>
              <w:rPr>
                <w:rFonts w:hint="eastAsia" w:asciiTheme="minorEastAsia" w:hAnsiTheme="minorEastAsia" w:eastAsiaTheme="minorEastAsia" w:cstheme="minorEastAsia"/>
                <w:color w:val="000000"/>
                <w:kern w:val="0"/>
                <w:sz w:val="21"/>
                <w:szCs w:val="21"/>
                <w:lang w:bidi="ar"/>
              </w:rPr>
              <w:t>1</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poe交换机</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(16个10/100Base-Tx以太网端口,8个10/100/1000Base-T以太网端口,4个千兆SFP,2个复用的10/100/1000Base-T以太网端口Combo,PoE+,370W POE交流供电)</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bidi="ar"/>
              </w:rPr>
              <w:t>3</w:t>
            </w:r>
            <w:r>
              <w:rPr>
                <w:rFonts w:hint="eastAsia" w:asciiTheme="minorEastAsia" w:hAnsiTheme="minorEastAsia" w:eastAsiaTheme="minorEastAsia" w:cstheme="minorEastAsia"/>
                <w:color w:val="000000"/>
                <w:kern w:val="0"/>
                <w:sz w:val="21"/>
                <w:szCs w:val="21"/>
                <w:lang w:bidi="ar"/>
              </w:rPr>
              <w:t>2</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光纤模块</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千兆单模</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个</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bidi="ar"/>
              </w:rPr>
              <w:t>3</w:t>
            </w:r>
            <w:r>
              <w:rPr>
                <w:rFonts w:hint="eastAsia" w:asciiTheme="minorEastAsia" w:hAnsiTheme="minorEastAsia" w:eastAsiaTheme="minorEastAsia" w:cstheme="minorEastAsia"/>
                <w:color w:val="000000"/>
                <w:kern w:val="0"/>
                <w:sz w:val="21"/>
                <w:szCs w:val="21"/>
                <w:lang w:bidi="ar"/>
              </w:rPr>
              <w:t>3</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网线</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超五类</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箱</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bidi="ar"/>
              </w:rPr>
              <w:t>3</w:t>
            </w:r>
            <w:r>
              <w:rPr>
                <w:rFonts w:hint="eastAsia" w:asciiTheme="minorEastAsia" w:hAnsiTheme="minorEastAsia" w:eastAsiaTheme="minorEastAsia" w:cstheme="minorEastAsia"/>
                <w:color w:val="000000"/>
                <w:kern w:val="0"/>
                <w:sz w:val="21"/>
                <w:szCs w:val="21"/>
                <w:lang w:bidi="ar"/>
              </w:rPr>
              <w:t>4</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电源线</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PVV2*1.0</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米</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bidi="ar"/>
              </w:rPr>
              <w:t>3</w:t>
            </w:r>
            <w:r>
              <w:rPr>
                <w:rFonts w:hint="eastAsia" w:asciiTheme="minorEastAsia" w:hAnsiTheme="minorEastAsia" w:eastAsiaTheme="minorEastAsia" w:cstheme="minorEastAsia"/>
                <w:color w:val="000000"/>
                <w:kern w:val="0"/>
                <w:sz w:val="21"/>
                <w:szCs w:val="21"/>
                <w:lang w:bidi="ar"/>
              </w:rPr>
              <w:t>5</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辅材</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PVC材料及辅材</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批</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bidi="ar"/>
              </w:rPr>
              <w:t>3</w:t>
            </w:r>
            <w:r>
              <w:rPr>
                <w:rFonts w:hint="eastAsia" w:asciiTheme="minorEastAsia" w:hAnsiTheme="minorEastAsia" w:eastAsiaTheme="minorEastAsia" w:cstheme="minorEastAsia"/>
                <w:color w:val="000000"/>
                <w:kern w:val="0"/>
                <w:sz w:val="21"/>
                <w:szCs w:val="21"/>
                <w:lang w:bidi="ar"/>
              </w:rPr>
              <w:t>6</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安装调试费</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安装调试及集成费</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项</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9" w:type="dxa"/>
            <w:gridSpan w:val="5"/>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
                <w:color w:val="000000"/>
                <w:kern w:val="0"/>
                <w:sz w:val="21"/>
                <w:szCs w:val="21"/>
                <w:lang w:bidi="ar"/>
              </w:rPr>
              <w:t>电子围栏、激光对射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37</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脉冲主机包</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color w:val="000000"/>
                <w:kern w:val="0"/>
                <w:sz w:val="21"/>
                <w:szCs w:val="21"/>
                <w:lang w:bidi="ar"/>
              </w:rPr>
              <w:t>主机技术参数：</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6线制/双防区脉冲主机/显示每个防区的工作电压值/电压值可无级调控/显示每个防区的工作电流值/防区报警显示/实时监控每个防区情况/脉冲频率可调控/报警响应时间调控/继电器报警输出时间可调控/采用4.3寸真彩屏设计/内置拨码式单地址码模块，自带拨码开关，使用多防区时无须另外增加地址码模块，可以直接接入485总线与中心控制设备通信。</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包含：6线制双防区脉冲主机:1台/避雷器:2个/室外声光报警器:2个/涂塑主机防雨箱:1个</w:t>
            </w:r>
            <w:r>
              <w:rPr>
                <w:rFonts w:hint="eastAsia" w:asciiTheme="minorEastAsia" w:hAnsiTheme="minorEastAsia" w:cstheme="minorEastAsia"/>
                <w:color w:val="000000"/>
                <w:kern w:val="0"/>
                <w:sz w:val="21"/>
                <w:szCs w:val="21"/>
                <w:lang w:eastAsia="zh-CN" w:bidi="ar"/>
              </w:rPr>
              <w:t>。</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38</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6线电子围栏</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 xml:space="preserve">包含6线承力杆、合金线、附件等 </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套</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bidi="ar"/>
              </w:rPr>
              <w:t>3</w:t>
            </w:r>
            <w:r>
              <w:rPr>
                <w:rFonts w:hint="eastAsia" w:asciiTheme="minorEastAsia" w:hAnsiTheme="minorEastAsia" w:cstheme="minorEastAsia"/>
                <w:color w:val="000000"/>
                <w:kern w:val="0"/>
                <w:sz w:val="21"/>
                <w:szCs w:val="21"/>
                <w:lang w:val="en-US" w:eastAsia="zh-CN" w:bidi="ar"/>
              </w:rPr>
              <w:t>9</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中心点配置</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声光报警器(红/白双色外观),12VDC 压电警号,防火ABS阻燃外壳,声压(VDC)：110±3</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个</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bidi="ar"/>
              </w:rPr>
              <w:t>4</w:t>
            </w:r>
            <w:r>
              <w:rPr>
                <w:rFonts w:hint="eastAsia" w:asciiTheme="minorEastAsia" w:hAnsiTheme="minorEastAsia" w:cstheme="minorEastAsia"/>
                <w:color w:val="000000"/>
                <w:kern w:val="0"/>
                <w:sz w:val="21"/>
                <w:szCs w:val="21"/>
                <w:lang w:val="en-US" w:eastAsia="zh-CN" w:bidi="ar"/>
              </w:rPr>
              <w:t>0</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电子围栏控制键盘</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LCD键盘主机一体化结构/40个485方式防区输入/8个独立子系统1个公共子系统/支持有线电话、有线网络、GPRS三种通讯方式/支持短信布撤防/支持定时任务（时控输出、定时撤布防）/支持遥控器撤布防/支持软件可视化编程，配置数据导入导出</w:t>
            </w:r>
            <w:r>
              <w:rPr>
                <w:rFonts w:hint="eastAsia" w:asciiTheme="minorEastAsia" w:hAnsiTheme="minorEastAsia" w:eastAsiaTheme="minorEastAsia" w:cstheme="minorEastAsia"/>
                <w:color w:val="000000"/>
                <w:kern w:val="0"/>
                <w:sz w:val="21"/>
                <w:szCs w:val="21"/>
                <w:lang w:eastAsia="zh-CN" w:bidi="ar"/>
              </w:rPr>
              <w:t>。</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个</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41</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电子围栏软件</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通过软件入口下单的单机软件，适用于中小型项目，支持10台智能控制终端+100用户+100路视频，超过此数量可定制。</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套</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42</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激光对射8光束激光入侵探测器</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color w:val="000000"/>
                <w:kern w:val="0"/>
                <w:sz w:val="21"/>
                <w:szCs w:val="21"/>
                <w:lang w:bidi="ar"/>
              </w:rPr>
              <w:t>激光波长 650nm、808nm、980nm</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 xml:space="preserve">1、精准零误报：独创PWM激光光源调制技术，探测距离精准、穿透力强，能适应雨、雾、霜、雪、沙尘等恶劣天气;                                         </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2、抗强光干扰：接收端采用专业窄带滤光片+带通滤波技术，有效滤除外界99%的杂散光，不受太阳光、探照灯、汽车强光等光源干扰;</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3、光路稳定：调光迅速便捷，独创光路自锁功能，保证设备稳定运行;</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4、IP67防护等级：铝合金外壳全密封防尘、防水、防虫、防拆设计，环境适应性更强;</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5、多档响应调节：报警响应时间五档可调，适用于各种应用环境，满足多种报警需求；</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6、无光源污染：CLASSI一类安全等级，对人体无害。</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7、维护便捷：免拆装设计，激光管插拔式安装，无需拆卸外壳即可直接更换;</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8、寿命持久：使用寿命不低于10年</w:t>
            </w:r>
            <w:r>
              <w:rPr>
                <w:rFonts w:hint="eastAsia" w:asciiTheme="minorEastAsia" w:hAnsiTheme="minorEastAsia" w:cstheme="minorEastAsia"/>
                <w:color w:val="000000"/>
                <w:kern w:val="0"/>
                <w:sz w:val="21"/>
                <w:szCs w:val="21"/>
                <w:lang w:eastAsia="zh-CN" w:bidi="ar"/>
              </w:rPr>
              <w:t>。</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对</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43</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激光对射电源</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与激光入侵探测器配套</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个</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44</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网络地址模块</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1.电源输入：DC12V/2A；</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2.通讯方式：TCP/IP；</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3.联动输入方式：常开/常闭；</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4.远程控制输出方式：常开/常闭；</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个</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45</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防水箱</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 xml:space="preserve">1.尺寸：长宽高520*380*170mm；                                                                            </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 xml:space="preserve">2.材质及防腐：1.2mm镀锌钢板，户外粉末涂料；                                                                         3.特点：耐腐蚀、密封、防尘、防雨；                                                                              </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 xml:space="preserve">4.其它：内置转换器固定槽、空气开关导轨、33AH蓄电池安装位及固定排插位置、太阳能板安装其它配件；  </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个</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46</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传输线缆1</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RVV 2*1.0</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米</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47</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传输线缆2</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超五类网线</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米</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48</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主机防雨箱（大）</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 xml:space="preserve">1.材质及防腐：1.2mm不锈钢                                                                         </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 xml:space="preserve">2.特点：耐腐蚀、密封、防尘、防雨；                                                                              </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 xml:space="preserve">3.其它：专用定制 </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只</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49</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辅材</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PVC材料及辅材</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批</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50</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地面切槽</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水泥地面开沟切槽及水泥回填</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米</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51</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安装调试费用</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安装调试及集成费</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批</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6" w:type="dxa"/>
            <w:gridSpan w:val="3"/>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
                <w:color w:val="000000"/>
                <w:kern w:val="0"/>
                <w:sz w:val="21"/>
                <w:szCs w:val="21"/>
                <w:lang w:bidi="ar"/>
              </w:rPr>
              <w:t>可视对讲设备</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52</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监仓门口机（22英寸高清液晶显示屏）</w:t>
            </w:r>
          </w:p>
        </w:tc>
        <w:tc>
          <w:tcPr>
            <w:tcW w:w="6745" w:type="dxa"/>
            <w:vAlign w:val="center"/>
          </w:tcPr>
          <w:p>
            <w:pPr>
              <w:widowControl/>
              <w:jc w:val="left"/>
              <w:textAlignment w:val="center"/>
              <w:rPr>
                <w:rFonts w:hint="eastAsia" w:asciiTheme="minorEastAsia" w:hAnsiTheme="minorEastAsia" w:eastAsiaTheme="minorEastAsia" w:cstheme="minorEastAsia"/>
                <w:b/>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需采用不小于20英寸液晶显示屏，电容式触摸屏；</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内置高清摄像头，像素≥200W；</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支持双向可视全双工对讲，对讲音频采样率不低于16KHz；</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▲干警应能通过门口机查看监仓内分机绑定的IPC视频画面；</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支持人脸识别，通过人脸比对身份验证可实现登录权限管理、巡视签到、出入登记；</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支持接收并播放主机的广播任务；</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支持违规录入，民警可在线录入在押人员违规情况；</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支持查询监仓概况，显示内容包含民警信息、在押人员信息、床位信息；</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支持在线预约，可预约民警、预约就医、预约会见；</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支持心情记录，可在线进行心情表达并记录；</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支持自助查询监规监纪、权利义务、计分考核、通知公告；</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支持对监仓内的对讲终端进行监听监视，并与之对讲；</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52</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可视分机（嵌入式金属防暴）</w:t>
            </w:r>
          </w:p>
        </w:tc>
        <w:tc>
          <w:tcPr>
            <w:tcW w:w="6745" w:type="dxa"/>
            <w:vAlign w:val="center"/>
          </w:tcPr>
          <w:p>
            <w:pPr>
              <w:widowControl/>
              <w:jc w:val="left"/>
              <w:textAlignment w:val="center"/>
              <w:rPr>
                <w:rFonts w:hint="eastAsia" w:asciiTheme="minorEastAsia" w:hAnsiTheme="minorEastAsia" w:eastAsiaTheme="minorEastAsia" w:cstheme="minorEastAsia"/>
                <w:b/>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1、1080P高清视频、可弱光补偿，采用铝合金面板，含ABS防火安装底盒，具有防拆、防人为暴力破坏功能。可嵌入式安装在监仓内的墙壁上。</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▲2、分机应支持双键呼叫报警，应能设置为分别呼叫指定的2台可视对讲主机</w:t>
            </w:r>
            <w:r>
              <w:rPr>
                <w:rFonts w:hint="eastAsia" w:asciiTheme="minorEastAsia" w:hAnsiTheme="minorEastAsia" w:cstheme="minorEastAsia"/>
                <w:color w:val="000000"/>
                <w:kern w:val="0"/>
                <w:sz w:val="21"/>
                <w:szCs w:val="21"/>
                <w:lang w:eastAsia="zh-CN" w:bidi="ar"/>
              </w:rPr>
              <w:t>。</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 xml:space="preserve">3、支持弱光补偿功能，在低照度环境下自动打开红外。 </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▲4、支持喧哗报警，分机处于几秒持续喧哗时，可自动向主机发出报警。</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 xml:space="preserve">5、可通过网络接收主机的MP3文件广播或喊话。  </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6、基于标准的 ONVIF 协议，可将自带内置摄像头和麦克所采集到的音视频，实时传输到网络硬盘录像机（NVR/HDVR）上进行存储、回放。</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 xml:space="preserve">7、当有消防报警时，自动将广播声音强切到最大音量。  </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8、当有人为非法强拆时，可自动向主机报警。</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54</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IP网络可视对讲主机</w:t>
            </w:r>
          </w:p>
        </w:tc>
        <w:tc>
          <w:tcPr>
            <w:tcW w:w="6745" w:type="dxa"/>
            <w:vAlign w:val="center"/>
          </w:tcPr>
          <w:p>
            <w:pPr>
              <w:widowControl/>
              <w:jc w:val="left"/>
              <w:textAlignment w:val="center"/>
              <w:rPr>
                <w:rFonts w:hint="eastAsia" w:asciiTheme="minorEastAsia" w:hAnsiTheme="minorEastAsia" w:eastAsiaTheme="minorEastAsia" w:cstheme="minorEastAsia"/>
                <w:b/>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1、不小于10.2寸数字真彩显示屏，电容式触摸屏，内置高清数字摄像头，可手动调节摄像头角度，可管理30路分机；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2、支持全双工对讲；具有免提、手柄、桌面鹅颈等三种对讲方式；对讲音频采样率不低于16KHZ；</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3、主机支持全屏显示高清视频画面，且支持HDMI输出功能；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4、具有广播功能，实现全区、分区、定时广播；可执行MP3文件广播、喊话广播、外接音源广播；</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5、具有留影留言功能，主机应能支持音视频录制、存储和播放；</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6、支持本机SD卡录音录像功能，可视对讲主机能对通话过程录音录像，并能查询、播放、存储、上传至服务器；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7、可接入VOIP电话系统，与VOIP电话之间双向呼叫及通话；</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8、可实时显示直属对讲分机的在线状态，并提醒分机的掉线信息；</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55</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IP网络可视对讲主机</w:t>
            </w:r>
          </w:p>
        </w:tc>
        <w:tc>
          <w:tcPr>
            <w:tcW w:w="6745" w:type="dxa"/>
            <w:vAlign w:val="center"/>
          </w:tcPr>
          <w:p>
            <w:pPr>
              <w:widowControl/>
              <w:jc w:val="left"/>
              <w:textAlignment w:val="center"/>
              <w:rPr>
                <w:rFonts w:hint="eastAsia" w:asciiTheme="minorEastAsia" w:hAnsiTheme="minorEastAsia" w:eastAsiaTheme="minorEastAsia" w:cstheme="minorEastAsia"/>
                <w:b/>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1、不小于10.2寸数字真彩显示屏，电容式触摸屏，内置高清数字摄像头，可手动调节摄像头角度，可管理5台一级主机和600个分机；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2、支持全双工对讲；具有免提、手柄、桌面鹅颈等三种对讲方式；对讲音频采样率不低于16KHZ</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▲3、主机支持全屏显示高清视频画面，且支持HDMI输出功能；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4、具有广播功能，实现全区、分区、定时广播；可执行MP3文件广播、喊话广播、外接音源广播；</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5、具有留影留言功能，主机应能支持音视频录制、存储和播放；</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▲6、支持本机SD卡录音录像功能，可视对讲主机能对通话过程录音录像，并能查询、播放、存储、上传至服务器；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7、可接入VOIP电话系统，与VOIP电话之间双向呼叫及通话；</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8、可实时显示直属对讲分机的在线状态，并提醒分机的掉线信息；</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5</w:t>
            </w:r>
            <w:r>
              <w:rPr>
                <w:rFonts w:hint="eastAsia" w:asciiTheme="minorEastAsia" w:hAnsiTheme="minorEastAsia" w:cstheme="minorEastAsia"/>
                <w:color w:val="000000"/>
                <w:kern w:val="0"/>
                <w:sz w:val="21"/>
                <w:szCs w:val="21"/>
                <w:lang w:val="en-US" w:eastAsia="zh-CN" w:bidi="ar"/>
              </w:rPr>
              <w:t>6</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POE交换机</w:t>
            </w:r>
          </w:p>
        </w:tc>
        <w:tc>
          <w:tcPr>
            <w:tcW w:w="6745" w:type="dxa"/>
            <w:vAlign w:val="center"/>
          </w:tcPr>
          <w:p>
            <w:pPr>
              <w:widowControl/>
              <w:textAlignment w:val="center"/>
              <w:rPr>
                <w:rFonts w:hint="eastAsia" w:asciiTheme="minorEastAsia" w:hAnsiTheme="minorEastAsia" w:eastAsiaTheme="minorEastAsia" w:cstheme="minorEastAsia"/>
                <w:b/>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24口交换机，24口支持POE，另有1000M电口、1000M光口各2个。</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57</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超五类非屏蔽网线</w:t>
            </w:r>
          </w:p>
        </w:tc>
        <w:tc>
          <w:tcPr>
            <w:tcW w:w="6745" w:type="dxa"/>
            <w:vAlign w:val="center"/>
          </w:tcPr>
          <w:p>
            <w:pPr>
              <w:widowControl/>
              <w:textAlignment w:val="center"/>
              <w:rPr>
                <w:rFonts w:hint="eastAsia" w:asciiTheme="minorEastAsia" w:hAnsiTheme="minorEastAsia" w:eastAsiaTheme="minorEastAsia" w:cstheme="minorEastAsia"/>
                <w:b/>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超五类4对UTP电缆又称超五类非屏蔽双绞线，UTP无金属屏蔽材料</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箱</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58</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墙体开槽及恢复</w:t>
            </w:r>
          </w:p>
        </w:tc>
        <w:tc>
          <w:tcPr>
            <w:tcW w:w="6745" w:type="dxa"/>
            <w:vAlign w:val="center"/>
          </w:tcPr>
          <w:p>
            <w:pPr>
              <w:widowControl/>
              <w:textAlignment w:val="center"/>
              <w:rPr>
                <w:rFonts w:hint="eastAsia" w:asciiTheme="minorEastAsia" w:hAnsiTheme="minorEastAsia" w:eastAsiaTheme="minorEastAsia" w:cstheme="minorEastAsia"/>
                <w:b/>
                <w:color w:val="000000"/>
                <w:kern w:val="0"/>
                <w:sz w:val="21"/>
                <w:szCs w:val="21"/>
                <w:lang w:eastAsia="zh-CN" w:bidi="ar"/>
              </w:rPr>
            </w:pPr>
            <w:r>
              <w:rPr>
                <w:rFonts w:hint="eastAsia" w:asciiTheme="minorEastAsia" w:hAnsiTheme="minorEastAsia" w:eastAsiaTheme="minorEastAsia" w:cstheme="minorEastAsia"/>
                <w:color w:val="000000"/>
                <w:kern w:val="0"/>
                <w:sz w:val="21"/>
                <w:szCs w:val="21"/>
                <w:lang w:bidi="ar"/>
              </w:rPr>
              <w:t>墙体开槽及恢复</w:t>
            </w:r>
            <w:r>
              <w:rPr>
                <w:rFonts w:hint="eastAsia" w:asciiTheme="minorEastAsia" w:hAnsiTheme="minorEastAsia" w:cstheme="minorEastAsia"/>
                <w:color w:val="000000"/>
                <w:kern w:val="0"/>
                <w:sz w:val="21"/>
                <w:szCs w:val="21"/>
                <w:lang w:eastAsia="zh-CN" w:bidi="ar"/>
              </w:rPr>
              <w:t>。</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米</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59</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PVC线管</w:t>
            </w:r>
          </w:p>
        </w:tc>
        <w:tc>
          <w:tcPr>
            <w:tcW w:w="6745" w:type="dxa"/>
            <w:vAlign w:val="center"/>
          </w:tcPr>
          <w:p>
            <w:pPr>
              <w:widowControl/>
              <w:textAlignment w:val="center"/>
              <w:rPr>
                <w:rFonts w:hint="eastAsia" w:asciiTheme="minorEastAsia" w:hAnsiTheme="minorEastAsia" w:eastAsiaTheme="minorEastAsia" w:cstheme="minorEastAsia"/>
                <w:b/>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25管</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米</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60</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辅材</w:t>
            </w:r>
          </w:p>
        </w:tc>
        <w:tc>
          <w:tcPr>
            <w:tcW w:w="6745" w:type="dxa"/>
            <w:vAlign w:val="center"/>
          </w:tcPr>
          <w:p>
            <w:pPr>
              <w:widowControl/>
              <w:textAlignment w:val="center"/>
              <w:rPr>
                <w:rFonts w:hint="eastAsia" w:asciiTheme="minorEastAsia" w:hAnsiTheme="minorEastAsia" w:eastAsiaTheme="minorEastAsia" w:cstheme="minorEastAsia"/>
                <w:b/>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各种辅材配件</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批</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61</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安装调试费用</w:t>
            </w:r>
          </w:p>
        </w:tc>
        <w:tc>
          <w:tcPr>
            <w:tcW w:w="6745" w:type="dxa"/>
            <w:vAlign w:val="center"/>
          </w:tcPr>
          <w:p>
            <w:pPr>
              <w:widowControl/>
              <w:jc w:val="left"/>
              <w:textAlignment w:val="center"/>
              <w:rPr>
                <w:rFonts w:hint="eastAsia" w:asciiTheme="minorEastAsia" w:hAnsiTheme="minorEastAsia" w:eastAsiaTheme="minorEastAsia" w:cstheme="minorEastAsia"/>
                <w:b/>
                <w:color w:val="000000"/>
                <w:kern w:val="0"/>
                <w:sz w:val="21"/>
                <w:szCs w:val="21"/>
                <w:lang w:eastAsia="zh-CN" w:bidi="ar"/>
              </w:rPr>
            </w:pPr>
            <w:r>
              <w:rPr>
                <w:rFonts w:hint="eastAsia" w:asciiTheme="minorEastAsia" w:hAnsiTheme="minorEastAsia" w:eastAsiaTheme="minorEastAsia" w:cstheme="minorEastAsia"/>
                <w:color w:val="000000"/>
                <w:kern w:val="0"/>
                <w:sz w:val="21"/>
                <w:szCs w:val="21"/>
                <w:lang w:bidi="ar"/>
              </w:rPr>
              <w:t>安装调试及集成费</w:t>
            </w:r>
            <w:r>
              <w:rPr>
                <w:rFonts w:hint="eastAsia" w:asciiTheme="minorEastAsia" w:hAnsiTheme="minorEastAsia" w:cstheme="minorEastAsia"/>
                <w:color w:val="000000"/>
                <w:kern w:val="0"/>
                <w:sz w:val="21"/>
                <w:szCs w:val="21"/>
                <w:lang w:eastAsia="zh-CN" w:bidi="ar"/>
              </w:rPr>
              <w:t>。</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批</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bl>
    <w:p>
      <w:pPr>
        <w:widowControl/>
        <w:shd w:val="clear" w:color="auto" w:fill="FFFFFF"/>
        <w:spacing w:line="360" w:lineRule="auto"/>
        <w:ind w:firstLine="422" w:firstLineChars="200"/>
        <w:contextualSpacing/>
        <w:jc w:val="left"/>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二、技术、服务要求</w:t>
      </w:r>
    </w:p>
    <w:p>
      <w:pPr>
        <w:widowControl/>
        <w:shd w:val="clear" w:color="auto" w:fill="FFFFFF"/>
        <w:spacing w:line="360" w:lineRule="auto"/>
        <w:ind w:firstLine="422" w:firstLineChars="200"/>
        <w:contextualSpacing/>
        <w:jc w:val="left"/>
        <w:rPr>
          <w:rFonts w:hint="eastAsia" w:ascii="宋体" w:hAnsi="宋体" w:eastAsia="宋体" w:cs="宋体"/>
          <w:b/>
          <w:color w:val="auto"/>
          <w:szCs w:val="21"/>
        </w:rPr>
      </w:pPr>
      <w:r>
        <w:rPr>
          <w:rFonts w:hint="eastAsia" w:ascii="宋体" w:hAnsi="宋体" w:eastAsia="宋体" w:cs="宋体"/>
          <w:b/>
          <w:color w:val="auto"/>
          <w:szCs w:val="21"/>
          <w:lang w:val="en-US" w:eastAsia="zh-CN"/>
        </w:rPr>
        <w:t>1</w:t>
      </w:r>
      <w:r>
        <w:rPr>
          <w:rFonts w:hint="eastAsia" w:ascii="宋体" w:hAnsi="宋体" w:eastAsia="宋体" w:cs="宋体"/>
          <w:b/>
          <w:color w:val="auto"/>
          <w:szCs w:val="21"/>
          <w:lang w:eastAsia="zh-CN"/>
        </w:rPr>
        <w:t>、</w:t>
      </w:r>
      <w:r>
        <w:rPr>
          <w:rFonts w:hint="eastAsia" w:ascii="宋体" w:hAnsi="宋体" w:eastAsia="宋体" w:cs="宋体"/>
          <w:b/>
          <w:color w:val="auto"/>
          <w:szCs w:val="21"/>
        </w:rPr>
        <w:t>本采购清单中所列技术规格或主要参数为最低要求，不允许负偏离，否则将承担其投标被视为非实质性响应投标的风险。</w:t>
      </w:r>
    </w:p>
    <w:p>
      <w:pPr>
        <w:widowControl/>
        <w:shd w:val="clear" w:color="auto" w:fill="FFFFFF"/>
        <w:spacing w:line="360" w:lineRule="auto"/>
        <w:ind w:firstLine="422" w:firstLineChars="200"/>
        <w:contextualSpacing/>
        <w:jc w:val="left"/>
        <w:rPr>
          <w:rFonts w:hint="eastAsia" w:ascii="宋体" w:hAnsi="宋体" w:eastAsia="宋体" w:cs="宋体"/>
          <w:b/>
          <w:color w:val="auto"/>
          <w:szCs w:val="21"/>
          <w:lang w:eastAsia="zh-CN"/>
        </w:rPr>
      </w:pPr>
      <w:r>
        <w:rPr>
          <w:rFonts w:hint="eastAsia" w:ascii="宋体" w:hAnsi="宋体" w:eastAsia="宋体" w:cs="宋体"/>
          <w:b/>
          <w:color w:val="auto"/>
          <w:szCs w:val="21"/>
          <w:lang w:val="en-US" w:eastAsia="zh-CN"/>
        </w:rPr>
        <w:t>2、</w:t>
      </w:r>
      <w:r>
        <w:rPr>
          <w:rFonts w:hint="eastAsia" w:ascii="宋体" w:hAnsi="宋体" w:eastAsia="宋体" w:cs="宋体"/>
          <w:b/>
          <w:color w:val="auto"/>
          <w:szCs w:val="21"/>
          <w:lang w:eastAsia="zh-CN"/>
        </w:rPr>
        <w:t>需求表序号19平台服务器、20视频云存储管理服务器、21视频云存储运维服务器为本项目核心产品。</w:t>
      </w:r>
    </w:p>
    <w:p>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lang w:val="en-US" w:eastAsia="zh-CN"/>
        </w:rPr>
        <w:t>3</w:t>
      </w:r>
      <w:r>
        <w:rPr>
          <w:rFonts w:hint="eastAsia" w:ascii="宋体" w:hAnsi="宋体" w:cs="宋体"/>
          <w:bCs/>
          <w:color w:val="auto"/>
          <w:kern w:val="0"/>
          <w:szCs w:val="21"/>
        </w:rPr>
        <w:t>、现场勘察及室外施工要求</w:t>
      </w:r>
    </w:p>
    <w:p>
      <w:pPr>
        <w:widowControl/>
        <w:wordWrap w:val="0"/>
        <w:spacing w:line="360" w:lineRule="auto"/>
        <w:ind w:left="0" w:leftChars="0" w:firstLine="420" w:firstLineChars="200"/>
        <w:jc w:val="left"/>
        <w:rPr>
          <w:rFonts w:hint="eastAsia" w:ascii="宋体" w:hAnsi="宋体" w:cs="宋体"/>
          <w:bCs/>
          <w:color w:val="auto"/>
          <w:szCs w:val="21"/>
        </w:rPr>
      </w:pPr>
      <w:r>
        <w:rPr>
          <w:rFonts w:hint="eastAsia" w:ascii="宋体" w:hAnsi="宋体" w:cs="宋体"/>
          <w:bCs/>
          <w:color w:val="auto"/>
          <w:szCs w:val="21"/>
          <w:lang w:val="en-US" w:eastAsia="zh-CN"/>
        </w:rPr>
        <w:t>3.1</w:t>
      </w:r>
      <w:r>
        <w:rPr>
          <w:rFonts w:hint="eastAsia" w:ascii="宋体" w:hAnsi="宋体" w:cs="宋体"/>
          <w:bCs/>
          <w:color w:val="auto"/>
          <w:szCs w:val="21"/>
        </w:rPr>
        <w:t>供应商根据现场勘察情况对设备安装施工现场进行设计规划，并在招标文件中提供相关施工技术说明。</w:t>
      </w:r>
    </w:p>
    <w:p>
      <w:pPr>
        <w:widowControl/>
        <w:wordWrap w:val="0"/>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lang w:val="en-US" w:eastAsia="zh-CN"/>
        </w:rPr>
        <w:t>3.2</w:t>
      </w:r>
      <w:r>
        <w:rPr>
          <w:rFonts w:hint="eastAsia" w:ascii="宋体" w:hAnsi="宋体" w:cs="宋体"/>
          <w:bCs/>
          <w:color w:val="auto"/>
          <w:szCs w:val="21"/>
        </w:rPr>
        <w:t>室外布线施工如遇硬化水泥路面，确需采用破面开挖方式的，应当与</w:t>
      </w:r>
      <w:r>
        <w:rPr>
          <w:rFonts w:hint="eastAsia" w:ascii="宋体" w:hAnsi="宋体" w:cs="宋体"/>
          <w:bCs/>
          <w:color w:val="auto"/>
          <w:szCs w:val="21"/>
          <w:lang w:eastAsia="zh-CN"/>
        </w:rPr>
        <w:t>招标</w:t>
      </w:r>
      <w:r>
        <w:rPr>
          <w:rFonts w:hint="eastAsia" w:ascii="宋体" w:hAnsi="宋体" w:cs="宋体"/>
          <w:bCs/>
          <w:color w:val="auto"/>
          <w:szCs w:val="21"/>
        </w:rPr>
        <w:t>方充沟通，在不影响通行和环境的情况下进行实施，施工结束后及时复原。</w:t>
      </w:r>
    </w:p>
    <w:p>
      <w:pPr>
        <w:numPr>
          <w:ilvl w:val="0"/>
          <w:numId w:val="4"/>
        </w:numPr>
        <w:wordWrap w:val="0"/>
        <w:topLinePunct/>
        <w:spacing w:line="360" w:lineRule="auto"/>
        <w:ind w:firstLine="420" w:firstLineChars="200"/>
        <w:rPr>
          <w:rFonts w:hint="eastAsia" w:ascii="宋体" w:cs="宋体"/>
          <w:color w:val="auto"/>
          <w:szCs w:val="21"/>
          <w:lang w:val="en-US" w:eastAsia="zh-CN"/>
        </w:rPr>
      </w:pPr>
      <w:r>
        <w:rPr>
          <w:rFonts w:hint="eastAsia" w:ascii="宋体" w:cs="宋体"/>
          <w:color w:val="auto"/>
          <w:szCs w:val="21"/>
          <w:lang w:val="en-US" w:eastAsia="zh-CN"/>
        </w:rPr>
        <w:t>专项技术要求。本项目在投标前投标供应商应当充分的现场技术调研，确保选用的设备与河南省司法厅管理平台实现无缝对接，涉及到省级管理平台的技术规范，投标供应商应当到省级平台咨询调研，确保本项目建成后与省级平台互联互通。</w:t>
      </w:r>
    </w:p>
    <w:p>
      <w:pPr>
        <w:numPr>
          <w:ilvl w:val="0"/>
          <w:numId w:val="4"/>
        </w:numPr>
        <w:wordWrap w:val="0"/>
        <w:topLinePunct/>
        <w:spacing w:line="360" w:lineRule="auto"/>
        <w:ind w:firstLine="420" w:firstLineChars="200"/>
        <w:rPr>
          <w:rFonts w:hint="eastAsia" w:ascii="宋体" w:cs="宋体"/>
          <w:color w:val="auto"/>
          <w:szCs w:val="21"/>
          <w:lang w:val="en-US" w:eastAsia="zh-CN"/>
        </w:rPr>
      </w:pPr>
      <w:r>
        <w:rPr>
          <w:rFonts w:hint="eastAsia" w:ascii="宋体" w:cs="宋体"/>
          <w:color w:val="auto"/>
          <w:szCs w:val="21"/>
          <w:lang w:val="en-US" w:eastAsia="zh-CN"/>
        </w:rPr>
        <w:t>技术培训服务及维保服务</w:t>
      </w:r>
    </w:p>
    <w:p>
      <w:pPr>
        <w:wordWrap w:val="0"/>
        <w:topLinePunct/>
        <w:spacing w:line="360" w:lineRule="auto"/>
        <w:ind w:firstLine="420" w:firstLineChars="200"/>
        <w:rPr>
          <w:rFonts w:hint="eastAsia" w:ascii="宋体" w:cs="宋体"/>
          <w:color w:val="auto"/>
          <w:szCs w:val="21"/>
          <w:lang w:val="en-US" w:eastAsia="zh-CN"/>
        </w:rPr>
      </w:pPr>
      <w:r>
        <w:rPr>
          <w:rFonts w:hint="eastAsia" w:ascii="宋体" w:cs="宋体"/>
          <w:color w:val="auto"/>
          <w:szCs w:val="21"/>
          <w:lang w:val="en-US" w:eastAsia="zh-CN"/>
        </w:rPr>
        <w:t>5.1投标供应商须提供现场专业技术培训服务，包括常见故障排除、日常维护、设备工作原理等。</w:t>
      </w:r>
    </w:p>
    <w:p>
      <w:pPr>
        <w:wordWrap w:val="0"/>
        <w:topLinePunct/>
        <w:spacing w:line="360" w:lineRule="auto"/>
        <w:ind w:firstLine="420" w:firstLineChars="200"/>
        <w:rPr>
          <w:rFonts w:hint="eastAsia" w:ascii="宋体" w:cs="宋体"/>
          <w:color w:val="auto"/>
          <w:szCs w:val="21"/>
          <w:lang w:val="en-US" w:eastAsia="zh-CN"/>
        </w:rPr>
      </w:pPr>
      <w:r>
        <w:rPr>
          <w:rFonts w:hint="eastAsia" w:ascii="宋体" w:cs="宋体"/>
          <w:color w:val="auto"/>
          <w:szCs w:val="21"/>
          <w:lang w:val="en-US" w:eastAsia="zh-CN"/>
        </w:rPr>
        <w:t>5.2质保期内供应商必须确保1名专</w:t>
      </w:r>
      <w:r>
        <w:rPr>
          <w:rFonts w:hint="eastAsia"/>
          <w:lang w:eastAsia="zh-CN"/>
        </w:rPr>
        <w:t>业</w:t>
      </w:r>
      <w:r>
        <w:rPr>
          <w:rFonts w:hint="eastAsia" w:ascii="宋体" w:cs="宋体"/>
          <w:color w:val="auto"/>
          <w:szCs w:val="21"/>
          <w:lang w:val="en-US" w:eastAsia="zh-CN"/>
        </w:rPr>
        <w:t>技术人员长期现场（住场）进行维保服务，期满后专业技术人员每月进行一次现场巡视，每年进行一次设备全面技术维保服务。</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en-US" w:eastAsia="zh-CN"/>
        </w:rPr>
        <w:t>6</w:t>
      </w:r>
      <w:r>
        <w:rPr>
          <w:rFonts w:hint="eastAsia" w:ascii="宋体" w:cs="宋体"/>
          <w:color w:val="auto"/>
          <w:szCs w:val="21"/>
          <w:lang w:val="zh-CN"/>
        </w:rPr>
        <w:t>、</w:t>
      </w:r>
      <w:r>
        <w:rPr>
          <w:rFonts w:hint="eastAsia" w:cs="宋体" w:asciiTheme="minorEastAsia" w:hAnsiTheme="minorEastAsia"/>
          <w:color w:val="auto"/>
          <w:kern w:val="0"/>
          <w:szCs w:val="21"/>
          <w:lang w:val="zh-CN"/>
        </w:rPr>
        <w:t>质保期</w:t>
      </w:r>
      <w:r>
        <w:rPr>
          <w:rFonts w:hint="eastAsia" w:ascii="宋体" w:cs="宋体"/>
          <w:color w:val="auto"/>
          <w:szCs w:val="21"/>
          <w:lang w:val="zh-CN"/>
        </w:rPr>
        <w:t>：本项目验收合格计算质保期，质保期限</w:t>
      </w:r>
      <w:r>
        <w:rPr>
          <w:rFonts w:hint="eastAsia" w:ascii="宋体" w:cs="宋体"/>
          <w:color w:val="auto"/>
          <w:szCs w:val="21"/>
          <w:lang w:val="en-US" w:eastAsia="zh-CN"/>
        </w:rPr>
        <w:t>1</w:t>
      </w:r>
      <w:r>
        <w:rPr>
          <w:rFonts w:hint="eastAsia" w:ascii="宋体" w:cs="宋体"/>
          <w:color w:val="auto"/>
          <w:szCs w:val="21"/>
          <w:lang w:val="zh-CN" w:eastAsia="zh-CN"/>
        </w:rPr>
        <w:t>年，质</w:t>
      </w:r>
      <w:r>
        <w:rPr>
          <w:rFonts w:hint="eastAsia" w:ascii="宋体" w:cs="宋体"/>
          <w:color w:val="auto"/>
          <w:szCs w:val="21"/>
          <w:lang w:val="zh-CN"/>
        </w:rPr>
        <w:t>保期内全免费质保服务</w:t>
      </w:r>
      <w:r>
        <w:rPr>
          <w:rFonts w:hint="eastAsia" w:ascii="宋体" w:cs="宋体"/>
          <w:color w:val="auto"/>
          <w:szCs w:val="21"/>
          <w:lang w:val="zh-CN" w:eastAsia="zh-CN"/>
        </w:rPr>
        <w:t>（含住场服务）</w:t>
      </w:r>
      <w:r>
        <w:rPr>
          <w:rFonts w:hint="eastAsia" w:ascii="宋体" w:cs="宋体"/>
          <w:color w:val="auto"/>
          <w:szCs w:val="21"/>
          <w:lang w:val="zh-CN"/>
        </w:rPr>
        <w:t>。</w:t>
      </w:r>
    </w:p>
    <w:p>
      <w:pPr>
        <w:wordWrap w:val="0"/>
        <w:topLinePunct/>
        <w:spacing w:line="360" w:lineRule="auto"/>
        <w:ind w:firstLine="422" w:firstLineChars="200"/>
        <w:rPr>
          <w:rFonts w:hint="default" w:ascii="宋体" w:cs="宋体"/>
          <w:b/>
          <w:bCs/>
          <w:color w:val="auto"/>
          <w:szCs w:val="21"/>
          <w:lang w:val="en-US" w:eastAsia="zh-CN"/>
        </w:rPr>
      </w:pPr>
      <w:r>
        <w:rPr>
          <w:rFonts w:hint="eastAsia" w:ascii="宋体" w:cs="宋体"/>
          <w:b/>
          <w:bCs/>
          <w:color w:val="auto"/>
          <w:szCs w:val="21"/>
          <w:lang w:val="en-US" w:eastAsia="zh-CN"/>
        </w:rPr>
        <w:t>三、其他要求</w:t>
      </w:r>
    </w:p>
    <w:p>
      <w:pPr>
        <w:wordWrap w:val="0"/>
        <w:topLinePunct/>
        <w:spacing w:line="360" w:lineRule="auto"/>
        <w:ind w:firstLine="420" w:firstLineChars="200"/>
        <w:rPr>
          <w:rFonts w:hint="eastAsia" w:asciiTheme="minorEastAsia" w:hAnsiTheme="minorEastAsia" w:eastAsiaTheme="minorEastAsia" w:cstheme="minorEastAsia"/>
          <w:b/>
          <w:bCs/>
          <w:color w:val="auto"/>
          <w:szCs w:val="21"/>
          <w:lang w:val="zh-CN"/>
        </w:rPr>
      </w:pPr>
      <w:r>
        <w:rPr>
          <w:rFonts w:hint="eastAsia" w:asciiTheme="minorEastAsia" w:hAnsiTheme="minorEastAsia" w:eastAsiaTheme="minorEastAsia" w:cstheme="minorEastAsia"/>
          <w:color w:val="auto"/>
          <w:szCs w:val="21"/>
          <w:lang w:val="zh-CN"/>
        </w:rPr>
        <w:t>1、投标人须明确投标产品的厂家、品牌、型号及主要详细参数，</w:t>
      </w:r>
      <w:r>
        <w:rPr>
          <w:rFonts w:hint="eastAsia" w:asciiTheme="minorEastAsia" w:hAnsiTheme="minorEastAsia" w:eastAsiaTheme="minorEastAsia" w:cstheme="minorEastAsia"/>
          <w:b/>
          <w:bCs/>
          <w:color w:val="auto"/>
          <w:szCs w:val="21"/>
          <w:lang w:val="zh-CN"/>
        </w:rPr>
        <w:t>否则为无效投标。</w:t>
      </w:r>
    </w:p>
    <w:p>
      <w:pPr>
        <w:wordWrap w:val="0"/>
        <w:topLinePunct/>
        <w:spacing w:line="360" w:lineRule="auto"/>
        <w:ind w:firstLine="420" w:firstLineChars="2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2、由于本单位工作性质特殊，供应商投标时应充分考滤特殊性，在制定施工方案时要结合该位实际情况进行规划，工作时间安排必须符合采购人的具体规定。特别是在施工期间必遵守该单位的管理规定。</w:t>
      </w:r>
    </w:p>
    <w:p>
      <w:pPr>
        <w:wordWrap w:val="0"/>
        <w:topLinePunct/>
        <w:spacing w:line="360" w:lineRule="auto"/>
        <w:ind w:firstLine="420" w:firstLineChars="200"/>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3、所投产品必须符合国家质量检测标准和本招标文件规定标准的全新正品现货。</w:t>
      </w:r>
    </w:p>
    <w:p>
      <w:pPr>
        <w:wordWrap w:val="0"/>
        <w:topLinePunct/>
        <w:spacing w:line="360" w:lineRule="auto"/>
        <w:ind w:firstLine="420" w:firstLineChars="200"/>
        <w:rPr>
          <w:rFonts w:hint="eastAsia" w:ascii="宋体" w:cs="宋体"/>
          <w:b/>
          <w:bCs/>
          <w:color w:val="auto"/>
          <w:szCs w:val="21"/>
          <w:lang w:val="zh-CN"/>
        </w:rPr>
      </w:pPr>
      <w:r>
        <w:rPr>
          <w:rFonts w:hint="eastAsia" w:ascii="宋体" w:cs="宋体"/>
          <w:color w:val="auto"/>
          <w:szCs w:val="21"/>
          <w:lang w:val="en-US" w:eastAsia="zh-CN"/>
        </w:rPr>
        <w:t>4</w:t>
      </w:r>
      <w:r>
        <w:rPr>
          <w:rFonts w:hint="eastAsia" w:ascii="宋体" w:cs="宋体"/>
          <w:color w:val="auto"/>
          <w:szCs w:val="21"/>
          <w:lang w:val="zh-CN"/>
        </w:rPr>
        <w:t>、投标人应就本项目完整投标，</w:t>
      </w:r>
      <w:r>
        <w:rPr>
          <w:rFonts w:hint="eastAsia" w:ascii="宋体" w:cs="宋体"/>
          <w:b/>
          <w:bCs/>
          <w:color w:val="auto"/>
          <w:szCs w:val="21"/>
          <w:lang w:val="zh-CN"/>
        </w:rPr>
        <w:t>否则为无效投标。</w:t>
      </w:r>
    </w:p>
    <w:p>
      <w:pPr>
        <w:wordWrap w:val="0"/>
        <w:topLinePunct/>
        <w:spacing w:line="360" w:lineRule="auto"/>
        <w:ind w:firstLine="420" w:firstLineChars="200"/>
        <w:rPr>
          <w:rFonts w:ascii="宋体" w:cs="宋体"/>
          <w:b/>
          <w:color w:val="auto"/>
          <w:szCs w:val="21"/>
          <w:lang w:val="zh-CN"/>
        </w:rPr>
      </w:pPr>
      <w:r>
        <w:rPr>
          <w:rFonts w:hint="eastAsia" w:ascii="宋体" w:cs="宋体"/>
          <w:color w:val="auto"/>
          <w:szCs w:val="21"/>
          <w:lang w:val="en-US" w:eastAsia="zh-CN"/>
        </w:rPr>
        <w:t>5</w:t>
      </w:r>
      <w:r>
        <w:rPr>
          <w:rFonts w:hint="eastAsia" w:ascii="宋体" w:cs="宋体"/>
          <w:color w:val="auto"/>
          <w:szCs w:val="21"/>
          <w:lang w:val="zh-CN"/>
        </w:rPr>
        <w:t>、本项目为交钥匙工程，所投产品必须免费安装到指定位置。投标报为总包价，包含本合同项下全部费用，包括在施工过程出现不可遇见的费用。</w:t>
      </w:r>
    </w:p>
    <w:p>
      <w:pPr>
        <w:widowControl/>
        <w:shd w:val="clear" w:color="auto" w:fill="FFFFFF"/>
        <w:spacing w:line="360" w:lineRule="auto"/>
        <w:ind w:firstLine="422" w:firstLineChars="200"/>
        <w:contextualSpacing/>
        <w:jc w:val="left"/>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四、验收标准</w:t>
      </w:r>
    </w:p>
    <w:p>
      <w:pPr>
        <w:widowControl/>
        <w:shd w:val="clear" w:color="auto" w:fill="FFFFFF"/>
        <w:spacing w:line="360" w:lineRule="auto"/>
        <w:ind w:firstLine="420" w:firstLineChars="200"/>
        <w:contextualSpacing/>
        <w:jc w:val="left"/>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由采购人成立验收小组,按照采购合同的约定对中标人履约情况进行验收。验收时,按照采购合同的约定对每一项技术、服务、安全标准的履约情况进行确认。</w:t>
      </w:r>
    </w:p>
    <w:p>
      <w:pPr>
        <w:widowControl/>
        <w:shd w:val="clear" w:color="auto" w:fill="FFFFFF"/>
        <w:spacing w:line="360" w:lineRule="auto"/>
        <w:ind w:firstLine="422" w:firstLineChars="200"/>
        <w:contextualSpacing/>
        <w:jc w:val="left"/>
        <w:rPr>
          <w:rFonts w:cs="黑体" w:asciiTheme="minorEastAsia" w:hAnsiTheme="minorEastAsia"/>
          <w:b/>
          <w:bCs/>
          <w:color w:val="auto"/>
          <w:szCs w:val="21"/>
          <w:shd w:val="clear" w:color="auto" w:fill="FFFFFF"/>
        </w:rPr>
      </w:pPr>
      <w:r>
        <w:rPr>
          <w:rFonts w:hint="eastAsia" w:cs="黑体" w:asciiTheme="minorEastAsia" w:hAnsiTheme="minorEastAsia"/>
          <w:b/>
          <w:bCs/>
          <w:color w:val="auto"/>
          <w:szCs w:val="21"/>
          <w:shd w:val="clear" w:color="auto" w:fill="FFFFFF"/>
        </w:rPr>
        <w:t>五、本项目预算金额</w:t>
      </w:r>
      <w:r>
        <w:rPr>
          <w:rFonts w:hint="eastAsia" w:cs="黑体" w:asciiTheme="minorEastAsia" w:hAnsiTheme="minorEastAsia"/>
          <w:b/>
          <w:bCs/>
          <w:color w:val="auto"/>
          <w:szCs w:val="21"/>
          <w:shd w:val="clear" w:color="auto" w:fill="FFFFFF"/>
          <w:lang w:eastAsia="zh-CN"/>
        </w:rPr>
        <w:t>2380000.00元</w:t>
      </w:r>
      <w:r>
        <w:rPr>
          <w:rFonts w:hint="eastAsia" w:cs="黑体" w:asciiTheme="minorEastAsia" w:hAnsiTheme="minorEastAsia"/>
          <w:b/>
          <w:bCs/>
          <w:color w:val="auto"/>
          <w:szCs w:val="21"/>
          <w:shd w:val="clear" w:color="auto" w:fill="FFFFFF"/>
        </w:rPr>
        <w:t>；最高限价</w:t>
      </w:r>
      <w:r>
        <w:rPr>
          <w:rFonts w:hint="eastAsia" w:cs="黑体" w:asciiTheme="minorEastAsia" w:hAnsiTheme="minorEastAsia"/>
          <w:b/>
          <w:bCs/>
          <w:color w:val="auto"/>
          <w:szCs w:val="21"/>
          <w:shd w:val="clear" w:color="auto" w:fill="FFFFFF"/>
          <w:lang w:eastAsia="zh-CN"/>
        </w:rPr>
        <w:t>2380000.00元</w:t>
      </w:r>
      <w:r>
        <w:rPr>
          <w:rFonts w:hint="eastAsia" w:cs="宋体" w:asciiTheme="minorEastAsia" w:hAnsiTheme="minorEastAsia"/>
          <w:b/>
          <w:color w:val="auto"/>
          <w:kern w:val="0"/>
          <w:szCs w:val="21"/>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六、资金支付</w:t>
      </w:r>
    </w:p>
    <w:p>
      <w:pPr>
        <w:widowControl/>
        <w:shd w:val="clear" w:color="auto" w:fill="FFFFFF"/>
        <w:spacing w:line="360" w:lineRule="auto"/>
        <w:ind w:firstLine="420" w:firstLineChars="200"/>
        <w:contextualSpacing/>
        <w:jc w:val="left"/>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（一）支付方式：银行转账</w:t>
      </w:r>
    </w:p>
    <w:p>
      <w:pPr>
        <w:widowControl/>
        <w:shd w:val="clear" w:color="auto" w:fill="FFFFFF"/>
        <w:spacing w:line="360" w:lineRule="auto"/>
        <w:ind w:firstLine="420" w:firstLineChars="200"/>
        <w:contextualSpacing/>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（二）支付时间及条件：经验收合格付合同总价款的</w:t>
      </w:r>
      <w:r>
        <w:rPr>
          <w:rFonts w:hint="eastAsia" w:cs="宋体" w:asciiTheme="minorEastAsia" w:hAnsiTheme="minorEastAsia"/>
          <w:color w:val="auto"/>
          <w:kern w:val="0"/>
          <w:szCs w:val="21"/>
          <w:lang w:val="zh-CN" w:eastAsia="zh-CN"/>
        </w:rPr>
        <w:t>95</w:t>
      </w:r>
      <w:r>
        <w:rPr>
          <w:rFonts w:hint="eastAsia" w:cs="宋体" w:asciiTheme="minorEastAsia" w:hAnsiTheme="minorEastAsia"/>
          <w:color w:val="auto"/>
          <w:kern w:val="0"/>
          <w:szCs w:val="21"/>
          <w:lang w:val="zh-CN"/>
        </w:rPr>
        <w:t>%，剩余</w:t>
      </w:r>
      <w:r>
        <w:rPr>
          <w:rFonts w:hint="eastAsia" w:cs="宋体" w:asciiTheme="minorEastAsia" w:hAnsiTheme="minorEastAsia"/>
          <w:color w:val="auto"/>
          <w:kern w:val="0"/>
          <w:szCs w:val="21"/>
          <w:lang w:val="zh-CN" w:eastAsia="zh-CN"/>
        </w:rPr>
        <w:t>5</w:t>
      </w:r>
      <w:r>
        <w:rPr>
          <w:rFonts w:hint="eastAsia" w:cs="宋体" w:asciiTheme="minorEastAsia" w:hAnsiTheme="minorEastAsia"/>
          <w:color w:val="auto"/>
          <w:kern w:val="0"/>
          <w:szCs w:val="21"/>
          <w:lang w:val="zh-CN"/>
        </w:rPr>
        <w:t>%质保期满后无质量问题一次性付清。</w:t>
      </w:r>
    </w:p>
    <w:p>
      <w:pPr>
        <w:widowControl/>
        <w:jc w:val="center"/>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5"/>
        <w:rPr>
          <w:rFonts w:hint="eastAsia" w:cs="宋体" w:asciiTheme="majorEastAsia" w:hAnsiTheme="majorEastAsia" w:eastAsiaTheme="majorEastAsia"/>
          <w:b/>
          <w:color w:val="auto"/>
          <w:kern w:val="0"/>
          <w:sz w:val="32"/>
          <w:szCs w:val="32"/>
        </w:rPr>
      </w:pPr>
    </w:p>
    <w:p>
      <w:pPr>
        <w:pStyle w:val="5"/>
        <w:rPr>
          <w:rFonts w:hint="eastAsia" w:cs="宋体" w:asciiTheme="majorEastAsia" w:hAnsiTheme="majorEastAsia" w:eastAsiaTheme="majorEastAsia"/>
          <w:b/>
          <w:color w:val="auto"/>
          <w:kern w:val="0"/>
          <w:sz w:val="32"/>
          <w:szCs w:val="32"/>
        </w:rPr>
      </w:pPr>
    </w:p>
    <w:p>
      <w:pPr>
        <w:pStyle w:val="5"/>
        <w:rPr>
          <w:rFonts w:hint="eastAsia" w:cs="宋体" w:asciiTheme="majorEastAsia" w:hAnsiTheme="majorEastAsia" w:eastAsiaTheme="majorEastAsia"/>
          <w:b/>
          <w:color w:val="auto"/>
          <w:kern w:val="0"/>
          <w:sz w:val="32"/>
          <w:szCs w:val="32"/>
        </w:rPr>
      </w:pPr>
    </w:p>
    <w:p>
      <w:pPr>
        <w:pStyle w:val="5"/>
        <w:rPr>
          <w:rFonts w:hint="eastAsia" w:cs="宋体" w:asciiTheme="majorEastAsia" w:hAnsiTheme="majorEastAsia" w:eastAsiaTheme="majorEastAsia"/>
          <w:b/>
          <w:color w:val="auto"/>
          <w:kern w:val="0"/>
          <w:sz w:val="32"/>
          <w:szCs w:val="32"/>
        </w:rPr>
      </w:pPr>
    </w:p>
    <w:p>
      <w:pPr>
        <w:pStyle w:val="5"/>
        <w:rPr>
          <w:rFonts w:hint="eastAsia" w:cs="宋体" w:asciiTheme="majorEastAsia" w:hAnsiTheme="majorEastAsia" w:eastAsiaTheme="majorEastAsia"/>
          <w:b/>
          <w:color w:val="auto"/>
          <w:kern w:val="0"/>
          <w:sz w:val="32"/>
          <w:szCs w:val="32"/>
        </w:rPr>
      </w:pPr>
    </w:p>
    <w:p>
      <w:pPr>
        <w:pStyle w:val="5"/>
        <w:rPr>
          <w:rFonts w:hint="eastAsia" w:cs="宋体" w:asciiTheme="majorEastAsia" w:hAnsiTheme="majorEastAsia" w:eastAsiaTheme="majorEastAsia"/>
          <w:b/>
          <w:color w:val="auto"/>
          <w:kern w:val="0"/>
          <w:sz w:val="32"/>
          <w:szCs w:val="32"/>
        </w:rPr>
      </w:pPr>
    </w:p>
    <w:p>
      <w:pPr>
        <w:pStyle w:val="5"/>
        <w:rPr>
          <w:rFonts w:hint="eastAsia" w:cs="宋体" w:asciiTheme="majorEastAsia" w:hAnsiTheme="majorEastAsia" w:eastAsiaTheme="majorEastAsia"/>
          <w:b/>
          <w:color w:val="auto"/>
          <w:kern w:val="0"/>
          <w:sz w:val="32"/>
          <w:szCs w:val="32"/>
        </w:rPr>
      </w:pPr>
    </w:p>
    <w:p>
      <w:pPr>
        <w:pStyle w:val="5"/>
        <w:rPr>
          <w:rFonts w:hint="eastAsia" w:cs="宋体" w:asciiTheme="majorEastAsia" w:hAnsiTheme="majorEastAsia" w:eastAsiaTheme="majorEastAsia"/>
          <w:b/>
          <w:color w:val="auto"/>
          <w:kern w:val="0"/>
          <w:sz w:val="32"/>
          <w:szCs w:val="32"/>
        </w:rPr>
      </w:pPr>
    </w:p>
    <w:p>
      <w:pPr>
        <w:widowControl/>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firstLine="422" w:firstLineChars="200"/>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27"/>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746"/>
        <w:gridCol w:w="6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95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956" w:type="dxa"/>
          </w:tcPr>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项目名称：</w:t>
            </w:r>
            <w:r>
              <w:rPr>
                <w:rFonts w:hint="eastAsia" w:cs="仿宋_GB2312" w:asciiTheme="minorEastAsia" w:hAnsiTheme="minorEastAsia"/>
                <w:color w:val="auto"/>
                <w:szCs w:val="21"/>
                <w:lang w:eastAsia="zh-CN"/>
              </w:rPr>
              <w:t>河南省第三强制隔离戒毒所安防监控系统升级改造项目（不见面开标）</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项目编号：</w:t>
            </w:r>
            <w:r>
              <w:rPr>
                <w:rFonts w:hint="eastAsia" w:cs="仿宋_GB2312" w:asciiTheme="minorEastAsia" w:hAnsiTheme="minorEastAsia" w:eastAsiaTheme="minorEastAsia"/>
                <w:color w:val="000000"/>
                <w:sz w:val="21"/>
                <w:szCs w:val="21"/>
                <w:shd w:val="clear" w:color="auto" w:fill="FFFFFF"/>
              </w:rPr>
              <w:t>JZFCG-G20</w:t>
            </w:r>
            <w:r>
              <w:rPr>
                <w:rFonts w:hint="eastAsia" w:cs="仿宋_GB2312" w:asciiTheme="minorEastAsia" w:hAnsiTheme="minorEastAsia" w:eastAsiaTheme="minorEastAsia"/>
                <w:color w:val="000000"/>
                <w:sz w:val="21"/>
                <w:szCs w:val="21"/>
                <w:shd w:val="clear" w:color="auto" w:fill="FFFFFF"/>
                <w:lang w:val="en-US" w:eastAsia="zh-CN"/>
              </w:rPr>
              <w:t>20</w:t>
            </w:r>
            <w:r>
              <w:rPr>
                <w:rFonts w:hint="eastAsia" w:cs="仿宋_GB2312" w:asciiTheme="minorEastAsia" w:hAnsiTheme="minorEastAsia"/>
                <w:color w:val="000000"/>
                <w:sz w:val="21"/>
                <w:szCs w:val="21"/>
                <w:shd w:val="clear" w:color="auto" w:fill="FFFFFF"/>
                <w:lang w:val="en-US" w:eastAsia="zh-CN"/>
              </w:rPr>
              <w:t>007</w:t>
            </w:r>
            <w:r>
              <w:rPr>
                <w:rFonts w:hint="eastAsia" w:cs="仿宋_GB2312" w:asciiTheme="minorEastAsia" w:hAnsiTheme="minorEastAsia"/>
                <w:color w:val="auto"/>
                <w:szCs w:val="21"/>
              </w:rPr>
              <w:t>号</w:t>
            </w:r>
            <w:r>
              <w:rPr>
                <w:rFonts w:hint="eastAsia" w:cs="仿宋_GB2312" w:asciiTheme="minorEastAsia" w:hAnsiTheme="minorEastAsia"/>
                <w:color w:val="auto"/>
                <w:szCs w:val="21"/>
                <w:lang w:val="zh-CN"/>
              </w:rPr>
              <w:t>（豫财招标采购</w:t>
            </w:r>
            <w:r>
              <w:rPr>
                <w:rFonts w:hint="eastAsia" w:cs="仿宋_GB2312" w:asciiTheme="minorEastAsia" w:hAnsiTheme="minorEastAsia"/>
                <w:color w:val="auto"/>
                <w:szCs w:val="21"/>
                <w:lang w:val="en-US" w:eastAsia="zh-CN"/>
              </w:rPr>
              <w:t>-2020-62</w:t>
            </w:r>
            <w:r>
              <w:rPr>
                <w:rFonts w:hint="eastAsia" w:cs="仿宋_GB2312" w:asciiTheme="minorEastAsia" w:hAnsiTheme="minorEastAsia"/>
                <w:color w:val="auto"/>
                <w:szCs w:val="21"/>
                <w:lang w:val="zh-CN"/>
              </w:rPr>
              <w:t>）</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项目内容：</w:t>
            </w:r>
            <w:r>
              <w:rPr>
                <w:rFonts w:hint="eastAsia" w:cs="仿宋_GB2312" w:asciiTheme="minorEastAsia" w:hAnsiTheme="minorEastAsia"/>
                <w:color w:val="auto"/>
                <w:szCs w:val="21"/>
                <w:lang w:eastAsia="zh-CN"/>
              </w:rPr>
              <w:t>河南省第三强制隔离戒毒所安防升级改造</w:t>
            </w:r>
            <w:r>
              <w:rPr>
                <w:rFonts w:hint="eastAsia" w:cs="仿宋_GB2312" w:asciiTheme="minorEastAsia" w:hAnsiTheme="minorEastAsia"/>
                <w:color w:val="auto"/>
                <w:szCs w:val="21"/>
              </w:rPr>
              <w:t>。</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项目地址：</w:t>
            </w:r>
            <w:r>
              <w:rPr>
                <w:rFonts w:hint="eastAsia" w:cs="仿宋_GB2312" w:asciiTheme="minorEastAsia" w:hAnsiTheme="minorEastAsia"/>
                <w:color w:val="auto"/>
                <w:szCs w:val="21"/>
                <w:lang w:eastAsia="zh-CN"/>
              </w:rPr>
              <w:t>河南省第三强制隔离戒毒所。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68"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956"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名称：</w:t>
            </w:r>
            <w:r>
              <w:rPr>
                <w:rFonts w:hint="eastAsia" w:cs="仿宋_GB2312" w:asciiTheme="minorEastAsia" w:hAnsiTheme="minorEastAsia"/>
                <w:color w:val="auto"/>
                <w:szCs w:val="21"/>
                <w:lang w:eastAsia="zh-CN"/>
              </w:rPr>
              <w:t>河南省第三强制隔离戒毒所</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地址：许昌市</w:t>
            </w:r>
            <w:r>
              <w:rPr>
                <w:rFonts w:hint="eastAsia" w:cs="仿宋_GB2312" w:asciiTheme="minorEastAsia" w:hAnsiTheme="minorEastAsia"/>
                <w:color w:val="auto"/>
                <w:szCs w:val="21"/>
                <w:lang w:eastAsia="zh-CN"/>
              </w:rPr>
              <w:t>新兴路西段</w:t>
            </w:r>
          </w:p>
          <w:p>
            <w:pPr>
              <w:autoSpaceDE w:val="0"/>
              <w:autoSpaceDN w:val="0"/>
              <w:adjustRightInd w:val="0"/>
              <w:spacing w:line="360" w:lineRule="auto"/>
              <w:jc w:val="left"/>
              <w:rPr>
                <w:rFonts w:cs="仿宋_GB2312" w:asciiTheme="minorEastAsia" w:hAnsiTheme="minorEastAsia"/>
                <w:color w:val="auto"/>
                <w:szCs w:val="21"/>
              </w:rPr>
            </w:pPr>
            <w:r>
              <w:rPr>
                <w:rFonts w:cs="仿宋_GB2312" w:asciiTheme="minorEastAsia" w:hAnsiTheme="minorEastAsia"/>
                <w:color w:val="auto"/>
                <w:szCs w:val="21"/>
              </w:rPr>
              <w:t>联系人：</w:t>
            </w:r>
            <w:r>
              <w:rPr>
                <w:rFonts w:hint="eastAsia" w:cs="仿宋_GB2312" w:asciiTheme="minorEastAsia" w:hAnsiTheme="minorEastAsia"/>
                <w:color w:val="auto"/>
                <w:szCs w:val="21"/>
                <w:lang w:eastAsia="zh-CN"/>
              </w:rPr>
              <w:t>邓</w:t>
            </w:r>
            <w:r>
              <w:rPr>
                <w:rFonts w:cs="仿宋_GB2312" w:asciiTheme="minorEastAsia" w:hAnsiTheme="minorEastAsia"/>
                <w:color w:val="auto"/>
                <w:szCs w:val="21"/>
              </w:rPr>
              <w:t>先生     联系电话：</w:t>
            </w:r>
            <w:r>
              <w:rPr>
                <w:rFonts w:hint="eastAsia" w:cs="仿宋_GB2312" w:asciiTheme="minorEastAsia" w:hAnsiTheme="minorEastAsia"/>
                <w:color w:val="auto"/>
                <w:szCs w:val="21"/>
              </w:rPr>
              <w:t>0374-</w:t>
            </w:r>
            <w:r>
              <w:rPr>
                <w:rFonts w:hint="eastAsia" w:cs="仿宋_GB2312" w:asciiTheme="minorEastAsia" w:hAnsiTheme="minorEastAsia"/>
                <w:color w:val="auto"/>
                <w:szCs w:val="21"/>
                <w:lang w:val="en-US" w:eastAsia="zh-CN"/>
              </w:rPr>
              <w:t>7369022</w:t>
            </w:r>
            <w:r>
              <w:rPr>
                <w:rFonts w:cs="仿宋_GB2312" w:asciiTheme="minorEastAsia" w:hAnsiTheme="minorEastAsia"/>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代理机构</w:t>
            </w:r>
          </w:p>
        </w:tc>
        <w:tc>
          <w:tcPr>
            <w:tcW w:w="6956"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名称：许昌光大电子商务技术服务有限公司</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Cs w:val="21"/>
              </w:rPr>
              <w:t>地址：许昌市智慧大道亨源通世纪广场1号楼401室</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 xml:space="preserve">联系人：朱女士     </w:t>
            </w:r>
            <w:r>
              <w:rPr>
                <w:rFonts w:cs="仿宋_GB2312" w:asciiTheme="minorEastAsia" w:hAnsiTheme="minorEastAsia"/>
                <w:color w:val="auto"/>
                <w:szCs w:val="21"/>
              </w:rPr>
              <w:t>联系</w:t>
            </w:r>
            <w:r>
              <w:rPr>
                <w:rFonts w:hint="eastAsia" w:cs="仿宋_GB2312" w:asciiTheme="minorEastAsia" w:hAnsiTheme="minorEastAsia"/>
                <w:color w:val="auto"/>
                <w:szCs w:val="21"/>
              </w:rPr>
              <w:t>电话：13323993003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投标人资格</w:t>
            </w:r>
          </w:p>
        </w:tc>
        <w:tc>
          <w:tcPr>
            <w:tcW w:w="6956" w:type="dxa"/>
            <w:vAlign w:val="center"/>
          </w:tcPr>
          <w:p>
            <w:pPr>
              <w:autoSpaceDE w:val="0"/>
              <w:autoSpaceDN w:val="0"/>
              <w:adjustRightInd w:val="0"/>
              <w:spacing w:line="360" w:lineRule="auto"/>
              <w:ind w:right="-11"/>
              <w:rPr>
                <w:lang w:val="zh-CN"/>
              </w:rPr>
            </w:pPr>
            <w:r>
              <w:rPr>
                <w:rFonts w:hint="eastAsia"/>
                <w:b/>
                <w:bCs/>
                <w:lang w:val="zh-CN"/>
              </w:rPr>
              <w:t>一、</w:t>
            </w:r>
            <w:r>
              <w:rPr>
                <w:b/>
                <w:bCs/>
                <w:lang w:val="zh-CN"/>
              </w:rPr>
              <w:t>法人或者其他组织的营业执照等证明文件</w:t>
            </w:r>
            <w:r>
              <w:rPr>
                <w:lang w:val="zh-CN"/>
              </w:rPr>
              <w:t>，自然人的身份证明</w:t>
            </w:r>
          </w:p>
          <w:p>
            <w:pPr>
              <w:autoSpaceDE w:val="0"/>
              <w:autoSpaceDN w:val="0"/>
              <w:adjustRightInd w:val="0"/>
              <w:spacing w:line="360" w:lineRule="auto"/>
              <w:ind w:right="-11"/>
              <w:rPr>
                <w:lang w:val="zh-CN"/>
              </w:rPr>
            </w:pPr>
            <w:r>
              <w:rPr>
                <w:rFonts w:hint="eastAsia"/>
                <w:lang w:val="zh-CN"/>
              </w:rPr>
              <w:t>1、企业法人营业执照或营业执照。（企业投标提供）</w:t>
            </w:r>
          </w:p>
          <w:p>
            <w:pPr>
              <w:autoSpaceDE w:val="0"/>
              <w:autoSpaceDN w:val="0"/>
              <w:adjustRightInd w:val="0"/>
              <w:spacing w:line="360" w:lineRule="auto"/>
              <w:ind w:right="-11"/>
              <w:rPr>
                <w:lang w:val="zh-CN"/>
              </w:rPr>
            </w:pPr>
            <w:r>
              <w:rPr>
                <w:rFonts w:hint="eastAsia"/>
                <w:lang w:val="zh-CN"/>
              </w:rPr>
              <w:t>2、事业单位法人证书。（事业单位投标提供）</w:t>
            </w:r>
          </w:p>
          <w:p>
            <w:pPr>
              <w:autoSpaceDE w:val="0"/>
              <w:autoSpaceDN w:val="0"/>
              <w:adjustRightInd w:val="0"/>
              <w:spacing w:line="360" w:lineRule="auto"/>
              <w:ind w:right="-11"/>
              <w:rPr>
                <w:lang w:val="zh-CN"/>
              </w:rPr>
            </w:pPr>
            <w:r>
              <w:rPr>
                <w:rFonts w:hint="eastAsia"/>
                <w:lang w:val="en-US" w:eastAsia="zh-CN"/>
              </w:rPr>
              <w:t>3</w:t>
            </w:r>
            <w:r>
              <w:rPr>
                <w:rFonts w:hint="eastAsia"/>
                <w:lang w:val="zh-CN"/>
              </w:rPr>
              <w:t>、个体工商户营业执照。（个体工商户投标提供）</w:t>
            </w:r>
          </w:p>
          <w:p>
            <w:pPr>
              <w:autoSpaceDE w:val="0"/>
              <w:autoSpaceDN w:val="0"/>
              <w:adjustRightInd w:val="0"/>
              <w:spacing w:line="360" w:lineRule="auto"/>
              <w:jc w:val="left"/>
              <w:rPr>
                <w:lang w:val="zh-CN"/>
              </w:rPr>
            </w:pPr>
            <w:r>
              <w:rPr>
                <w:rFonts w:hint="eastAsia"/>
                <w:lang w:val="en-US" w:eastAsia="zh-CN"/>
              </w:rPr>
              <w:t>4</w:t>
            </w:r>
            <w:r>
              <w:rPr>
                <w:rFonts w:hint="eastAsia"/>
                <w:lang w:val="zh-CN"/>
              </w:rPr>
              <w:t>、自然人身份证明。（自然人投标提供）</w:t>
            </w:r>
          </w:p>
          <w:p>
            <w:pPr>
              <w:autoSpaceDE w:val="0"/>
              <w:autoSpaceDN w:val="0"/>
              <w:adjustRightInd w:val="0"/>
              <w:spacing w:line="360" w:lineRule="auto"/>
              <w:jc w:val="left"/>
              <w:rPr>
                <w:b/>
                <w:bCs/>
              </w:rPr>
            </w:pPr>
            <w:r>
              <w:rPr>
                <w:rFonts w:hint="eastAsia"/>
                <w:b/>
                <w:bCs/>
              </w:rPr>
              <w:t>二、财务状况报告相关材料</w:t>
            </w:r>
          </w:p>
          <w:p>
            <w:pPr>
              <w:spacing w:line="360" w:lineRule="auto"/>
            </w:pPr>
            <w:r>
              <w:rPr>
                <w:rFonts w:hint="eastAsia"/>
              </w:rPr>
              <w:t>1、投标人是法人（法人包括企业法人、机关法人、事业单位法人和社会团体法人），提供本单位：</w:t>
            </w:r>
          </w:p>
          <w:p>
            <w:pPr>
              <w:spacing w:line="360" w:lineRule="auto"/>
              <w:rPr>
                <w:rFonts w:hint="eastAsia"/>
                <w:lang w:eastAsia="zh-CN"/>
              </w:rPr>
            </w:pPr>
            <w:r>
              <w:rPr>
                <w:rFonts w:hint="eastAsia"/>
              </w:rPr>
              <w:t>①2018年度经审计的财务报告，包括资产负债表、利润表、现金流量表、所有者权益变动表及其附注，成立不足一年的提供上个月的财务报表</w:t>
            </w:r>
            <w:r>
              <w:rPr>
                <w:rFonts w:hint="eastAsia"/>
                <w:lang w:eastAsia="zh-CN"/>
              </w:rPr>
              <w:t>；</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rPr>
              <w:t>注：仅需提供序号①～③其中之一即可。</w:t>
            </w:r>
          </w:p>
          <w:p>
            <w:pPr>
              <w:spacing w:line="360" w:lineRule="auto"/>
            </w:pPr>
            <w:r>
              <w:rPr>
                <w:rFonts w:hint="eastAsia"/>
              </w:rPr>
              <w:t>2、投标人（其他组织和自然人）提供本单位：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rPr>
              <w:t>注：仅需提供序号①～③其中之一即可。</w:t>
            </w:r>
          </w:p>
          <w:p>
            <w:pPr>
              <w:autoSpaceDE w:val="0"/>
              <w:autoSpaceDN w:val="0"/>
              <w:adjustRightInd w:val="0"/>
              <w:spacing w:line="360" w:lineRule="auto"/>
              <w:ind w:right="-11"/>
              <w:rPr>
                <w:b/>
                <w:bCs/>
                <w:color w:val="auto"/>
                <w:lang w:val="zh-CN"/>
              </w:rPr>
            </w:pPr>
            <w:r>
              <w:rPr>
                <w:rFonts w:hint="eastAsia"/>
                <w:b/>
                <w:bCs/>
              </w:rPr>
              <w:t>三、依法缴纳税收相关</w:t>
            </w:r>
            <w:r>
              <w:rPr>
                <w:rFonts w:hint="eastAsia"/>
                <w:b/>
                <w:bCs/>
                <w:color w:val="auto"/>
              </w:rPr>
              <w:t>材料</w:t>
            </w:r>
          </w:p>
          <w:p>
            <w:pPr>
              <w:autoSpaceDE w:val="0"/>
              <w:autoSpaceDN w:val="0"/>
              <w:adjustRightInd w:val="0"/>
              <w:spacing w:line="360" w:lineRule="auto"/>
              <w:ind w:right="-11"/>
              <w:rPr>
                <w:color w:val="auto"/>
                <w:lang w:val="zh-CN"/>
              </w:rPr>
            </w:pPr>
            <w:r>
              <w:rPr>
                <w:rFonts w:hint="eastAsia"/>
                <w:color w:val="auto"/>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b/>
                <w:bCs/>
                <w:color w:val="auto"/>
                <w:lang w:val="zh-CN"/>
              </w:rPr>
            </w:pPr>
            <w:r>
              <w:rPr>
                <w:rFonts w:hint="eastAsia"/>
                <w:b/>
                <w:bCs/>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b/>
                <w:bCs/>
                <w:lang w:val="zh-CN"/>
              </w:rPr>
            </w:pPr>
            <w:r>
              <w:rPr>
                <w:rFonts w:hint="eastAsia"/>
                <w:b/>
                <w:bCs/>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1、相关设备的购置发票、专业技术人员职称证书、用工合同等；</w:t>
            </w:r>
          </w:p>
          <w:p>
            <w:pPr>
              <w:spacing w:line="360" w:lineRule="auto"/>
            </w:pPr>
            <w:r>
              <w:rPr>
                <w:rFonts w:hint="eastAsia"/>
              </w:rPr>
              <w:t>2、投标人具备履行合同所必须的设备和专业技术能力承诺函或声明（承诺函或声明格式自拟）。</w:t>
            </w:r>
          </w:p>
          <w:p>
            <w:pPr>
              <w:spacing w:line="360" w:lineRule="auto"/>
            </w:pPr>
            <w:r>
              <w:rPr>
                <w:rFonts w:hint="eastAsia"/>
              </w:rPr>
              <w:t>注：仅需提供序号1～2其中之一即可。</w:t>
            </w:r>
          </w:p>
          <w:p>
            <w:pPr>
              <w:autoSpaceDE w:val="0"/>
              <w:autoSpaceDN w:val="0"/>
              <w:adjustRightInd w:val="0"/>
              <w:spacing w:line="360" w:lineRule="auto"/>
              <w:ind w:right="-11"/>
              <w:rPr>
                <w:b/>
                <w:bCs/>
                <w:lang w:val="zh-CN"/>
              </w:rPr>
            </w:pPr>
            <w:r>
              <w:rPr>
                <w:rFonts w:hint="eastAsia"/>
                <w:b/>
                <w:bCs/>
              </w:rPr>
              <w:t>六、</w:t>
            </w:r>
            <w:r>
              <w:rPr>
                <w:b/>
                <w:bCs/>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投标人“</w:t>
            </w:r>
            <w:r>
              <w:rPr>
                <w:lang w:val="zh-CN"/>
              </w:rPr>
              <w:t>参加政府采购活动前3年内在经营活动中没有重大违法记录的书面声明</w:t>
            </w:r>
            <w:r>
              <w:rPr>
                <w:rFonts w:hint="eastAsia"/>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b/>
                <w:bCs/>
              </w:rPr>
            </w:pPr>
            <w:r>
              <w:rPr>
                <w:rFonts w:hint="eastAsia"/>
                <w:b/>
                <w:bCs/>
                <w:lang w:val="zh-CN"/>
              </w:rPr>
              <w:t>七、</w:t>
            </w:r>
            <w:r>
              <w:rPr>
                <w:b/>
                <w:bCs/>
              </w:rPr>
              <w:t>未被列入“信用中国”网站(www.creditchina.gov.cn)失信被执行人、重大税收违法案件当事人名单；</w:t>
            </w:r>
            <w:r>
              <w:rPr>
                <w:rFonts w:hint="eastAsia"/>
                <w:b/>
                <w:bCs/>
              </w:rPr>
              <w:t>“</w:t>
            </w:r>
            <w:r>
              <w:rPr>
                <w:b/>
                <w:bCs/>
              </w:rPr>
              <w:t>中国政府采购网</w:t>
            </w:r>
            <w:r>
              <w:rPr>
                <w:rFonts w:hint="eastAsia"/>
                <w:b/>
                <w:bCs/>
              </w:rPr>
              <w:t>”</w:t>
            </w:r>
            <w:r>
              <w:rPr>
                <w:b/>
                <w:bCs/>
              </w:rPr>
              <w:t xml:space="preserve"> (www.ccgp.gov.cn)政府采购严重违法失信行为记录名单的投标人</w:t>
            </w:r>
            <w:r>
              <w:rPr>
                <w:rFonts w:hint="eastAsia"/>
                <w:b/>
                <w:bCs/>
                <w:lang w:val="zh-CN"/>
              </w:rPr>
              <w:t>；</w:t>
            </w:r>
            <w:r>
              <w:rPr>
                <w:rFonts w:hint="eastAsia"/>
                <w:b/>
                <w:bCs/>
              </w:rPr>
              <w:t xml:space="preserve"> “中国社会组织公共服务平台”网站（</w:t>
            </w:r>
            <w:r>
              <w:rPr>
                <w:b/>
                <w:bCs/>
              </w:rPr>
              <w:t>www.chinanpo.gov.cn</w:t>
            </w:r>
            <w:r>
              <w:rPr>
                <w:rFonts w:hint="eastAsia"/>
                <w:b/>
                <w:bCs/>
              </w:rPr>
              <w:t>）严重违法失信社会组织名单的投标人（联合体形式投标的，联合体成员存在不良信用记录，视同联合体存在不良信用记录）。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rPr>
                <w:rFonts w:hint="eastAsia"/>
                <w:lang w:eastAsia="zh-CN"/>
              </w:rPr>
            </w:pPr>
            <w:r>
              <w:rPr>
                <w:rFonts w:hint="eastAsia"/>
              </w:rPr>
              <w:t>3、信用信息查询记录和证据留存具体方式：经采购人确认的查询结果网页截图作为查询记录和证据，与其他采购文件一并保存</w:t>
            </w:r>
            <w:r>
              <w:rPr>
                <w:rFonts w:hint="eastAsia"/>
                <w:lang w:eastAsia="zh-CN"/>
              </w:rPr>
              <w:t>；</w:t>
            </w:r>
          </w:p>
          <w:p>
            <w:pPr>
              <w:autoSpaceDE w:val="0"/>
              <w:autoSpaceDN w:val="0"/>
              <w:spacing w:line="360" w:lineRule="auto"/>
              <w:contextualSpacing/>
              <w:rPr>
                <w:rFonts w:hint="eastAsia"/>
                <w:lang w:eastAsia="zh-CN"/>
              </w:rPr>
            </w:pPr>
            <w:r>
              <w:rPr>
                <w:rFonts w:hint="eastAsia"/>
              </w:rPr>
              <w:t>4、信用信息的使用原则：经采购人认定的被列入失信被执行人、重大税收违法案件当事人名单、</w:t>
            </w:r>
            <w:r>
              <w:t>政府采购严重违法失信行为记录名单</w:t>
            </w:r>
            <w:r>
              <w:rPr>
                <w:rFonts w:hint="eastAsia"/>
              </w:rPr>
              <w:t>、严重违法失信社会组织名单的投标人，将拒绝其参与本次政府采购活动</w:t>
            </w:r>
            <w:r>
              <w:rPr>
                <w:rFonts w:hint="eastAsia"/>
                <w:lang w:eastAsia="zh-CN"/>
              </w:rPr>
              <w:t>；</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2"/>
              <w:ind w:left="0" w:leftChars="0" w:firstLine="0" w:firstLineChars="0"/>
            </w:pPr>
            <w:r>
              <w:rPr>
                <w:rFonts w:hint="eastAsia" w:asciiTheme="minorHAnsi" w:hAnsiTheme="minorHAnsi" w:eastAsiaTheme="minorEastAsia" w:cstheme="minorBidi"/>
                <w:color w:val="auto"/>
                <w:kern w:val="2"/>
                <w:sz w:val="21"/>
                <w:szCs w:val="22"/>
                <w:lang w:val="zh-CN" w:eastAsia="zh-CN" w:bidi="ar-SA"/>
              </w:rPr>
              <w:t>八、投标人需具有电子与智能化工程专业承包二级及以上资质。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956"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956"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2380000.00元，超出最高限价的投标无效。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956" w:type="dxa"/>
            <w:vAlign w:val="center"/>
          </w:tcPr>
          <w:p>
            <w:pPr>
              <w:autoSpaceDE w:val="0"/>
              <w:autoSpaceDN w:val="0"/>
              <w:adjustRightInd w:val="0"/>
              <w:spacing w:line="360" w:lineRule="auto"/>
              <w:rPr>
                <w:color w:val="auto"/>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不组织，由投标人自行进行现场勘察。</w:t>
            </w:r>
            <w:r>
              <w:rPr>
                <w:rFonts w:hint="eastAsia"/>
                <w:color w:val="auto"/>
              </w:rPr>
              <w:t>地点</w:t>
            </w:r>
            <w:r>
              <w:rPr>
                <w:rFonts w:hint="eastAsia"/>
                <w:color w:val="auto"/>
                <w:u w:val="none"/>
              </w:rPr>
              <w:t xml:space="preserve">: </w:t>
            </w:r>
            <w:r>
              <w:rPr>
                <w:rFonts w:hint="eastAsia"/>
                <w:color w:val="auto"/>
                <w:u w:val="none"/>
                <w:lang w:eastAsia="zh-CN"/>
              </w:rPr>
              <w:t>许昌市新兴路西段</w:t>
            </w:r>
            <w:r>
              <w:rPr>
                <w:rFonts w:hint="eastAsia"/>
                <w:color w:val="auto"/>
                <w:u w:val="none"/>
              </w:rPr>
              <w:t>。</w:t>
            </w:r>
            <w:r>
              <w:rPr>
                <w:rFonts w:hint="eastAsia"/>
                <w:color w:val="auto"/>
              </w:rPr>
              <w:t>联系人：</w:t>
            </w:r>
            <w:r>
              <w:rPr>
                <w:rFonts w:hint="eastAsia"/>
                <w:color w:val="auto"/>
                <w:lang w:eastAsia="zh-CN"/>
              </w:rPr>
              <w:t>邓先生</w:t>
            </w:r>
            <w:r>
              <w:rPr>
                <w:rFonts w:hint="eastAsia"/>
                <w:color w:val="auto"/>
              </w:rPr>
              <w:t>，电话：0374-</w:t>
            </w:r>
            <w:r>
              <w:rPr>
                <w:rFonts w:hint="eastAsia"/>
                <w:color w:val="auto"/>
                <w:lang w:val="en-US" w:eastAsia="zh-CN"/>
              </w:rPr>
              <w:t>7369022</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开标前答疑会</w:t>
            </w:r>
          </w:p>
        </w:tc>
        <w:tc>
          <w:tcPr>
            <w:tcW w:w="6956"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956"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956"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9</w:t>
            </w:r>
            <w:r>
              <w:rPr>
                <w:rFonts w:hint="eastAsia" w:cs="仿宋_GB2312" w:asciiTheme="minorEastAsia" w:hAnsiTheme="minorEastAsia"/>
                <w:color w:val="auto"/>
                <w:szCs w:val="21"/>
              </w:rPr>
              <w:t>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1746" w:type="dxa"/>
            <w:tcMar>
              <w:top w:w="0" w:type="dxa"/>
              <w:left w:w="0" w:type="dxa"/>
              <w:bottom w:w="0" w:type="dxa"/>
              <w:right w:w="0" w:type="dxa"/>
            </w:tcMar>
            <w:vAlign w:val="center"/>
          </w:tcPr>
          <w:p>
            <w:pPr>
              <w:autoSpaceDE w:val="0"/>
              <w:autoSpaceDN w:val="0"/>
              <w:adjustRightInd w:val="0"/>
              <w:spacing w:line="360" w:lineRule="auto"/>
              <w:jc w:val="center"/>
              <w:rPr>
                <w:rFonts w:cs="仿宋_GB2312" w:asciiTheme="minorEastAsia" w:hAnsiTheme="minorEastAsia"/>
                <w:color w:val="auto"/>
                <w:szCs w:val="21"/>
              </w:rPr>
            </w:pPr>
            <w:r>
              <w:rPr>
                <w:rFonts w:cs="宋体" w:asciiTheme="minorEastAsia" w:hAnsiTheme="minorEastAsia"/>
                <w:bCs/>
                <w:color w:val="auto"/>
                <w:szCs w:val="21"/>
                <w:lang w:val="zh-CN"/>
              </w:rPr>
              <w:t>中标人将本项目非主体、非关键性工作分包</w:t>
            </w:r>
          </w:p>
        </w:tc>
        <w:tc>
          <w:tcPr>
            <w:tcW w:w="6956"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1746" w:type="dxa"/>
            <w:tcMar>
              <w:top w:w="0" w:type="dxa"/>
              <w:left w:w="0" w:type="dxa"/>
              <w:bottom w:w="0" w:type="dxa"/>
              <w:right w:w="0" w:type="dxa"/>
            </w:tcMar>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投标截止及开标时间</w:t>
            </w:r>
          </w:p>
        </w:tc>
        <w:tc>
          <w:tcPr>
            <w:tcW w:w="6956"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eastAsiaTheme="minorEastAsia"/>
                <w:color w:val="auto"/>
                <w:sz w:val="21"/>
                <w:szCs w:val="21"/>
              </w:rPr>
              <w:t>20</w:t>
            </w:r>
            <w:r>
              <w:rPr>
                <w:rFonts w:hint="eastAsia" w:cs="仿宋_GB2312" w:asciiTheme="minorEastAsia" w:hAnsiTheme="minorEastAsia" w:eastAsiaTheme="minorEastAsia"/>
                <w:color w:val="auto"/>
                <w:sz w:val="21"/>
                <w:szCs w:val="21"/>
                <w:lang w:val="en-US" w:eastAsia="zh-CN"/>
              </w:rPr>
              <w:t>20</w:t>
            </w:r>
            <w:r>
              <w:rPr>
                <w:rFonts w:hint="eastAsia" w:cs="仿宋_GB2312" w:asciiTheme="minorEastAsia" w:hAnsiTheme="minorEastAsia" w:eastAsiaTheme="minorEastAsia"/>
                <w:color w:val="auto"/>
                <w:sz w:val="21"/>
                <w:szCs w:val="21"/>
              </w:rPr>
              <w:t>年</w:t>
            </w:r>
            <w:r>
              <w:rPr>
                <w:rFonts w:hint="eastAsia" w:cs="仿宋_GB2312" w:asciiTheme="minorEastAsia" w:hAnsiTheme="minorEastAsia" w:eastAsiaTheme="minorEastAsia"/>
                <w:color w:val="auto"/>
                <w:sz w:val="21"/>
                <w:szCs w:val="21"/>
                <w:u w:val="single"/>
                <w:lang w:val="en-US" w:eastAsia="zh-CN"/>
              </w:rPr>
              <w:t>3</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u w:val="single"/>
                <w:lang w:val="en-US" w:eastAsia="zh-CN"/>
              </w:rPr>
              <w:t>27</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u w:val="single"/>
                <w:lang w:val="en-US" w:eastAsia="zh-CN"/>
              </w:rPr>
              <w:t>8</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u w:val="single"/>
                <w:lang w:val="en-US" w:eastAsia="zh-CN"/>
              </w:rPr>
              <w:t>30</w:t>
            </w:r>
            <w:r>
              <w:rPr>
                <w:rFonts w:hint="eastAsia" w:cs="仿宋_GB2312" w:asciiTheme="minorEastAsia" w:hAnsiTheme="minorEastAsia" w:eastAsiaTheme="minorEastAsia"/>
                <w:color w:val="auto"/>
                <w:sz w:val="21"/>
                <w:szCs w:val="21"/>
              </w:rPr>
              <w:t>分</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1746" w:type="dxa"/>
            <w:tcMar>
              <w:top w:w="0" w:type="dxa"/>
              <w:left w:w="0" w:type="dxa"/>
              <w:bottom w:w="0" w:type="dxa"/>
              <w:right w:w="0" w:type="dxa"/>
            </w:tcMar>
            <w:vAlign w:val="center"/>
          </w:tcPr>
          <w:p>
            <w:pPr>
              <w:autoSpaceDE w:val="0"/>
              <w:autoSpaceDN w:val="0"/>
              <w:adjustRightInd w:val="0"/>
              <w:spacing w:line="360" w:lineRule="auto"/>
              <w:ind w:right="-115" w:rightChars="-55"/>
              <w:jc w:val="center"/>
              <w:rPr>
                <w:rFonts w:cs="黑体" w:asciiTheme="minorEastAsia" w:hAnsiTheme="minorEastAsia"/>
                <w:color w:val="auto"/>
                <w:szCs w:val="21"/>
              </w:rPr>
            </w:pPr>
            <w:r>
              <w:rPr>
                <w:rFonts w:hint="eastAsia"/>
              </w:rPr>
              <w:t>开标地点及采购文件费</w:t>
            </w:r>
          </w:p>
        </w:tc>
        <w:tc>
          <w:tcPr>
            <w:tcW w:w="6956" w:type="dxa"/>
            <w:vAlign w:val="center"/>
          </w:tcPr>
          <w:p>
            <w:pPr>
              <w:autoSpaceDE w:val="0"/>
              <w:autoSpaceDN w:val="0"/>
              <w:adjustRightInd w:val="0"/>
              <w:spacing w:line="360" w:lineRule="auto"/>
              <w:rPr>
                <w:rFonts w:hint="eastAsia"/>
                <w:color w:val="auto"/>
              </w:rPr>
            </w:pPr>
            <w:r>
              <w:rPr>
                <w:rFonts w:hint="eastAsia"/>
                <w:color w:val="auto"/>
              </w:rPr>
              <w:t>1、</w:t>
            </w:r>
            <w:r>
              <w:rPr>
                <w:rFonts w:hint="eastAsia" w:ascii="宋体" w:hAnsi="宋体" w:cs="仿宋_GB2312"/>
                <w:color w:val="auto"/>
                <w:szCs w:val="21"/>
              </w:rPr>
              <w:t>许昌市公共资源交易中心</w:t>
            </w:r>
            <w:r>
              <w:rPr>
                <w:rFonts w:hint="eastAsia" w:ascii="宋体" w:hAnsi="宋体" w:cs="仿宋_GB2312"/>
                <w:color w:val="auto"/>
                <w:szCs w:val="21"/>
                <w:u w:val="none"/>
              </w:rPr>
              <w:t>三楼开标</w:t>
            </w:r>
            <w:r>
              <w:rPr>
                <w:rFonts w:hint="eastAsia" w:ascii="宋体" w:hAnsi="宋体" w:cs="仿宋_GB2312"/>
                <w:color w:val="auto"/>
                <w:szCs w:val="21"/>
                <w:u w:val="single"/>
                <w:lang w:val="en-US" w:eastAsia="zh-CN"/>
              </w:rPr>
              <w:t>3</w:t>
            </w:r>
            <w:r>
              <w:rPr>
                <w:rFonts w:hint="eastAsia" w:ascii="宋体" w:hAnsi="宋体" w:cs="仿宋_GB2312"/>
                <w:color w:val="auto"/>
                <w:szCs w:val="21"/>
                <w:u w:val="none"/>
              </w:rPr>
              <w:t>室</w:t>
            </w:r>
            <w:r>
              <w:rPr>
                <w:rFonts w:hint="eastAsia" w:ascii="宋体" w:hAnsi="宋体" w:cs="仿宋_GB2312"/>
                <w:color w:val="auto"/>
                <w:szCs w:val="21"/>
              </w:rPr>
              <w:t>（</w:t>
            </w:r>
            <w:r>
              <w:rPr>
                <w:rFonts w:hint="eastAsia" w:ascii="宋体" w:hAnsi="宋体" w:cs="Arial"/>
                <w:b/>
                <w:color w:val="auto"/>
                <w:szCs w:val="21"/>
              </w:rPr>
              <w:t>本项目采用远程不见面开标，投标人无须到交易中心现场</w:t>
            </w:r>
            <w:r>
              <w:rPr>
                <w:rFonts w:hint="eastAsia" w:ascii="宋体" w:hAnsi="宋体" w:cs="Arial"/>
                <w:color w:val="auto"/>
                <w:szCs w:val="21"/>
              </w:rPr>
              <w:t>）</w:t>
            </w:r>
            <w:r>
              <w:rPr>
                <w:rFonts w:hint="eastAsia" w:ascii="宋体" w:hAnsi="宋体" w:cs="仿宋_GB2312"/>
                <w:color w:val="auto"/>
                <w:szCs w:val="21"/>
              </w:rPr>
              <w:t>。</w:t>
            </w:r>
          </w:p>
          <w:p>
            <w:pPr>
              <w:autoSpaceDE w:val="0"/>
              <w:autoSpaceDN w:val="0"/>
              <w:adjustRightInd w:val="0"/>
              <w:spacing w:line="360" w:lineRule="auto"/>
              <w:rPr>
                <w:rFonts w:hint="default" w:cs="宋体" w:asciiTheme="minorEastAsia" w:hAnsiTheme="minorEastAsia" w:eastAsiaTheme="minorEastAsia"/>
                <w:bCs/>
                <w:color w:val="auto"/>
                <w:szCs w:val="21"/>
                <w:lang w:val="en-US" w:eastAsia="zh-CN"/>
              </w:rPr>
            </w:pPr>
            <w:r>
              <w:rPr>
                <w:rFonts w:hint="eastAsia"/>
                <w:color w:val="auto"/>
              </w:rPr>
              <w:t>2、开标结束后须向代理机构交纳</w:t>
            </w:r>
            <w:r>
              <w:rPr>
                <w:rFonts w:hint="eastAsia"/>
                <w:b/>
                <w:bCs/>
                <w:color w:val="auto"/>
                <w:u w:val="single"/>
              </w:rPr>
              <w:t>300元</w:t>
            </w:r>
            <w:r>
              <w:rPr>
                <w:rFonts w:hint="eastAsia"/>
                <w:color w:val="auto"/>
              </w:rPr>
              <w:t>的采购文件费。转账至</w:t>
            </w:r>
            <w:r>
              <w:rPr>
                <w:rFonts w:hint="eastAsia"/>
                <w:color w:val="auto"/>
                <w:lang w:eastAsia="zh-CN"/>
              </w:rPr>
              <w:t>支付宝或</w:t>
            </w:r>
            <w:r>
              <w:rPr>
                <w:rFonts w:hint="eastAsia"/>
                <w:color w:val="auto"/>
              </w:rPr>
              <w:t>微信：</w:t>
            </w:r>
            <w:r>
              <w:rPr>
                <w:rFonts w:hint="eastAsia"/>
                <w:color w:val="auto"/>
                <w:lang w:val="en-US" w:eastAsia="zh-CN"/>
              </w:rPr>
              <w:t>15517381573</w:t>
            </w:r>
            <w:r>
              <w:rPr>
                <w:rFonts w:hint="eastAsia"/>
                <w:color w:val="auto"/>
              </w:rPr>
              <w:t>（转账时请备注项目编号、所属标段及公司名称）。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956"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956"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1746" w:type="dxa"/>
            <w:tcMar>
              <w:top w:w="0" w:type="dxa"/>
              <w:left w:w="0" w:type="dxa"/>
              <w:bottom w:w="0" w:type="dxa"/>
              <w:right w:w="0" w:type="dxa"/>
            </w:tcMar>
            <w:vAlign w:val="center"/>
          </w:tcPr>
          <w:p>
            <w:pPr>
              <w:autoSpaceDE w:val="0"/>
              <w:autoSpaceDN w:val="0"/>
              <w:adjustRightInd w:val="0"/>
              <w:spacing w:line="360" w:lineRule="auto"/>
              <w:ind w:right="-178" w:rightChars="-85"/>
              <w:jc w:val="left"/>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956"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1746" w:type="dxa"/>
            <w:tcMar>
              <w:top w:w="0" w:type="dxa"/>
              <w:left w:w="0" w:type="dxa"/>
              <w:bottom w:w="0" w:type="dxa"/>
              <w:right w:w="0" w:type="dxa"/>
            </w:tcMar>
            <w:vAlign w:val="center"/>
          </w:tcPr>
          <w:p>
            <w:pPr>
              <w:autoSpaceDE w:val="0"/>
              <w:autoSpaceDN w:val="0"/>
              <w:adjustRightInd w:val="0"/>
              <w:spacing w:line="360" w:lineRule="auto"/>
              <w:ind w:right="55" w:rightChars="26"/>
              <w:jc w:val="center"/>
              <w:rPr>
                <w:rFonts w:cs="黑体" w:asciiTheme="minorEastAsia" w:hAnsiTheme="minorEastAsia"/>
                <w:color w:val="auto"/>
                <w:szCs w:val="21"/>
              </w:rPr>
            </w:pPr>
            <w:r>
              <w:rPr>
                <w:rFonts w:hint="eastAsia" w:cs="黑体" w:asciiTheme="minorEastAsia" w:hAnsiTheme="minorEastAsia"/>
                <w:color w:val="auto"/>
                <w:szCs w:val="21"/>
              </w:rPr>
              <w:t>投标人对采购文件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956"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68" w:type="dxa"/>
            <w:vAlign w:val="center"/>
          </w:tcPr>
          <w:p>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szCs w:val="21"/>
              </w:rPr>
              <w:t>18</w:t>
            </w:r>
          </w:p>
        </w:tc>
        <w:tc>
          <w:tcPr>
            <w:tcW w:w="1746" w:type="dxa"/>
            <w:tcMar>
              <w:top w:w="0" w:type="dxa"/>
              <w:left w:w="0" w:type="dxa"/>
              <w:bottom w:w="0" w:type="dxa"/>
              <w:right w:w="0" w:type="dxa"/>
            </w:tcMar>
            <w:vAlign w:val="center"/>
          </w:tcPr>
          <w:p>
            <w:pPr>
              <w:autoSpaceDE w:val="0"/>
              <w:autoSpaceDN w:val="0"/>
              <w:adjustRightInd w:val="0"/>
              <w:spacing w:line="360" w:lineRule="auto"/>
              <w:jc w:val="center"/>
              <w:rPr>
                <w:rFonts w:hint="eastAsia" w:cs="黑体" w:asciiTheme="minorEastAsia" w:hAnsiTheme="minorEastAsia"/>
                <w:color w:val="auto"/>
                <w:szCs w:val="21"/>
              </w:rPr>
            </w:pPr>
            <w:r>
              <w:rPr>
                <w:rFonts w:hint="eastAsia" w:ascii="宋体" w:hAnsi="宋体" w:cs="黑体"/>
                <w:szCs w:val="21"/>
              </w:rPr>
              <w:t>投标文件份数</w:t>
            </w:r>
          </w:p>
        </w:tc>
        <w:tc>
          <w:tcPr>
            <w:tcW w:w="6956" w:type="dxa"/>
            <w:vAlign w:val="center"/>
          </w:tcPr>
          <w:p>
            <w:pPr>
              <w:autoSpaceDE w:val="0"/>
              <w:autoSpaceDN w:val="0"/>
              <w:adjustRightInd w:val="0"/>
              <w:spacing w:line="360" w:lineRule="auto"/>
              <w:rPr>
                <w:rFonts w:ascii="新宋体" w:hAnsi="新宋体" w:eastAsia="新宋体"/>
                <w:b/>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szCs w:val="21"/>
              </w:rPr>
              <w:t>19</w:t>
            </w:r>
          </w:p>
        </w:tc>
        <w:tc>
          <w:tcPr>
            <w:tcW w:w="1746" w:type="dxa"/>
            <w:tcMar>
              <w:top w:w="0" w:type="dxa"/>
              <w:left w:w="0" w:type="dxa"/>
              <w:bottom w:w="0" w:type="dxa"/>
              <w:right w:w="0" w:type="dxa"/>
            </w:tcMar>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ascii="宋体" w:hAnsi="宋体" w:cs="黑体"/>
                <w:szCs w:val="21"/>
              </w:rPr>
              <w:t>签署盖章</w:t>
            </w:r>
          </w:p>
        </w:tc>
        <w:tc>
          <w:tcPr>
            <w:tcW w:w="6956" w:type="dxa"/>
            <w:vAlign w:val="center"/>
          </w:tcPr>
          <w:p>
            <w:pPr>
              <w:autoSpaceDE w:val="0"/>
              <w:autoSpaceDN w:val="0"/>
              <w:adjustRightInd w:val="0"/>
              <w:spacing w:line="420" w:lineRule="exact"/>
              <w:rPr>
                <w:rFonts w:cs="宋体" w:asciiTheme="minorEastAsia" w:hAnsiTheme="minorEastAsia"/>
                <w:bCs/>
                <w:color w:val="auto"/>
                <w:szCs w:val="21"/>
                <w:highlight w:val="lightGray"/>
                <w:lang w:val="zh-CN"/>
              </w:rPr>
            </w:pPr>
            <w:r>
              <w:rPr>
                <w:rFonts w:ascii="新宋体" w:hAnsi="新宋体" w:eastAsia="新宋体"/>
                <w:b/>
                <w:color w:val="auto"/>
                <w:szCs w:val="21"/>
              </w:rPr>
              <w:fldChar w:fldCharType="begin"/>
            </w:r>
            <w:r>
              <w:rPr>
                <w:rFonts w:ascii="新宋体" w:hAnsi="新宋体" w:eastAsia="新宋体"/>
                <w:b/>
                <w:color w:val="auto"/>
                <w:szCs w:val="21"/>
              </w:rPr>
              <w:instrText xml:space="preserve">eq \o\ac(</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szCs w:val="21"/>
              </w:rPr>
              <w:t>20</w:t>
            </w:r>
          </w:p>
        </w:tc>
        <w:tc>
          <w:tcPr>
            <w:tcW w:w="1746" w:type="dxa"/>
            <w:tcMar>
              <w:top w:w="0" w:type="dxa"/>
              <w:left w:w="0" w:type="dxa"/>
              <w:bottom w:w="0" w:type="dxa"/>
              <w:right w:w="0" w:type="dxa"/>
            </w:tcMar>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szCs w:val="21"/>
              </w:rPr>
              <w:t>评标委员会组建</w:t>
            </w:r>
          </w:p>
        </w:tc>
        <w:tc>
          <w:tcPr>
            <w:tcW w:w="6956" w:type="dxa"/>
            <w:vAlign w:val="center"/>
          </w:tcPr>
          <w:p>
            <w:pPr>
              <w:autoSpaceDE w:val="0"/>
              <w:autoSpaceDN w:val="0"/>
              <w:adjustRightInd w:val="0"/>
              <w:spacing w:line="360" w:lineRule="auto"/>
              <w:rPr>
                <w:rFonts w:eastAsia="新宋体" w:cs="仿宋_GB2312" w:asciiTheme="minorEastAsia" w:hAnsiTheme="minorEastAsia"/>
                <w:color w:val="auto"/>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szCs w:val="21"/>
              </w:rPr>
              <w:t>21</w:t>
            </w:r>
          </w:p>
        </w:tc>
        <w:tc>
          <w:tcPr>
            <w:tcW w:w="1746" w:type="dxa"/>
            <w:tcMar>
              <w:top w:w="0" w:type="dxa"/>
              <w:left w:w="0" w:type="dxa"/>
              <w:bottom w:w="0" w:type="dxa"/>
              <w:right w:w="0" w:type="dxa"/>
            </w:tcMar>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szCs w:val="21"/>
              </w:rPr>
              <w:t>评标方法</w:t>
            </w:r>
          </w:p>
        </w:tc>
        <w:tc>
          <w:tcPr>
            <w:tcW w:w="6956"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szCs w:val="21"/>
              </w:rPr>
              <w:t>22</w:t>
            </w:r>
          </w:p>
        </w:tc>
        <w:tc>
          <w:tcPr>
            <w:tcW w:w="1746" w:type="dxa"/>
            <w:tcMar>
              <w:top w:w="0" w:type="dxa"/>
              <w:left w:w="0" w:type="dxa"/>
              <w:bottom w:w="0" w:type="dxa"/>
              <w:right w:w="0" w:type="dxa"/>
            </w:tcMar>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szCs w:val="21"/>
                <w:lang w:val="zh-CN"/>
              </w:rPr>
              <w:t>授权函</w:t>
            </w:r>
          </w:p>
        </w:tc>
        <w:tc>
          <w:tcPr>
            <w:tcW w:w="6956"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szCs w:val="21"/>
              </w:rPr>
              <w:t>23</w:t>
            </w:r>
          </w:p>
        </w:tc>
        <w:tc>
          <w:tcPr>
            <w:tcW w:w="1746" w:type="dxa"/>
            <w:tcMar>
              <w:top w:w="0" w:type="dxa"/>
              <w:left w:w="0" w:type="dxa"/>
              <w:bottom w:w="0" w:type="dxa"/>
              <w:right w:w="0" w:type="dxa"/>
            </w:tcMar>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szCs w:val="21"/>
                <w:lang w:val="zh-CN"/>
              </w:rPr>
              <w:t>履约保证金</w:t>
            </w:r>
          </w:p>
        </w:tc>
        <w:tc>
          <w:tcPr>
            <w:tcW w:w="6956"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szCs w:val="21"/>
                <w:lang w:val="zh-CN"/>
              </w:rPr>
              <w:sym w:font="Wingdings 2" w:char="0052"/>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szCs w:val="21"/>
              </w:rPr>
              <w:t>24</w:t>
            </w:r>
          </w:p>
        </w:tc>
        <w:tc>
          <w:tcPr>
            <w:tcW w:w="1746" w:type="dxa"/>
            <w:tcMar>
              <w:top w:w="0" w:type="dxa"/>
              <w:left w:w="0" w:type="dxa"/>
              <w:bottom w:w="0" w:type="dxa"/>
              <w:right w:w="0" w:type="dxa"/>
            </w:tcMar>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szCs w:val="21"/>
                <w:lang w:val="zh-CN"/>
              </w:rPr>
              <w:t>代理服务费</w:t>
            </w:r>
          </w:p>
        </w:tc>
        <w:tc>
          <w:tcPr>
            <w:tcW w:w="6956"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w:t>
            </w:r>
            <w:r>
              <w:rPr>
                <w:rFonts w:hint="eastAsia" w:ascii="宋体" w:hAnsi="宋体" w:cs="宋体"/>
                <w:bCs/>
                <w:szCs w:val="21"/>
                <w:lang w:val="zh-CN"/>
              </w:rPr>
              <w:t>中标人</w:t>
            </w:r>
          </w:p>
          <w:p>
            <w:pPr>
              <w:autoSpaceDE w:val="0"/>
              <w:autoSpaceDN w:val="0"/>
              <w:spacing w:line="360" w:lineRule="auto"/>
              <w:contextualSpacing/>
              <w:rPr>
                <w:rFonts w:cs="宋体" w:asciiTheme="minorEastAsia" w:hAnsiTheme="minorEastAsia"/>
                <w:bCs/>
                <w:color w:val="auto"/>
                <w:szCs w:val="21"/>
                <w:lang w:val="zh-CN"/>
              </w:rPr>
            </w:pPr>
            <w:r>
              <w:rPr>
                <w:rFonts w:hint="eastAsia" w:cs="仿宋_GB2312" w:asciiTheme="minorEastAsia" w:hAnsiTheme="minorEastAsia"/>
                <w:szCs w:val="21"/>
                <w:lang w:val="zh-CN"/>
              </w:rPr>
              <w:t>中标合同金额的1.5%。一次性以银行划账、电汇、汇票或支票的形式支付。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szCs w:val="21"/>
              </w:rPr>
              <w:t>25</w:t>
            </w:r>
          </w:p>
        </w:tc>
        <w:tc>
          <w:tcPr>
            <w:tcW w:w="1746" w:type="dxa"/>
            <w:tcMar>
              <w:top w:w="0" w:type="dxa"/>
              <w:left w:w="0" w:type="dxa"/>
              <w:bottom w:w="0" w:type="dxa"/>
              <w:right w:w="0" w:type="dxa"/>
            </w:tcMar>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szCs w:val="21"/>
                <w:lang w:val="zh-CN"/>
              </w:rPr>
              <w:t>的资料</w:t>
            </w:r>
          </w:p>
        </w:tc>
        <w:tc>
          <w:tcPr>
            <w:tcW w:w="6956"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向代理机构发</w:t>
            </w:r>
            <w:r>
              <w:rPr>
                <w:rFonts w:hint="eastAsia" w:cs="宋体" w:asciiTheme="minorEastAsia" w:hAnsiTheme="minorEastAsia"/>
                <w:bCs/>
                <w:szCs w:val="21"/>
                <w:lang w:val="zh-CN"/>
              </w:rPr>
              <w:t>送投标报价及分项报价一览表（包含主要中标标的的名称、规格型号、数量、单价、服务要求等）电子文档，并同时通知代理机构。联系电话：</w:t>
            </w:r>
            <w:r>
              <w:rPr>
                <w:rFonts w:hint="eastAsia" w:cs="宋体" w:asciiTheme="minorEastAsia" w:hAnsiTheme="minorEastAsia"/>
                <w:bCs/>
                <w:szCs w:val="21"/>
                <w:lang w:val="en-US" w:eastAsia="zh-CN"/>
              </w:rPr>
              <w:t>13323993003</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jzbxcgd</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163</w:t>
            </w:r>
            <w:r>
              <w:rPr>
                <w:rFonts w:hint="eastAsia" w:cs="宋体" w:asciiTheme="minorEastAsia" w:hAnsiTheme="minorEastAsia"/>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szCs w:val="21"/>
              </w:rPr>
              <w:t>26</w:t>
            </w:r>
          </w:p>
        </w:tc>
        <w:tc>
          <w:tcPr>
            <w:tcW w:w="1746" w:type="dxa"/>
            <w:tcMar>
              <w:top w:w="0" w:type="dxa"/>
              <w:left w:w="0" w:type="dxa"/>
              <w:bottom w:w="0" w:type="dxa"/>
              <w:right w:w="0" w:type="dxa"/>
            </w:tcMar>
            <w:vAlign w:val="center"/>
          </w:tcPr>
          <w:p>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ascii="宋体" w:hAnsi="宋体" w:cs="宋体"/>
                <w:bCs/>
                <w:szCs w:val="21"/>
                <w:lang w:val="zh-CN"/>
              </w:rPr>
              <w:t>电子化采购模式</w:t>
            </w:r>
          </w:p>
        </w:tc>
        <w:tc>
          <w:tcPr>
            <w:tcW w:w="6956" w:type="dxa"/>
            <w:vAlign w:val="center"/>
          </w:tcPr>
          <w:p>
            <w:pPr>
              <w:autoSpaceDE w:val="0"/>
              <w:autoSpaceDN w:val="0"/>
              <w:adjustRightInd w:val="0"/>
              <w:spacing w:line="360" w:lineRule="auto"/>
              <w:contextualSpacing/>
              <w:rPr>
                <w:rFonts w:hint="eastAsia" w:hAnsi="宋体" w:cs="宋体"/>
                <w:color w:val="auto"/>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eq \o\ac(</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hint="eastAsia" w:ascii="宋体" w:hAnsi="宋体" w:cs="宋体"/>
                <w:b/>
                <w:color w:val="000000"/>
                <w:kern w:val="0"/>
                <w:position w:val="2"/>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szCs w:val="21"/>
              </w:rPr>
              <w:t>27</w:t>
            </w:r>
          </w:p>
        </w:tc>
        <w:tc>
          <w:tcPr>
            <w:tcW w:w="1746" w:type="dxa"/>
            <w:tcMar>
              <w:top w:w="0" w:type="dxa"/>
              <w:left w:w="0" w:type="dxa"/>
              <w:bottom w:w="0" w:type="dxa"/>
              <w:right w:w="0" w:type="dxa"/>
            </w:tcMar>
            <w:vAlign w:val="center"/>
          </w:tcPr>
          <w:p>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ascii="宋体" w:hAnsi="宋体" w:cs="宋体"/>
                <w:bCs/>
                <w:szCs w:val="21"/>
                <w:lang w:val="zh-CN"/>
              </w:rPr>
              <w:t>特别提示</w:t>
            </w:r>
          </w:p>
        </w:tc>
        <w:tc>
          <w:tcPr>
            <w:tcW w:w="6956"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color w:val="auto"/>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5"/>
        <w:autoSpaceDE w:val="0"/>
        <w:autoSpaceDN w:val="0"/>
        <w:spacing w:line="360" w:lineRule="auto"/>
        <w:ind w:left="780" w:firstLine="0" w:firstLineChars="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“采购人”：“投标人须知前附表”中所述的组织本次招标的代理机构和采购人。</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5"/>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。并查询</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5"/>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5"/>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5"/>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45"/>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不论投标的结果如何，投标人均应自行承担所有与投标有关的全部费用，采购人在任何情况下均无义务和责任承担这些费用。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采购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详见投标人须知前附表。</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开标前答疑会的，所有投标人应按“投标人须知前附表”规定的时间、地点前往参加现场考察或者开标前答疑会。投标人如不参加，其风险由投标人自行承担，采购人不承担任何责任。</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采购人组织现场考察或者召开答疑会的，应当在招标文件中载明，或者在招标文件公告期满后在财政部门指定的政府采购信息发布媒体和《全国公共资源交易平台（河南省·许昌市）》发布更正公告。</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在投标截止期前，无论出于何种原因，采购人可主动地或在解答潜在投标人提出的澄清问题时对招标文件进行修改。</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采购人可以对已发出的招标文件进行必要的澄清或者修改。澄清或者修改的内容可能影响投标文件编制的，采购人将在投标截止时间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如果澄清或者修改发出的时间距规定的投标截止时间不足15日，采购人将顺延提交投标文件的截止时间。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投标人提交的投标文件以及投标人与采购人就有关投标事宜的所有来往书面文件均应使用中文。除签名、盖章、专用名称等特殊情形外，以中文以外的文字表述的投标文件视同未提供。</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按本须知第10条规定，通过修改招标文件自行决定酌情延长投标截止期。在此情况下，采购人和投标人受投标截止期制约的所有权利和义务均应延长至新的截止日期和时间。投标人按采购人修改通知规定的时间提交投标文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投标截止时间之后上传的投标文件，采购人将拒绝接收。</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投标人在投标截止时间前，对投标文件进行补充、修改或者撤回的，须书面通知采购人。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投标人在提交投标文件后，可以撤回其投标，但投标人必须在规定的投标截止时间前以书面形式告知采购人。</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5"/>
        <w:numPr>
          <w:ilvl w:val="0"/>
          <w:numId w:val="5"/>
        </w:numPr>
        <w:autoSpaceDE w:val="0"/>
        <w:autoSpaceDN w:val="0"/>
        <w:spacing w:line="360" w:lineRule="auto"/>
        <w:ind w:firstLineChars="0"/>
        <w:contextualSpacing/>
        <w:rPr>
          <w:rFonts w:hint="eastAsia"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45"/>
        <w:numPr>
          <w:ilvl w:val="0"/>
          <w:numId w:val="11"/>
        </w:numPr>
        <w:autoSpaceDE w:val="0"/>
        <w:autoSpaceDN w:val="0"/>
        <w:spacing w:line="360" w:lineRule="auto"/>
        <w:ind w:firstLineChars="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pStyle w:val="45"/>
        <w:autoSpaceDE w:val="0"/>
        <w:autoSpaceDN w:val="0"/>
        <w:spacing w:line="360" w:lineRule="auto"/>
        <w:ind w:left="945" w:leftChars="200" w:hanging="525" w:hangingChars="25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23.2 投标截止时间到达时，采购代理机构点击“开标”按钮，开标开始，各投标人可以远程进行解密投标文件，解密时限为60分钟。投标人未进行解密或未按规定进行解密的，视为放弃投标。待全部投标人解密完成后，采购人（代理机构）进行一键解密。</w:t>
      </w:r>
    </w:p>
    <w:p>
      <w:pPr>
        <w:pStyle w:val="45"/>
        <w:autoSpaceDE w:val="0"/>
        <w:autoSpaceDN w:val="0"/>
        <w:spacing w:line="360" w:lineRule="auto"/>
        <w:ind w:left="945" w:leftChars="200" w:hanging="525" w:hangingChars="25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pStyle w:val="45"/>
        <w:autoSpaceDE w:val="0"/>
        <w:autoSpaceDN w:val="0"/>
        <w:spacing w:line="360" w:lineRule="auto"/>
        <w:ind w:left="945" w:leftChars="200" w:hanging="525" w:hangingChars="25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23.4</w:t>
      </w:r>
      <w:r>
        <w:rPr>
          <w:rFonts w:hint="eastAsia" w:cs="宋体" w:asciiTheme="minorEastAsia" w:hAnsiTheme="minorEastAsia"/>
          <w:color w:val="auto"/>
          <w:kern w:val="0"/>
          <w:szCs w:val="21"/>
          <w:lang w:val="en-US" w:eastAsia="zh-CN"/>
        </w:rPr>
        <w:t xml:space="preserve"> </w:t>
      </w:r>
      <w:r>
        <w:rPr>
          <w:rFonts w:hint="eastAsia" w:cs="宋体" w:asciiTheme="minorEastAsia" w:hAnsiTheme="minorEastAsia"/>
          <w:color w:val="auto"/>
          <w:kern w:val="0"/>
          <w:szCs w:val="21"/>
        </w:rPr>
        <w:t>如无投标人提出异议，采购代理机构通过“文字互动”对话框通知各投标人进行电子签章。投标人应在《开标记录表》上进行电子签章，未进行电子签章的视为对开标结果无异议。</w:t>
      </w:r>
    </w:p>
    <w:p>
      <w:pPr>
        <w:pStyle w:val="45"/>
        <w:autoSpaceDE w:val="0"/>
        <w:autoSpaceDN w:val="0"/>
        <w:spacing w:line="360" w:lineRule="auto"/>
        <w:ind w:left="945" w:leftChars="200" w:hanging="525" w:hangingChars="25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23.5</w:t>
      </w:r>
      <w:r>
        <w:rPr>
          <w:rFonts w:hint="eastAsia" w:cs="宋体" w:asciiTheme="minorEastAsia" w:hAnsiTheme="minorEastAsia"/>
          <w:color w:val="auto"/>
          <w:kern w:val="0"/>
          <w:szCs w:val="21"/>
          <w:lang w:val="en-US" w:eastAsia="zh-CN"/>
        </w:rPr>
        <w:t xml:space="preserve"> </w:t>
      </w:r>
      <w:r>
        <w:rPr>
          <w:rFonts w:hint="eastAsia" w:cs="宋体" w:asciiTheme="minorEastAsia" w:hAnsiTheme="minorEastAsia"/>
          <w:color w:val="auto"/>
          <w:kern w:val="0"/>
          <w:szCs w:val="21"/>
        </w:rPr>
        <w:t>采购人（代理机构）签章并上传《开标记录表》，不见面开标活动结束。</w:t>
      </w:r>
    </w:p>
    <w:p>
      <w:pPr>
        <w:pStyle w:val="45"/>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25.1采购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25.1.1  采购人将依法组建评标委员会，评标委员会由评审专家组成，成员人数应当为5人以上单数。评审专家依法从政府采购评审专家库中随机抽取。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25.1.2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25.1.2.1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25.1.2.2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25.1.2.3  社会影响较大。</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25.3.1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25.3.2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25.3.3  与供应商有其他可能影响政府采购活动公平、公正进行的关系。</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28.1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28.2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28.3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29.1投标文件属下列情况之一的，按照无效投标处理：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29.1.1  未按照招标文件的规定提交投标承诺函的；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29.1.5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29.2.5   不同投标人的投标文件相互混装。</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32.1评标方法分为最低评标价法和综合评分法。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32.1.1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32.1.1.2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32.1.1.2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32.1.2  综合评分法，是指投标文件满足招标文件全部实质性要求，且按照评审因素的量化指标评审得分最高的投标人为中标候选人的评标方法。</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32.2.1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32.2.2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32.2.3  因落实政府采购政策进行价格调整的，以调整后的价格计算评标基准价和投标报价。</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34.2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34.6  记录、复制或者带走任何评标资料；</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5"/>
        <w:numPr>
          <w:ilvl w:val="1"/>
          <w:numId w:val="16"/>
        </w:numPr>
        <w:autoSpaceDE w:val="0"/>
        <w:autoSpaceDN w:val="0"/>
        <w:spacing w:line="360" w:lineRule="auto"/>
        <w:ind w:left="964"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评审专家应当遵守评审工作纪律，不得泄露评审文件、评审情况和评审中获悉的商业秘密。</w:t>
      </w:r>
    </w:p>
    <w:p>
      <w:pPr>
        <w:pStyle w:val="45"/>
        <w:numPr>
          <w:ilvl w:val="1"/>
          <w:numId w:val="16"/>
        </w:numPr>
        <w:autoSpaceDE w:val="0"/>
        <w:autoSpaceDN w:val="0"/>
        <w:spacing w:line="360" w:lineRule="auto"/>
        <w:ind w:left="964"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5"/>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36.1  采购人应当自收到评标报告之日起5个工作日内，在评标报告确定的中标候选人名单中按顺序确定中标人。中标候选人并列的，由采购人采取随机抽取的方式确定。</w:t>
      </w:r>
    </w:p>
    <w:p>
      <w:pPr>
        <w:pStyle w:val="45"/>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采购人在收到评标报告5个工作日内未按评标报告推荐的中标候选人顺序确定中标人，又不能说明合法理由的，视同按评标报告推荐的顺序确定排名第一的中标候选人为中标人。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37.1采购人确认中标人后，采购人在公告中标结果的同时，向中标人发出中标通知书。</w:t>
      </w:r>
    </w:p>
    <w:p>
      <w:pPr>
        <w:pStyle w:val="45"/>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5"/>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5"/>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38.1供应商认为采购文件、采购过程和中标结果使自己的权益受到损害的，可以按照《政府采购质疑和投诉办法》（财政部令第94号）提出质疑。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38.1.1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38.1.2  对采购过程提出质疑的，为各采购程序环节结束之日起七个工作日  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38.1.3  对中标结果提出质疑的，为中标结果公告期限届满之日起七个工作日内，以书面形式向采购人和采购代理机构一次性提出。</w:t>
      </w:r>
    </w:p>
    <w:p>
      <w:pPr>
        <w:pStyle w:val="45"/>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38.2.1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38.2.2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0" w:leftChars="0" w:firstLine="420" w:firstLineChars="200"/>
        <w:contextualSpacing/>
        <w:jc w:val="left"/>
        <w:rPr>
          <w:rFonts w:hint="eastAsia" w:cs="宋体" w:asciiTheme="majorEastAsia" w:hAnsiTheme="majorEastAsia" w:eastAsiaTheme="majorEastAsia"/>
          <w:b/>
          <w:kern w:val="0"/>
          <w:sz w:val="32"/>
          <w:szCs w:val="32"/>
          <w:lang w:val="en-US" w:eastAsia="zh-CN"/>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cs="宋体"/>
          <w:color w:val="333333"/>
          <w:sz w:val="24"/>
          <w:szCs w:val="24"/>
        </w:rPr>
        <w:br w:type="textWrapping"/>
      </w:r>
      <w:r>
        <w:rPr>
          <w:rFonts w:hint="eastAsia" w:cs="宋体" w:asciiTheme="majorEastAsia" w:hAnsiTheme="majorEastAsia" w:eastAsiaTheme="majorEastAsia"/>
          <w:b/>
          <w:kern w:val="0"/>
          <w:sz w:val="32"/>
          <w:szCs w:val="32"/>
        </w:rPr>
        <w:t xml:space="preserve">       </w:t>
      </w:r>
      <w:r>
        <w:rPr>
          <w:rFonts w:hint="eastAsia" w:cs="宋体" w:asciiTheme="majorEastAsia" w:hAnsiTheme="majorEastAsia" w:eastAsiaTheme="majorEastAsia"/>
          <w:b/>
          <w:kern w:val="0"/>
          <w:sz w:val="32"/>
          <w:szCs w:val="32"/>
          <w:lang w:val="en-US" w:eastAsia="zh-CN"/>
        </w:rPr>
        <w:t xml:space="preserve">         </w:t>
      </w:r>
    </w:p>
    <w:p>
      <w:pPr>
        <w:rPr>
          <w:rFonts w:hint="eastAsia" w:cs="宋体" w:asciiTheme="majorEastAsia" w:hAnsiTheme="majorEastAsia" w:eastAsiaTheme="majorEastAsia"/>
          <w:b/>
          <w:kern w:val="0"/>
          <w:sz w:val="32"/>
          <w:szCs w:val="32"/>
          <w:lang w:val="en-US" w:eastAsia="zh-CN"/>
        </w:rPr>
      </w:pPr>
      <w:r>
        <w:rPr>
          <w:rFonts w:hint="eastAsia" w:cs="宋体" w:asciiTheme="majorEastAsia" w:hAnsiTheme="majorEastAsia" w:eastAsiaTheme="majorEastAsia"/>
          <w:b/>
          <w:kern w:val="0"/>
          <w:sz w:val="32"/>
          <w:szCs w:val="32"/>
          <w:lang w:val="en-US" w:eastAsia="zh-CN"/>
        </w:rPr>
        <w:br w:type="page"/>
      </w:r>
    </w:p>
    <w:p>
      <w:pPr>
        <w:autoSpaceDE w:val="0"/>
        <w:autoSpaceDN w:val="0"/>
        <w:spacing w:line="360" w:lineRule="auto"/>
        <w:ind w:left="0" w:leftChars="0" w:firstLine="2570" w:firstLineChars="80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8"/>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仿宋_GB2312" w:asciiTheme="minorEastAsia" w:hAnsiTheme="minorEastAsia"/>
          <w:szCs w:val="21"/>
          <w:lang w:val="en-US" w:eastAsia="zh-CN"/>
        </w:rPr>
        <w:t>.</w:t>
      </w:r>
      <w:r>
        <w:rPr>
          <w:rFonts w:hint="eastAsia" w:cs="仿宋_GB2312" w:asciiTheme="minorEastAsia" w:hAnsiTheme="minorEastAsia"/>
          <w:szCs w:val="21"/>
          <w:lang w:val="zh-CN"/>
        </w:rPr>
        <w:t>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w:t>
      </w:r>
      <w:r>
        <w:rPr>
          <w:rFonts w:hint="eastAsia" w:cs="仿宋_GB2312" w:asciiTheme="minorEastAsia" w:hAnsiTheme="minorEastAsia"/>
          <w:szCs w:val="21"/>
          <w:lang w:val="en-US" w:eastAsia="zh-CN"/>
        </w:rPr>
        <w:t>.</w:t>
      </w:r>
      <w:r>
        <w:rPr>
          <w:rFonts w:hint="eastAsia" w:cs="仿宋_GB2312" w:asciiTheme="minorEastAsia" w:hAnsiTheme="minorEastAsia"/>
          <w:szCs w:val="21"/>
          <w:lang w:val="zh-CN"/>
        </w:rPr>
        <w:t>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w:t>
      </w:r>
      <w:r>
        <w:rPr>
          <w:rFonts w:hint="eastAsia" w:cs="仿宋_GB2312" w:asciiTheme="minorEastAsia" w:hAnsiTheme="minorEastAsia"/>
          <w:szCs w:val="21"/>
          <w:lang w:val="en-US" w:eastAsia="zh-CN"/>
        </w:rPr>
        <w:t>.</w:t>
      </w:r>
      <w:r>
        <w:rPr>
          <w:rFonts w:hint="eastAsia" w:cs="仿宋_GB2312" w:asciiTheme="minorEastAsia" w:hAnsiTheme="minorEastAsia"/>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w:t>
      </w:r>
      <w:r>
        <w:rPr>
          <w:rFonts w:hint="eastAsia" w:cs="仿宋_GB2312" w:asciiTheme="minorEastAsia" w:hAnsiTheme="minorEastAsia"/>
          <w:szCs w:val="21"/>
          <w:lang w:val="en-US" w:eastAsia="zh-CN"/>
        </w:rPr>
        <w:t>.</w:t>
      </w:r>
      <w:r>
        <w:rPr>
          <w:rFonts w:hint="eastAsia" w:cs="仿宋_GB2312" w:asciiTheme="minorEastAsia" w:hAnsiTheme="minorEastAsia"/>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w:t>
      </w:r>
      <w:r>
        <w:rPr>
          <w:rFonts w:hint="eastAsia" w:cs="仿宋_GB2312" w:asciiTheme="minorEastAsia" w:hAnsiTheme="minorEastAsia" w:eastAsiaTheme="minorEastAsia"/>
          <w:sz w:val="21"/>
          <w:szCs w:val="21"/>
          <w:lang w:val="en-US" w:eastAsia="zh-CN"/>
        </w:rPr>
        <w:t>.</w:t>
      </w:r>
      <w:r>
        <w:rPr>
          <w:rFonts w:hint="eastAsia" w:cs="仿宋_GB2312" w:asciiTheme="minorEastAsia" w:hAnsiTheme="minorEastAsia" w:eastAsiaTheme="minorEastAsia"/>
          <w:sz w:val="21"/>
          <w:szCs w:val="21"/>
          <w:lang w:val="zh-CN"/>
        </w:rPr>
        <w:t>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eastAsiaTheme="minorEastAsia"/>
          <w:sz w:val="21"/>
          <w:szCs w:val="21"/>
          <w:lang w:val="en-US" w:eastAsia="zh-CN"/>
        </w:rPr>
        <w:t>.</w:t>
      </w:r>
      <w:r>
        <w:rPr>
          <w:rFonts w:hint="eastAsia" w:cs="仿宋_GB2312" w:asciiTheme="minorEastAsia" w:hAnsiTheme="minorEastAsia" w:eastAsiaTheme="minor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en-US" w:eastAsia="zh-CN"/>
        </w:rPr>
        <w:t>.</w:t>
      </w:r>
      <w:r>
        <w:rPr>
          <w:rFonts w:hint="eastAsia" w:cs="仿宋_GB2312" w:asciiTheme="minorEastAsia" w:hAnsiTheme="minorEastAsia" w:eastAsiaTheme="minorEastAsia"/>
          <w:sz w:val="21"/>
          <w:szCs w:val="21"/>
          <w:lang w:val="zh-CN"/>
        </w:rPr>
        <w:t>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8"/>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8"/>
        <w:spacing w:line="360" w:lineRule="auto"/>
        <w:contextualSpacing/>
        <w:rPr>
          <w:rFonts w:cs="仿宋_GB2312" w:asciiTheme="minorEastAsia" w:hAnsiTheme="minorEastAsia"/>
          <w:color w:val="auto"/>
          <w:lang w:val="zh-CN"/>
        </w:rPr>
      </w:pPr>
    </w:p>
    <w:p>
      <w:pPr>
        <w:pStyle w:val="18"/>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98"/>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6266"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6266"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6266"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w:t>
            </w:r>
            <w:r>
              <w:rPr>
                <w:rFonts w:hint="eastAsia" w:asciiTheme="minorEastAsia" w:hAnsiTheme="minorEastAsia"/>
                <w:bCs/>
                <w:szCs w:val="21"/>
                <w:lang w:val="en-US" w:eastAsia="zh-CN"/>
              </w:rPr>
              <w:t>3</w:t>
            </w:r>
            <w:r>
              <w:rPr>
                <w:rFonts w:hint="eastAsia" w:asciiTheme="minorEastAsia" w:hAnsiTheme="minorEastAsia"/>
                <w:bCs/>
                <w:szCs w:val="21"/>
              </w:rPr>
              <w:t>）个体工商户营业执照。（个体工商户投标提供）</w:t>
            </w:r>
          </w:p>
          <w:p>
            <w:pPr>
              <w:spacing w:line="360" w:lineRule="auto"/>
              <w:jc w:val="left"/>
              <w:rPr>
                <w:rFonts w:asciiTheme="minorEastAsia" w:hAnsiTheme="minorEastAsia"/>
                <w:b/>
                <w:bCs/>
                <w:szCs w:val="21"/>
              </w:rPr>
            </w:pPr>
            <w:r>
              <w:rPr>
                <w:rFonts w:hint="eastAsia" w:asciiTheme="minorEastAsia" w:hAnsiTheme="minorEastAsia"/>
                <w:bCs/>
                <w:szCs w:val="21"/>
              </w:rPr>
              <w:t>（</w:t>
            </w:r>
            <w:r>
              <w:rPr>
                <w:rFonts w:hint="eastAsia" w:asciiTheme="minorEastAsia" w:hAnsiTheme="minorEastAsia"/>
                <w:bCs/>
                <w:szCs w:val="21"/>
                <w:lang w:val="en-US" w:eastAsia="zh-CN"/>
              </w:rPr>
              <w:t>4</w:t>
            </w:r>
            <w:r>
              <w:rPr>
                <w:rFonts w:hint="eastAsia" w:asciiTheme="minorEastAsia" w:hAnsiTheme="minorEastAsia"/>
                <w:bCs/>
                <w:szCs w:val="21"/>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财务状况报告相关材料</w:t>
            </w:r>
          </w:p>
        </w:tc>
        <w:tc>
          <w:tcPr>
            <w:tcW w:w="6266"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①2018年度经审计的财务报告，包括资产负债表、利润表、现金流量表、所有者权益变动表及其附注，成立不足一年的提供上个月的财务报表。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依法缴纳税收相关材料</w:t>
            </w:r>
          </w:p>
        </w:tc>
        <w:tc>
          <w:tcPr>
            <w:tcW w:w="6266"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098" w:type="dxa"/>
            <w:vAlign w:val="center"/>
          </w:tcPr>
          <w:p>
            <w:pPr>
              <w:spacing w:line="360" w:lineRule="auto"/>
              <w:jc w:val="center"/>
              <w:rPr>
                <w:rFonts w:asciiTheme="minorEastAsia" w:hAnsiTheme="minorEastAsia"/>
                <w:bCs/>
                <w:szCs w:val="21"/>
              </w:rPr>
            </w:pPr>
            <w:r>
              <w:rPr>
                <w:rFonts w:hint="eastAsia" w:asciiTheme="minorEastAsia" w:hAnsiTheme="minorEastAsia"/>
                <w:b/>
                <w:bCs/>
                <w:szCs w:val="21"/>
              </w:rPr>
              <w:t>依法缴纳社会保障资金的证明材料</w:t>
            </w:r>
          </w:p>
        </w:tc>
        <w:tc>
          <w:tcPr>
            <w:tcW w:w="6266"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6266"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098" w:type="dxa"/>
            <w:vAlign w:val="center"/>
          </w:tcPr>
          <w:p>
            <w:pPr>
              <w:spacing w:line="360" w:lineRule="auto"/>
              <w:jc w:val="center"/>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6266"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098" w:type="dxa"/>
            <w:vAlign w:val="center"/>
          </w:tcPr>
          <w:p>
            <w:pPr>
              <w:spacing w:line="360" w:lineRule="auto"/>
              <w:jc w:val="center"/>
              <w:rPr>
                <w:rFonts w:asciiTheme="minorEastAsia" w:hAnsiTheme="minorEastAsia"/>
                <w:bCs/>
                <w:szCs w:val="21"/>
              </w:rPr>
            </w:pPr>
            <w:r>
              <w:rPr>
                <w:rFonts w:hint="eastAsia" w:asciiTheme="minorEastAsia" w:hAnsiTheme="minorEastAsia"/>
                <w:b/>
                <w:bCs/>
                <w:szCs w:val="21"/>
              </w:rPr>
              <w:t>信用记录查询及使用</w:t>
            </w:r>
          </w:p>
        </w:tc>
        <w:tc>
          <w:tcPr>
            <w:tcW w:w="6266"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政府采购活动中查询及使用投标人信用记录的具体要求为：投标人未被列入</w:t>
            </w:r>
            <w:r>
              <w:rPr>
                <w:rFonts w:asciiTheme="minorEastAsia" w:hAnsiTheme="minorEastAsia"/>
                <w:bCs/>
                <w:color w:val="auto"/>
                <w:szCs w:val="21"/>
              </w:rPr>
              <w:t>“信用中国”网站</w:t>
            </w:r>
            <w:r>
              <w:rPr>
                <w:rFonts w:hint="eastAsia" w:asciiTheme="minorEastAsia" w:hAnsiTheme="minorEastAsia"/>
                <w:bCs/>
                <w:color w:val="auto"/>
                <w:szCs w:val="21"/>
              </w:rPr>
              <w:t>失信被执行人、重大税收违法案件当事人名单、“</w:t>
            </w:r>
            <w:r>
              <w:rPr>
                <w:rFonts w:asciiTheme="minorEastAsia" w:hAnsiTheme="minorEastAsia"/>
                <w:bCs/>
                <w:color w:val="auto"/>
                <w:szCs w:val="21"/>
              </w:rPr>
              <w:t>中国政府采购网</w:t>
            </w:r>
            <w:r>
              <w:rPr>
                <w:rFonts w:hint="eastAsia" w:asciiTheme="minorEastAsia" w:hAnsiTheme="minorEastAsia"/>
                <w:bCs/>
                <w:color w:val="auto"/>
                <w:szCs w:val="21"/>
              </w:rPr>
              <w:t>”政府采购严重违法失信行为记录名单、</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）严重违法失信社会组织名单的投标人</w:t>
            </w:r>
            <w:r>
              <w:rPr>
                <w:rFonts w:hint="eastAsia" w:cs="仿宋_GB2312" w:asciiTheme="minorEastAsia" w:hAnsiTheme="minorEastAsia"/>
                <w:b/>
                <w:color w:val="auto"/>
                <w:szCs w:val="21"/>
              </w:rPr>
              <w:t>；</w:t>
            </w:r>
            <w:r>
              <w:rPr>
                <w:rFonts w:hint="eastAsia" w:asciiTheme="minorEastAsia" w:hAnsiTheme="minorEastAsia"/>
                <w:bCs/>
                <w:color w:val="auto"/>
                <w:szCs w:val="21"/>
              </w:rPr>
              <w:t>（联合体形式投标的，联合体成员存在不良信用记录，视同联合体存在不良信用记录）。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31"/>
                <w:rFonts w:hint="eastAsia" w:asciiTheme="minorEastAsia" w:hAnsiTheme="minorEastAsia"/>
                <w:bCs/>
                <w:color w:val="auto"/>
                <w:szCs w:val="21"/>
              </w:rPr>
              <w:t>www.creditchina.gov.cn</w:t>
            </w:r>
            <w:r>
              <w:rPr>
                <w:rStyle w:val="31"/>
                <w:rFonts w:hint="eastAsia" w:asciiTheme="minorEastAsia" w:hAnsiTheme="minorEastAsia"/>
                <w:bCs/>
                <w:color w:val="auto"/>
                <w:szCs w:val="21"/>
              </w:rPr>
              <w:fldChar w:fldCharType="end"/>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）（仅查询社会组织）</w:t>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（4）信用信息的使用原则：经采购人认定的被列入</w:t>
            </w:r>
            <w:r>
              <w:rPr>
                <w:rFonts w:hint="eastAsia" w:cs="宋体" w:asciiTheme="minorEastAsia" w:hAnsiTheme="minorEastAsia"/>
                <w:color w:val="auto"/>
                <w:kern w:val="0"/>
                <w:szCs w:val="21"/>
              </w:rPr>
              <w:t>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w:t>
            </w:r>
            <w:r>
              <w:rPr>
                <w:rFonts w:hint="eastAsia" w:asciiTheme="minorEastAsia" w:hAnsiTheme="minorEastAsia"/>
                <w:bCs/>
                <w:color w:val="auto"/>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投标人须具备的特殊资质证书</w:t>
            </w:r>
          </w:p>
        </w:tc>
        <w:tc>
          <w:tcPr>
            <w:tcW w:w="6266" w:type="dxa"/>
            <w:vAlign w:val="center"/>
          </w:tcPr>
          <w:p>
            <w:pPr>
              <w:spacing w:line="360" w:lineRule="auto"/>
              <w:rPr>
                <w:rFonts w:hint="default" w:asciiTheme="minorEastAsia" w:hAnsiTheme="minorEastAsia"/>
                <w:b/>
                <w:bCs/>
                <w:color w:val="auto"/>
                <w:szCs w:val="21"/>
                <w:lang w:val="en-US"/>
              </w:rPr>
            </w:pPr>
            <w:r>
              <w:rPr>
                <w:rFonts w:hint="eastAsia" w:ascii="宋体" w:hAnsi="宋体" w:cs="仿宋_GB2312"/>
                <w:color w:val="auto"/>
                <w:sz w:val="21"/>
                <w:szCs w:val="21"/>
                <w:shd w:val="clear" w:color="auto" w:fill="FFFFFF"/>
              </w:rPr>
              <w:t>投标人需具有电子与智能化工程专业承包二级及以上资质</w:t>
            </w:r>
            <w:r>
              <w:rPr>
                <w:rFonts w:hint="eastAsia" w:cs="仿宋_GB2312" w:asciiTheme="minorEastAsia" w:hAnsiTheme="minorEastAsia"/>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6266"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投标报价是否超出招标文件中规定的预算金额，超出预算金额的投标无效。如投标人须知前附表规定最高限价，则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098" w:type="dxa"/>
            <w:vAlign w:val="center"/>
          </w:tcPr>
          <w:p>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6266"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6266"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098"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6266"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000000"/>
                <w:sz w:val="21"/>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Theme="minorEastAsia" w:hAnsiTheme="minorEastAsia" w:eastAsiaTheme="minorEastAsia" w:cstheme="minorEastAsia"/>
                <w:color w:val="000000"/>
                <w:sz w:val="21"/>
                <w:szCs w:val="21"/>
              </w:rPr>
              <w:t>③</w:t>
            </w:r>
            <w:r>
              <w:rPr>
                <w:rFonts w:hint="eastAsia" w:asciiTheme="minorEastAsia" w:hAnsiTheme="minorEastAsia" w:eastAsiaTheme="minorEastAsia" w:cstheme="minorEastAsia"/>
                <w:color w:val="000000"/>
                <w:kern w:val="0"/>
                <w:sz w:val="21"/>
                <w:szCs w:val="21"/>
              </w:rPr>
              <w:t>投标人为自然人的，无需填写法定代表人授权书</w:t>
            </w:r>
            <w:r>
              <w:rPr>
                <w:rFonts w:hint="eastAsia" w:ascii="楷体" w:hAnsi="楷体" w:eastAsia="楷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6266"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6266"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8"/>
        <w:spacing w:line="360" w:lineRule="auto"/>
        <w:ind w:left="0" w:leftChars="0"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8"/>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8"/>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8"/>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8"/>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8"/>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8"/>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8"/>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2）对监狱企业价格给予6%的扣除，用扣除后的价格参与评审。监狱企业应当提供由省级以上监狱管理局、戒毒管理局(含新疆生产建设兵团)出具的属于监狱企业的证明文件。</w:t>
      </w:r>
    </w:p>
    <w:p>
      <w:pPr>
        <w:pStyle w:val="18"/>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color w:val="auto"/>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r>
        <w:rPr>
          <w:rFonts w:hint="eastAsia" w:asciiTheme="minorEastAsia" w:hAnsiTheme="minorEastAsia" w:eastAsiaTheme="minorEastAsia"/>
          <w:color w:val="000000"/>
          <w:sz w:val="21"/>
          <w:szCs w:val="21"/>
        </w:rPr>
        <w:t>。</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8"/>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8"/>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8"/>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8"/>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8"/>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（5）支持脱贫攻坚（指物业服务项目）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w:t>
      </w:r>
      <w:r>
        <w:rPr>
          <w:rFonts w:hint="eastAsia" w:cs="仿宋_GB2312" w:asciiTheme="minorEastAsia" w:hAnsiTheme="minorEastAsia" w:eastAsiaTheme="minorEastAsia"/>
          <w:b/>
          <w:color w:val="auto"/>
          <w:sz w:val="21"/>
          <w:szCs w:val="21"/>
          <w:lang w:val="en-US" w:eastAsia="zh-CN"/>
        </w:rPr>
        <w:t>7</w:t>
      </w:r>
      <w:r>
        <w:rPr>
          <w:rFonts w:hint="eastAsia" w:cs="仿宋_GB2312" w:asciiTheme="minorEastAsia" w:hAnsiTheme="minorEastAsia" w:eastAsiaTheme="minorEastAsia"/>
          <w:b/>
          <w:color w:val="auto"/>
          <w:sz w:val="21"/>
          <w:szCs w:val="21"/>
          <w:lang w:val="zh-CN"/>
        </w:rPr>
        <w:t>）评标标准</w:t>
      </w:r>
    </w:p>
    <w:tbl>
      <w:tblPr>
        <w:tblStyle w:val="27"/>
        <w:tblW w:w="9060" w:type="dxa"/>
        <w:tblInd w:w="0" w:type="dxa"/>
        <w:tblLayout w:type="fixed"/>
        <w:tblCellMar>
          <w:top w:w="0" w:type="dxa"/>
          <w:left w:w="108" w:type="dxa"/>
          <w:bottom w:w="0" w:type="dxa"/>
          <w:right w:w="108" w:type="dxa"/>
        </w:tblCellMar>
      </w:tblPr>
      <w:tblGrid>
        <w:gridCol w:w="1226"/>
        <w:gridCol w:w="1350"/>
        <w:gridCol w:w="6484"/>
      </w:tblGrid>
      <w:tr>
        <w:tblPrEx>
          <w:tblCellMar>
            <w:top w:w="0" w:type="dxa"/>
            <w:left w:w="108" w:type="dxa"/>
            <w:bottom w:w="0" w:type="dxa"/>
            <w:right w:w="108" w:type="dxa"/>
          </w:tblCellMar>
        </w:tblPrEx>
        <w:trPr>
          <w:trHeight w:val="983" w:hRule="atLeast"/>
        </w:trPr>
        <w:tc>
          <w:tcPr>
            <w:tcW w:w="25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szCs w:val="21"/>
              </w:rPr>
            </w:pPr>
            <w:r>
              <w:rPr>
                <w:rFonts w:hint="eastAsia" w:ascii="宋体" w:hAnsi="宋体"/>
                <w:color w:val="000000"/>
                <w:szCs w:val="21"/>
              </w:rPr>
              <w:t>分值构成</w:t>
            </w:r>
          </w:p>
          <w:p>
            <w:pPr>
              <w:widowControl/>
              <w:spacing w:before="156" w:beforeLines="50" w:line="300" w:lineRule="exact"/>
              <w:jc w:val="center"/>
              <w:rPr>
                <w:szCs w:val="21"/>
              </w:rPr>
            </w:pPr>
            <w:r>
              <w:rPr>
                <w:rFonts w:hint="eastAsia" w:ascii="宋体" w:hAnsi="宋体"/>
                <w:color w:val="000000"/>
                <w:szCs w:val="21"/>
              </w:rPr>
              <w:t>(总分100分)</w:t>
            </w:r>
          </w:p>
        </w:tc>
        <w:tc>
          <w:tcPr>
            <w:tcW w:w="6484" w:type="dxa"/>
            <w:tcBorders>
              <w:top w:val="single" w:color="auto" w:sz="4" w:space="0"/>
              <w:left w:val="nil"/>
              <w:bottom w:val="single" w:color="auto" w:sz="4" w:space="0"/>
              <w:right w:val="single" w:color="auto" w:sz="4" w:space="0"/>
            </w:tcBorders>
            <w:noWrap w:val="0"/>
            <w:vAlign w:val="center"/>
          </w:tcPr>
          <w:p>
            <w:pPr>
              <w:widowControl/>
              <w:spacing w:line="300" w:lineRule="exact"/>
              <w:rPr>
                <w:szCs w:val="21"/>
              </w:rPr>
            </w:pPr>
            <w:r>
              <w:rPr>
                <w:rFonts w:hint="eastAsia"/>
                <w:szCs w:val="21"/>
              </w:rPr>
              <w:t>报价部分：</w:t>
            </w:r>
            <w:r>
              <w:rPr>
                <w:rFonts w:hint="eastAsia"/>
                <w:szCs w:val="21"/>
                <w:u w:val="single"/>
              </w:rPr>
              <w:t xml:space="preserve"> 30 </w:t>
            </w:r>
            <w:r>
              <w:rPr>
                <w:rFonts w:hint="eastAsia"/>
                <w:szCs w:val="21"/>
              </w:rPr>
              <w:t>分</w:t>
            </w:r>
          </w:p>
          <w:p>
            <w:pPr>
              <w:widowControl/>
              <w:spacing w:line="300" w:lineRule="exact"/>
              <w:rPr>
                <w:szCs w:val="21"/>
              </w:rPr>
            </w:pPr>
            <w:r>
              <w:rPr>
                <w:rFonts w:hint="eastAsia"/>
                <w:szCs w:val="21"/>
              </w:rPr>
              <w:t>商务部分：</w:t>
            </w:r>
            <w:r>
              <w:rPr>
                <w:rFonts w:hint="eastAsia"/>
                <w:szCs w:val="21"/>
                <w:u w:val="single"/>
              </w:rPr>
              <w:t xml:space="preserve"> 29</w:t>
            </w:r>
            <w:r>
              <w:rPr>
                <w:rFonts w:hint="eastAsia"/>
                <w:szCs w:val="21"/>
              </w:rPr>
              <w:t>分</w:t>
            </w:r>
          </w:p>
          <w:p>
            <w:pPr>
              <w:widowControl/>
              <w:spacing w:line="300" w:lineRule="exact"/>
              <w:rPr>
                <w:szCs w:val="21"/>
              </w:rPr>
            </w:pPr>
            <w:r>
              <w:rPr>
                <w:rFonts w:hint="eastAsia"/>
                <w:szCs w:val="21"/>
              </w:rPr>
              <w:t>技术部分：</w:t>
            </w:r>
            <w:r>
              <w:rPr>
                <w:rFonts w:hint="eastAsia"/>
                <w:szCs w:val="21"/>
                <w:u w:val="single"/>
              </w:rPr>
              <w:t xml:space="preserve"> 41 </w:t>
            </w:r>
            <w:r>
              <w:rPr>
                <w:rFonts w:hint="eastAsia"/>
                <w:szCs w:val="21"/>
              </w:rPr>
              <w:t>分</w:t>
            </w:r>
          </w:p>
        </w:tc>
      </w:tr>
      <w:tr>
        <w:tblPrEx>
          <w:tblCellMar>
            <w:top w:w="0" w:type="dxa"/>
            <w:left w:w="108" w:type="dxa"/>
            <w:bottom w:w="0" w:type="dxa"/>
            <w:right w:w="108" w:type="dxa"/>
          </w:tblCellMar>
        </w:tblPrEx>
        <w:trPr>
          <w:trHeight w:val="416" w:hRule="atLeast"/>
        </w:trPr>
        <w:tc>
          <w:tcPr>
            <w:tcW w:w="1226"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beforeLines="50"/>
              <w:jc w:val="center"/>
              <w:rPr>
                <w:szCs w:val="21"/>
              </w:rPr>
            </w:pPr>
            <w:r>
              <w:rPr>
                <w:rFonts w:hint="eastAsia" w:ascii="宋体" w:hAnsi="宋体" w:cs="宋体"/>
                <w:b/>
                <w:color w:val="000000"/>
                <w:kern w:val="0"/>
                <w:szCs w:val="21"/>
              </w:rPr>
              <w:t>评审项</w:t>
            </w:r>
          </w:p>
        </w:tc>
        <w:tc>
          <w:tcPr>
            <w:tcW w:w="1350" w:type="dxa"/>
            <w:tcBorders>
              <w:top w:val="single" w:color="auto" w:sz="4" w:space="0"/>
              <w:left w:val="nil"/>
              <w:bottom w:val="single" w:color="auto" w:sz="4" w:space="0"/>
              <w:right w:val="single" w:color="auto" w:sz="4" w:space="0"/>
            </w:tcBorders>
            <w:noWrap w:val="0"/>
            <w:vAlign w:val="center"/>
          </w:tcPr>
          <w:p>
            <w:pPr>
              <w:widowControl/>
              <w:spacing w:before="156" w:beforeLines="50"/>
              <w:jc w:val="center"/>
              <w:rPr>
                <w:szCs w:val="21"/>
              </w:rPr>
            </w:pPr>
            <w:r>
              <w:rPr>
                <w:rFonts w:hint="eastAsia" w:ascii="宋体" w:hAnsi="宋体" w:cs="宋体"/>
                <w:b/>
                <w:color w:val="000000"/>
                <w:kern w:val="0"/>
                <w:szCs w:val="21"/>
              </w:rPr>
              <w:t>评分因素</w:t>
            </w:r>
          </w:p>
        </w:tc>
        <w:tc>
          <w:tcPr>
            <w:tcW w:w="6484" w:type="dxa"/>
            <w:tcBorders>
              <w:top w:val="single" w:color="auto" w:sz="4" w:space="0"/>
              <w:left w:val="nil"/>
              <w:bottom w:val="single" w:color="auto" w:sz="4" w:space="0"/>
              <w:right w:val="single" w:color="auto" w:sz="4" w:space="0"/>
            </w:tcBorders>
            <w:noWrap w:val="0"/>
            <w:vAlign w:val="center"/>
          </w:tcPr>
          <w:p>
            <w:pPr>
              <w:widowControl/>
              <w:spacing w:before="156" w:beforeLines="50"/>
              <w:jc w:val="center"/>
              <w:rPr>
                <w:szCs w:val="21"/>
              </w:rPr>
            </w:pPr>
            <w:r>
              <w:rPr>
                <w:rFonts w:hint="eastAsia" w:ascii="宋体" w:hAnsi="宋体" w:cs="宋体"/>
                <w:b/>
                <w:color w:val="000000"/>
                <w:kern w:val="0"/>
                <w:szCs w:val="21"/>
              </w:rPr>
              <w:t>评标标准</w:t>
            </w:r>
          </w:p>
        </w:tc>
      </w:tr>
      <w:tr>
        <w:tblPrEx>
          <w:tblCellMar>
            <w:top w:w="0" w:type="dxa"/>
            <w:left w:w="108" w:type="dxa"/>
            <w:bottom w:w="0" w:type="dxa"/>
            <w:right w:w="108" w:type="dxa"/>
          </w:tblCellMar>
        </w:tblPrEx>
        <w:trPr>
          <w:trHeight w:val="936" w:hRule="atLeast"/>
        </w:trPr>
        <w:tc>
          <w:tcPr>
            <w:tcW w:w="1226" w:type="dxa"/>
            <w:tcBorders>
              <w:top w:val="single" w:color="auto" w:sz="4" w:space="0"/>
              <w:left w:val="single" w:color="auto" w:sz="4" w:space="0"/>
              <w:bottom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报价部分</w:t>
            </w:r>
          </w:p>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（30分）</w:t>
            </w:r>
          </w:p>
        </w:tc>
        <w:tc>
          <w:tcPr>
            <w:tcW w:w="1350" w:type="dxa"/>
            <w:tcBorders>
              <w:top w:val="single" w:color="auto" w:sz="4" w:space="0"/>
              <w:left w:val="nil"/>
              <w:bottom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报价</w:t>
            </w:r>
          </w:p>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（30分）</w:t>
            </w:r>
          </w:p>
        </w:tc>
        <w:tc>
          <w:tcPr>
            <w:tcW w:w="648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szCs w:val="21"/>
              </w:rPr>
            </w:pPr>
            <w:r>
              <w:rPr>
                <w:rFonts w:hint="eastAsia" w:ascii="宋体" w:hAnsi="宋体" w:cs="宋体"/>
                <w:szCs w:val="21"/>
              </w:rPr>
              <w:t>评标基准价：满足招标文件要求的有效投标报价中，最低的投标报价为评标基准价。</w:t>
            </w:r>
          </w:p>
          <w:p>
            <w:pPr>
              <w:spacing w:line="360" w:lineRule="exact"/>
              <w:rPr>
                <w:rFonts w:hint="eastAsia" w:ascii="宋体" w:hAnsi="宋体" w:cs="宋体"/>
                <w:szCs w:val="21"/>
              </w:rPr>
            </w:pPr>
            <w:r>
              <w:rPr>
                <w:rFonts w:hint="eastAsia" w:ascii="宋体" w:hAnsi="宋体" w:cs="宋体"/>
                <w:szCs w:val="21"/>
              </w:rPr>
              <w:t xml:space="preserve">投标报价得分=（评标基准价/投标报价）× 30 </w:t>
            </w:r>
          </w:p>
        </w:tc>
      </w:tr>
      <w:tr>
        <w:tblPrEx>
          <w:tblCellMar>
            <w:top w:w="0" w:type="dxa"/>
            <w:left w:w="108" w:type="dxa"/>
            <w:bottom w:w="0" w:type="dxa"/>
            <w:right w:w="108" w:type="dxa"/>
          </w:tblCellMar>
        </w:tblPrEx>
        <w:trPr>
          <w:trHeight w:val="2875" w:hRule="atLeast"/>
        </w:trPr>
        <w:tc>
          <w:tcPr>
            <w:tcW w:w="1226" w:type="dxa"/>
            <w:vMerge w:val="restart"/>
            <w:tcBorders>
              <w:top w:val="single" w:color="auto" w:sz="4" w:space="0"/>
              <w:left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商务部分</w:t>
            </w:r>
          </w:p>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（29分）</w:t>
            </w:r>
          </w:p>
        </w:tc>
        <w:tc>
          <w:tcPr>
            <w:tcW w:w="1350" w:type="dxa"/>
            <w:tcBorders>
              <w:top w:val="single" w:color="auto" w:sz="4" w:space="0"/>
              <w:left w:val="nil"/>
              <w:bottom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供应商综合能力（10分）</w:t>
            </w:r>
          </w:p>
        </w:tc>
        <w:tc>
          <w:tcPr>
            <w:tcW w:w="648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szCs w:val="21"/>
              </w:rPr>
            </w:pPr>
            <w:r>
              <w:rPr>
                <w:rFonts w:hint="eastAsia" w:ascii="宋体" w:hAnsi="宋体" w:cs="宋体"/>
                <w:szCs w:val="21"/>
              </w:rPr>
              <w:t>1、投标人同时具有信息安全管理体系认证证书和信息技术服务管理体系认证证书的，得2分，没有不得分。</w:t>
            </w:r>
          </w:p>
          <w:p>
            <w:pPr>
              <w:spacing w:line="360" w:lineRule="exact"/>
              <w:rPr>
                <w:rFonts w:hint="eastAsia" w:ascii="宋体" w:hAnsi="宋体" w:cs="宋体"/>
                <w:szCs w:val="21"/>
              </w:rPr>
            </w:pPr>
            <w:r>
              <w:rPr>
                <w:rFonts w:hint="eastAsia" w:ascii="宋体" w:hAnsi="宋体" w:cs="宋体"/>
                <w:szCs w:val="21"/>
              </w:rPr>
              <w:t>2、投标人具有CMMI三级及以上资质，得2分，没有不得分。</w:t>
            </w:r>
          </w:p>
          <w:p>
            <w:pPr>
              <w:spacing w:line="360" w:lineRule="exact"/>
              <w:rPr>
                <w:rFonts w:hint="eastAsia" w:ascii="宋体" w:hAnsi="宋体" w:cs="宋体"/>
                <w:szCs w:val="21"/>
              </w:rPr>
            </w:pPr>
            <w:r>
              <w:rPr>
                <w:rFonts w:hint="eastAsia" w:ascii="宋体" w:hAnsi="宋体" w:cs="宋体"/>
                <w:szCs w:val="21"/>
              </w:rPr>
              <w:t>3、投标人具有双软企业认定资质证书，得2分，没有不得分。</w:t>
            </w:r>
          </w:p>
          <w:p>
            <w:pPr>
              <w:spacing w:line="360" w:lineRule="exact"/>
              <w:rPr>
                <w:rFonts w:hint="eastAsia" w:ascii="宋体" w:hAnsi="宋体" w:cs="宋体"/>
                <w:szCs w:val="21"/>
              </w:rPr>
            </w:pPr>
            <w:r>
              <w:rPr>
                <w:rFonts w:hint="eastAsia" w:ascii="宋体" w:hAnsi="宋体" w:cs="宋体"/>
                <w:szCs w:val="21"/>
              </w:rPr>
              <w:t>4、投标人具有质量管理体系、环境管理体系、职业健康安全管理体系认证证书得2分，没有不得分。</w:t>
            </w:r>
          </w:p>
          <w:p>
            <w:pPr>
              <w:jc w:val="left"/>
              <w:rPr>
                <w:rFonts w:hint="eastAsia" w:ascii="宋体" w:hAnsi="宋体" w:cs="宋体"/>
                <w:szCs w:val="21"/>
              </w:rPr>
            </w:pPr>
            <w:r>
              <w:rPr>
                <w:rFonts w:hint="eastAsia" w:ascii="宋体" w:hAnsi="宋体" w:cs="宋体"/>
                <w:szCs w:val="21"/>
              </w:rPr>
              <w:t>5、投标人具有省级及以上公安部门备案的信息系统安全等级保护备案三级及以上资质的，得2分；没有不得分。</w:t>
            </w:r>
          </w:p>
          <w:p>
            <w:pPr>
              <w:jc w:val="left"/>
              <w:rPr>
                <w:rFonts w:hint="eastAsia" w:ascii="宋体" w:hAnsi="宋体" w:cs="宋体"/>
                <w:szCs w:val="21"/>
              </w:rPr>
            </w:pPr>
            <w:r>
              <w:rPr>
                <w:rFonts w:hint="eastAsia" w:ascii="宋体" w:hAnsi="宋体" w:cs="宋体"/>
                <w:b/>
                <w:bCs/>
                <w:szCs w:val="21"/>
              </w:rPr>
              <w:t>注：以上证明资料投标文件中附复印件或扫描件。</w:t>
            </w:r>
          </w:p>
        </w:tc>
      </w:tr>
      <w:tr>
        <w:tblPrEx>
          <w:tblCellMar>
            <w:top w:w="0" w:type="dxa"/>
            <w:left w:w="108" w:type="dxa"/>
            <w:bottom w:w="0" w:type="dxa"/>
            <w:right w:w="108" w:type="dxa"/>
          </w:tblCellMar>
        </w:tblPrEx>
        <w:trPr>
          <w:trHeight w:val="903" w:hRule="atLeast"/>
        </w:trPr>
        <w:tc>
          <w:tcPr>
            <w:tcW w:w="1226" w:type="dxa"/>
            <w:vMerge w:val="continue"/>
            <w:tcBorders>
              <w:left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p>
        </w:tc>
        <w:tc>
          <w:tcPr>
            <w:tcW w:w="1350" w:type="dxa"/>
            <w:tcBorders>
              <w:top w:val="single" w:color="auto" w:sz="4" w:space="0"/>
              <w:left w:val="nil"/>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业绩</w:t>
            </w:r>
          </w:p>
          <w:p>
            <w:pPr>
              <w:tabs>
                <w:tab w:val="center" w:pos="685"/>
                <w:tab w:val="right" w:pos="1251"/>
              </w:tabs>
              <w:spacing w:line="360" w:lineRule="exact"/>
              <w:jc w:val="center"/>
              <w:rPr>
                <w:rFonts w:ascii="宋体" w:hAnsi="宋体" w:cs="宋体"/>
                <w:szCs w:val="21"/>
              </w:rPr>
            </w:pPr>
            <w:r>
              <w:rPr>
                <w:rFonts w:hint="eastAsia" w:ascii="宋体" w:hAnsi="宋体" w:cs="宋体"/>
                <w:szCs w:val="21"/>
              </w:rPr>
              <w:t>（2分）</w:t>
            </w:r>
          </w:p>
        </w:tc>
        <w:tc>
          <w:tcPr>
            <w:tcW w:w="648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szCs w:val="21"/>
              </w:rPr>
            </w:pPr>
            <w:r>
              <w:rPr>
                <w:rFonts w:hint="eastAsia" w:ascii="宋体" w:hAnsi="宋体" w:cs="宋体"/>
                <w:szCs w:val="21"/>
              </w:rPr>
              <w:t>投标人2018年以来签订具有类似政府采购项目业绩，合同要素齐全，合同额大于</w:t>
            </w:r>
            <w:r>
              <w:rPr>
                <w:rFonts w:hint="eastAsia" w:ascii="宋体" w:hAnsi="宋体" w:cs="宋体"/>
                <w:szCs w:val="21"/>
                <w:lang w:val="en-US" w:eastAsia="zh-CN"/>
              </w:rPr>
              <w:t>3</w:t>
            </w:r>
            <w:r>
              <w:rPr>
                <w:rFonts w:hint="eastAsia" w:ascii="宋体" w:hAnsi="宋体" w:cs="宋体"/>
                <w:szCs w:val="21"/>
              </w:rPr>
              <w:t>00万的每份得1分，最高得2分。（需提供中标公示截图、中标通知书、合同及验收单复印件。）</w:t>
            </w:r>
          </w:p>
        </w:tc>
      </w:tr>
      <w:tr>
        <w:tblPrEx>
          <w:tblCellMar>
            <w:top w:w="0" w:type="dxa"/>
            <w:left w:w="108" w:type="dxa"/>
            <w:bottom w:w="0" w:type="dxa"/>
            <w:right w:w="108" w:type="dxa"/>
          </w:tblCellMar>
        </w:tblPrEx>
        <w:trPr>
          <w:trHeight w:val="903" w:hRule="atLeast"/>
        </w:trPr>
        <w:tc>
          <w:tcPr>
            <w:tcW w:w="1226" w:type="dxa"/>
            <w:vMerge w:val="continue"/>
            <w:tcBorders>
              <w:left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p>
        </w:tc>
        <w:tc>
          <w:tcPr>
            <w:tcW w:w="1350" w:type="dxa"/>
            <w:tcBorders>
              <w:top w:val="single" w:color="auto" w:sz="4" w:space="0"/>
              <w:left w:val="nil"/>
              <w:right w:val="single" w:color="auto" w:sz="4" w:space="0"/>
            </w:tcBorders>
            <w:noWrap w:val="0"/>
            <w:vAlign w:val="center"/>
          </w:tcPr>
          <w:p>
            <w:pPr>
              <w:tabs>
                <w:tab w:val="center" w:pos="685"/>
                <w:tab w:val="right" w:pos="1251"/>
              </w:tabs>
              <w:spacing w:line="360" w:lineRule="exact"/>
              <w:jc w:val="center"/>
              <w:rPr>
                <w:rFonts w:ascii="宋体" w:hAnsi="宋体" w:cs="宋体"/>
                <w:szCs w:val="21"/>
              </w:rPr>
            </w:pPr>
            <w:r>
              <w:rPr>
                <w:rFonts w:hint="eastAsia" w:ascii="宋体" w:hAnsi="宋体" w:cs="宋体"/>
                <w:szCs w:val="21"/>
              </w:rPr>
              <w:t>产品证明文件（17分）</w:t>
            </w:r>
          </w:p>
        </w:tc>
        <w:tc>
          <w:tcPr>
            <w:tcW w:w="648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szCs w:val="21"/>
              </w:rPr>
            </w:pPr>
            <w:r>
              <w:rPr>
                <w:rFonts w:hint="eastAsia" w:ascii="宋体" w:hAnsi="宋体" w:cs="宋体"/>
                <w:szCs w:val="21"/>
              </w:rPr>
              <w:t>1、所投监控产品制造商中有获得工业和信息化部颁发的“制造业单项示范企业”证书、工业和信息化部及财政部公布的“国家技术创新示范企业”的，全部提供得2分，提供一份得1分，不提供得0分；</w:t>
            </w:r>
          </w:p>
          <w:p>
            <w:pPr>
              <w:spacing w:line="360" w:lineRule="exact"/>
              <w:rPr>
                <w:rFonts w:hint="eastAsia" w:ascii="宋体" w:hAnsi="宋体" w:cs="宋体"/>
                <w:szCs w:val="21"/>
              </w:rPr>
            </w:pPr>
            <w:r>
              <w:rPr>
                <w:rFonts w:hint="eastAsia" w:ascii="宋体" w:hAnsi="宋体" w:cs="宋体"/>
                <w:szCs w:val="21"/>
              </w:rPr>
              <w:t>2、所投监控产品制造商获得中国合格评定国家认可委员会颁发的实验室认可证书，提供得1分，不提供得0分；</w:t>
            </w:r>
          </w:p>
          <w:p>
            <w:pPr>
              <w:spacing w:line="360" w:lineRule="exact"/>
              <w:rPr>
                <w:rFonts w:hint="eastAsia" w:ascii="宋体" w:hAnsi="宋体" w:cs="宋体"/>
                <w:szCs w:val="21"/>
              </w:rPr>
            </w:pPr>
            <w:r>
              <w:rPr>
                <w:rFonts w:hint="eastAsia" w:ascii="宋体" w:hAnsi="宋体" w:cs="宋体"/>
                <w:szCs w:val="21"/>
              </w:rPr>
              <w:t>3、所投监控产品制造商取得强制性产品认证实验室资格，获得国家密码管理局颁发的商用密码产品生产订单单位证书，全部提供得2分，提供一份得1分，不提供得0分；</w:t>
            </w:r>
          </w:p>
          <w:p>
            <w:pPr>
              <w:spacing w:line="360" w:lineRule="exact"/>
              <w:rPr>
                <w:rFonts w:hint="eastAsia" w:ascii="宋体" w:hAnsi="宋体" w:cs="宋体"/>
                <w:szCs w:val="21"/>
              </w:rPr>
            </w:pPr>
            <w:r>
              <w:rPr>
                <w:rFonts w:hint="eastAsia" w:ascii="宋体" w:hAnsi="宋体" w:cs="宋体"/>
                <w:szCs w:val="21"/>
              </w:rPr>
              <w:t>4、所投监控产品制造商中具备较好的系统集成能力、系统服务能力、研发创新能力以及提供关键性技术支撑，企业具有国家级工程实验室（工程研究中心）的得3分，企业具有省级工程实验室（工程研究中心）的得2分，企业具有市级工程实验室（工程研究中心）的得1分。本项最高得3分，不提供得0分；</w:t>
            </w:r>
          </w:p>
          <w:p>
            <w:pPr>
              <w:spacing w:line="360" w:lineRule="exact"/>
              <w:rPr>
                <w:rFonts w:hint="eastAsia" w:ascii="宋体" w:hAnsi="宋体" w:cs="宋体"/>
                <w:szCs w:val="21"/>
              </w:rPr>
            </w:pPr>
            <w:r>
              <w:rPr>
                <w:rFonts w:hint="eastAsia" w:ascii="宋体" w:hAnsi="宋体" w:cs="宋体"/>
                <w:szCs w:val="21"/>
              </w:rPr>
              <w:t>5、所投监控产品制造商中的信息安全支撑能力进行评价，获得中国信息安全测评中心颁发的技术支撑单位等级证书，一级证书的得3分，二级证书的得2分，三级证书的得1分。本项最高得3分，不提供得0分；</w:t>
            </w:r>
          </w:p>
          <w:p>
            <w:pPr>
              <w:spacing w:line="360" w:lineRule="exact"/>
              <w:rPr>
                <w:rFonts w:hint="eastAsia" w:ascii="宋体" w:hAnsi="宋体" w:cs="宋体"/>
                <w:szCs w:val="21"/>
              </w:rPr>
            </w:pPr>
            <w:r>
              <w:rPr>
                <w:rFonts w:hint="eastAsia" w:ascii="宋体" w:hAnsi="宋体" w:cs="宋体"/>
                <w:szCs w:val="21"/>
              </w:rPr>
              <w:t>6、所投监控产品制造商的实力进行评价，获得国家级工商行政管理单位颁发的“守合同 重信用”企业资格的得2分，获得省级工商行政管理单位颁发的“守合同 重信用”企业资格的得1分。全部提供得3分，不提供得0分；</w:t>
            </w:r>
          </w:p>
          <w:p>
            <w:pPr>
              <w:spacing w:line="360" w:lineRule="exact"/>
              <w:rPr>
                <w:rFonts w:hint="eastAsia" w:ascii="宋体" w:hAnsi="宋体" w:cs="宋体"/>
                <w:szCs w:val="21"/>
              </w:rPr>
            </w:pPr>
            <w:r>
              <w:rPr>
                <w:rFonts w:hint="eastAsia" w:ascii="宋体" w:hAnsi="宋体" w:cs="宋体"/>
                <w:szCs w:val="21"/>
              </w:rPr>
              <w:t>7、所投对讲产品制造商具有近3年获得的中国安防十大民族品牌、中国安防十大新锐产品、中国节能环保产品的。全部提供得3分，提供一份得1分，不提供得0分；</w:t>
            </w:r>
          </w:p>
          <w:p>
            <w:pPr>
              <w:spacing w:line="360" w:lineRule="exact"/>
              <w:rPr>
                <w:rFonts w:hint="eastAsia" w:ascii="宋体" w:hAnsi="宋体" w:cs="宋体"/>
                <w:szCs w:val="21"/>
              </w:rPr>
            </w:pPr>
            <w:r>
              <w:rPr>
                <w:rFonts w:hint="eastAsia" w:ascii="宋体" w:hAnsi="宋体" w:cs="宋体"/>
                <w:szCs w:val="21"/>
              </w:rPr>
              <w:t>注：以上证明资料投标文件中附加盖厂商公章的扫描件</w:t>
            </w:r>
            <w:r>
              <w:rPr>
                <w:rFonts w:hint="eastAsia" w:ascii="宋体" w:hAnsi="宋体" w:cs="宋体"/>
                <w:szCs w:val="21"/>
                <w:lang w:eastAsia="zh-CN"/>
              </w:rPr>
              <w:t>，并提供制造商针对本项目的售后服务承诺书</w:t>
            </w:r>
            <w:r>
              <w:rPr>
                <w:rFonts w:hint="eastAsia" w:ascii="宋体" w:hAnsi="宋体" w:cs="宋体"/>
                <w:szCs w:val="21"/>
              </w:rPr>
              <w:t>的原件扫描件（未提供的此项分为0分）。</w:t>
            </w:r>
          </w:p>
        </w:tc>
      </w:tr>
      <w:tr>
        <w:tblPrEx>
          <w:tblCellMar>
            <w:top w:w="0" w:type="dxa"/>
            <w:left w:w="108" w:type="dxa"/>
            <w:bottom w:w="0" w:type="dxa"/>
            <w:right w:w="108" w:type="dxa"/>
          </w:tblCellMar>
        </w:tblPrEx>
        <w:trPr>
          <w:trHeight w:val="90" w:hRule="atLeast"/>
        </w:trPr>
        <w:tc>
          <w:tcPr>
            <w:tcW w:w="1226" w:type="dxa"/>
            <w:vMerge w:val="restart"/>
            <w:tcBorders>
              <w:top w:val="single" w:color="auto" w:sz="4" w:space="0"/>
              <w:left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技术部分</w:t>
            </w:r>
          </w:p>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（41分）</w:t>
            </w:r>
          </w:p>
        </w:tc>
        <w:tc>
          <w:tcPr>
            <w:tcW w:w="1350" w:type="dxa"/>
            <w:tcBorders>
              <w:top w:val="single" w:color="auto" w:sz="4" w:space="0"/>
              <w:left w:val="nil"/>
              <w:bottom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专业技术人员（5分）</w:t>
            </w:r>
          </w:p>
        </w:tc>
        <w:tc>
          <w:tcPr>
            <w:tcW w:w="648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szCs w:val="21"/>
              </w:rPr>
            </w:pPr>
            <w:r>
              <w:rPr>
                <w:rFonts w:hint="eastAsia" w:ascii="宋体" w:hAnsi="宋体" w:cs="宋体"/>
                <w:szCs w:val="21"/>
              </w:rPr>
              <w:t>拟派本项目主要技术人员具有全国计算机技术与软件专业技术资格（水平）高级信息系统项目管理师资格证书者得3分；中级系统集成项目管理工程师者得2分。最多得5分。（该项技术人员须为本单位人员，且连续5年及以上在本企业缴纳社保，没有不得分。需提供缴纳社保证明材料）</w:t>
            </w:r>
          </w:p>
          <w:p>
            <w:pPr>
              <w:jc w:val="left"/>
              <w:rPr>
                <w:rFonts w:hint="eastAsia"/>
              </w:rPr>
            </w:pPr>
            <w:r>
              <w:rPr>
                <w:rFonts w:hint="eastAsia" w:hAnsi="宋体" w:cs="宋体"/>
                <w:b/>
                <w:bCs/>
                <w:szCs w:val="21"/>
              </w:rPr>
              <w:t>注：</w:t>
            </w:r>
            <w:r>
              <w:rPr>
                <w:rFonts w:hint="eastAsia" w:ascii="宋体" w:hAnsi="宋体" w:cs="宋体"/>
                <w:b/>
                <w:bCs/>
                <w:szCs w:val="21"/>
              </w:rPr>
              <w:t>以上证明资料投标文件中附复印件或扫描件。</w:t>
            </w:r>
          </w:p>
        </w:tc>
      </w:tr>
      <w:tr>
        <w:tblPrEx>
          <w:tblCellMar>
            <w:top w:w="0" w:type="dxa"/>
            <w:left w:w="108" w:type="dxa"/>
            <w:bottom w:w="0" w:type="dxa"/>
            <w:right w:w="108" w:type="dxa"/>
          </w:tblCellMar>
        </w:tblPrEx>
        <w:trPr>
          <w:trHeight w:val="943" w:hRule="atLeast"/>
        </w:trPr>
        <w:tc>
          <w:tcPr>
            <w:tcW w:w="1226" w:type="dxa"/>
            <w:vMerge w:val="continue"/>
            <w:tcBorders>
              <w:left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p>
        </w:tc>
        <w:tc>
          <w:tcPr>
            <w:tcW w:w="1350" w:type="dxa"/>
            <w:tcBorders>
              <w:top w:val="single" w:color="auto" w:sz="4" w:space="0"/>
              <w:left w:val="nil"/>
              <w:bottom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highlight w:val="yellow"/>
              </w:rPr>
            </w:pPr>
            <w:r>
              <w:rPr>
                <w:rFonts w:hint="eastAsia" w:ascii="宋体" w:hAnsi="宋体" w:cs="宋体"/>
                <w:szCs w:val="21"/>
              </w:rPr>
              <w:t>技术参数（25分）</w:t>
            </w:r>
          </w:p>
        </w:tc>
        <w:tc>
          <w:tcPr>
            <w:tcW w:w="648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kern w:val="0"/>
                <w:szCs w:val="21"/>
              </w:rPr>
            </w:pPr>
            <w:r>
              <w:rPr>
                <w:rFonts w:hint="eastAsia" w:ascii="宋体" w:hAnsi="宋体" w:cs="宋体"/>
                <w:kern w:val="0"/>
                <w:szCs w:val="21"/>
              </w:rPr>
              <w:t>技术清单中加▲项需提供公安部权威检测机构出具的检测报告，每提供一项得0.5分 ，共计25分</w:t>
            </w:r>
          </w:p>
          <w:p>
            <w:pPr>
              <w:spacing w:line="360" w:lineRule="exact"/>
              <w:rPr>
                <w:rFonts w:hint="eastAsia" w:ascii="宋体" w:hAnsi="宋体" w:cs="宋体"/>
                <w:kern w:val="0"/>
                <w:szCs w:val="21"/>
              </w:rPr>
            </w:pPr>
            <w:r>
              <w:rPr>
                <w:rFonts w:hint="eastAsia" w:ascii="宋体" w:hAnsi="宋体" w:cs="宋体"/>
                <w:kern w:val="0"/>
                <w:szCs w:val="21"/>
                <w:lang w:val="en-US" w:eastAsia="zh-CN"/>
              </w:rPr>
              <w:t>注：以上证明资料投标文件中附加盖厂商公章的原件扫描件（未提供的此项分为0分）。</w:t>
            </w:r>
          </w:p>
        </w:tc>
      </w:tr>
      <w:tr>
        <w:tblPrEx>
          <w:tblCellMar>
            <w:top w:w="0" w:type="dxa"/>
            <w:left w:w="108" w:type="dxa"/>
            <w:bottom w:w="0" w:type="dxa"/>
            <w:right w:w="108" w:type="dxa"/>
          </w:tblCellMar>
        </w:tblPrEx>
        <w:trPr>
          <w:trHeight w:val="314" w:hRule="atLeast"/>
        </w:trPr>
        <w:tc>
          <w:tcPr>
            <w:tcW w:w="1226" w:type="dxa"/>
            <w:vMerge w:val="continue"/>
            <w:tcBorders>
              <w:left w:val="single" w:color="auto" w:sz="4" w:space="0"/>
              <w:bottom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p>
        </w:tc>
        <w:tc>
          <w:tcPr>
            <w:tcW w:w="1350" w:type="dxa"/>
            <w:tcBorders>
              <w:top w:val="single" w:color="auto" w:sz="4" w:space="0"/>
              <w:left w:val="nil"/>
              <w:bottom w:val="single" w:color="auto" w:sz="4" w:space="0"/>
              <w:right w:val="single" w:color="auto" w:sz="4" w:space="0"/>
            </w:tcBorders>
            <w:noWrap w:val="0"/>
            <w:vAlign w:val="center"/>
          </w:tcPr>
          <w:p>
            <w:pPr>
              <w:spacing w:line="340" w:lineRule="exact"/>
              <w:ind w:left="105" w:leftChars="50" w:right="105" w:rightChars="50"/>
              <w:jc w:val="center"/>
              <w:rPr>
                <w:rFonts w:hint="eastAsia" w:ascii="宋体" w:hAnsi="宋体" w:cs="宋体"/>
                <w:szCs w:val="21"/>
              </w:rPr>
            </w:pPr>
            <w:r>
              <w:rPr>
                <w:rFonts w:hint="eastAsia" w:ascii="宋体" w:hAnsi="宋体" w:cs="宋体"/>
                <w:szCs w:val="21"/>
              </w:rPr>
              <w:t>实施方案</w:t>
            </w:r>
          </w:p>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（5）</w:t>
            </w:r>
          </w:p>
        </w:tc>
        <w:tc>
          <w:tcPr>
            <w:tcW w:w="648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kern w:val="0"/>
                <w:szCs w:val="21"/>
              </w:rPr>
            </w:pPr>
            <w:r>
              <w:rPr>
                <w:rFonts w:hint="eastAsia" w:ascii="宋体" w:hAnsi="宋体" w:cs="宋体"/>
                <w:kern w:val="0"/>
                <w:szCs w:val="21"/>
              </w:rPr>
              <w:t>根据投标人提供的实施方案精细程度进行打分，方案中至少包括企业优势、技术人员介绍、需求理解响应情况、工期计划、项目管理与质量控制、安全措施等。优秀得5分，良好得3分，一般得1分。</w:t>
            </w:r>
          </w:p>
        </w:tc>
      </w:tr>
      <w:tr>
        <w:tblPrEx>
          <w:tblCellMar>
            <w:top w:w="0" w:type="dxa"/>
            <w:left w:w="108" w:type="dxa"/>
            <w:bottom w:w="0" w:type="dxa"/>
            <w:right w:w="108" w:type="dxa"/>
          </w:tblCellMar>
        </w:tblPrEx>
        <w:trPr>
          <w:trHeight w:val="314" w:hRule="atLeast"/>
        </w:trPr>
        <w:tc>
          <w:tcPr>
            <w:tcW w:w="1226" w:type="dxa"/>
            <w:vMerge w:val="continue"/>
            <w:tcBorders>
              <w:left w:val="single" w:color="auto" w:sz="4" w:space="0"/>
              <w:bottom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p>
        </w:tc>
        <w:tc>
          <w:tcPr>
            <w:tcW w:w="1350" w:type="dxa"/>
            <w:tcBorders>
              <w:top w:val="single" w:color="auto" w:sz="4" w:space="0"/>
              <w:left w:val="nil"/>
              <w:bottom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售后服务及培训（6分）</w:t>
            </w:r>
          </w:p>
        </w:tc>
        <w:tc>
          <w:tcPr>
            <w:tcW w:w="648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szCs w:val="21"/>
              </w:rPr>
            </w:pPr>
            <w:r>
              <w:rPr>
                <w:rFonts w:hint="eastAsia" w:ascii="宋体" w:hAnsi="宋体" w:cs="宋体"/>
                <w:szCs w:val="21"/>
              </w:rPr>
              <w:t>1、根据投标人是否响应招标文件中要求的问题响应时间、形式、维修时间及生产厂家提供的售后承诺，由评委根据各投标人差异横向对比酌情评分；优秀得3分，良好得2分，一般得1分。</w:t>
            </w:r>
          </w:p>
          <w:p>
            <w:pPr>
              <w:spacing w:line="360" w:lineRule="exact"/>
              <w:rPr>
                <w:rFonts w:hint="eastAsia" w:ascii="宋体" w:hAnsi="宋体" w:cs="宋体"/>
                <w:szCs w:val="21"/>
              </w:rPr>
            </w:pPr>
            <w:r>
              <w:rPr>
                <w:rFonts w:hint="eastAsia" w:ascii="宋体" w:hAnsi="宋体" w:cs="宋体"/>
                <w:szCs w:val="21"/>
              </w:rPr>
              <w:t>2、具有详细的培训方案、培训方式有效（包含培训地点、人员、课程体系、培训方式等内容），由评委根据各投标人差异横向对比酌情评分保证措施；优秀得3分，良好得2分，一般得1分。</w:t>
            </w:r>
          </w:p>
        </w:tc>
      </w:tr>
    </w:tbl>
    <w:p>
      <w:pPr>
        <w:spacing w:line="360" w:lineRule="auto"/>
        <w:ind w:firstLine="211" w:firstLineChars="1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tc>
        <w:tc>
          <w:tcPr>
            <w:tcW w:w="2835" w:type="dxa"/>
            <w:vMerge w:val="restart"/>
            <w:shd w:val="clear" w:color="auto" w:fill="auto"/>
            <w:vAlign w:val="center"/>
          </w:tcPr>
          <w:p>
            <w:pPr>
              <w:jc w:val="center"/>
              <w:rPr>
                <w:rFonts w:ascii="宋体" w:hAnsi="宋体"/>
                <w:b/>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823"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lang w:val="en-GB"/>
              </w:rPr>
            </w:pPr>
            <w:r>
              <w:rPr>
                <w:rFonts w:hint="eastAsia"/>
                <w:color w:val="auto"/>
                <w:szCs w:val="21"/>
                <w:lang w:val="en-GB"/>
              </w:rPr>
              <w:t>评标价格＝投标报价—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经评标委员会</w:t>
            </w:r>
            <w:r>
              <w:rPr>
                <w:rFonts w:hint="eastAsia" w:cs="仿宋_GB2312" w:asciiTheme="minorEastAsia" w:hAnsiTheme="minorEastAsia"/>
                <w:color w:val="auto"/>
                <w:szCs w:val="21"/>
                <w:lang w:val="zh-CN"/>
              </w:rPr>
              <w:t>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投标文件符合</w:t>
            </w:r>
            <w:r>
              <w:rPr>
                <w:rFonts w:cs="仿宋_GB2312" w:asciiTheme="minorEastAsia" w:hAnsiTheme="minorEastAsia"/>
                <w:color w:val="auto"/>
                <w:szCs w:val="21"/>
                <w:lang w:val="zh-CN"/>
              </w:rPr>
              <w:t>招标文件</w:t>
            </w:r>
            <w:r>
              <w:rPr>
                <w:rFonts w:hint="eastAsia" w:cs="仿宋_GB2312" w:asciiTheme="minorEastAsia" w:hAnsiTheme="minorEastAsia"/>
                <w:color w:val="auto"/>
                <w:szCs w:val="21"/>
                <w:lang w:val="zh-CN"/>
              </w:rPr>
              <w:t>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评标价格的</w:t>
            </w:r>
            <w:r>
              <w:rPr>
                <w:rFonts w:cs="仿宋_GB2312" w:asciiTheme="minorEastAsia" w:hAnsiTheme="minorEastAsia"/>
                <w:color w:val="auto"/>
                <w:szCs w:val="21"/>
                <w:lang w:val="zh-CN"/>
              </w:rPr>
              <w:t>最低价者定为评标基准价，其价格分为满分。其他投标人的价格分统一按下列公式</w:t>
            </w:r>
            <w:r>
              <w:rPr>
                <w:rFonts w:hint="eastAsia" w:cs="仿宋_GB2312" w:asciiTheme="minorEastAsia" w:hAnsiTheme="minorEastAsia"/>
                <w:color w:val="auto"/>
                <w:szCs w:val="21"/>
                <w:lang w:val="zh-CN"/>
              </w:rPr>
              <w:t>计算</w:t>
            </w:r>
            <w:r>
              <w:rPr>
                <w:rFonts w:cs="仿宋_GB2312" w:asciiTheme="minorEastAsia" w:hAnsiTheme="minorEastAsia"/>
                <w:color w:val="auto"/>
                <w:szCs w:val="21"/>
                <w:lang w:val="zh-CN"/>
              </w:rPr>
              <w:t>。即：</w:t>
            </w:r>
          </w:p>
          <w:p>
            <w:pPr>
              <w:widowControl/>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其他投标报价得分</w:t>
            </w:r>
            <w:r>
              <w:rPr>
                <w:rFonts w:hint="eastAsia" w:cs="仿宋_GB2312" w:asciiTheme="minorEastAsia" w:hAnsiTheme="minorEastAsia"/>
                <w:color w:val="auto"/>
                <w:szCs w:val="21"/>
                <w:lang w:val="zh-CN"/>
              </w:rPr>
              <w:t>=（</w:t>
            </w: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8"/>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color w:val="auto"/>
          <w:szCs w:val="21"/>
          <w:lang w:val="zh-CN"/>
        </w:rPr>
        <w:t>。</w:t>
      </w:r>
    </w:p>
    <w:p>
      <w:pPr>
        <w:adjustRightInd w:val="0"/>
        <w:snapToGrid w:val="0"/>
        <w:spacing w:line="360" w:lineRule="auto"/>
        <w:ind w:firstLine="420" w:firstLineChars="200"/>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spacing w:line="360" w:lineRule="auto"/>
        <w:jc w:val="center"/>
        <w:rPr>
          <w:rFonts w:ascii="宋体" w:hAnsi="宋体" w:cs="微软雅黑"/>
          <w:b/>
          <w:bCs/>
          <w:szCs w:val="21"/>
        </w:rPr>
      </w:pPr>
      <w:bookmarkStart w:id="4" w:name="_Toc184023138"/>
      <w:bookmarkStart w:id="5" w:name="_Toc174185203"/>
      <w:bookmarkStart w:id="6" w:name="_Toc186274126"/>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w:t>
      </w:r>
      <w:r>
        <w:rPr>
          <w:rFonts w:hint="eastAsia" w:asciiTheme="minorEastAsia" w:hAnsiTheme="minorEastAsia" w:eastAsiaTheme="minorEastAsia" w:cstheme="minorEastAsia"/>
          <w:color w:val="000000"/>
          <w:sz w:val="21"/>
          <w:szCs w:val="21"/>
          <w:u w:val="single"/>
        </w:rPr>
        <w:t>（采购人全称）</w:t>
      </w:r>
    </w:p>
    <w:p>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w:t>
      </w:r>
      <w:r>
        <w:rPr>
          <w:rFonts w:hint="eastAsia" w:asciiTheme="minorEastAsia" w:hAnsiTheme="minorEastAsia" w:eastAsiaTheme="minorEastAsia" w:cstheme="minorEastAsia"/>
          <w:color w:val="000000"/>
          <w:sz w:val="21"/>
          <w:szCs w:val="21"/>
          <w:u w:val="single"/>
        </w:rPr>
        <w:t>（中标人全称）</w:t>
      </w:r>
    </w:p>
    <w:p>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根据招标编号为</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的</w:t>
      </w:r>
      <w:r>
        <w:rPr>
          <w:rFonts w:hint="eastAsia" w:asciiTheme="minorEastAsia" w:hAnsiTheme="minorEastAsia" w:eastAsiaTheme="minorEastAsia" w:cstheme="minorEastAsia"/>
          <w:color w:val="000000"/>
          <w:sz w:val="21"/>
          <w:szCs w:val="21"/>
          <w:u w:val="single"/>
        </w:rPr>
        <w:t>（填写“项目名称”）</w:t>
      </w:r>
      <w:r>
        <w:rPr>
          <w:rFonts w:hint="eastAsia" w:asciiTheme="minorEastAsia" w:hAnsiTheme="minorEastAsia" w:eastAsiaTheme="minorEastAsia" w:cstheme="minorEastAsia"/>
          <w:color w:val="000000"/>
          <w:sz w:val="21"/>
          <w:szCs w:val="21"/>
        </w:rPr>
        <w:t>项目（以下简称：“本项目”）的招标结果，乙方为中标人。现经甲乙双方友好协商，就以下事项达成一致并签订本合同：</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1、下列合同文件是构成本合同不可分割的部分：</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1.1合同条款；</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1.2招标文件、乙方的投标文件；</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1.3其他文件或材料：□无。□</w:t>
      </w:r>
      <w:r>
        <w:rPr>
          <w:rFonts w:hint="eastAsia" w:asciiTheme="minorEastAsia" w:hAnsiTheme="minorEastAsia" w:eastAsiaTheme="minorEastAsia" w:cstheme="minorEastAsia"/>
          <w:color w:val="000000"/>
          <w:sz w:val="21"/>
          <w:szCs w:val="21"/>
          <w:u w:val="single"/>
        </w:rPr>
        <w:t>（按照实际情况编制填写需要增加的内容）</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2、合同标的</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3、合同总金额</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3.1合同总金额为人民币大写：</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元（￥</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4、合同标的交付时间、地点和条件</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4.1交付时间：</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4.2交付地点：</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4.3交付条件：</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5、合同标的应符合招标文件、乙方投标文件的规定或约定，具体如下：</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6、验收</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6.1验收应按照招标文件、乙方投标文件的规定或约定进行，具体如下：</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6.2本项目是否邀请其他投标人参与验收：</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sym w:font="Wingdings 2" w:char="0052"/>
      </w:r>
      <w:r>
        <w:rPr>
          <w:rFonts w:hint="eastAsia" w:asciiTheme="minorEastAsia" w:hAnsiTheme="minorEastAsia" w:eastAsiaTheme="minorEastAsia" w:cstheme="minorEastAsia"/>
          <w:color w:val="000000"/>
          <w:sz w:val="21"/>
          <w:szCs w:val="21"/>
        </w:rPr>
        <w:t>不邀请。□邀请，具体如下：</w:t>
      </w:r>
      <w:r>
        <w:rPr>
          <w:rFonts w:hint="eastAsia" w:asciiTheme="minorEastAsia" w:hAnsiTheme="minorEastAsia" w:eastAsiaTheme="minorEastAsia" w:cstheme="minorEastAsia"/>
          <w:color w:val="000000"/>
          <w:sz w:val="21"/>
          <w:szCs w:val="21"/>
          <w:u w:val="single"/>
        </w:rPr>
        <w:t>（按照招标文件规定填写）</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7、合同款项的支付应按照招标文件的规定进行，具体如下：</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（按照实际情况编制填写，可以是表格或文字描述，包括一次性支付或分期支付等）</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8、履约保证金</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sym w:font="Wingdings 2" w:char="0052"/>
      </w:r>
      <w:r>
        <w:rPr>
          <w:rFonts w:hint="eastAsia" w:asciiTheme="minorEastAsia" w:hAnsiTheme="minorEastAsia" w:eastAsiaTheme="minorEastAsia" w:cstheme="minorEastAsia"/>
          <w:color w:val="000000"/>
          <w:sz w:val="21"/>
          <w:szCs w:val="21"/>
        </w:rPr>
        <w:t>无。□有，具体如下：</w:t>
      </w:r>
      <w:r>
        <w:rPr>
          <w:rFonts w:hint="eastAsia" w:asciiTheme="minorEastAsia" w:hAnsiTheme="minorEastAsia" w:eastAsiaTheme="minorEastAsia" w:cstheme="minorEastAsia"/>
          <w:color w:val="000000"/>
          <w:sz w:val="21"/>
          <w:szCs w:val="21"/>
          <w:u w:val="single"/>
        </w:rPr>
        <w:t>（按照招标文件规定填写）</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9、合同有效期</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10、违约责任</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11、知识产权</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12、解决争议的方法</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12.1甲、乙双方协商解决。</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12.2若协商解决不成，则通过下列途径之一解决：</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□提交仲裁委员会仲裁，具体如下：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□向人民法院提起诉讼，具体如下：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13、不可抗力</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14、合同条款</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15、其他约定</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15.1合同文件与本合同具有同等法律效力。</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15.2本合同未尽事宜，双方可另行补充。</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15.3合同生效：自签订之日起生效。</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15.4本合同一式</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份，经双方授权代表签字并盖章后生效。甲方、乙方各执</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份，送</w:t>
      </w:r>
      <w:r>
        <w:rPr>
          <w:rFonts w:hint="eastAsia" w:asciiTheme="minorEastAsia" w:hAnsiTheme="minorEastAsia" w:eastAsiaTheme="minorEastAsia" w:cstheme="minorEastAsia"/>
          <w:color w:val="000000"/>
          <w:sz w:val="21"/>
          <w:szCs w:val="21"/>
          <w:u w:val="single"/>
        </w:rPr>
        <w:t>（填写需要备案的监管部门的全称）</w:t>
      </w:r>
      <w:r>
        <w:rPr>
          <w:rFonts w:hint="eastAsia" w:asciiTheme="minorEastAsia" w:hAnsiTheme="minorEastAsia" w:eastAsiaTheme="minorEastAsia" w:cstheme="minorEastAsia"/>
          <w:color w:val="000000"/>
          <w:sz w:val="21"/>
          <w:szCs w:val="21"/>
        </w:rPr>
        <w:t>备案</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份，具有同等效力。</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15.5其他：□无。□</w:t>
      </w:r>
      <w:r>
        <w:rPr>
          <w:rFonts w:hint="eastAsia" w:asciiTheme="minorEastAsia" w:hAnsiTheme="minorEastAsia" w:eastAsiaTheme="minorEastAsia" w:cstheme="minorEastAsia"/>
          <w:color w:val="000000"/>
          <w:sz w:val="21"/>
          <w:szCs w:val="21"/>
          <w:u w:val="single"/>
        </w:rPr>
        <w:t>（按照实际情况编制填写需要增加的内容）</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                        乙方：</w:t>
      </w:r>
    </w:p>
    <w:p>
      <w:pPr>
        <w:pStyle w:val="25"/>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住所：                        住所：</w:t>
      </w:r>
    </w:p>
    <w:p>
      <w:pPr>
        <w:pStyle w:val="25"/>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法定代表人（单位负责人）：                法定代表人（单位负责人）：</w:t>
      </w:r>
    </w:p>
    <w:p>
      <w:pPr>
        <w:pStyle w:val="25"/>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联系方法：                      联系方法：</w:t>
      </w:r>
    </w:p>
    <w:p>
      <w:pPr>
        <w:pStyle w:val="25"/>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                      开户银行：</w:t>
      </w:r>
    </w:p>
    <w:p>
      <w:pPr>
        <w:pStyle w:val="25"/>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账号：                        账号：</w:t>
      </w:r>
    </w:p>
    <w:p>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签订地点：</w:t>
      </w:r>
      <w:r>
        <w:rPr>
          <w:rFonts w:hint="eastAsia" w:asciiTheme="minorEastAsia" w:hAnsiTheme="minorEastAsia" w:eastAsiaTheme="minorEastAsia" w:cstheme="minorEastAsia"/>
          <w:color w:val="000000"/>
          <w:sz w:val="21"/>
          <w:szCs w:val="21"/>
          <w:u w:val="single"/>
        </w:rPr>
        <w:t>                </w:t>
      </w:r>
    </w:p>
    <w:p>
      <w:pPr>
        <w:pStyle w:val="25"/>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签订日期：</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日</w:t>
      </w:r>
    </w:p>
    <w:p>
      <w:pPr>
        <w:tabs>
          <w:tab w:val="left" w:pos="360"/>
        </w:tabs>
        <w:rPr>
          <w:rFonts w:hint="eastAsia" w:ascii="宋体" w:hAnsi="宋体" w:eastAsia="宋体" w:cs="宋体"/>
          <w:b/>
          <w:color w:val="auto"/>
          <w:kern w:val="0"/>
          <w:sz w:val="24"/>
          <w:szCs w:val="24"/>
        </w:rPr>
      </w:pPr>
    </w:p>
    <w:p>
      <w:pPr>
        <w:pStyle w:val="2"/>
        <w:rPr>
          <w:rFonts w:hint="eastAsia" w:ascii="宋体" w:hAnsi="宋体" w:eastAsia="宋体" w:cs="宋体"/>
          <w:b/>
          <w:color w:val="auto"/>
          <w:kern w:val="0"/>
          <w:sz w:val="24"/>
          <w:szCs w:val="24"/>
        </w:rPr>
      </w:pPr>
    </w:p>
    <w:p>
      <w:pPr>
        <w:pStyle w:val="5"/>
        <w:rPr>
          <w:rFonts w:hint="eastAsia" w:ascii="宋体" w:hAnsi="宋体" w:eastAsia="宋体" w:cs="宋体"/>
          <w:b/>
          <w:color w:val="auto"/>
          <w:kern w:val="0"/>
          <w:sz w:val="24"/>
          <w:szCs w:val="24"/>
        </w:rPr>
      </w:pPr>
    </w:p>
    <w:p>
      <w:pPr>
        <w:pStyle w:val="5"/>
        <w:rPr>
          <w:rFonts w:hint="eastAsia" w:ascii="宋体" w:hAnsi="宋体" w:eastAsia="宋体" w:cs="宋体"/>
          <w:b/>
          <w:color w:val="auto"/>
          <w:kern w:val="0"/>
          <w:sz w:val="24"/>
          <w:szCs w:val="24"/>
        </w:rPr>
      </w:pPr>
    </w:p>
    <w:p>
      <w:pPr>
        <w:pStyle w:val="5"/>
        <w:rPr>
          <w:rFonts w:hint="eastAsia" w:ascii="宋体" w:hAnsi="宋体" w:eastAsia="宋体" w:cs="宋体"/>
          <w:b/>
          <w:color w:val="auto"/>
          <w:kern w:val="0"/>
          <w:sz w:val="24"/>
          <w:szCs w:val="24"/>
        </w:rPr>
      </w:pPr>
    </w:p>
    <w:p>
      <w:pPr>
        <w:tabs>
          <w:tab w:val="left" w:pos="360"/>
        </w:tabs>
        <w:jc w:val="center"/>
        <w:rPr>
          <w:rFonts w:hint="eastAsia" w:cs="宋体" w:asciiTheme="majorEastAsia" w:hAnsiTheme="majorEastAsia" w:eastAsiaTheme="majorEastAsia"/>
          <w:b/>
          <w:color w:val="auto"/>
          <w:kern w:val="0"/>
          <w:sz w:val="32"/>
          <w:szCs w:val="32"/>
        </w:rPr>
      </w:pPr>
    </w:p>
    <w:p>
      <w:pPr>
        <w:tabs>
          <w:tab w:val="left" w:pos="360"/>
        </w:tabs>
        <w:jc w:val="center"/>
        <w:rPr>
          <w:rFonts w:hint="eastAsia" w:cs="宋体" w:asciiTheme="majorEastAsia" w:hAnsiTheme="majorEastAsia" w:eastAsiaTheme="majorEastAsia"/>
          <w:b/>
          <w:color w:val="auto"/>
          <w:kern w:val="0"/>
          <w:sz w:val="32"/>
          <w:szCs w:val="32"/>
        </w:rPr>
      </w:pPr>
    </w:p>
    <w:p>
      <w:pPr>
        <w:tabs>
          <w:tab w:val="left" w:pos="360"/>
        </w:tabs>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 投标文件有关格式</w:t>
      </w:r>
    </w:p>
    <w:p>
      <w:pPr>
        <w:tabs>
          <w:tab w:val="left" w:pos="360"/>
        </w:tabs>
        <w:rPr>
          <w:rFonts w:hint="eastAsia" w:ascii="宋体" w:hAnsi="宋体" w:eastAsia="宋体" w:cs="宋体"/>
          <w:b/>
          <w:color w:val="auto"/>
          <w:kern w:val="0"/>
          <w:sz w:val="24"/>
          <w:szCs w:val="24"/>
        </w:rPr>
      </w:pPr>
    </w:p>
    <w:p>
      <w:pPr>
        <w:tabs>
          <w:tab w:val="left" w:pos="360"/>
        </w:tabs>
        <w:rPr>
          <w:rFonts w:ascii="宋体" w:hAnsi="宋体" w:eastAsia="宋体" w:cs="宋体"/>
          <w:b/>
          <w:color w:val="auto"/>
          <w:sz w:val="52"/>
          <w:szCs w:val="52"/>
        </w:rPr>
      </w:pPr>
      <w:r>
        <w:rPr>
          <w:rFonts w:hint="eastAsia" w:ascii="宋体" w:hAnsi="宋体" w:eastAsia="宋体" w:cs="宋体"/>
          <w:b/>
          <w:color w:val="auto"/>
          <w:kern w:val="0"/>
          <w:sz w:val="24"/>
          <w:szCs w:val="24"/>
        </w:rPr>
        <w:t>注：请投标人务必根据招标文件要求修改此封面。</w:t>
      </w:r>
    </w:p>
    <w:p>
      <w:pPr>
        <w:tabs>
          <w:tab w:val="left" w:pos="360"/>
        </w:tabs>
        <w:jc w:val="center"/>
        <w:rPr>
          <w:rFonts w:ascii="宋体" w:hAnsi="宋体" w:eastAsia="宋体" w:cs="宋体"/>
          <w:b/>
          <w:color w:val="auto"/>
          <w:sz w:val="52"/>
          <w:szCs w:val="52"/>
        </w:rPr>
      </w:pPr>
    </w:p>
    <w:p>
      <w:pPr>
        <w:tabs>
          <w:tab w:val="left" w:pos="360"/>
        </w:tabs>
        <w:jc w:val="center"/>
        <w:rPr>
          <w:rFonts w:ascii="宋体" w:hAnsi="宋体" w:eastAsia="宋体" w:cs="宋体"/>
          <w:b/>
          <w:color w:val="auto"/>
          <w:w w:val="66"/>
          <w:sz w:val="52"/>
          <w:szCs w:val="52"/>
        </w:rPr>
      </w:pPr>
      <w:r>
        <w:rPr>
          <w:rFonts w:hint="eastAsia" w:ascii="宋体" w:hAnsi="宋体" w:eastAsia="宋体" w:cs="宋体"/>
          <w:b/>
          <w:color w:val="auto"/>
          <w:sz w:val="52"/>
          <w:szCs w:val="52"/>
        </w:rPr>
        <w:t>xxxxx项目</w:t>
      </w:r>
    </w:p>
    <w:p>
      <w:pPr>
        <w:tabs>
          <w:tab w:val="left" w:pos="55"/>
        </w:tabs>
        <w:jc w:val="left"/>
        <w:rPr>
          <w:b/>
          <w:color w:val="auto"/>
          <w:w w:val="150"/>
          <w:sz w:val="48"/>
          <w:szCs w:val="48"/>
        </w:rPr>
      </w:pPr>
      <w:r>
        <w:rPr>
          <w:rFonts w:ascii="Calibri" w:hAnsi="Calibri" w:eastAsia="宋体" w:cs="Times New Roman"/>
          <w:b/>
          <w:color w:val="auto"/>
          <w:w w:val="150"/>
          <w:sz w:val="84"/>
        </w:rPr>
        <w:tab/>
      </w:r>
    </w:p>
    <w:p>
      <w:pPr>
        <w:tabs>
          <w:tab w:val="left" w:pos="1950"/>
        </w:tabs>
        <w:jc w:val="left"/>
        <w:rPr>
          <w:b/>
          <w:color w:val="auto"/>
          <w:w w:val="150"/>
          <w:sz w:val="48"/>
          <w:szCs w:val="48"/>
        </w:rPr>
      </w:pPr>
    </w:p>
    <w:p>
      <w:pPr>
        <w:tabs>
          <w:tab w:val="left" w:pos="1950"/>
        </w:tabs>
        <w:jc w:val="left"/>
        <w:rPr>
          <w:b/>
          <w:color w:val="auto"/>
          <w:w w:val="150"/>
          <w:sz w:val="48"/>
          <w:szCs w:val="48"/>
        </w:rPr>
      </w:pPr>
    </w:p>
    <w:p>
      <w:pPr>
        <w:jc w:val="center"/>
        <w:rPr>
          <w:rFonts w:ascii="宋体" w:hAnsi="宋体" w:eastAsia="宋体" w:cs="宋体"/>
          <w:b/>
          <w:color w:val="auto"/>
          <w:sz w:val="84"/>
          <w:szCs w:val="84"/>
        </w:rPr>
      </w:pPr>
      <w:r>
        <w:rPr>
          <w:rFonts w:hint="eastAsia" w:ascii="宋体" w:hAnsi="宋体" w:eastAsia="宋体" w:cs="宋体"/>
          <w:b/>
          <w:color w:val="auto"/>
          <w:sz w:val="84"/>
          <w:szCs w:val="84"/>
        </w:rPr>
        <w:t>投标文件</w:t>
      </w:r>
    </w:p>
    <w:p>
      <w:pPr>
        <w:spacing w:line="480" w:lineRule="exact"/>
        <w:jc w:val="center"/>
        <w:rPr>
          <w:rFonts w:ascii="宋体" w:hAnsi="宋体" w:eastAsia="宋体" w:cs="宋体"/>
          <w:b/>
          <w:color w:val="auto"/>
          <w:sz w:val="52"/>
          <w:szCs w:val="52"/>
        </w:rPr>
      </w:pPr>
    </w:p>
    <w:p>
      <w:pPr>
        <w:spacing w:line="360" w:lineRule="auto"/>
        <w:rPr>
          <w:rFonts w:ascii="仿宋" w:hAnsi="仿宋" w:eastAsia="仿宋" w:cs="仿宋"/>
          <w:b/>
          <w:color w:val="auto"/>
          <w:szCs w:val="21"/>
        </w:rPr>
      </w:pPr>
    </w:p>
    <w:p>
      <w:pPr>
        <w:spacing w:line="360" w:lineRule="auto"/>
        <w:jc w:val="center"/>
        <w:rPr>
          <w:rFonts w:ascii="仿宋" w:hAnsi="仿宋" w:eastAsia="仿宋" w:cs="仿宋"/>
          <w:b/>
          <w:color w:val="auto"/>
          <w:szCs w:val="21"/>
        </w:rPr>
      </w:pPr>
    </w:p>
    <w:p>
      <w:pPr>
        <w:spacing w:line="360" w:lineRule="auto"/>
        <w:jc w:val="center"/>
        <w:rPr>
          <w:rFonts w:ascii="仿宋" w:hAnsi="仿宋" w:eastAsia="仿宋" w:cs="仿宋"/>
          <w:b/>
          <w:color w:val="auto"/>
          <w:szCs w:val="21"/>
        </w:rPr>
      </w:pPr>
    </w:p>
    <w:p>
      <w:pPr>
        <w:spacing w:line="360" w:lineRule="auto"/>
        <w:rPr>
          <w:rFonts w:ascii="仿宋" w:hAnsi="仿宋" w:eastAsia="仿宋" w:cs="仿宋"/>
          <w:b/>
          <w:color w:val="auto"/>
          <w:szCs w:val="21"/>
        </w:rPr>
      </w:pPr>
    </w:p>
    <w:p>
      <w:pPr>
        <w:spacing w:line="360" w:lineRule="auto"/>
        <w:jc w:val="center"/>
        <w:rPr>
          <w:rFonts w:ascii="宋体" w:hAnsi="宋体" w:eastAsia="宋体" w:cs="宋体"/>
          <w:b/>
          <w:color w:val="auto"/>
          <w:sz w:val="32"/>
        </w:rPr>
      </w:pPr>
    </w:p>
    <w:p>
      <w:pPr>
        <w:tabs>
          <w:tab w:val="left" w:pos="360"/>
        </w:tabs>
        <w:rPr>
          <w:rFonts w:ascii="宋体" w:hAnsi="宋体" w:eastAsia="宋体" w:cs="宋体"/>
          <w:b/>
          <w:color w:val="auto"/>
          <w:sz w:val="36"/>
          <w:szCs w:val="36"/>
        </w:rPr>
      </w:pPr>
    </w:p>
    <w:p>
      <w:pPr>
        <w:tabs>
          <w:tab w:val="left" w:pos="360"/>
        </w:tabs>
        <w:ind w:firstLine="1807" w:firstLineChars="500"/>
        <w:rPr>
          <w:rFonts w:ascii="宋体" w:hAnsi="宋体" w:eastAsia="宋体" w:cs="宋体"/>
          <w:b/>
          <w:color w:val="auto"/>
          <w:sz w:val="36"/>
          <w:szCs w:val="36"/>
        </w:rPr>
      </w:pPr>
      <w:r>
        <w:rPr>
          <w:rFonts w:hint="eastAsia" w:ascii="宋体" w:hAnsi="宋体" w:eastAsia="宋体" w:cs="宋体"/>
          <w:b/>
          <w:color w:val="auto"/>
          <w:sz w:val="36"/>
          <w:szCs w:val="36"/>
        </w:rPr>
        <w:t>招 标 编号：</w:t>
      </w:r>
    </w:p>
    <w:p>
      <w:pPr>
        <w:tabs>
          <w:tab w:val="left" w:pos="360"/>
        </w:tabs>
        <w:ind w:firstLine="1807" w:firstLineChars="500"/>
        <w:rPr>
          <w:rFonts w:ascii="宋体" w:hAnsi="宋体" w:eastAsia="宋体" w:cs="宋体"/>
          <w:b/>
          <w:color w:val="auto"/>
          <w:sz w:val="36"/>
          <w:szCs w:val="36"/>
        </w:rPr>
      </w:pPr>
      <w:r>
        <w:rPr>
          <w:rFonts w:hint="eastAsia" w:ascii="宋体" w:hAnsi="宋体" w:eastAsia="宋体" w:cs="宋体"/>
          <w:b/>
          <w:color w:val="auto"/>
          <w:sz w:val="36"/>
          <w:szCs w:val="36"/>
        </w:rPr>
        <w:t xml:space="preserve">投  标  人： </w:t>
      </w:r>
    </w:p>
    <w:p>
      <w:pPr>
        <w:tabs>
          <w:tab w:val="left" w:pos="360"/>
        </w:tabs>
        <w:ind w:firstLine="1807" w:firstLineChars="500"/>
        <w:rPr>
          <w:rFonts w:ascii="宋体" w:hAnsi="宋体" w:eastAsia="宋体" w:cs="宋体"/>
          <w:b/>
          <w:color w:val="auto"/>
          <w:sz w:val="36"/>
          <w:szCs w:val="36"/>
        </w:rPr>
      </w:pPr>
      <w:r>
        <w:rPr>
          <w:rFonts w:hint="eastAsia" w:ascii="宋体" w:hAnsi="宋体" w:eastAsia="宋体" w:cs="宋体"/>
          <w:b/>
          <w:color w:val="auto"/>
          <w:sz w:val="36"/>
          <w:szCs w:val="36"/>
        </w:rPr>
        <w:t xml:space="preserve">时      间：  </w:t>
      </w:r>
    </w:p>
    <w:p>
      <w:pPr>
        <w:tabs>
          <w:tab w:val="left" w:pos="360"/>
        </w:tabs>
        <w:jc w:val="left"/>
        <w:rPr>
          <w:rFonts w:ascii="宋体" w:hAnsi="宋体" w:eastAsia="宋体" w:cs="宋体"/>
          <w:b/>
          <w:color w:val="auto"/>
          <w:kern w:val="0"/>
          <w:sz w:val="24"/>
          <w:szCs w:val="24"/>
        </w:rPr>
      </w:pPr>
    </w:p>
    <w:bookmarkEnd w:id="4"/>
    <w:bookmarkEnd w:id="5"/>
    <w:bookmarkEnd w:id="6"/>
    <w:p>
      <w:pPr>
        <w:pStyle w:val="5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8"/>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8"/>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8"/>
              <w:kinsoku w:val="0"/>
              <w:overflowPunct w:val="0"/>
              <w:autoSpaceDE w:val="0"/>
              <w:autoSpaceDN w:val="0"/>
              <w:spacing w:line="320" w:lineRule="exact"/>
              <w:rPr>
                <w:rFonts w:hint="eastAsia" w:hAnsi="宋体" w:eastAsia="宋体" w:cs="微软雅黑"/>
                <w:bCs/>
                <w:kern w:val="0"/>
                <w:sz w:val="21"/>
                <w:szCs w:val="21"/>
                <w:lang w:eastAsia="zh-CN"/>
              </w:rPr>
            </w:pPr>
            <w:r>
              <w:rPr>
                <w:rFonts w:hint="eastAsia" w:hAnsi="宋体" w:cs="微软雅黑"/>
                <w:bCs/>
                <w:kern w:val="0"/>
                <w:sz w:val="21"/>
                <w:szCs w:val="21"/>
              </w:rPr>
              <w:t>技术规格偏离表</w:t>
            </w:r>
            <w:r>
              <w:rPr>
                <w:rFonts w:hint="eastAsia" w:hAnsi="宋体" w:cs="微软雅黑"/>
                <w:bCs/>
                <w:kern w:val="0"/>
                <w:sz w:val="21"/>
                <w:szCs w:val="21"/>
                <w:lang w:eastAsia="zh-CN"/>
              </w:rPr>
              <w:t>及商务响应表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8"/>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8"/>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8"/>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8"/>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pStyle w:val="18"/>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r>
        <w:rPr>
          <w:rFonts w:hint="eastAsia" w:cs="Arial" w:asciiTheme="minorEastAsia" w:hAnsiTheme="minorEastAsia"/>
          <w:color w:val="auto"/>
          <w:szCs w:val="21"/>
          <w:u w:val="single"/>
        </w:rPr>
        <w:t xml:space="preserve">             </w:t>
      </w:r>
    </w:p>
    <w:p>
      <w:pPr>
        <w:spacing w:line="360" w:lineRule="auto"/>
        <w:contextualSpacing/>
        <w:rPr>
          <w:rFonts w:hint="eastAsia" w:asciiTheme="minorEastAsia" w:hAnsiTheme="minorEastAsia"/>
          <w:color w:val="auto"/>
          <w:szCs w:val="21"/>
        </w:rPr>
      </w:pPr>
      <w:r>
        <w:rPr>
          <w:rFonts w:hint="eastAsia" w:asciiTheme="minorEastAsia" w:hAnsiTheme="minorEastAsia"/>
          <w:color w:val="auto"/>
          <w:szCs w:val="21"/>
        </w:rPr>
        <w:t>项目名称：</w:t>
      </w:r>
      <w:r>
        <w:rPr>
          <w:rFonts w:hint="eastAsia" w:cs="Arial" w:asciiTheme="minorEastAsia" w:hAnsiTheme="minorEastAsia"/>
          <w:color w:val="auto"/>
          <w:szCs w:val="21"/>
          <w:u w:val="single"/>
        </w:rPr>
        <w:t xml:space="preserve">             </w:t>
      </w:r>
      <w:r>
        <w:rPr>
          <w:rFonts w:hint="eastAsia" w:asciiTheme="minorEastAsia" w:hAnsiTheme="minorEastAsia"/>
          <w:color w:val="auto"/>
          <w:szCs w:val="21"/>
        </w:rPr>
        <w:t xml:space="preserve">                                           </w:t>
      </w:r>
    </w:p>
    <w:p>
      <w:pPr>
        <w:spacing w:line="360" w:lineRule="auto"/>
        <w:ind w:firstLine="6510" w:firstLineChars="3100"/>
        <w:contextualSpacing/>
        <w:rPr>
          <w:rFonts w:asciiTheme="minorEastAsia" w:hAnsiTheme="minorEastAsia"/>
          <w:color w:val="auto"/>
          <w:szCs w:val="21"/>
        </w:rPr>
      </w:pPr>
      <w:r>
        <w:rPr>
          <w:rFonts w:hint="eastAsia" w:cs="Arial" w:asciiTheme="minorEastAsia" w:hAnsiTheme="minorEastAsia"/>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r>
              <w:rPr>
                <w:rFonts w:cs="Arial" w:asciiTheme="minorEastAsia" w:hAnsiTheme="minorEastAsia"/>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 xml:space="preserve"> </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default" w:cs="宋体" w:asciiTheme="minorEastAsia" w:hAnsiTheme="minorEastAsia"/>
                <w:color w:val="auto"/>
                <w:szCs w:val="21"/>
                <w:lang w:val="en-US"/>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w:t>
      </w:r>
      <w:r>
        <w:rPr>
          <w:rFonts w:cs="宋体" w:asciiTheme="minorEastAsia" w:hAnsiTheme="minorEastAsia"/>
          <w:color w:val="auto"/>
          <w:szCs w:val="21"/>
          <w:u w:val="single"/>
          <w:lang w:val="zh-CN"/>
        </w:rPr>
        <w:t xml:space="preserve">    </w:t>
      </w:r>
      <w:r>
        <w:rPr>
          <w:rFonts w:hint="eastAsia" w:cs="宋体" w:asciiTheme="minorEastAsia" w:hAnsiTheme="minorEastAsia"/>
          <w:color w:val="auto"/>
          <w:szCs w:val="21"/>
          <w:lang w:val="zh-CN"/>
        </w:rPr>
        <w:t>年</w:t>
      </w:r>
      <w:r>
        <w:rPr>
          <w:rFonts w:cs="宋体" w:asciiTheme="minorEastAsia" w:hAnsiTheme="minorEastAsia"/>
          <w:color w:val="auto"/>
          <w:szCs w:val="21"/>
          <w:u w:val="single"/>
          <w:lang w:val="zh-CN"/>
        </w:rPr>
        <w:t xml:space="preserve">    </w:t>
      </w:r>
      <w:r>
        <w:rPr>
          <w:rFonts w:hint="eastAsia" w:cs="宋体" w:asciiTheme="minorEastAsia" w:hAnsiTheme="minorEastAsia"/>
          <w:color w:val="auto"/>
          <w:szCs w:val="21"/>
          <w:lang w:val="zh-CN"/>
        </w:rPr>
        <w:t>月</w:t>
      </w:r>
      <w:r>
        <w:rPr>
          <w:rFonts w:cs="宋体" w:asciiTheme="minorEastAsia" w:hAnsiTheme="minorEastAsia"/>
          <w:color w:val="auto"/>
          <w:szCs w:val="21"/>
          <w:u w:val="single"/>
          <w:lang w:val="zh-CN"/>
        </w:rPr>
        <w:t xml:space="preserve">    </w:t>
      </w:r>
      <w:r>
        <w:rPr>
          <w:rFonts w:hint="eastAsia" w:cs="宋体" w:asciiTheme="minorEastAsia" w:hAnsiTheme="minorEastAsia"/>
          <w:color w:val="auto"/>
          <w:szCs w:val="21"/>
          <w:lang w:val="zh-CN"/>
        </w:rPr>
        <w:t>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bookmarkStart w:id="12" w:name="_GoBack"/>
      <w:bookmarkEnd w:id="12"/>
      <w:r>
        <w:rPr>
          <w:rFonts w:hint="eastAsia" w:cs="黑体" w:asciiTheme="minorEastAsia" w:hAnsiTheme="minorEastAsia"/>
          <w:b/>
          <w:bCs/>
          <w:color w:val="auto"/>
          <w:sz w:val="28"/>
          <w:szCs w:val="28"/>
          <w:lang w:val="zh-CN"/>
        </w:rPr>
        <w:t>三、资格审查证明材料</w:t>
      </w:r>
    </w:p>
    <w:p>
      <w:pPr>
        <w:pStyle w:val="18"/>
        <w:spacing w:line="360" w:lineRule="auto"/>
        <w:jc w:val="center"/>
        <w:rPr>
          <w:rFonts w:asciiTheme="majorEastAsia" w:hAnsiTheme="majorEastAsia" w:eastAsiaTheme="majorEastAsia"/>
          <w:b/>
          <w:snapToGrid w:val="0"/>
          <w:color w:val="auto"/>
          <w:kern w:val="0"/>
          <w:szCs w:val="24"/>
        </w:rPr>
      </w:pPr>
    </w:p>
    <w:p>
      <w:pPr>
        <w:pStyle w:val="18"/>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投 标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致：许昌光大电子商务技术服务有限公司</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（项目名称、招标编号）采购的招标公告及投标邀请，_______（姓名和职务）被正式授权并代表投标人</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（投标人名称、地址）提交。</w:t>
      </w:r>
    </w:p>
    <w:p>
      <w:pPr>
        <w:pStyle w:val="18"/>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u w:val="single"/>
        </w:rPr>
        <w:t xml:space="preserve">           </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r>
        <w:rPr>
          <w:rFonts w:hint="eastAsia" w:ascii="宋体" w:hAnsi="宋体"/>
          <w:color w:val="auto"/>
          <w:sz w:val="21"/>
          <w:szCs w:val="21"/>
        </w:rPr>
        <w:t>并承诺在发生争议时不会以对《招标文件》存在误解、不明白的条款为由，对贵</w:t>
      </w:r>
      <w:r>
        <w:rPr>
          <w:rFonts w:hint="eastAsia" w:ascii="宋体" w:hAnsi="宋体"/>
          <w:color w:val="auto"/>
          <w:sz w:val="21"/>
          <w:szCs w:val="21"/>
          <w:lang w:eastAsia="zh-CN"/>
        </w:rPr>
        <w:t>单位</w:t>
      </w:r>
      <w:r>
        <w:rPr>
          <w:rFonts w:hint="eastAsia" w:ascii="宋体" w:hAnsi="宋体"/>
          <w:color w:val="auto"/>
          <w:sz w:val="21"/>
          <w:szCs w:val="21"/>
        </w:rPr>
        <w:t>行使任何法律上的抗辩权</w:t>
      </w:r>
      <w:r>
        <w:rPr>
          <w:rFonts w:hint="eastAsia" w:asciiTheme="minorEastAsia" w:hAnsiTheme="minorEastAsia"/>
          <w:snapToGrid w:val="0"/>
          <w:color w:val="auto"/>
          <w:kern w:val="0"/>
          <w:szCs w:val="21"/>
        </w:rPr>
        <w:t>。</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我方同意在本项目招标文件中规定的开标日起</w:t>
      </w:r>
      <w:r>
        <w:rPr>
          <w:rFonts w:hint="eastAsia" w:ascii="宋体" w:hAnsi="宋体"/>
          <w:color w:val="auto"/>
          <w:szCs w:val="21"/>
          <w:u w:val="single"/>
        </w:rPr>
        <w:t xml:space="preserve">    </w:t>
      </w:r>
      <w:r>
        <w:rPr>
          <w:rFonts w:hint="eastAsia" w:ascii="宋体" w:hAnsi="宋体"/>
          <w:color w:val="auto"/>
          <w:szCs w:val="21"/>
        </w:rPr>
        <w:t>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color w:val="auto"/>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三、我方明白并同意，在规定的开标日之后，投标有效期之内撤销投标的，则我方承担违背投标承诺的责任追究。</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8"/>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8"/>
        <w:adjustRightInd w:val="0"/>
        <w:snapToGrid w:val="0"/>
        <w:spacing w:line="360" w:lineRule="auto"/>
        <w:rPr>
          <w:rFonts w:asciiTheme="minorEastAsia" w:hAnsiTheme="minorEastAsia" w:eastAsiaTheme="minorEastAsia"/>
          <w:color w:val="auto"/>
          <w:sz w:val="21"/>
          <w:szCs w:val="21"/>
        </w:rPr>
      </w:pPr>
    </w:p>
    <w:p>
      <w:pPr>
        <w:pStyle w:val="18"/>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所有与本招标有关的一切正式往来请寄：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邮政编码：</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传    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投标人代表姓名：</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职    务：</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投标人法定代表人（单位负责人）或法定代表人（单位负责人）授权代表签字或盖章：</w:t>
      </w:r>
      <w:r>
        <w:rPr>
          <w:rFonts w:hint="eastAsia" w:cs="宋体" w:asciiTheme="minorEastAsia" w:hAnsiTheme="minorEastAsia"/>
          <w:color w:val="auto"/>
          <w:szCs w:val="21"/>
          <w:u w:val="single"/>
        </w:rPr>
        <w:t xml:space="preserve">         </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投标人名称（盖章）：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年</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月</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日</w:t>
      </w:r>
    </w:p>
    <w:p>
      <w:pPr>
        <w:spacing w:line="480" w:lineRule="exact"/>
        <w:jc w:val="center"/>
        <w:rPr>
          <w:rFonts w:hint="eastAsia" w:asciiTheme="majorEastAsia" w:hAnsiTheme="majorEastAsia" w:eastAsiaTheme="majorEastAsia"/>
          <w:b/>
          <w:bCs/>
          <w:color w:val="auto"/>
          <w:sz w:val="24"/>
          <w:szCs w:val="24"/>
        </w:rPr>
      </w:pPr>
    </w:p>
    <w:p>
      <w:pPr>
        <w:spacing w:line="480" w:lineRule="exact"/>
        <w:jc w:val="center"/>
        <w:rPr>
          <w:rFonts w:hint="eastAsia" w:asciiTheme="majorEastAsia" w:hAnsiTheme="majorEastAsia" w:eastAsiaTheme="majorEastAsia"/>
          <w:b/>
          <w:bCs/>
          <w:color w:val="auto"/>
          <w:sz w:val="24"/>
          <w:szCs w:val="24"/>
        </w:rPr>
      </w:pPr>
    </w:p>
    <w:p>
      <w:pPr>
        <w:spacing w:line="480" w:lineRule="exact"/>
        <w:jc w:val="center"/>
        <w:rPr>
          <w:rFonts w:hint="eastAsia" w:asciiTheme="majorEastAsia" w:hAnsiTheme="majorEastAsia" w:eastAsiaTheme="majorEastAsia"/>
          <w:b/>
          <w:bCs/>
          <w:color w:val="auto"/>
          <w:sz w:val="24"/>
          <w:szCs w:val="24"/>
        </w:rPr>
      </w:pPr>
    </w:p>
    <w:p>
      <w:pPr>
        <w:spacing w:line="480" w:lineRule="exact"/>
        <w:jc w:val="center"/>
        <w:rPr>
          <w:rFonts w:hint="eastAsia" w:asciiTheme="majorEastAsia" w:hAnsiTheme="majorEastAsia" w:eastAsiaTheme="majorEastAsia"/>
          <w:b/>
          <w:bCs/>
          <w:color w:val="auto"/>
          <w:sz w:val="24"/>
          <w:szCs w:val="24"/>
        </w:rPr>
      </w:pPr>
    </w:p>
    <w:p>
      <w:pPr>
        <w:spacing w:line="480" w:lineRule="exact"/>
        <w:jc w:val="center"/>
        <w:rPr>
          <w:rFonts w:hint="eastAsia" w:asciiTheme="majorEastAsia" w:hAnsiTheme="majorEastAsia" w:eastAsiaTheme="majorEastAsia"/>
          <w:b/>
          <w:bCs/>
          <w:color w:val="auto"/>
          <w:sz w:val="24"/>
          <w:szCs w:val="24"/>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47"/>
        <w:spacing w:line="480" w:lineRule="auto"/>
        <w:ind w:firstLine="472" w:firstLineChars="225"/>
        <w:jc w:val="left"/>
        <w:rPr>
          <w:rFonts w:asciiTheme="minorEastAsia" w:hAnsiTheme="minorEastAsia"/>
          <w:color w:val="auto"/>
          <w:sz w:val="21"/>
          <w:szCs w:val="21"/>
          <w:u w:val="single"/>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r>
        <w:rPr>
          <w:rFonts w:hint="eastAsia" w:asciiTheme="minorEastAsia" w:hAnsiTheme="minorEastAsia"/>
          <w:color w:val="auto"/>
          <w:sz w:val="21"/>
          <w:szCs w:val="21"/>
          <w:u w:val="single"/>
        </w:rPr>
        <w:t xml:space="preserve">                             </w:t>
      </w:r>
    </w:p>
    <w:p>
      <w:pPr>
        <w:pStyle w:val="4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r>
        <w:rPr>
          <w:rFonts w:hint="eastAsia" w:asciiTheme="minorEastAsia" w:hAnsiTheme="minorEastAsia"/>
          <w:color w:val="auto"/>
          <w:sz w:val="21"/>
          <w:szCs w:val="21"/>
          <w:u w:val="single"/>
        </w:rPr>
        <w:t xml:space="preserve">                             </w:t>
      </w:r>
    </w:p>
    <w:p>
      <w:pPr>
        <w:pStyle w:val="4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 xml:space="preserve">   性</w:t>
      </w:r>
      <w:r>
        <w:rPr>
          <w:rFonts w:asciiTheme="minorEastAsia" w:hAnsiTheme="minorEastAsia"/>
          <w:color w:val="auto"/>
          <w:sz w:val="21"/>
          <w:szCs w:val="21"/>
        </w:rPr>
        <w:t>别</w:t>
      </w:r>
      <w:r>
        <w:rPr>
          <w:rFonts w:hint="eastAsia" w:asciiTheme="minorEastAsia" w:hAnsiTheme="minorEastAsia"/>
          <w:color w:val="auto"/>
          <w:sz w:val="21"/>
          <w:szCs w:val="21"/>
        </w:rPr>
        <w:t>：</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 xml:space="preserve">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hint="eastAsia" w:asciiTheme="minorEastAsia" w:hAnsiTheme="minorEastAsia"/>
          <w:color w:val="auto"/>
          <w:sz w:val="21"/>
          <w:szCs w:val="21"/>
          <w:u w:val="single"/>
        </w:rPr>
        <w:t xml:space="preserve">    </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 xml:space="preserve">       </w:t>
      </w:r>
    </w:p>
    <w:p>
      <w:pPr>
        <w:pStyle w:val="4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color w:val="auto"/>
          <w:sz w:val="21"/>
          <w:szCs w:val="21"/>
          <w:u w:val="single"/>
        </w:rPr>
        <w:t xml:space="preserve">  </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i/>
          <w:snapToGrid w:val="0"/>
          <w:color w:val="auto"/>
          <w:sz w:val="21"/>
          <w:szCs w:val="21"/>
          <w:u w:val="single"/>
        </w:rPr>
        <w:t xml:space="preserve">  </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项目编号</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47"/>
        <w:spacing w:line="480" w:lineRule="auto"/>
        <w:ind w:firstLine="472" w:firstLineChars="225"/>
        <w:jc w:val="left"/>
        <w:rPr>
          <w:rFonts w:hint="eastAsia"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47"/>
        <w:spacing w:line="480" w:lineRule="auto"/>
        <w:ind w:firstLine="472" w:firstLineChars="225"/>
        <w:jc w:val="left"/>
        <w:rPr>
          <w:rFonts w:hint="eastAsia" w:asciiTheme="minorEastAsia" w:hAnsiTheme="minorEastAsia"/>
          <w:bCs/>
          <w:color w:val="auto"/>
          <w:sz w:val="21"/>
          <w:szCs w:val="21"/>
        </w:rPr>
      </w:pPr>
      <w:r>
        <w:rPr>
          <w:rFonts w:hint="eastAsia" w:asciiTheme="minorEastAsia" w:hAnsiTheme="minorEastAsia"/>
          <w:color w:val="auto"/>
          <w:sz w:val="21"/>
          <w:szCs w:val="21"/>
        </w:rPr>
        <w:t>法定代表人（单位负责人）联系电话（手机）：</w:t>
      </w:r>
    </w:p>
    <w:p>
      <w:pPr>
        <w:pStyle w:val="47"/>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投标人名称（加盖公章）：</w:t>
      </w:r>
    </w:p>
    <w:p>
      <w:pPr>
        <w:pStyle w:val="50"/>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rPr>
        <w:t>年</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rPr>
        <w:t>月</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rPr>
        <w:t>日</w:t>
      </w:r>
    </w:p>
    <w:p>
      <w:pPr>
        <w:pStyle w:val="49"/>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widowControl/>
        <w:jc w:val="left"/>
        <w:rPr>
          <w:rFonts w:ascii="宋体" w:hAnsi="宋体"/>
          <w:b/>
          <w:bCs/>
          <w:color w:val="auto"/>
          <w:sz w:val="36"/>
          <w:szCs w:val="36"/>
        </w:rPr>
      </w:pPr>
      <w:r>
        <w:rPr>
          <w:rFonts w:ascii="宋体" w:hAnsi="宋体"/>
          <w:b/>
          <w:bCs/>
          <w:color w:val="auto"/>
          <w:sz w:val="36"/>
          <w:szCs w:val="36"/>
        </w:rPr>
        <w:br w:type="page"/>
      </w: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asciiTheme="minorEastAsia" w:hAnsiTheme="minorEastAsia"/>
          <w:color w:val="auto"/>
          <w:szCs w:val="21"/>
        </w:rPr>
        <w:t xml:space="preserve"> </w:t>
      </w: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w:t>
      </w:r>
      <w:r>
        <w:rPr>
          <w:rFonts w:hint="eastAsia" w:cs="Arial" w:asciiTheme="minorEastAsia" w:hAnsiTheme="minorEastAsia"/>
          <w:color w:val="auto"/>
          <w:szCs w:val="21"/>
        </w:rPr>
        <w:t>（签字或加盖名章）</w:t>
      </w:r>
    </w:p>
    <w:p>
      <w:pPr>
        <w:spacing w:line="480" w:lineRule="auto"/>
        <w:ind w:firstLine="420" w:firstLineChars="200"/>
        <w:rPr>
          <w:rFonts w:hint="eastAsia"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 xml:space="preserve">授权代表：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449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77"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9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77" w:type="dxa"/>
            <w:vAlign w:val="center"/>
          </w:tcPr>
          <w:p>
            <w:pPr>
              <w:jc w:val="center"/>
              <w:rPr>
                <w:rFonts w:asciiTheme="minorEastAsia" w:hAnsiTheme="minorEastAsia"/>
                <w:color w:val="auto"/>
                <w:szCs w:val="21"/>
              </w:rPr>
            </w:pPr>
            <w:bookmarkStart w:id="7" w:name="_资格证明文件"/>
            <w:bookmarkEnd w:id="7"/>
            <w:bookmarkStart w:id="8" w:name="_Toc364329026"/>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bookmarkEnd w:id="8"/>
          </w:p>
        </w:tc>
        <w:tc>
          <w:tcPr>
            <w:tcW w:w="4506" w:type="dxa"/>
            <w:gridSpan w:val="2"/>
            <w:vAlign w:val="center"/>
          </w:tcPr>
          <w:p>
            <w:pPr>
              <w:jc w:val="center"/>
              <w:rPr>
                <w:rFonts w:asciiTheme="minorEastAsia" w:hAnsiTheme="minorEastAsia"/>
                <w:color w:val="auto"/>
                <w:szCs w:val="21"/>
              </w:rPr>
            </w:pPr>
            <w:bookmarkStart w:id="9" w:name="_Toc364329027"/>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bookmarkEnd w:id="9"/>
          </w:p>
        </w:tc>
      </w:tr>
    </w:tbl>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投标人名称（盖章）：</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日    期：</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年</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月</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许昌光大电子商务技术服务有限公司</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ascii="宋体" w:hAnsi="宋体" w:eastAsia="宋体" w:cs="宋体"/>
          <w:color w:val="auto"/>
          <w:szCs w:val="21"/>
          <w:lang w:val="zh-CN"/>
        </w:rPr>
        <w:t>年____月</w:t>
      </w:r>
      <w:r>
        <w:rPr>
          <w:rFonts w:hint="eastAsia" w:cs="宋体" w:asciiTheme="minorEastAsia" w:hAnsiTheme="minorEastAsia"/>
          <w:color w:val="auto"/>
          <w:szCs w:val="21"/>
          <w:u w:val="single"/>
          <w:lang w:val="zh-CN"/>
        </w:rPr>
        <w:t xml:space="preserve">    </w:t>
      </w:r>
      <w:r>
        <w:rPr>
          <w:rFonts w:hint="eastAsia" w:cs="宋体" w:asciiTheme="minorEastAsia" w:hAnsiTheme="minorEastAsia"/>
          <w:color w:val="auto"/>
          <w:szCs w:val="21"/>
          <w:lang w:val="zh-CN"/>
        </w:rPr>
        <w:t xml:space="preserve"> </w:t>
      </w:r>
      <w:r>
        <w:rPr>
          <w:rFonts w:ascii="宋体" w:hAnsi="宋体" w:eastAsia="宋体" w:cs="宋体"/>
          <w:color w:val="auto"/>
          <w:szCs w:val="21"/>
          <w:lang w:val="zh-CN"/>
        </w:rPr>
        <w:t>日</w:t>
      </w:r>
      <w:r>
        <w:rPr>
          <w:rFonts w:hint="eastAsia" w:cs="宋体" w:asciiTheme="minorEastAsia" w:hAnsiTheme="minorEastAsia"/>
          <w:color w:val="auto"/>
          <w:szCs w:val="21"/>
          <w:lang w:val="zh-CN"/>
        </w:rPr>
        <w:t xml:space="preserve"> </w:t>
      </w:r>
      <w:r>
        <w:rPr>
          <w:rFonts w:hint="eastAsia" w:cs="宋体" w:asciiTheme="minorEastAsia" w:hAnsiTheme="minorEastAsia"/>
          <w:color w:val="auto"/>
          <w:szCs w:val="21"/>
          <w:u w:val="single"/>
          <w:lang w:val="zh-CN"/>
        </w:rPr>
        <w:t xml:space="preserve">                     </w:t>
      </w:r>
      <w:r>
        <w:rPr>
          <w:rFonts w:hint="eastAsia" w:cs="宋体" w:asciiTheme="minorEastAsia" w:hAnsiTheme="minorEastAsia"/>
          <w:color w:val="auto"/>
          <w:szCs w:val="21"/>
          <w:lang w:val="zh-CN"/>
        </w:rPr>
        <w:t>（招标编号、项目名称）的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五、法律法规及本招标文件规定的其他严重违法行为。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投标人名称（盖章）：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年</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月</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日</w:t>
      </w:r>
    </w:p>
    <w:p>
      <w:pPr>
        <w:autoSpaceDE w:val="0"/>
        <w:autoSpaceDN w:val="0"/>
        <w:adjustRightInd w:val="0"/>
        <w:spacing w:line="360" w:lineRule="auto"/>
        <w:jc w:val="both"/>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3.6 其他资格证书或材料</w:t>
      </w:r>
    </w:p>
    <w:p>
      <w:pPr>
        <w:autoSpaceDE w:val="0"/>
        <w:autoSpaceDN w:val="0"/>
        <w:adjustRightInd w:val="0"/>
        <w:spacing w:line="360" w:lineRule="auto"/>
        <w:jc w:val="center"/>
        <w:outlineLvl w:val="0"/>
        <w:rPr>
          <w:rFonts w:hAnsi="宋体"/>
          <w:b/>
          <w:snapToGrid w:val="0"/>
          <w:kern w:val="0"/>
          <w:sz w:val="24"/>
          <w:szCs w:val="24"/>
        </w:rPr>
      </w:pPr>
      <w:r>
        <w:rPr>
          <w:rFonts w:hint="eastAsia" w:hAnsi="宋体"/>
          <w:b/>
          <w:snapToGrid w:val="0"/>
          <w:kern w:val="0"/>
          <w:sz w:val="24"/>
          <w:szCs w:val="24"/>
        </w:rPr>
        <w:t>（供应商依据采购文件</w:t>
      </w:r>
      <w:r>
        <w:rPr>
          <w:rFonts w:hint="eastAsia" w:hAnsi="宋体"/>
          <w:b/>
          <w:snapToGrid w:val="0"/>
          <w:kern w:val="0"/>
          <w:sz w:val="24"/>
          <w:szCs w:val="24"/>
          <w:lang w:eastAsia="zh-CN"/>
        </w:rPr>
        <w:t>要求</w:t>
      </w:r>
      <w:r>
        <w:rPr>
          <w:rFonts w:hint="eastAsia" w:hAnsi="宋体"/>
          <w:b/>
          <w:snapToGrid w:val="0"/>
          <w:kern w:val="0"/>
          <w:sz w:val="24"/>
          <w:szCs w:val="24"/>
        </w:rPr>
        <w:t>，提供所需证书或材料。）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pStyle w:val="2"/>
        <w:ind w:firstLine="361"/>
        <w:rPr>
          <w:rFonts w:hAnsi="宋体"/>
          <w:b/>
          <w:snapToGrid w:val="0"/>
          <w:color w:val="auto"/>
          <w:sz w:val="36"/>
          <w:szCs w:val="36"/>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投标分项报价表</w:t>
      </w:r>
    </w:p>
    <w:p>
      <w:pPr>
        <w:spacing w:before="50" w:afterLines="50" w:line="360" w:lineRule="auto"/>
        <w:contextualSpacing/>
        <w:jc w:val="left"/>
        <w:rPr>
          <w:rFonts w:asciiTheme="minorEastAsia" w:hAnsiTheme="minorEastAsia"/>
          <w:color w:val="auto"/>
          <w:szCs w:val="21"/>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r>
        <w:rPr>
          <w:rFonts w:hint="eastAsia" w:cs="Arial" w:asciiTheme="minorEastAsia" w:hAnsiTheme="minorEastAsia"/>
          <w:color w:val="auto"/>
          <w:szCs w:val="21"/>
          <w:u w:val="single"/>
        </w:rPr>
        <w:t xml:space="preserve">             </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项目名称：</w:t>
      </w:r>
      <w:r>
        <w:rPr>
          <w:rFonts w:hint="eastAsia" w:cs="Arial" w:asciiTheme="minorEastAsia" w:hAnsiTheme="minorEastAsia"/>
          <w:color w:val="auto"/>
          <w:szCs w:val="21"/>
          <w:u w:val="single"/>
        </w:rPr>
        <w:t xml:space="preserve">             </w:t>
      </w:r>
      <w:r>
        <w:rPr>
          <w:rFonts w:hint="eastAsia" w:asciiTheme="minorEastAsia" w:hAnsiTheme="minorEastAsia"/>
          <w:color w:val="auto"/>
          <w:szCs w:val="21"/>
        </w:rPr>
        <w:t xml:space="preserve">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auto"/>
                <w:szCs w:val="21"/>
                <w:lang w:val="zh-CN"/>
              </w:rPr>
            </w:pPr>
            <w:r>
              <w:rPr>
                <w:rFonts w:hint="eastAsia" w:cs="宋体" w:asciiTheme="minorEastAsia" w:hAnsiTheme="minorEastAsia"/>
                <w:b/>
                <w:color w:val="auto"/>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产地及</w:t>
            </w:r>
          </w:p>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w:t>
            </w:r>
            <w:r>
              <w:rPr>
                <w:rFonts w:asciiTheme="minorEastAsia" w:hAnsiTheme="minorEastAsia"/>
                <w:color w:val="auto"/>
                <w:szCs w:val="21"/>
              </w:rPr>
              <w:t xml:space="preserve">  </w:t>
            </w:r>
            <w:r>
              <w:rPr>
                <w:rFonts w:hint="eastAsia" w:cs="宋体" w:asciiTheme="minorEastAsia" w:hAnsiTheme="minorEastAsia"/>
                <w:color w:val="auto"/>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w:t>
            </w:r>
            <w:r>
              <w:rPr>
                <w:rFonts w:asciiTheme="minorEastAsia" w:hAnsiTheme="minorEastAsia"/>
                <w:color w:val="auto"/>
                <w:szCs w:val="21"/>
              </w:rPr>
              <w:t xml:space="preserve">              </w:t>
            </w:r>
            <w:r>
              <w:rPr>
                <w:rFonts w:hint="eastAsia" w:cs="宋体" w:asciiTheme="minorEastAsia" w:hAnsiTheme="minorEastAsia"/>
                <w:color w:val="auto"/>
                <w:szCs w:val="21"/>
                <w:lang w:val="zh-CN"/>
              </w:rPr>
              <w:t>小写：</w:t>
            </w: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r>
        <w:rPr>
          <w:rFonts w:hint="eastAsia" w:cs="Arial" w:asciiTheme="minorEastAsia" w:hAnsiTheme="minorEastAsia"/>
          <w:color w:val="auto"/>
          <w:szCs w:val="21"/>
          <w:u w:val="single"/>
        </w:rPr>
        <w:t xml:space="preserve">             </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项目名称：</w:t>
      </w:r>
      <w:r>
        <w:rPr>
          <w:rFonts w:hint="eastAsia" w:cs="Arial" w:asciiTheme="minorEastAsia" w:hAnsiTheme="minorEastAsia"/>
          <w:color w:val="auto"/>
          <w:szCs w:val="21"/>
          <w:u w:val="single"/>
        </w:rPr>
        <w:t xml:space="preserve">             </w:t>
      </w:r>
      <w:r>
        <w:rPr>
          <w:rFonts w:hint="eastAsia" w:asciiTheme="minorEastAsia" w:hAnsiTheme="minorEastAsia"/>
          <w:color w:val="auto"/>
          <w:szCs w:val="21"/>
        </w:rPr>
        <w:t xml:space="preserve">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r>
        <w:rPr>
          <w:rFonts w:cs="宋体" w:asciiTheme="minorEastAsia" w:hAnsiTheme="minorEastAsia"/>
          <w:color w:val="auto"/>
          <w:szCs w:val="21"/>
          <w:lang w:val="zh-CN"/>
        </w:rPr>
        <w:t xml:space="preserve"> </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4.2-1 商务要求响应表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r>
        <w:rPr>
          <w:rFonts w:hint="eastAsia" w:cs="Arial" w:asciiTheme="minorEastAsia" w:hAnsiTheme="minorEastAsia"/>
          <w:color w:val="auto"/>
          <w:szCs w:val="21"/>
          <w:u w:val="single"/>
        </w:rPr>
        <w:t xml:space="preserve">             </w:t>
      </w:r>
    </w:p>
    <w:p>
      <w:pPr>
        <w:autoSpaceDE w:val="0"/>
        <w:autoSpaceDN w:val="0"/>
        <w:adjustRightInd w:val="0"/>
        <w:spacing w:line="360" w:lineRule="auto"/>
        <w:outlineLvl w:val="0"/>
        <w:rPr>
          <w:rFonts w:ascii="宋体" w:hAnsi="宋体"/>
          <w:b/>
          <w:bCs/>
          <w:color w:val="auto"/>
          <w:sz w:val="24"/>
          <w:szCs w:val="24"/>
        </w:rPr>
      </w:pPr>
      <w:r>
        <w:rPr>
          <w:rFonts w:hint="eastAsia" w:asciiTheme="minorEastAsia" w:hAnsiTheme="minorEastAsia"/>
          <w:color w:val="auto"/>
          <w:szCs w:val="21"/>
        </w:rPr>
        <w:t>项目名称：</w:t>
      </w:r>
      <w:r>
        <w:rPr>
          <w:rFonts w:hint="eastAsia" w:cs="Arial" w:asciiTheme="minorEastAsia" w:hAnsiTheme="minorEastAsia"/>
          <w:color w:val="auto"/>
          <w:szCs w:val="21"/>
          <w:u w:val="single"/>
        </w:rPr>
        <w:t xml:space="preserve">             </w:t>
      </w:r>
    </w:p>
    <w:tbl>
      <w:tblPr>
        <w:tblStyle w:val="27"/>
        <w:tblW w:w="8660" w:type="dxa"/>
        <w:tblInd w:w="0" w:type="dxa"/>
        <w:tblLayout w:type="fixed"/>
        <w:tblCellMar>
          <w:top w:w="0" w:type="dxa"/>
          <w:left w:w="108" w:type="dxa"/>
          <w:bottom w:w="0" w:type="dxa"/>
          <w:right w:w="108" w:type="dxa"/>
        </w:tblCellMar>
      </w:tblPr>
      <w:tblGrid>
        <w:gridCol w:w="727"/>
        <w:gridCol w:w="1526"/>
        <w:gridCol w:w="1678"/>
        <w:gridCol w:w="1525"/>
        <w:gridCol w:w="1679"/>
        <w:gridCol w:w="1525"/>
      </w:tblGrid>
      <w:tr>
        <w:tblPrEx>
          <w:tblCellMar>
            <w:top w:w="0" w:type="dxa"/>
            <w:left w:w="108" w:type="dxa"/>
            <w:bottom w:w="0" w:type="dxa"/>
            <w:right w:w="108" w:type="dxa"/>
          </w:tblCellMar>
        </w:tblPrEx>
        <w:trPr>
          <w:trHeight w:val="970" w:hRule="atLeast"/>
        </w:trPr>
        <w:tc>
          <w:tcPr>
            <w:tcW w:w="72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52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条款号或分项名称</w:t>
            </w:r>
          </w:p>
        </w:tc>
        <w:tc>
          <w:tcPr>
            <w:tcW w:w="167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招标文件要求</w:t>
            </w:r>
          </w:p>
        </w:tc>
        <w:tc>
          <w:tcPr>
            <w:tcW w:w="15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投标文件响应</w:t>
            </w:r>
          </w:p>
        </w:tc>
        <w:tc>
          <w:tcPr>
            <w:tcW w:w="167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5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505"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505"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2</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520"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360" w:lineRule="auto"/>
        <w:outlineLvl w:val="0"/>
        <w:rPr>
          <w:rFonts w:ascii="宋体" w:hAnsi="宋体"/>
          <w:b/>
          <w:bCs/>
          <w:color w:val="auto"/>
          <w:sz w:val="24"/>
          <w:szCs w:val="24"/>
        </w:rPr>
      </w:pPr>
      <w:r>
        <w:rPr>
          <w:rFonts w:hint="eastAsia" w:cs="宋体" w:asciiTheme="minorEastAsia" w:hAnsiTheme="minorEastAsia"/>
          <w:color w:val="auto"/>
          <w:szCs w:val="21"/>
          <w:lang w:val="zh-CN"/>
        </w:rPr>
        <w:t>投标人法定代表人（单位负责人）或授权代表签字：</w:t>
      </w:r>
      <w:r>
        <w:rPr>
          <w:rFonts w:cs="宋体" w:asciiTheme="minorEastAsia" w:hAnsiTheme="minorEastAsia"/>
          <w:color w:val="auto"/>
          <w:szCs w:val="21"/>
          <w:lang w:val="zh-CN"/>
        </w:rPr>
        <w:t xml:space="preserve"> </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24"/>
          <w:szCs w:val="24"/>
        </w:rPr>
        <w:t>4.3 技术方案（实施方案）</w:t>
      </w:r>
    </w:p>
    <w:p>
      <w:pPr>
        <w:autoSpaceDE w:val="0"/>
        <w:autoSpaceDN w:val="0"/>
        <w:adjustRightInd w:val="0"/>
        <w:spacing w:line="360" w:lineRule="auto"/>
        <w:jc w:val="center"/>
        <w:rPr>
          <w:rFonts w:cs="宋体" w:asciiTheme="minorEastAsia" w:hAnsiTheme="minorEastAsia"/>
          <w:color w:val="auto"/>
          <w:szCs w:val="21"/>
          <w:lang w:val="zh-CN"/>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4</w:t>
      </w:r>
      <w:r>
        <w:rPr>
          <w:rFonts w:hint="eastAsia" w:ascii="宋体" w:hAnsi="宋体"/>
          <w:b/>
          <w:bCs/>
          <w:color w:val="auto"/>
          <w:sz w:val="24"/>
          <w:szCs w:val="24"/>
        </w:rPr>
        <w:t xml:space="preserve">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13"/>
              <w:spacing w:line="360" w:lineRule="auto"/>
              <w:rPr>
                <w:rFonts w:ascii="宋体" w:hAnsi="宋体" w:eastAsia="宋体" w:cs="Times New Roman"/>
                <w:color w:val="auto"/>
                <w:sz w:val="21"/>
                <w:szCs w:val="21"/>
              </w:rPr>
            </w:pPr>
          </w:p>
        </w:tc>
        <w:tc>
          <w:tcPr>
            <w:tcW w:w="3579" w:type="dxa"/>
            <w:vAlign w:val="center"/>
          </w:tcPr>
          <w:p>
            <w:pPr>
              <w:pStyle w:val="13"/>
              <w:spacing w:line="360" w:lineRule="auto"/>
              <w:rPr>
                <w:rFonts w:ascii="宋体" w:hAnsi="宋体" w:eastAsia="宋体" w:cs="Times New Roman"/>
                <w:color w:val="auto"/>
                <w:sz w:val="21"/>
                <w:szCs w:val="21"/>
              </w:rPr>
            </w:pPr>
          </w:p>
        </w:tc>
        <w:tc>
          <w:tcPr>
            <w:tcW w:w="1440" w:type="dxa"/>
            <w:vAlign w:val="center"/>
          </w:tcPr>
          <w:p>
            <w:pPr>
              <w:pStyle w:val="13"/>
              <w:spacing w:line="360" w:lineRule="auto"/>
              <w:rPr>
                <w:rFonts w:ascii="宋体" w:hAnsi="宋体" w:eastAsia="宋体" w:cs="Times New Roman"/>
                <w:color w:val="auto"/>
                <w:sz w:val="21"/>
                <w:szCs w:val="21"/>
              </w:rPr>
            </w:pPr>
          </w:p>
        </w:tc>
        <w:tc>
          <w:tcPr>
            <w:tcW w:w="1706" w:type="dxa"/>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13"/>
              <w:spacing w:line="360" w:lineRule="auto"/>
              <w:rPr>
                <w:rFonts w:ascii="宋体" w:hAnsi="宋体" w:eastAsia="宋体" w:cs="Times New Roman"/>
                <w:color w:val="auto"/>
                <w:sz w:val="21"/>
                <w:szCs w:val="21"/>
              </w:rPr>
            </w:pPr>
          </w:p>
        </w:tc>
        <w:tc>
          <w:tcPr>
            <w:tcW w:w="3579" w:type="dxa"/>
            <w:vAlign w:val="center"/>
          </w:tcPr>
          <w:p>
            <w:pPr>
              <w:pStyle w:val="13"/>
              <w:spacing w:line="360" w:lineRule="auto"/>
              <w:rPr>
                <w:rFonts w:ascii="宋体" w:hAnsi="宋体" w:eastAsia="宋体" w:cs="Times New Roman"/>
                <w:color w:val="auto"/>
                <w:sz w:val="21"/>
                <w:szCs w:val="21"/>
              </w:rPr>
            </w:pPr>
          </w:p>
        </w:tc>
        <w:tc>
          <w:tcPr>
            <w:tcW w:w="1440" w:type="dxa"/>
            <w:vAlign w:val="center"/>
          </w:tcPr>
          <w:p>
            <w:pPr>
              <w:pStyle w:val="13"/>
              <w:spacing w:line="360" w:lineRule="auto"/>
              <w:rPr>
                <w:rFonts w:ascii="宋体" w:hAnsi="宋体" w:eastAsia="宋体" w:cs="Times New Roman"/>
                <w:color w:val="auto"/>
                <w:sz w:val="21"/>
                <w:szCs w:val="21"/>
              </w:rPr>
            </w:pPr>
          </w:p>
        </w:tc>
        <w:tc>
          <w:tcPr>
            <w:tcW w:w="1706" w:type="dxa"/>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13"/>
              <w:spacing w:line="360" w:lineRule="auto"/>
              <w:rPr>
                <w:rFonts w:ascii="宋体" w:hAnsi="宋体" w:eastAsia="宋体" w:cs="Times New Roman"/>
                <w:color w:val="auto"/>
                <w:sz w:val="21"/>
                <w:szCs w:val="21"/>
              </w:rPr>
            </w:pPr>
          </w:p>
        </w:tc>
        <w:tc>
          <w:tcPr>
            <w:tcW w:w="3579" w:type="dxa"/>
            <w:vAlign w:val="center"/>
          </w:tcPr>
          <w:p>
            <w:pPr>
              <w:pStyle w:val="13"/>
              <w:spacing w:line="360" w:lineRule="auto"/>
              <w:rPr>
                <w:rFonts w:ascii="宋体" w:hAnsi="宋体" w:eastAsia="宋体" w:cs="Times New Roman"/>
                <w:color w:val="auto"/>
                <w:sz w:val="21"/>
                <w:szCs w:val="21"/>
              </w:rPr>
            </w:pPr>
          </w:p>
        </w:tc>
        <w:tc>
          <w:tcPr>
            <w:tcW w:w="1440" w:type="dxa"/>
            <w:vAlign w:val="center"/>
          </w:tcPr>
          <w:p>
            <w:pPr>
              <w:pStyle w:val="13"/>
              <w:spacing w:line="360" w:lineRule="auto"/>
              <w:rPr>
                <w:rFonts w:ascii="宋体" w:hAnsi="宋体" w:eastAsia="宋体" w:cs="Times New Roman"/>
                <w:color w:val="auto"/>
                <w:sz w:val="21"/>
                <w:szCs w:val="21"/>
              </w:rPr>
            </w:pPr>
          </w:p>
        </w:tc>
        <w:tc>
          <w:tcPr>
            <w:tcW w:w="1706" w:type="dxa"/>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r>
        <w:rPr>
          <w:rFonts w:cs="宋体" w:asciiTheme="minorEastAsia" w:hAnsiTheme="minorEastAsia"/>
          <w:color w:val="auto"/>
          <w:szCs w:val="21"/>
          <w:lang w:val="zh-CN"/>
        </w:rPr>
        <w:t xml:space="preserve"> </w:t>
      </w: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24"/>
          <w:szCs w:val="24"/>
        </w:rPr>
        <w:t>4.</w:t>
      </w:r>
      <w:r>
        <w:rPr>
          <w:rFonts w:hint="eastAsia" w:ascii="宋体" w:hAnsi="宋体"/>
          <w:b/>
          <w:bCs/>
          <w:color w:val="auto"/>
          <w:sz w:val="24"/>
          <w:szCs w:val="24"/>
          <w:lang w:val="en-US" w:eastAsia="zh-CN"/>
        </w:rPr>
        <w:t>5</w:t>
      </w:r>
      <w:r>
        <w:rPr>
          <w:rFonts w:hint="eastAsia" w:ascii="宋体" w:hAnsi="宋体"/>
          <w:b/>
          <w:bCs/>
          <w:color w:val="auto"/>
          <w:sz w:val="24"/>
          <w:szCs w:val="24"/>
        </w:rPr>
        <w:t xml:space="preserve"> 售后服务方案</w:t>
      </w:r>
    </w:p>
    <w:p>
      <w:pPr>
        <w:autoSpaceDE w:val="0"/>
        <w:autoSpaceDN w:val="0"/>
        <w:adjustRightInd w:val="0"/>
        <w:spacing w:line="360" w:lineRule="auto"/>
        <w:jc w:val="center"/>
        <w:rPr>
          <w:rFonts w:cs="宋体" w:asciiTheme="minorEastAsia" w:hAnsiTheme="minorEastAsia"/>
          <w:color w:val="auto"/>
          <w:szCs w:val="21"/>
          <w:lang w:val="zh-CN"/>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pStyle w:val="2"/>
        <w:ind w:firstLine="340"/>
        <w:rPr>
          <w:color w:val="auto"/>
          <w:lang w:val="zh-CN"/>
        </w:rPr>
      </w:pPr>
    </w:p>
    <w:p>
      <w:pPr>
        <w:pStyle w:val="5"/>
        <w:ind w:firstLine="48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6</w:t>
      </w:r>
      <w:r>
        <w:rPr>
          <w:rFonts w:hint="eastAsia" w:ascii="宋体" w:hAnsi="宋体"/>
          <w:b/>
          <w:bCs/>
          <w:color w:val="auto"/>
          <w:sz w:val="24"/>
          <w:szCs w:val="24"/>
        </w:rPr>
        <w:t>“节能产品政府采购品目清单”强制节能产品情况</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46"/>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654"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46"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654"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46"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54"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246"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bl>
    <w:p>
      <w:pPr>
        <w:autoSpaceDE w:val="0"/>
        <w:autoSpaceDN w:val="0"/>
        <w:adjustRightInd w:val="0"/>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r>
        <w:rPr>
          <w:rFonts w:cs="宋体" w:asciiTheme="minorEastAsia" w:hAnsiTheme="minorEastAsia"/>
          <w:color w:val="auto"/>
          <w:szCs w:val="21"/>
          <w:lang w:val="zh-CN"/>
        </w:rPr>
        <w:t xml:space="preserve"> </w:t>
      </w: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（无可不提供）</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7</w:t>
      </w:r>
      <w:r>
        <w:rPr>
          <w:rFonts w:hint="eastAsia" w:ascii="宋体" w:hAnsi="宋体"/>
          <w:b/>
          <w:bCs/>
          <w:color w:val="auto"/>
          <w:sz w:val="24"/>
          <w:szCs w:val="24"/>
        </w:rPr>
        <w:t>“节能产品政府采购品目清单”优先采购产品情况</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46"/>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Header/>
        </w:trPr>
        <w:tc>
          <w:tcPr>
            <w:tcW w:w="654"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46"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46"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654"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246"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bl>
    <w:p>
      <w:pPr>
        <w:autoSpaceDE w:val="0"/>
        <w:autoSpaceDN w:val="0"/>
        <w:adjustRightInd w:val="0"/>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投标人法定代表人（单位负责人）或授权代表签字： </w:t>
      </w:r>
    </w:p>
    <w:p>
      <w:pPr>
        <w:autoSpaceDE w:val="0"/>
        <w:autoSpaceDN w:val="0"/>
        <w:adjustRightInd w:val="0"/>
        <w:rPr>
          <w:rFonts w:cs="宋体" w:asciiTheme="minorEastAsia" w:hAnsiTheme="minorEastAsia"/>
          <w:color w:val="auto"/>
          <w:szCs w:val="21"/>
          <w:lang w:val="zh-CN"/>
        </w:rPr>
      </w:pPr>
      <w:r>
        <w:rPr>
          <w:rFonts w:hint="eastAsia" w:cs="宋体" w:asciiTheme="minorEastAsia" w:hAnsiTheme="minorEastAsia"/>
          <w:color w:val="auto"/>
          <w:szCs w:val="21"/>
          <w:lang w:val="zh-CN"/>
        </w:rPr>
        <w:t>（无可不提供）</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8</w:t>
      </w:r>
      <w:r>
        <w:rPr>
          <w:rFonts w:hint="eastAsia" w:ascii="宋体" w:hAnsi="宋体"/>
          <w:b/>
          <w:bCs/>
          <w:color w:val="auto"/>
          <w:sz w:val="24"/>
          <w:szCs w:val="24"/>
        </w:rPr>
        <w:t>“环境标志产品政府采购品目清单”优先采购产品情况</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526"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bl>
    <w:p>
      <w:pPr>
        <w:autoSpaceDE w:val="0"/>
        <w:autoSpaceDN w:val="0"/>
        <w:adjustRightInd w:val="0"/>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投标人法定代表人（单位负责人）或授权代表签字： </w:t>
      </w:r>
    </w:p>
    <w:p>
      <w:pPr>
        <w:autoSpaceDE w:val="0"/>
        <w:autoSpaceDN w:val="0"/>
        <w:adjustRightInd w:val="0"/>
        <w:rPr>
          <w:rFonts w:cs="宋体" w:asciiTheme="minorEastAsia" w:hAnsiTheme="minorEastAsia"/>
          <w:color w:val="auto"/>
          <w:szCs w:val="21"/>
          <w:lang w:val="zh-CN"/>
        </w:rPr>
      </w:pPr>
      <w:r>
        <w:rPr>
          <w:rFonts w:hint="eastAsia" w:cs="宋体" w:asciiTheme="minorEastAsia" w:hAnsiTheme="minorEastAsia"/>
          <w:color w:val="auto"/>
          <w:szCs w:val="21"/>
          <w:lang w:val="zh-CN"/>
        </w:rPr>
        <w:t>（无可不提供）</w:t>
      </w:r>
    </w:p>
    <w:p>
      <w:pPr>
        <w:pStyle w:val="2"/>
        <w:ind w:firstLine="340"/>
        <w:rPr>
          <w:color w:val="auto"/>
          <w:lang w:val="zh-CN"/>
        </w:rPr>
      </w:pPr>
    </w:p>
    <w:p>
      <w:pPr>
        <w:pStyle w:val="5"/>
        <w:ind w:firstLine="480"/>
        <w:rPr>
          <w:color w:val="auto"/>
          <w:lang w:val="zh-CN"/>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9</w:t>
      </w:r>
      <w:r>
        <w:rPr>
          <w:rFonts w:hint="eastAsia" w:ascii="宋体" w:hAnsi="宋体"/>
          <w:b/>
          <w:bCs/>
          <w:color w:val="auto"/>
          <w:sz w:val="24"/>
          <w:szCs w:val="24"/>
        </w:rPr>
        <w:t xml:space="preserve"> 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根据《工业和信息化部、国家统计局、国家发展和改革委员会、财政部关于印发中小企业划型标准规定的通知》（工信部联企业[2011]300号）规定的划分标准，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color w:val="auto"/>
          <w:szCs w:val="21"/>
        </w:rPr>
        <w:t>本公司参加</w:t>
      </w:r>
      <w:r>
        <w:rPr>
          <w:rFonts w:hint="eastAsia"/>
          <w:color w:val="auto"/>
          <w:szCs w:val="21"/>
          <w:u w:val="single"/>
        </w:rPr>
        <w:t xml:space="preserve">             </w:t>
      </w:r>
      <w:r>
        <w:rPr>
          <w:rFonts w:hint="eastAsia"/>
          <w:color w:val="auto"/>
          <w:szCs w:val="21"/>
        </w:rPr>
        <w:t>单位的</w:t>
      </w:r>
      <w:r>
        <w:rPr>
          <w:rFonts w:hint="eastAsia"/>
          <w:color w:val="auto"/>
          <w:szCs w:val="21"/>
          <w:u w:val="single"/>
        </w:rPr>
        <w:t xml:space="preserve">          项</w:t>
      </w:r>
      <w:r>
        <w:rPr>
          <w:rFonts w:hint="eastAsia"/>
          <w:color w:val="auto"/>
          <w:szCs w:val="21"/>
        </w:rPr>
        <w:t xml:space="preserve">目采购活动提供本企业制造的货物，由本企业承担工程、提供服务，或者提供其他 </w:t>
      </w:r>
      <w:r>
        <w:rPr>
          <w:rFonts w:hint="eastAsia"/>
          <w:color w:val="auto"/>
          <w:szCs w:val="21"/>
          <w:u w:val="single"/>
        </w:rPr>
        <w:t xml:space="preserve">        （</w:t>
      </w:r>
      <w:r>
        <w:rPr>
          <w:rFonts w:hint="eastAsia"/>
          <w:color w:val="auto"/>
          <w:szCs w:val="21"/>
        </w:rPr>
        <w:t>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spacing w:line="480" w:lineRule="auto"/>
        <w:ind w:left="4358" w:leftChars="2075"/>
        <w:rPr>
          <w:rFonts w:cs="Arial" w:asciiTheme="minorEastAsia" w:hAnsiTheme="minorEastAsia"/>
          <w:color w:val="auto"/>
          <w:szCs w:val="21"/>
        </w:rPr>
      </w:pPr>
      <w:r>
        <w:rPr>
          <w:rFonts w:hint="eastAsia" w:cs="Arial" w:asciiTheme="minorEastAsia" w:hAnsiTheme="minorEastAsia"/>
          <w:color w:val="auto"/>
          <w:szCs w:val="21"/>
        </w:rPr>
        <w:t>投标人名称（盖章）：　　　　　　　　　</w:t>
      </w:r>
      <w:r>
        <w:rPr>
          <w:rFonts w:hint="eastAsia" w:cs="Arial" w:asciiTheme="minorEastAsia" w:hAnsiTheme="minorEastAsia"/>
          <w:color w:val="auto"/>
          <w:szCs w:val="21"/>
        </w:rPr>
        <w:br w:type="textWrapping"/>
      </w:r>
      <w:r>
        <w:rPr>
          <w:rFonts w:hint="eastAsia" w:cs="Arial" w:asciiTheme="minorEastAsia" w:hAnsiTheme="minorEastAsia"/>
          <w:color w:val="auto"/>
          <w:szCs w:val="21"/>
        </w:rPr>
        <w:t xml:space="preserve">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年</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月</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日</w:t>
      </w: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3、小型和微型企业不包括民办非企业。</w:t>
      </w:r>
    </w:p>
    <w:p>
      <w:pPr>
        <w:rPr>
          <w:rFonts w:ascii="宋体" w:hAnsi="宋体"/>
          <w:b/>
          <w:bCs/>
          <w:color w:val="auto"/>
          <w:sz w:val="24"/>
          <w:szCs w:val="24"/>
        </w:rPr>
      </w:pPr>
      <w:bookmarkStart w:id="10" w:name="OLE_LINK13"/>
      <w:bookmarkStart w:id="11" w:name="OLE_LINK14"/>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w:t>
      </w:r>
      <w:r>
        <w:rPr>
          <w:rFonts w:hint="eastAsia" w:ascii="宋体" w:hAnsi="宋体"/>
          <w:b/>
          <w:bCs/>
          <w:color w:val="auto"/>
          <w:sz w:val="24"/>
          <w:szCs w:val="24"/>
          <w:lang w:val="en-US" w:eastAsia="zh-CN"/>
        </w:rPr>
        <w:t>0</w:t>
      </w:r>
      <w:r>
        <w:rPr>
          <w:rFonts w:hint="eastAsia" w:ascii="宋体" w:hAnsi="宋体"/>
          <w:b/>
          <w:bCs/>
          <w:color w:val="auto"/>
          <w:sz w:val="24"/>
          <w:szCs w:val="24"/>
        </w:rPr>
        <w:t xml:space="preserve"> 残疾人福利性单位声明函</w:t>
      </w:r>
    </w:p>
    <w:bookmarkEnd w:id="10"/>
    <w:bookmarkEnd w:id="11"/>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（无可不提供）</w:t>
      </w:r>
    </w:p>
    <w:p>
      <w:pPr>
        <w:spacing w:line="360" w:lineRule="auto"/>
        <w:rPr>
          <w:rFonts w:ascii="宋体" w:hAnsi="宋体"/>
          <w:color w:val="auto"/>
          <w:szCs w:val="21"/>
        </w:rPr>
      </w:pPr>
    </w:p>
    <w:p>
      <w:pPr>
        <w:spacing w:line="360" w:lineRule="auto"/>
        <w:rPr>
          <w:rFonts w:ascii="宋体" w:hAnsi="宋体"/>
          <w:color w:val="auto"/>
          <w:szCs w:val="21"/>
        </w:rPr>
      </w:pPr>
    </w:p>
    <w:p>
      <w:pPr>
        <w:spacing w:line="480" w:lineRule="auto"/>
        <w:ind w:left="4358" w:leftChars="2075"/>
        <w:rPr>
          <w:rFonts w:cs="Arial" w:asciiTheme="minorEastAsia" w:hAnsiTheme="minorEastAsia"/>
          <w:color w:val="auto"/>
          <w:szCs w:val="21"/>
        </w:rPr>
      </w:pPr>
      <w:r>
        <w:rPr>
          <w:rFonts w:hint="eastAsia" w:ascii="宋体" w:hAnsi="宋体"/>
          <w:color w:val="auto"/>
          <w:szCs w:val="21"/>
        </w:rPr>
        <w:t xml:space="preserve"> </w:t>
      </w:r>
      <w:r>
        <w:rPr>
          <w:rFonts w:hint="eastAsia" w:cs="Arial" w:asciiTheme="minorEastAsia" w:hAnsiTheme="minorEastAsia"/>
          <w:color w:val="auto"/>
          <w:szCs w:val="21"/>
        </w:rPr>
        <w:t>单位名称（公章）：</w:t>
      </w:r>
    </w:p>
    <w:p>
      <w:pPr>
        <w:spacing w:line="480" w:lineRule="auto"/>
        <w:ind w:left="4358" w:leftChars="2075"/>
        <w:rPr>
          <w:color w:val="auto"/>
        </w:rPr>
      </w:pPr>
      <w:r>
        <w:rPr>
          <w:rFonts w:hint="eastAsia" w:cs="Arial" w:asciiTheme="minorEastAsia" w:hAnsiTheme="minorEastAsia"/>
          <w:color w:val="auto"/>
          <w:szCs w:val="21"/>
        </w:rPr>
        <w:t xml:space="preserve"> 日    期：</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年</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月</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日</w:t>
      </w:r>
    </w:p>
    <w:p>
      <w:pPr>
        <w:rPr>
          <w:color w:val="auto"/>
        </w:rPr>
      </w:pPr>
    </w:p>
    <w:p>
      <w:pPr>
        <w:rPr>
          <w:color w:val="auto"/>
        </w:rPr>
      </w:pPr>
    </w:p>
    <w:p>
      <w:pPr>
        <w:rPr>
          <w:color w:val="auto"/>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w:t>
      </w:r>
      <w:r>
        <w:rPr>
          <w:rFonts w:hint="eastAsia" w:ascii="宋体" w:hAnsi="宋体"/>
          <w:b/>
          <w:bCs/>
          <w:color w:val="auto"/>
          <w:sz w:val="24"/>
          <w:szCs w:val="24"/>
          <w:lang w:val="en-US" w:eastAsia="zh-CN"/>
        </w:rPr>
        <w:t>1</w:t>
      </w:r>
      <w:r>
        <w:rPr>
          <w:rFonts w:hint="eastAsia" w:ascii="宋体" w:hAnsi="宋体"/>
          <w:b/>
          <w:bCs/>
          <w:color w:val="auto"/>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s="Arial"/>
          <w:color w:val="auto"/>
          <w:kern w:val="0"/>
          <w:szCs w:val="21"/>
        </w:rPr>
      </w:pPr>
      <w:r>
        <w:rPr>
          <w:rFonts w:hint="eastAsia" w:ascii="宋体" w:hAnsi="宋体" w:cs="Arial"/>
          <w:color w:val="auto"/>
          <w:kern w:val="0"/>
          <w:szCs w:val="21"/>
        </w:rPr>
        <w:t>投标人所投产品涉及国家有属强制性规定的，须承诺其所投产品符合国家强制性要求（如CCC认证，格式自拟）</w:t>
      </w:r>
    </w:p>
    <w:p>
      <w:pPr>
        <w:spacing w:line="360" w:lineRule="auto"/>
        <w:jc w:val="left"/>
        <w:rPr>
          <w:rFonts w:ascii="宋体" w:hAnsi="宋体" w:cs="Arial"/>
          <w:color w:val="auto"/>
          <w:kern w:val="0"/>
          <w:szCs w:val="21"/>
        </w:rPr>
      </w:pPr>
      <w:r>
        <w:rPr>
          <w:rFonts w:hint="eastAsia" w:ascii="宋体" w:hAnsi="宋体" w:cs="Arial"/>
          <w:color w:val="auto"/>
          <w:kern w:val="0"/>
          <w:szCs w:val="21"/>
        </w:rPr>
        <w:t>附参考格式：</w:t>
      </w:r>
    </w:p>
    <w:p>
      <w:pPr>
        <w:spacing w:line="360" w:lineRule="auto"/>
        <w:ind w:firstLine="602"/>
        <w:jc w:val="center"/>
        <w:rPr>
          <w:rFonts w:ascii="宋体" w:hAnsi="宋体" w:cs="Arial"/>
          <w:color w:val="auto"/>
          <w:kern w:val="0"/>
          <w:szCs w:val="21"/>
        </w:rPr>
      </w:pPr>
      <w:r>
        <w:rPr>
          <w:rFonts w:hint="eastAsia" w:ascii="宋体" w:hAnsi="宋体"/>
          <w:b/>
          <w:bCs/>
          <w:color w:val="auto"/>
          <w:szCs w:val="21"/>
        </w:rPr>
        <w:t>承诺函</w:t>
      </w:r>
    </w:p>
    <w:p>
      <w:pPr>
        <w:spacing w:line="360" w:lineRule="auto"/>
        <w:ind w:firstLine="420" w:firstLineChars="200"/>
        <w:jc w:val="left"/>
        <w:rPr>
          <w:rFonts w:ascii="宋体" w:hAnsi="宋体" w:cs="Arial"/>
          <w:color w:val="auto"/>
          <w:kern w:val="0"/>
          <w:szCs w:val="21"/>
        </w:rPr>
      </w:pPr>
      <w:r>
        <w:rPr>
          <w:rFonts w:hint="eastAsia" w:ascii="宋体" w:hAnsi="宋体" w:cs="Arial"/>
          <w:color w:val="auto"/>
          <w:kern w:val="0"/>
          <w:szCs w:val="21"/>
        </w:rPr>
        <w:t>我公司承诺，如我公司所投产品涉及国家有属强制性、信息安全产品强制性规定的，则所投产品均采用《中华民共和国实施强制性产品认证的产品目录》、《信息安全产品强制性认证目录》并在有效期内的产品，均符合国家强制性要求。</w:t>
      </w:r>
    </w:p>
    <w:p>
      <w:pPr>
        <w:spacing w:line="360" w:lineRule="auto"/>
        <w:ind w:firstLine="3956" w:firstLineChars="1884"/>
        <w:rPr>
          <w:rFonts w:ascii="宋体" w:hAnsi="宋体"/>
          <w:color w:val="auto"/>
          <w:szCs w:val="21"/>
        </w:rPr>
      </w:pPr>
    </w:p>
    <w:p>
      <w:pPr>
        <w:autoSpaceDE w:val="0"/>
        <w:autoSpaceDN w:val="0"/>
        <w:adjustRightInd w:val="0"/>
        <w:spacing w:line="480" w:lineRule="auto"/>
        <w:ind w:firstLine="1680" w:firstLineChars="800"/>
        <w:rPr>
          <w:rFonts w:ascii="宋体" w:hAnsi="宋体" w:cs="宋体"/>
          <w:color w:val="auto"/>
          <w:szCs w:val="21"/>
          <w:lang w:val="zh-CN"/>
        </w:rPr>
      </w:pPr>
      <w:r>
        <w:rPr>
          <w:rFonts w:hint="eastAsia" w:ascii="宋体" w:hAnsi="宋体" w:cs="宋体"/>
          <w:color w:val="auto"/>
          <w:szCs w:val="21"/>
          <w:lang w:val="zh-CN"/>
        </w:rPr>
        <w:t>投标</w:t>
      </w:r>
      <w:r>
        <w:rPr>
          <w:rFonts w:ascii="宋体" w:hAnsi="宋体" w:cs="宋体"/>
          <w:color w:val="auto"/>
          <w:szCs w:val="21"/>
          <w:lang w:val="zh-CN"/>
        </w:rPr>
        <w:t>人名称</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lang w:val="zh-CN"/>
        </w:rPr>
        <w:t>公章）</w:t>
      </w:r>
    </w:p>
    <w:p>
      <w:pPr>
        <w:widowControl/>
        <w:spacing w:before="100" w:beforeAutospacing="1" w:after="100" w:afterAutospacing="1" w:line="360" w:lineRule="auto"/>
        <w:ind w:firstLine="1680" w:firstLineChars="800"/>
        <w:rPr>
          <w:rFonts w:ascii="宋体" w:hAnsi="宋体"/>
          <w:b/>
          <w:bCs/>
          <w:color w:val="auto"/>
          <w:szCs w:val="21"/>
        </w:rPr>
      </w:pPr>
      <w:r>
        <w:rPr>
          <w:rFonts w:hint="eastAsia" w:ascii="宋体" w:hAnsi="宋体"/>
          <w:color w:val="auto"/>
          <w:szCs w:val="21"/>
        </w:rPr>
        <w:t>日    期：</w:t>
      </w:r>
      <w:r>
        <w:rPr>
          <w:rFonts w:hint="eastAsia" w:ascii="宋体" w:hAnsi="宋体"/>
          <w:color w:val="auto"/>
          <w:szCs w:val="21"/>
          <w:u w:val="single"/>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color w:val="auto"/>
        </w:rPr>
      </w:pPr>
      <w:r>
        <w:rPr>
          <w:rFonts w:ascii="宋体" w:hAnsi="宋体"/>
          <w:b/>
          <w:bCs/>
          <w:color w:val="auto"/>
          <w:szCs w:val="21"/>
        </w:rPr>
        <w:t>除招标文件另有规定外，投标人认为需要提交的其他证明材料或资料加盖投标人的单位公章后应在此项下提交。</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1263B33"/>
    <w:multiLevelType w:val="singleLevel"/>
    <w:tmpl w:val="11263B33"/>
    <w:lvl w:ilvl="0" w:tentative="0">
      <w:start w:val="4"/>
      <w:numFmt w:val="decimal"/>
      <w:suff w:val="nothing"/>
      <w:lvlText w:val="%1、"/>
      <w:lvlJc w:val="left"/>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CC3004A"/>
    <w:multiLevelType w:val="multilevel"/>
    <w:tmpl w:val="2CC3004A"/>
    <w:lvl w:ilvl="0" w:tentative="0">
      <w:start w:val="35"/>
      <w:numFmt w:val="decimal"/>
      <w:lvlText w:val="%1"/>
      <w:lvlJc w:val="left"/>
      <w:pPr>
        <w:ind w:left="432" w:hanging="432"/>
      </w:pPr>
      <w:rPr>
        <w:rFonts w:hint="default"/>
      </w:rPr>
    </w:lvl>
    <w:lvl w:ilvl="1" w:tentative="0">
      <w:start w:val="1"/>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0246CB1"/>
    <w:multiLevelType w:val="multilevel"/>
    <w:tmpl w:val="40246CB1"/>
    <w:lvl w:ilvl="0" w:tentative="0">
      <w:start w:val="34"/>
      <w:numFmt w:val="decimal"/>
      <w:lvlText w:val="%1"/>
      <w:lvlJc w:val="left"/>
      <w:pPr>
        <w:ind w:left="432" w:hanging="432"/>
      </w:pPr>
      <w:rPr>
        <w:rFonts w:hint="default"/>
      </w:rPr>
    </w:lvl>
    <w:lvl w:ilvl="1" w:tentative="0">
      <w:start w:val="7"/>
      <w:numFmt w:val="decimal"/>
      <w:lvlText w:val="%1.%2"/>
      <w:lvlJc w:val="left"/>
      <w:pPr>
        <w:ind w:left="1396" w:hanging="432"/>
      </w:pPr>
      <w:rPr>
        <w:rFonts w:hint="default"/>
      </w:rPr>
    </w:lvl>
    <w:lvl w:ilvl="2" w:tentative="0">
      <w:start w:val="1"/>
      <w:numFmt w:val="decimal"/>
      <w:lvlText w:val="%1.%2.%3"/>
      <w:lvlJc w:val="left"/>
      <w:pPr>
        <w:ind w:left="2648" w:hanging="720"/>
      </w:pPr>
      <w:rPr>
        <w:rFonts w:hint="default"/>
      </w:rPr>
    </w:lvl>
    <w:lvl w:ilvl="3" w:tentative="0">
      <w:start w:val="1"/>
      <w:numFmt w:val="decimal"/>
      <w:lvlText w:val="%1.%2.%3.%4"/>
      <w:lvlJc w:val="left"/>
      <w:pPr>
        <w:ind w:left="3972" w:hanging="1080"/>
      </w:pPr>
      <w:rPr>
        <w:rFonts w:hint="default"/>
      </w:rPr>
    </w:lvl>
    <w:lvl w:ilvl="4" w:tentative="0">
      <w:start w:val="1"/>
      <w:numFmt w:val="decimal"/>
      <w:lvlText w:val="%1.%2.%3.%4.%5"/>
      <w:lvlJc w:val="left"/>
      <w:pPr>
        <w:ind w:left="4936" w:hanging="1080"/>
      </w:pPr>
      <w:rPr>
        <w:rFonts w:hint="default"/>
      </w:rPr>
    </w:lvl>
    <w:lvl w:ilvl="5" w:tentative="0">
      <w:start w:val="1"/>
      <w:numFmt w:val="decimal"/>
      <w:lvlText w:val="%1.%2.%3.%4.%5.%6"/>
      <w:lvlJc w:val="left"/>
      <w:pPr>
        <w:ind w:left="6260" w:hanging="1440"/>
      </w:pPr>
      <w:rPr>
        <w:rFonts w:hint="default"/>
      </w:rPr>
    </w:lvl>
    <w:lvl w:ilvl="6" w:tentative="0">
      <w:start w:val="1"/>
      <w:numFmt w:val="decimal"/>
      <w:lvlText w:val="%1.%2.%3.%4.%5.%6.%7"/>
      <w:lvlJc w:val="left"/>
      <w:pPr>
        <w:ind w:left="7224" w:hanging="1440"/>
      </w:pPr>
      <w:rPr>
        <w:rFonts w:hint="default"/>
      </w:rPr>
    </w:lvl>
    <w:lvl w:ilvl="7" w:tentative="0">
      <w:start w:val="1"/>
      <w:numFmt w:val="decimal"/>
      <w:lvlText w:val="%1.%2.%3.%4.%5.%6.%7.%8"/>
      <w:lvlJc w:val="left"/>
      <w:pPr>
        <w:ind w:left="8548" w:hanging="1800"/>
      </w:pPr>
      <w:rPr>
        <w:rFonts w:hint="default"/>
      </w:rPr>
    </w:lvl>
    <w:lvl w:ilvl="8" w:tentative="0">
      <w:start w:val="1"/>
      <w:numFmt w:val="decimal"/>
      <w:lvlText w:val="%1.%2.%3.%4.%5.%6.%7.%8.%9"/>
      <w:lvlJc w:val="left"/>
      <w:pPr>
        <w:ind w:left="9512" w:hanging="1800"/>
      </w:pPr>
      <w:rPr>
        <w:rFonts w:hint="default"/>
      </w:rPr>
    </w:lvl>
  </w:abstractNum>
  <w:abstractNum w:abstractNumId="12">
    <w:nsid w:val="4A4D31A5"/>
    <w:multiLevelType w:val="multilevel"/>
    <w:tmpl w:val="4A4D31A5"/>
    <w:lvl w:ilvl="0" w:tentative="0">
      <w:start w:val="36"/>
      <w:numFmt w:val="decimal"/>
      <w:lvlText w:val="%1"/>
      <w:lvlJc w:val="left"/>
      <w:pPr>
        <w:ind w:left="432" w:hanging="432"/>
      </w:pPr>
      <w:rPr>
        <w:rFonts w:hint="default"/>
      </w:rPr>
    </w:lvl>
    <w:lvl w:ilvl="1" w:tentative="0">
      <w:start w:val="2"/>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E8"/>
    <w:multiLevelType w:val="singleLevel"/>
    <w:tmpl w:val="59F817E8"/>
    <w:lvl w:ilvl="0" w:tentative="0">
      <w:start w:val="1"/>
      <w:numFmt w:val="chineseCounting"/>
      <w:pStyle w:val="56"/>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3"/>
  </w:num>
  <w:num w:numId="5">
    <w:abstractNumId w:val="8"/>
  </w:num>
  <w:num w:numId="6">
    <w:abstractNumId w:val="15"/>
  </w:num>
  <w:num w:numId="7">
    <w:abstractNumId w:val="5"/>
  </w:num>
  <w:num w:numId="8">
    <w:abstractNumId w:val="6"/>
  </w:num>
  <w:num w:numId="9">
    <w:abstractNumId w:val="17"/>
  </w:num>
  <w:num w:numId="10">
    <w:abstractNumId w:val="10"/>
  </w:num>
  <w:num w:numId="11">
    <w:abstractNumId w:val="16"/>
  </w:num>
  <w:num w:numId="12">
    <w:abstractNumId w:val="4"/>
  </w:num>
  <w:num w:numId="13">
    <w:abstractNumId w:val="7"/>
  </w:num>
  <w:num w:numId="14">
    <w:abstractNumId w:val="13"/>
  </w:num>
  <w:num w:numId="15">
    <w:abstractNumId w:val="11"/>
  </w:num>
  <w:num w:numId="16">
    <w:abstractNumId w:val="9"/>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4C"/>
    <w:rsid w:val="0000348E"/>
    <w:rsid w:val="0001333C"/>
    <w:rsid w:val="0001370A"/>
    <w:rsid w:val="00032E32"/>
    <w:rsid w:val="000332D6"/>
    <w:rsid w:val="000346ED"/>
    <w:rsid w:val="0005361A"/>
    <w:rsid w:val="000576C2"/>
    <w:rsid w:val="00072CA8"/>
    <w:rsid w:val="00073D7B"/>
    <w:rsid w:val="00075D7D"/>
    <w:rsid w:val="000779E8"/>
    <w:rsid w:val="00077E62"/>
    <w:rsid w:val="00080F36"/>
    <w:rsid w:val="00085F8B"/>
    <w:rsid w:val="0008676F"/>
    <w:rsid w:val="000873AE"/>
    <w:rsid w:val="000928D7"/>
    <w:rsid w:val="00094EAD"/>
    <w:rsid w:val="000A3A1C"/>
    <w:rsid w:val="000A4572"/>
    <w:rsid w:val="000A7254"/>
    <w:rsid w:val="000B5686"/>
    <w:rsid w:val="000D07EA"/>
    <w:rsid w:val="000D2DED"/>
    <w:rsid w:val="000D39AC"/>
    <w:rsid w:val="00100BEF"/>
    <w:rsid w:val="001013D9"/>
    <w:rsid w:val="0010571F"/>
    <w:rsid w:val="00117B60"/>
    <w:rsid w:val="00121820"/>
    <w:rsid w:val="00121E2F"/>
    <w:rsid w:val="00133EDE"/>
    <w:rsid w:val="00136F70"/>
    <w:rsid w:val="00142DB6"/>
    <w:rsid w:val="00152A00"/>
    <w:rsid w:val="00156EC1"/>
    <w:rsid w:val="00160E65"/>
    <w:rsid w:val="00162C1E"/>
    <w:rsid w:val="00186E73"/>
    <w:rsid w:val="00193AA4"/>
    <w:rsid w:val="001D4207"/>
    <w:rsid w:val="001E7C2C"/>
    <w:rsid w:val="001F2404"/>
    <w:rsid w:val="001F5571"/>
    <w:rsid w:val="00203BE3"/>
    <w:rsid w:val="00210796"/>
    <w:rsid w:val="00210C2B"/>
    <w:rsid w:val="00210FCB"/>
    <w:rsid w:val="00236A39"/>
    <w:rsid w:val="00250C01"/>
    <w:rsid w:val="00257D9A"/>
    <w:rsid w:val="00293C27"/>
    <w:rsid w:val="002945DA"/>
    <w:rsid w:val="002A5B82"/>
    <w:rsid w:val="002C7916"/>
    <w:rsid w:val="002D4951"/>
    <w:rsid w:val="002E2CED"/>
    <w:rsid w:val="002F3A7B"/>
    <w:rsid w:val="002F4123"/>
    <w:rsid w:val="003033ED"/>
    <w:rsid w:val="003044A3"/>
    <w:rsid w:val="0030642B"/>
    <w:rsid w:val="00320DAC"/>
    <w:rsid w:val="00323356"/>
    <w:rsid w:val="003242B4"/>
    <w:rsid w:val="003305F9"/>
    <w:rsid w:val="003322B1"/>
    <w:rsid w:val="00335F83"/>
    <w:rsid w:val="00337912"/>
    <w:rsid w:val="00351EEC"/>
    <w:rsid w:val="003552A2"/>
    <w:rsid w:val="00372961"/>
    <w:rsid w:val="0038333D"/>
    <w:rsid w:val="00390295"/>
    <w:rsid w:val="003B75ED"/>
    <w:rsid w:val="003C141C"/>
    <w:rsid w:val="003C3F03"/>
    <w:rsid w:val="003C73DF"/>
    <w:rsid w:val="003C7F5A"/>
    <w:rsid w:val="003F5CD2"/>
    <w:rsid w:val="00406170"/>
    <w:rsid w:val="00407C7E"/>
    <w:rsid w:val="00410B93"/>
    <w:rsid w:val="00414383"/>
    <w:rsid w:val="004207F8"/>
    <w:rsid w:val="004219F1"/>
    <w:rsid w:val="00422114"/>
    <w:rsid w:val="0044305C"/>
    <w:rsid w:val="004438F4"/>
    <w:rsid w:val="00461483"/>
    <w:rsid w:val="00473ADD"/>
    <w:rsid w:val="00475F27"/>
    <w:rsid w:val="00476C13"/>
    <w:rsid w:val="0049118D"/>
    <w:rsid w:val="004A1AF2"/>
    <w:rsid w:val="004A383B"/>
    <w:rsid w:val="004A4195"/>
    <w:rsid w:val="004A50CC"/>
    <w:rsid w:val="004A7643"/>
    <w:rsid w:val="004B054D"/>
    <w:rsid w:val="004E07F6"/>
    <w:rsid w:val="004E0F6D"/>
    <w:rsid w:val="004E5765"/>
    <w:rsid w:val="004F121A"/>
    <w:rsid w:val="004F14A8"/>
    <w:rsid w:val="004F1C5F"/>
    <w:rsid w:val="004F32A0"/>
    <w:rsid w:val="004F7AD2"/>
    <w:rsid w:val="00501891"/>
    <w:rsid w:val="00502AB6"/>
    <w:rsid w:val="00515F85"/>
    <w:rsid w:val="0051604F"/>
    <w:rsid w:val="0052728E"/>
    <w:rsid w:val="005316FF"/>
    <w:rsid w:val="0054649B"/>
    <w:rsid w:val="00550D0B"/>
    <w:rsid w:val="00575D26"/>
    <w:rsid w:val="0057676D"/>
    <w:rsid w:val="0058008A"/>
    <w:rsid w:val="00581765"/>
    <w:rsid w:val="0058369C"/>
    <w:rsid w:val="0058393C"/>
    <w:rsid w:val="0058525C"/>
    <w:rsid w:val="0059255C"/>
    <w:rsid w:val="005A39DD"/>
    <w:rsid w:val="005A4753"/>
    <w:rsid w:val="005B0C29"/>
    <w:rsid w:val="005B52B6"/>
    <w:rsid w:val="005C0CF5"/>
    <w:rsid w:val="005C3AE6"/>
    <w:rsid w:val="005C4157"/>
    <w:rsid w:val="005C5F5B"/>
    <w:rsid w:val="005C67C8"/>
    <w:rsid w:val="005E534D"/>
    <w:rsid w:val="005F225E"/>
    <w:rsid w:val="00600306"/>
    <w:rsid w:val="006078AC"/>
    <w:rsid w:val="00614340"/>
    <w:rsid w:val="006303FC"/>
    <w:rsid w:val="00630CA6"/>
    <w:rsid w:val="00634FA0"/>
    <w:rsid w:val="00636AAD"/>
    <w:rsid w:val="00642CFC"/>
    <w:rsid w:val="006503D0"/>
    <w:rsid w:val="0066419E"/>
    <w:rsid w:val="00664B95"/>
    <w:rsid w:val="00667B6D"/>
    <w:rsid w:val="00673B96"/>
    <w:rsid w:val="0067566A"/>
    <w:rsid w:val="0067738B"/>
    <w:rsid w:val="00680752"/>
    <w:rsid w:val="0068663A"/>
    <w:rsid w:val="006907F7"/>
    <w:rsid w:val="00692F08"/>
    <w:rsid w:val="00693F99"/>
    <w:rsid w:val="006B7982"/>
    <w:rsid w:val="006C212E"/>
    <w:rsid w:val="006D10FD"/>
    <w:rsid w:val="006D5FEB"/>
    <w:rsid w:val="006D7001"/>
    <w:rsid w:val="006D77A9"/>
    <w:rsid w:val="006E145E"/>
    <w:rsid w:val="006E1AB0"/>
    <w:rsid w:val="006E6704"/>
    <w:rsid w:val="00702C35"/>
    <w:rsid w:val="0071006A"/>
    <w:rsid w:val="00717D9E"/>
    <w:rsid w:val="0072406E"/>
    <w:rsid w:val="00726C6C"/>
    <w:rsid w:val="00736DA8"/>
    <w:rsid w:val="00736FD5"/>
    <w:rsid w:val="00750835"/>
    <w:rsid w:val="00752686"/>
    <w:rsid w:val="00765BB6"/>
    <w:rsid w:val="00770487"/>
    <w:rsid w:val="00784A09"/>
    <w:rsid w:val="00794F26"/>
    <w:rsid w:val="00797C1A"/>
    <w:rsid w:val="007A1275"/>
    <w:rsid w:val="007B2C8A"/>
    <w:rsid w:val="007B4CF8"/>
    <w:rsid w:val="007C2902"/>
    <w:rsid w:val="007C32AE"/>
    <w:rsid w:val="007C3980"/>
    <w:rsid w:val="007D71A1"/>
    <w:rsid w:val="007E0E82"/>
    <w:rsid w:val="007F4CBA"/>
    <w:rsid w:val="007F6674"/>
    <w:rsid w:val="00807B25"/>
    <w:rsid w:val="00812F0F"/>
    <w:rsid w:val="00815A8A"/>
    <w:rsid w:val="00823F0C"/>
    <w:rsid w:val="00835490"/>
    <w:rsid w:val="0084403D"/>
    <w:rsid w:val="00845044"/>
    <w:rsid w:val="00845E73"/>
    <w:rsid w:val="00847441"/>
    <w:rsid w:val="00847494"/>
    <w:rsid w:val="008539D3"/>
    <w:rsid w:val="008543A6"/>
    <w:rsid w:val="0087048A"/>
    <w:rsid w:val="00872B2B"/>
    <w:rsid w:val="00875AAF"/>
    <w:rsid w:val="00892943"/>
    <w:rsid w:val="008A5A2E"/>
    <w:rsid w:val="008B01DC"/>
    <w:rsid w:val="008B132A"/>
    <w:rsid w:val="008B5CD5"/>
    <w:rsid w:val="008B7021"/>
    <w:rsid w:val="008D0201"/>
    <w:rsid w:val="008D2D0F"/>
    <w:rsid w:val="008E0A0C"/>
    <w:rsid w:val="008E7B4D"/>
    <w:rsid w:val="008F09C7"/>
    <w:rsid w:val="008F0CB1"/>
    <w:rsid w:val="0091312B"/>
    <w:rsid w:val="009164E8"/>
    <w:rsid w:val="00922773"/>
    <w:rsid w:val="0092652B"/>
    <w:rsid w:val="00951B07"/>
    <w:rsid w:val="00956A32"/>
    <w:rsid w:val="00960738"/>
    <w:rsid w:val="009623EE"/>
    <w:rsid w:val="00962400"/>
    <w:rsid w:val="0097388D"/>
    <w:rsid w:val="0097473D"/>
    <w:rsid w:val="00991EE9"/>
    <w:rsid w:val="009A0AC9"/>
    <w:rsid w:val="009B61E8"/>
    <w:rsid w:val="009B78D5"/>
    <w:rsid w:val="009C12AB"/>
    <w:rsid w:val="009C2826"/>
    <w:rsid w:val="009D4208"/>
    <w:rsid w:val="009D76D2"/>
    <w:rsid w:val="009E01A6"/>
    <w:rsid w:val="009E0C30"/>
    <w:rsid w:val="00A04493"/>
    <w:rsid w:val="00A04AFF"/>
    <w:rsid w:val="00A22272"/>
    <w:rsid w:val="00A24AAD"/>
    <w:rsid w:val="00A305AC"/>
    <w:rsid w:val="00A33B8B"/>
    <w:rsid w:val="00A353C4"/>
    <w:rsid w:val="00A362A7"/>
    <w:rsid w:val="00A57B03"/>
    <w:rsid w:val="00A678FE"/>
    <w:rsid w:val="00A831A1"/>
    <w:rsid w:val="00AA4948"/>
    <w:rsid w:val="00AA75E5"/>
    <w:rsid w:val="00AB190E"/>
    <w:rsid w:val="00AB1F1D"/>
    <w:rsid w:val="00AB4864"/>
    <w:rsid w:val="00AC4FB4"/>
    <w:rsid w:val="00AD282C"/>
    <w:rsid w:val="00AD4239"/>
    <w:rsid w:val="00AE565E"/>
    <w:rsid w:val="00AF47D5"/>
    <w:rsid w:val="00B03A69"/>
    <w:rsid w:val="00B055BE"/>
    <w:rsid w:val="00B11230"/>
    <w:rsid w:val="00B14B8C"/>
    <w:rsid w:val="00B15E4D"/>
    <w:rsid w:val="00B16D9F"/>
    <w:rsid w:val="00B17CC3"/>
    <w:rsid w:val="00B27CFA"/>
    <w:rsid w:val="00B310D0"/>
    <w:rsid w:val="00B37B50"/>
    <w:rsid w:val="00B40EF5"/>
    <w:rsid w:val="00B510F5"/>
    <w:rsid w:val="00B54144"/>
    <w:rsid w:val="00B542D5"/>
    <w:rsid w:val="00B54904"/>
    <w:rsid w:val="00B622EF"/>
    <w:rsid w:val="00B67CBD"/>
    <w:rsid w:val="00B750A7"/>
    <w:rsid w:val="00B855ED"/>
    <w:rsid w:val="00B965F2"/>
    <w:rsid w:val="00BC0D9C"/>
    <w:rsid w:val="00BC0DFC"/>
    <w:rsid w:val="00BC15D9"/>
    <w:rsid w:val="00BD1C8B"/>
    <w:rsid w:val="00BD1EE7"/>
    <w:rsid w:val="00BE0DFE"/>
    <w:rsid w:val="00BE45BC"/>
    <w:rsid w:val="00BF54FA"/>
    <w:rsid w:val="00C00BB2"/>
    <w:rsid w:val="00C01C37"/>
    <w:rsid w:val="00C1406D"/>
    <w:rsid w:val="00C21C83"/>
    <w:rsid w:val="00C247A1"/>
    <w:rsid w:val="00C346D7"/>
    <w:rsid w:val="00C43250"/>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CF6C93"/>
    <w:rsid w:val="00D00C7D"/>
    <w:rsid w:val="00D023F6"/>
    <w:rsid w:val="00D050D2"/>
    <w:rsid w:val="00D12D19"/>
    <w:rsid w:val="00D30D28"/>
    <w:rsid w:val="00D30DA0"/>
    <w:rsid w:val="00D379BE"/>
    <w:rsid w:val="00D40594"/>
    <w:rsid w:val="00D530CE"/>
    <w:rsid w:val="00D60D1B"/>
    <w:rsid w:val="00D62B97"/>
    <w:rsid w:val="00D63CA1"/>
    <w:rsid w:val="00D678D3"/>
    <w:rsid w:val="00D76299"/>
    <w:rsid w:val="00D76C9F"/>
    <w:rsid w:val="00D95F07"/>
    <w:rsid w:val="00DA1077"/>
    <w:rsid w:val="00DA62F5"/>
    <w:rsid w:val="00DB5925"/>
    <w:rsid w:val="00DB7E57"/>
    <w:rsid w:val="00DC3E97"/>
    <w:rsid w:val="00DC67C5"/>
    <w:rsid w:val="00DD3287"/>
    <w:rsid w:val="00DD54FE"/>
    <w:rsid w:val="00DD71B6"/>
    <w:rsid w:val="00DE31AB"/>
    <w:rsid w:val="00DE7D93"/>
    <w:rsid w:val="00DF0C77"/>
    <w:rsid w:val="00E16F31"/>
    <w:rsid w:val="00E20746"/>
    <w:rsid w:val="00E22858"/>
    <w:rsid w:val="00E22909"/>
    <w:rsid w:val="00E34F3B"/>
    <w:rsid w:val="00E4000B"/>
    <w:rsid w:val="00E432D5"/>
    <w:rsid w:val="00E45215"/>
    <w:rsid w:val="00E574F2"/>
    <w:rsid w:val="00E650E5"/>
    <w:rsid w:val="00E86264"/>
    <w:rsid w:val="00E90D3A"/>
    <w:rsid w:val="00EA645B"/>
    <w:rsid w:val="00EA64C2"/>
    <w:rsid w:val="00EB1100"/>
    <w:rsid w:val="00EC7B35"/>
    <w:rsid w:val="00EE78AB"/>
    <w:rsid w:val="00EF2ACD"/>
    <w:rsid w:val="00EF46ED"/>
    <w:rsid w:val="00EF573C"/>
    <w:rsid w:val="00EF7D19"/>
    <w:rsid w:val="00F04153"/>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598"/>
    <w:rsid w:val="00FC3B84"/>
    <w:rsid w:val="00FD69AC"/>
    <w:rsid w:val="00FF620F"/>
    <w:rsid w:val="00FF6F49"/>
    <w:rsid w:val="019D216C"/>
    <w:rsid w:val="02A24009"/>
    <w:rsid w:val="03B661F9"/>
    <w:rsid w:val="048C256D"/>
    <w:rsid w:val="04D47758"/>
    <w:rsid w:val="05131321"/>
    <w:rsid w:val="05BB2795"/>
    <w:rsid w:val="08145EFE"/>
    <w:rsid w:val="08502015"/>
    <w:rsid w:val="08AD0285"/>
    <w:rsid w:val="096C4ADF"/>
    <w:rsid w:val="09E423E7"/>
    <w:rsid w:val="0A256AD0"/>
    <w:rsid w:val="0B9841A4"/>
    <w:rsid w:val="0CB83A44"/>
    <w:rsid w:val="0CD033A4"/>
    <w:rsid w:val="0D054583"/>
    <w:rsid w:val="0E8E608A"/>
    <w:rsid w:val="0EC14515"/>
    <w:rsid w:val="0F460E38"/>
    <w:rsid w:val="0FFA76C7"/>
    <w:rsid w:val="104662C8"/>
    <w:rsid w:val="10842743"/>
    <w:rsid w:val="109434C8"/>
    <w:rsid w:val="12273B71"/>
    <w:rsid w:val="122B7C82"/>
    <w:rsid w:val="12A54DE9"/>
    <w:rsid w:val="17346E7C"/>
    <w:rsid w:val="18851FE0"/>
    <w:rsid w:val="1943779A"/>
    <w:rsid w:val="195F2E14"/>
    <w:rsid w:val="199A7ED8"/>
    <w:rsid w:val="1B066F8F"/>
    <w:rsid w:val="1B0D3689"/>
    <w:rsid w:val="1B257426"/>
    <w:rsid w:val="1C890FDB"/>
    <w:rsid w:val="1C986EB2"/>
    <w:rsid w:val="1D157D61"/>
    <w:rsid w:val="1D633426"/>
    <w:rsid w:val="1D7E1666"/>
    <w:rsid w:val="1D9F0B00"/>
    <w:rsid w:val="1E8A0A99"/>
    <w:rsid w:val="1EDF51F9"/>
    <w:rsid w:val="1F5D2EE1"/>
    <w:rsid w:val="1FE75EDA"/>
    <w:rsid w:val="21F127E9"/>
    <w:rsid w:val="23ED769A"/>
    <w:rsid w:val="23F17E02"/>
    <w:rsid w:val="24B95060"/>
    <w:rsid w:val="25A81239"/>
    <w:rsid w:val="26D111F1"/>
    <w:rsid w:val="27381550"/>
    <w:rsid w:val="28B76B26"/>
    <w:rsid w:val="2A0200B3"/>
    <w:rsid w:val="2A661DB2"/>
    <w:rsid w:val="2AE27966"/>
    <w:rsid w:val="2AF12B53"/>
    <w:rsid w:val="2B0F6EBA"/>
    <w:rsid w:val="2B1849DE"/>
    <w:rsid w:val="2B365FC2"/>
    <w:rsid w:val="2B77704F"/>
    <w:rsid w:val="2BD11150"/>
    <w:rsid w:val="2D6A1503"/>
    <w:rsid w:val="2E657515"/>
    <w:rsid w:val="2E7E3C4B"/>
    <w:rsid w:val="2E8D663C"/>
    <w:rsid w:val="2E983AFA"/>
    <w:rsid w:val="2F01517A"/>
    <w:rsid w:val="2F031303"/>
    <w:rsid w:val="2F6F3120"/>
    <w:rsid w:val="301407D7"/>
    <w:rsid w:val="303B5E50"/>
    <w:rsid w:val="33574899"/>
    <w:rsid w:val="33E1789D"/>
    <w:rsid w:val="33F80612"/>
    <w:rsid w:val="34184A06"/>
    <w:rsid w:val="341A04E6"/>
    <w:rsid w:val="342734BB"/>
    <w:rsid w:val="347A56EB"/>
    <w:rsid w:val="35CE35B2"/>
    <w:rsid w:val="377F0E97"/>
    <w:rsid w:val="37B47891"/>
    <w:rsid w:val="38527402"/>
    <w:rsid w:val="388E10AE"/>
    <w:rsid w:val="38C87AE2"/>
    <w:rsid w:val="393C2AFC"/>
    <w:rsid w:val="39A67740"/>
    <w:rsid w:val="39DC1B4F"/>
    <w:rsid w:val="39E51E52"/>
    <w:rsid w:val="3A38097B"/>
    <w:rsid w:val="3A821F24"/>
    <w:rsid w:val="3AC6724B"/>
    <w:rsid w:val="3AE445D6"/>
    <w:rsid w:val="3B3B6645"/>
    <w:rsid w:val="3B720BF0"/>
    <w:rsid w:val="3BA32365"/>
    <w:rsid w:val="3C5A2563"/>
    <w:rsid w:val="3CDA6DBE"/>
    <w:rsid w:val="3E5F3607"/>
    <w:rsid w:val="3EB10950"/>
    <w:rsid w:val="3F610FE0"/>
    <w:rsid w:val="3F9D22CE"/>
    <w:rsid w:val="413342DE"/>
    <w:rsid w:val="41E74109"/>
    <w:rsid w:val="428A707A"/>
    <w:rsid w:val="42C4680B"/>
    <w:rsid w:val="431D37B7"/>
    <w:rsid w:val="43B75C8F"/>
    <w:rsid w:val="448A378A"/>
    <w:rsid w:val="44B7229C"/>
    <w:rsid w:val="45C04F71"/>
    <w:rsid w:val="47395B0A"/>
    <w:rsid w:val="4744231D"/>
    <w:rsid w:val="477A3E5B"/>
    <w:rsid w:val="478A024E"/>
    <w:rsid w:val="47B0491D"/>
    <w:rsid w:val="48673E44"/>
    <w:rsid w:val="4945724A"/>
    <w:rsid w:val="49966386"/>
    <w:rsid w:val="4C070376"/>
    <w:rsid w:val="4CF35950"/>
    <w:rsid w:val="4DAB7EB0"/>
    <w:rsid w:val="4DDA35A0"/>
    <w:rsid w:val="4DFC2E09"/>
    <w:rsid w:val="4E392883"/>
    <w:rsid w:val="4EAA0F07"/>
    <w:rsid w:val="4F132391"/>
    <w:rsid w:val="4F345AE2"/>
    <w:rsid w:val="4F5A7AE4"/>
    <w:rsid w:val="50274F4A"/>
    <w:rsid w:val="50736B30"/>
    <w:rsid w:val="50FD47BC"/>
    <w:rsid w:val="523A15B4"/>
    <w:rsid w:val="529A63E1"/>
    <w:rsid w:val="529F6940"/>
    <w:rsid w:val="53254152"/>
    <w:rsid w:val="53657BEC"/>
    <w:rsid w:val="53A11462"/>
    <w:rsid w:val="54491F8F"/>
    <w:rsid w:val="547D670A"/>
    <w:rsid w:val="551901D6"/>
    <w:rsid w:val="551F593D"/>
    <w:rsid w:val="554D3FBE"/>
    <w:rsid w:val="5712719D"/>
    <w:rsid w:val="571A6CBB"/>
    <w:rsid w:val="575F1309"/>
    <w:rsid w:val="58844065"/>
    <w:rsid w:val="59444D3D"/>
    <w:rsid w:val="596045EA"/>
    <w:rsid w:val="59D42262"/>
    <w:rsid w:val="59F94E00"/>
    <w:rsid w:val="5A362E88"/>
    <w:rsid w:val="5A3D0CE5"/>
    <w:rsid w:val="5A813FEA"/>
    <w:rsid w:val="5ABC1526"/>
    <w:rsid w:val="5B022F8C"/>
    <w:rsid w:val="5B343281"/>
    <w:rsid w:val="5E781CEA"/>
    <w:rsid w:val="5F693F8B"/>
    <w:rsid w:val="60323899"/>
    <w:rsid w:val="60870DFA"/>
    <w:rsid w:val="60985604"/>
    <w:rsid w:val="613603F0"/>
    <w:rsid w:val="627D18E7"/>
    <w:rsid w:val="62857460"/>
    <w:rsid w:val="62883AD9"/>
    <w:rsid w:val="636A6187"/>
    <w:rsid w:val="64CE12B6"/>
    <w:rsid w:val="651670C0"/>
    <w:rsid w:val="655D68C9"/>
    <w:rsid w:val="655E1E73"/>
    <w:rsid w:val="65A05809"/>
    <w:rsid w:val="65BC49BB"/>
    <w:rsid w:val="661B4717"/>
    <w:rsid w:val="6638168B"/>
    <w:rsid w:val="669032D2"/>
    <w:rsid w:val="68170EDA"/>
    <w:rsid w:val="685F55CB"/>
    <w:rsid w:val="68794854"/>
    <w:rsid w:val="68B23593"/>
    <w:rsid w:val="69667E04"/>
    <w:rsid w:val="69B42370"/>
    <w:rsid w:val="6AEF7744"/>
    <w:rsid w:val="6BA43122"/>
    <w:rsid w:val="6BC016B9"/>
    <w:rsid w:val="6C571426"/>
    <w:rsid w:val="6CB27981"/>
    <w:rsid w:val="6DF024C3"/>
    <w:rsid w:val="6E8518BD"/>
    <w:rsid w:val="6EFE5E3A"/>
    <w:rsid w:val="6F3373CB"/>
    <w:rsid w:val="6FA50431"/>
    <w:rsid w:val="6FAF4F0D"/>
    <w:rsid w:val="6FD471BE"/>
    <w:rsid w:val="710B4A04"/>
    <w:rsid w:val="72726AD5"/>
    <w:rsid w:val="729C1D5B"/>
    <w:rsid w:val="74F80F56"/>
    <w:rsid w:val="75685DB7"/>
    <w:rsid w:val="77211152"/>
    <w:rsid w:val="778402DC"/>
    <w:rsid w:val="779066DD"/>
    <w:rsid w:val="78A92BD4"/>
    <w:rsid w:val="7961307F"/>
    <w:rsid w:val="79616A66"/>
    <w:rsid w:val="79712F99"/>
    <w:rsid w:val="7AC25A31"/>
    <w:rsid w:val="7AE26577"/>
    <w:rsid w:val="7B654C18"/>
    <w:rsid w:val="7BC855BB"/>
    <w:rsid w:val="7C001F4B"/>
    <w:rsid w:val="7C144E39"/>
    <w:rsid w:val="7C79528E"/>
    <w:rsid w:val="7F4F5B7D"/>
    <w:rsid w:val="7F74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8"/>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57"/>
    <w:semiHidden/>
    <w:unhideWhenUsed/>
    <w:qFormat/>
    <w:uiPriority w:val="99"/>
    <w:pPr>
      <w:spacing w:after="120"/>
    </w:pPr>
  </w:style>
  <w:style w:type="paragraph" w:styleId="4">
    <w:name w:val="Body Text 2"/>
    <w:basedOn w:val="1"/>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unhideWhenUsed/>
    <w:qFormat/>
    <w:uiPriority w:val="99"/>
    <w:pPr>
      <w:ind w:firstLine="420" w:firstLineChars="200"/>
    </w:pPr>
  </w:style>
  <w:style w:type="paragraph" w:styleId="6">
    <w:name w:val="Body Text Indent"/>
    <w:basedOn w:val="1"/>
    <w:next w:val="7"/>
    <w:link w:val="61"/>
    <w:qFormat/>
    <w:uiPriority w:val="0"/>
    <w:pPr>
      <w:adjustRightInd w:val="0"/>
      <w:spacing w:after="120" w:line="360" w:lineRule="atLeast"/>
      <w:ind w:left="420" w:leftChars="200"/>
      <w:jc w:val="left"/>
      <w:textAlignment w:val="baseline"/>
    </w:pPr>
    <w:rPr>
      <w:sz w:val="24"/>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annotation text"/>
    <w:basedOn w:val="1"/>
    <w:link w:val="63"/>
    <w:semiHidden/>
    <w:unhideWhenUsed/>
    <w:qFormat/>
    <w:uiPriority w:val="99"/>
    <w:pPr>
      <w:jc w:val="left"/>
    </w:pPr>
  </w:style>
  <w:style w:type="paragraph" w:styleId="15">
    <w:name w:val="Body Text 3"/>
    <w:basedOn w:val="1"/>
    <w:link w:val="53"/>
    <w:qFormat/>
    <w:uiPriority w:val="0"/>
    <w:rPr>
      <w:rFonts w:ascii="Times New Roman" w:hAnsi="Times New Roman" w:eastAsia="宋体" w:cs="Times New Roman"/>
      <w:color w:val="FF0000"/>
      <w:sz w:val="24"/>
      <w:szCs w:val="24"/>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38"/>
    <w:qFormat/>
    <w:uiPriority w:val="0"/>
    <w:rPr>
      <w:rFonts w:eastAsia="宋体"/>
      <w:sz w:val="24"/>
    </w:rPr>
  </w:style>
  <w:style w:type="paragraph" w:styleId="19">
    <w:name w:val="Date"/>
    <w:basedOn w:val="1"/>
    <w:next w:val="1"/>
    <w:link w:val="39"/>
    <w:unhideWhenUsed/>
    <w:qFormat/>
    <w:uiPriority w:val="99"/>
    <w:pPr>
      <w:ind w:left="100" w:leftChars="2500"/>
    </w:pPr>
  </w:style>
  <w:style w:type="paragraph" w:styleId="20">
    <w:name w:val="Balloon Text"/>
    <w:basedOn w:val="1"/>
    <w:link w:val="62"/>
    <w:semiHidden/>
    <w:unhideWhenUsed/>
    <w:qFormat/>
    <w:uiPriority w:val="99"/>
    <w:rPr>
      <w:sz w:val="18"/>
      <w:szCs w:val="18"/>
    </w:rPr>
  </w:style>
  <w:style w:type="paragraph" w:styleId="21">
    <w:name w:val="footer"/>
    <w:basedOn w:val="1"/>
    <w:link w:val="40"/>
    <w:unhideWhenUsed/>
    <w:qFormat/>
    <w:uiPriority w:val="99"/>
    <w:pPr>
      <w:tabs>
        <w:tab w:val="center" w:pos="4153"/>
        <w:tab w:val="right" w:pos="8306"/>
      </w:tabs>
      <w:snapToGrid w:val="0"/>
      <w:jc w:val="left"/>
    </w:pPr>
    <w:rPr>
      <w:sz w:val="18"/>
      <w:szCs w:val="18"/>
    </w:rPr>
  </w:style>
  <w:style w:type="paragraph" w:styleId="22">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5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annotation subject"/>
    <w:basedOn w:val="14"/>
    <w:next w:val="14"/>
    <w:link w:val="64"/>
    <w:semiHidden/>
    <w:unhideWhenUsed/>
    <w:qFormat/>
    <w:uiPriority w:val="99"/>
    <w:rPr>
      <w:b/>
      <w:bCs/>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Hyperlink"/>
    <w:basedOn w:val="29"/>
    <w:unhideWhenUsed/>
    <w:qFormat/>
    <w:uiPriority w:val="99"/>
    <w:rPr>
      <w:color w:val="0000FF"/>
      <w:u w:val="single"/>
    </w:rPr>
  </w:style>
  <w:style w:type="character" w:styleId="32">
    <w:name w:val="annotation reference"/>
    <w:basedOn w:val="29"/>
    <w:semiHidden/>
    <w:unhideWhenUsed/>
    <w:qFormat/>
    <w:uiPriority w:val="99"/>
    <w:rPr>
      <w:sz w:val="21"/>
      <w:szCs w:val="21"/>
    </w:rPr>
  </w:style>
  <w:style w:type="paragraph" w:customStyle="1" w:styleId="33">
    <w:name w:val="TOC 标题1"/>
    <w:basedOn w:val="8"/>
    <w:next w:val="1"/>
    <w:qFormat/>
    <w:uiPriority w:val="39"/>
    <w:pPr>
      <w:spacing w:before="480" w:after="0" w:line="276" w:lineRule="auto"/>
      <w:outlineLvl w:val="9"/>
    </w:pPr>
    <w:rPr>
      <w:rFonts w:ascii="仿宋" w:hAnsi="仿宋" w:eastAsia="仿宋"/>
      <w:color w:val="000000"/>
      <w:kern w:val="0"/>
      <w:sz w:val="32"/>
      <w:szCs w:val="32"/>
    </w:rPr>
  </w:style>
  <w:style w:type="character" w:customStyle="1" w:styleId="34">
    <w:name w:val="标题 1 Char"/>
    <w:basedOn w:val="29"/>
    <w:link w:val="8"/>
    <w:qFormat/>
    <w:uiPriority w:val="0"/>
    <w:rPr>
      <w:rFonts w:ascii="Calibri" w:hAnsi="Calibri" w:eastAsia="宋体" w:cs="Times New Roman"/>
      <w:b/>
      <w:bCs/>
      <w:kern w:val="44"/>
      <w:sz w:val="44"/>
      <w:szCs w:val="44"/>
    </w:rPr>
  </w:style>
  <w:style w:type="character" w:customStyle="1" w:styleId="35">
    <w:name w:val="标题 2 Char"/>
    <w:basedOn w:val="29"/>
    <w:link w:val="9"/>
    <w:qFormat/>
    <w:uiPriority w:val="0"/>
    <w:rPr>
      <w:rFonts w:ascii="Arial" w:hAnsi="Arial" w:eastAsia="黑体" w:cs="Times New Roman"/>
      <w:b/>
      <w:bCs/>
      <w:kern w:val="0"/>
      <w:sz w:val="32"/>
      <w:szCs w:val="32"/>
    </w:rPr>
  </w:style>
  <w:style w:type="character" w:customStyle="1" w:styleId="36">
    <w:name w:val="标题 3 Char"/>
    <w:basedOn w:val="29"/>
    <w:link w:val="10"/>
    <w:qFormat/>
    <w:uiPriority w:val="0"/>
    <w:rPr>
      <w:rFonts w:ascii="宋体" w:hAnsi="宋体" w:eastAsia="宋体" w:cs="Times New Roman"/>
      <w:b/>
      <w:color w:val="000000"/>
      <w:kern w:val="0"/>
      <w:sz w:val="24"/>
      <w:szCs w:val="20"/>
      <w:lang w:val="en-GB"/>
    </w:rPr>
  </w:style>
  <w:style w:type="character" w:customStyle="1" w:styleId="37">
    <w:name w:val="标题 4 Char"/>
    <w:basedOn w:val="29"/>
    <w:link w:val="11"/>
    <w:qFormat/>
    <w:uiPriority w:val="0"/>
    <w:rPr>
      <w:rFonts w:ascii="Arial" w:hAnsi="Arial" w:eastAsia="黑体" w:cs="Times New Roman"/>
      <w:b/>
      <w:bCs/>
      <w:kern w:val="0"/>
      <w:sz w:val="28"/>
      <w:szCs w:val="28"/>
    </w:rPr>
  </w:style>
  <w:style w:type="character" w:customStyle="1" w:styleId="38">
    <w:name w:val="纯文本 Char"/>
    <w:basedOn w:val="29"/>
    <w:link w:val="18"/>
    <w:qFormat/>
    <w:uiPriority w:val="0"/>
    <w:rPr>
      <w:rFonts w:eastAsia="宋体"/>
      <w:sz w:val="24"/>
    </w:rPr>
  </w:style>
  <w:style w:type="character" w:customStyle="1" w:styleId="39">
    <w:name w:val="日期 Char"/>
    <w:basedOn w:val="29"/>
    <w:link w:val="19"/>
    <w:qFormat/>
    <w:uiPriority w:val="99"/>
  </w:style>
  <w:style w:type="character" w:customStyle="1" w:styleId="40">
    <w:name w:val="页脚 Char"/>
    <w:basedOn w:val="29"/>
    <w:link w:val="21"/>
    <w:qFormat/>
    <w:uiPriority w:val="99"/>
    <w:rPr>
      <w:sz w:val="18"/>
      <w:szCs w:val="18"/>
    </w:rPr>
  </w:style>
  <w:style w:type="character" w:customStyle="1" w:styleId="41">
    <w:name w:val="页眉 Char"/>
    <w:basedOn w:val="29"/>
    <w:link w:val="22"/>
    <w:qFormat/>
    <w:uiPriority w:val="99"/>
    <w:rPr>
      <w:sz w:val="18"/>
      <w:szCs w:val="18"/>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正文文本 3 Char"/>
    <w:basedOn w:val="29"/>
    <w:link w:val="15"/>
    <w:qFormat/>
    <w:uiPriority w:val="0"/>
    <w:rPr>
      <w:rFonts w:ascii="Times New Roman" w:hAnsi="Times New Roman" w:eastAsia="宋体" w:cs="Times New Roman"/>
      <w:color w:val="FF0000"/>
      <w:sz w:val="24"/>
      <w:szCs w:val="24"/>
    </w:rPr>
  </w:style>
  <w:style w:type="character" w:customStyle="1" w:styleId="54">
    <w:name w:val="edittexttarea"/>
    <w:basedOn w:val="29"/>
    <w:qFormat/>
    <w:uiPriority w:val="0"/>
  </w:style>
  <w:style w:type="paragraph" w:customStyle="1" w:styleId="55">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7">
    <w:name w:val="正文文本 Char"/>
    <w:basedOn w:val="29"/>
    <w:link w:val="3"/>
    <w:semiHidden/>
    <w:qFormat/>
    <w:uiPriority w:val="99"/>
  </w:style>
  <w:style w:type="character" w:customStyle="1" w:styleId="58">
    <w:name w:val="正文首行缩进 Char"/>
    <w:basedOn w:val="57"/>
    <w:link w:val="2"/>
    <w:qFormat/>
    <w:uiPriority w:val="0"/>
    <w:rPr>
      <w:rFonts w:ascii="宋体" w:hAnsi="Times New Roman" w:eastAsia="宋体" w:cs="Times New Roman"/>
      <w:kern w:val="0"/>
      <w:sz w:val="34"/>
      <w:szCs w:val="20"/>
    </w:rPr>
  </w:style>
  <w:style w:type="character" w:customStyle="1" w:styleId="59">
    <w:name w:val="HTML 预设格式 Char"/>
    <w:basedOn w:val="29"/>
    <w:link w:val="24"/>
    <w:semiHidden/>
    <w:qFormat/>
    <w:uiPriority w:val="99"/>
    <w:rPr>
      <w:rFonts w:ascii="宋体" w:hAnsi="宋体" w:eastAsia="宋体" w:cs="宋体"/>
      <w:kern w:val="0"/>
      <w:sz w:val="24"/>
      <w:szCs w:val="24"/>
    </w:rPr>
  </w:style>
  <w:style w:type="character" w:customStyle="1" w:styleId="60">
    <w:name w:val="正文文本缩进 Char"/>
    <w:qFormat/>
    <w:uiPriority w:val="0"/>
    <w:rPr>
      <w:sz w:val="24"/>
    </w:rPr>
  </w:style>
  <w:style w:type="character" w:customStyle="1" w:styleId="61">
    <w:name w:val="正文文本缩进 Char1"/>
    <w:basedOn w:val="29"/>
    <w:link w:val="6"/>
    <w:semiHidden/>
    <w:qFormat/>
    <w:uiPriority w:val="99"/>
  </w:style>
  <w:style w:type="character" w:customStyle="1" w:styleId="62">
    <w:name w:val="批注框文本 Char"/>
    <w:basedOn w:val="29"/>
    <w:link w:val="20"/>
    <w:semiHidden/>
    <w:qFormat/>
    <w:uiPriority w:val="99"/>
    <w:rPr>
      <w:sz w:val="18"/>
      <w:szCs w:val="18"/>
    </w:rPr>
  </w:style>
  <w:style w:type="character" w:customStyle="1" w:styleId="63">
    <w:name w:val="批注文字 Char"/>
    <w:basedOn w:val="29"/>
    <w:link w:val="14"/>
    <w:semiHidden/>
    <w:qFormat/>
    <w:uiPriority w:val="99"/>
    <w:rPr>
      <w:rFonts w:asciiTheme="minorHAnsi" w:hAnsiTheme="minorHAnsi" w:eastAsiaTheme="minorEastAsia" w:cstheme="minorBidi"/>
      <w:kern w:val="2"/>
      <w:sz w:val="21"/>
      <w:szCs w:val="22"/>
    </w:rPr>
  </w:style>
  <w:style w:type="character" w:customStyle="1" w:styleId="64">
    <w:name w:val="批注主题 Char"/>
    <w:basedOn w:val="63"/>
    <w:link w:val="2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C0AEA7-4FC8-4FCC-90FA-696F61CF2CF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6066</Words>
  <Characters>34579</Characters>
  <Lines>288</Lines>
  <Paragraphs>81</Paragraphs>
  <TotalTime>20</TotalTime>
  <ScaleCrop>false</ScaleCrop>
  <LinksUpToDate>false</LinksUpToDate>
  <CharactersWithSpaces>40564</CharactersWithSpaces>
  <Application>WPS Office_11.1.0.9566_F1E327BC-269C-435d-A152-05C5408002CA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2019-08-26T08:52:00Z</dcterms:created>
  <dc:creator>许昌市公共资源交易中心:孟莉</dc:creator>
  <cp:lastModifiedBy>キンテンテン</cp:lastModifiedBy>
  <cp:lastPrinted>2020-03-10T07:35:00Z</cp:lastPrinted>
  <dcterms:modified xsi:type="dcterms:W3CDTF">2020-03-11T02:39:05Z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