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60" w:line="360" w:lineRule="auto"/>
        <w:jc w:val="center"/>
        <w:rPr>
          <w:rFonts w:ascii="宋体" w:hAnsi="宋体" w:eastAsia="宋体"/>
          <w:color w:val="000000" w:themeColor="text1"/>
          <w:sz w:val="28"/>
          <w:szCs w:val="28"/>
        </w:rPr>
      </w:pPr>
    </w:p>
    <w:p>
      <w:pPr>
        <w:spacing w:after="160" w:line="360" w:lineRule="auto"/>
        <w:jc w:val="center"/>
        <w:rPr>
          <w:rFonts w:ascii="宋体" w:hAnsi="宋体" w:eastAsia="宋体"/>
          <w:b/>
          <w:color w:val="000000" w:themeColor="text1"/>
          <w:sz w:val="52"/>
          <w:szCs w:val="52"/>
        </w:rPr>
      </w:pPr>
      <w:r>
        <w:rPr>
          <w:rFonts w:ascii="宋体" w:hAnsi="宋体" w:eastAsia="宋体"/>
          <w:b/>
          <w:color w:val="000000" w:themeColor="text1"/>
          <w:sz w:val="52"/>
          <w:szCs w:val="52"/>
        </w:rPr>
        <w:t>鄢陵县畜禽粪污资源化利用整县</w:t>
      </w:r>
    </w:p>
    <w:p>
      <w:pPr>
        <w:spacing w:after="160" w:line="360" w:lineRule="auto"/>
        <w:jc w:val="center"/>
        <w:rPr>
          <w:rFonts w:ascii="宋体" w:hAnsi="宋体" w:eastAsia="宋体"/>
          <w:b/>
          <w:color w:val="000000" w:themeColor="text1"/>
          <w:sz w:val="56"/>
          <w:szCs w:val="56"/>
        </w:rPr>
      </w:pPr>
      <w:r>
        <w:rPr>
          <w:rFonts w:ascii="宋体" w:hAnsi="宋体" w:eastAsia="宋体"/>
          <w:b/>
          <w:color w:val="000000" w:themeColor="text1"/>
          <w:sz w:val="52"/>
          <w:szCs w:val="52"/>
        </w:rPr>
        <w:t>推进特许经营项目</w:t>
      </w:r>
    </w:p>
    <w:p>
      <w:pPr>
        <w:spacing w:after="160" w:line="360" w:lineRule="auto"/>
        <w:jc w:val="center"/>
        <w:rPr>
          <w:rFonts w:ascii="宋体" w:hAnsi="宋体" w:eastAsia="宋体"/>
          <w:b/>
          <w:color w:val="000000" w:themeColor="text1"/>
          <w:sz w:val="52"/>
          <w:szCs w:val="52"/>
        </w:rPr>
      </w:pPr>
    </w:p>
    <w:p>
      <w:pPr>
        <w:spacing w:after="160" w:line="360" w:lineRule="auto"/>
        <w:jc w:val="center"/>
        <w:rPr>
          <w:rFonts w:ascii="宋体" w:hAnsi="宋体" w:eastAsia="宋体"/>
          <w:b/>
          <w:color w:val="000000" w:themeColor="text1"/>
          <w:sz w:val="52"/>
          <w:szCs w:val="52"/>
        </w:rPr>
      </w:pPr>
    </w:p>
    <w:p>
      <w:pPr>
        <w:spacing w:after="160" w:line="360" w:lineRule="auto"/>
        <w:jc w:val="center"/>
        <w:rPr>
          <w:rFonts w:ascii="宋体" w:hAnsi="宋体" w:eastAsia="宋体"/>
          <w:b/>
          <w:color w:val="000000" w:themeColor="text1"/>
          <w:sz w:val="84"/>
          <w:szCs w:val="84"/>
        </w:rPr>
      </w:pPr>
      <w:r>
        <w:rPr>
          <w:rFonts w:ascii="宋体" w:hAnsi="宋体" w:eastAsia="宋体"/>
          <w:b/>
          <w:color w:val="000000" w:themeColor="text1"/>
          <w:sz w:val="84"/>
          <w:szCs w:val="84"/>
        </w:rPr>
        <w:t>招  标  文  件</w:t>
      </w:r>
    </w:p>
    <w:p>
      <w:pPr>
        <w:snapToGrid w:val="0"/>
        <w:jc w:val="center"/>
        <w:rPr>
          <w:rFonts w:ascii="宋体" w:hAnsi="宋体" w:eastAsia="宋体"/>
          <w:b/>
          <w:color w:val="000000" w:themeColor="text1"/>
          <w:sz w:val="28"/>
          <w:szCs w:val="28"/>
        </w:rPr>
      </w:pPr>
    </w:p>
    <w:p>
      <w:pPr>
        <w:snapToGrid w:val="0"/>
        <w:jc w:val="center"/>
        <w:rPr>
          <w:rFonts w:ascii="宋体" w:hAnsi="宋体" w:eastAsia="宋体"/>
          <w:b/>
          <w:color w:val="000000" w:themeColor="text1"/>
        </w:rPr>
      </w:pPr>
      <w:r>
        <w:rPr>
          <w:rFonts w:ascii="宋体" w:hAnsi="宋体" w:eastAsia="宋体"/>
          <w:b/>
          <w:color w:val="000000" w:themeColor="text1"/>
          <w:sz w:val="28"/>
          <w:szCs w:val="28"/>
        </w:rPr>
        <w:t>项目编号：Y2019FZ266</w:t>
      </w:r>
      <w:r>
        <w:rPr>
          <w:rFonts w:ascii="宋体" w:hAnsi="宋体" w:eastAsia="宋体"/>
          <w:b/>
          <w:color w:val="000000" w:themeColor="text1"/>
        </w:rPr>
        <w:t>号</w:t>
      </w:r>
    </w:p>
    <w:p>
      <w:pPr>
        <w:snapToGrid w:val="0"/>
        <w:jc w:val="center"/>
        <w:rPr>
          <w:rFonts w:hint="eastAsia" w:ascii="宋体" w:hAnsi="宋体" w:eastAsia="宋体"/>
          <w:b/>
          <w:color w:val="000000" w:themeColor="text1"/>
          <w:sz w:val="28"/>
          <w:szCs w:val="28"/>
        </w:rPr>
      </w:pPr>
    </w:p>
    <w:p>
      <w:pPr>
        <w:snapToGrid w:val="0"/>
        <w:jc w:val="center"/>
        <w:rPr>
          <w:rFonts w:hint="eastAsia" w:ascii="宋体" w:hAnsi="宋体" w:eastAsia="宋体"/>
          <w:b/>
          <w:color w:val="000000" w:themeColor="text1"/>
          <w:sz w:val="28"/>
          <w:szCs w:val="28"/>
        </w:rPr>
      </w:pPr>
    </w:p>
    <w:p>
      <w:pPr>
        <w:snapToGrid w:val="0"/>
        <w:jc w:val="center"/>
        <w:rPr>
          <w:rFonts w:hint="eastAsia" w:ascii="宋体" w:hAnsi="宋体" w:eastAsia="宋体"/>
          <w:b/>
          <w:color w:val="000000" w:themeColor="text1"/>
          <w:sz w:val="28"/>
          <w:szCs w:val="28"/>
        </w:rPr>
      </w:pPr>
    </w:p>
    <w:p>
      <w:pPr>
        <w:snapToGrid w:val="0"/>
        <w:jc w:val="center"/>
        <w:rPr>
          <w:rFonts w:ascii="宋体" w:hAnsi="宋体" w:eastAsia="宋体"/>
          <w:b/>
          <w:color w:val="000000" w:themeColor="text1"/>
          <w:sz w:val="28"/>
          <w:szCs w:val="28"/>
        </w:rPr>
      </w:pPr>
      <w:r>
        <w:rPr>
          <w:rFonts w:hint="eastAsia" w:ascii="宋体" w:hAnsi="宋体" w:eastAsia="宋体"/>
          <w:b/>
          <w:color w:val="000000" w:themeColor="text1"/>
          <w:sz w:val="28"/>
          <w:szCs w:val="28"/>
        </w:rPr>
        <w:t>不见面开标</w:t>
      </w:r>
    </w:p>
    <w:p>
      <w:pPr>
        <w:pStyle w:val="28"/>
        <w:spacing w:after="120"/>
        <w:jc w:val="both"/>
        <w:rPr>
          <w:rFonts w:hAnsi="Times New Roman"/>
          <w:color w:val="000000" w:themeColor="text1"/>
          <w:sz w:val="21"/>
          <w:szCs w:val="21"/>
        </w:rPr>
      </w:pPr>
    </w:p>
    <w:p>
      <w:pPr>
        <w:spacing w:after="160" w:line="360" w:lineRule="auto"/>
        <w:ind w:firstLine="435"/>
        <w:jc w:val="center"/>
        <w:rPr>
          <w:rFonts w:ascii="宋体" w:hAnsi="宋体" w:eastAsia="宋体"/>
          <w:color w:val="000000" w:themeColor="text1"/>
        </w:rPr>
      </w:pPr>
    </w:p>
    <w:p>
      <w:pPr>
        <w:spacing w:after="160" w:line="360" w:lineRule="auto"/>
        <w:ind w:firstLine="435"/>
        <w:rPr>
          <w:rFonts w:ascii="宋体" w:hAnsi="宋体" w:eastAsia="宋体"/>
          <w:color w:val="000000" w:themeColor="text1"/>
        </w:rPr>
      </w:pPr>
    </w:p>
    <w:p>
      <w:pPr>
        <w:spacing w:after="160" w:line="360" w:lineRule="auto"/>
        <w:ind w:firstLine="435"/>
        <w:jc w:val="center"/>
        <w:rPr>
          <w:rFonts w:ascii="宋体" w:hAnsi="宋体" w:eastAsia="宋体"/>
          <w:color w:val="000000" w:themeColor="text1"/>
        </w:rPr>
      </w:pPr>
    </w:p>
    <w:p>
      <w:pPr>
        <w:spacing w:after="160" w:line="360" w:lineRule="auto"/>
        <w:jc w:val="center"/>
        <w:rPr>
          <w:rFonts w:ascii="宋体" w:hAnsi="宋体" w:eastAsia="宋体"/>
          <w:color w:val="000000" w:themeColor="text1"/>
          <w:sz w:val="32"/>
          <w:szCs w:val="32"/>
        </w:rPr>
      </w:pPr>
      <w:r>
        <w:rPr>
          <w:rFonts w:ascii="宋体" w:hAnsi="宋体" w:eastAsia="宋体"/>
          <w:color w:val="000000" w:themeColor="text1"/>
          <w:sz w:val="32"/>
          <w:szCs w:val="32"/>
        </w:rPr>
        <w:t>招标人：鄢陵县畜牧局</w:t>
      </w:r>
    </w:p>
    <w:p>
      <w:pPr>
        <w:spacing w:after="160" w:line="360" w:lineRule="auto"/>
        <w:jc w:val="center"/>
        <w:rPr>
          <w:rFonts w:ascii="宋体" w:hAnsi="宋体" w:eastAsia="宋体"/>
          <w:color w:val="000000" w:themeColor="text1"/>
          <w:sz w:val="32"/>
          <w:szCs w:val="32"/>
        </w:rPr>
      </w:pPr>
      <w:r>
        <w:rPr>
          <w:rFonts w:ascii="宋体" w:hAnsi="宋体" w:eastAsia="宋体"/>
          <w:color w:val="000000" w:themeColor="text1"/>
          <w:sz w:val="32"/>
          <w:szCs w:val="32"/>
        </w:rPr>
        <w:t>招标代理机构：河南永安工程管理有限公司</w:t>
      </w:r>
    </w:p>
    <w:p>
      <w:pPr>
        <w:spacing w:after="160" w:line="360" w:lineRule="auto"/>
        <w:jc w:val="center"/>
        <w:rPr>
          <w:rFonts w:ascii="宋体" w:hAnsi="宋体" w:eastAsia="宋体"/>
          <w:color w:val="000000" w:themeColor="text1"/>
          <w:sz w:val="32"/>
          <w:szCs w:val="32"/>
        </w:rPr>
        <w:sectPr>
          <w:headerReference r:id="rId4" w:type="first"/>
          <w:headerReference r:id="rId3" w:type="default"/>
          <w:footerReference r:id="rId5" w:type="default"/>
          <w:footerReference r:id="rId6" w:type="even"/>
          <w:pgSz w:w="11906" w:h="16838"/>
          <w:pgMar w:top="1134" w:right="1134" w:bottom="1134" w:left="1701" w:header="851" w:footer="851" w:gutter="0"/>
          <w:pgNumType w:start="1"/>
          <w:cols w:space="720" w:num="1"/>
          <w:titlePg/>
          <w:docGrid w:linePitch="326" w:charSpace="0"/>
        </w:sectPr>
      </w:pPr>
      <w:r>
        <w:rPr>
          <w:rFonts w:ascii="宋体" w:hAnsi="宋体" w:eastAsia="宋体"/>
          <w:color w:val="000000" w:themeColor="text1"/>
          <w:sz w:val="32"/>
          <w:szCs w:val="32"/>
        </w:rPr>
        <w:t>日期：2020年</w:t>
      </w:r>
      <w:r>
        <w:rPr>
          <w:rFonts w:hint="eastAsia" w:ascii="宋体" w:hAnsi="宋体" w:eastAsia="宋体"/>
          <w:color w:val="000000" w:themeColor="text1"/>
          <w:sz w:val="32"/>
          <w:szCs w:val="32"/>
          <w:lang w:val="en-US" w:eastAsia="zh-CN"/>
        </w:rPr>
        <w:t>3</w:t>
      </w:r>
      <w:r>
        <w:rPr>
          <w:rFonts w:ascii="宋体" w:hAnsi="宋体" w:eastAsia="宋体"/>
          <w:color w:val="000000" w:themeColor="text1"/>
          <w:sz w:val="32"/>
          <w:szCs w:val="32"/>
        </w:rPr>
        <w:t>月</w:t>
      </w:r>
      <w:bookmarkStart w:id="370" w:name="_GoBack"/>
      <w:bookmarkEnd w:id="370"/>
    </w:p>
    <w:p>
      <w:pPr>
        <w:spacing w:after="160" w:line="360" w:lineRule="auto"/>
        <w:ind w:firstLine="435"/>
        <w:jc w:val="center"/>
        <w:rPr>
          <w:rFonts w:ascii="宋体" w:hAnsi="宋体" w:eastAsia="宋体"/>
          <w:color w:val="000000" w:themeColor="text1"/>
        </w:rPr>
      </w:pPr>
    </w:p>
    <w:p>
      <w:pPr>
        <w:tabs>
          <w:tab w:val="right" w:leader="middleDot" w:pos="8190"/>
        </w:tabs>
        <w:spacing w:after="240" w:line="360" w:lineRule="auto"/>
        <w:jc w:val="center"/>
        <w:rPr>
          <w:rFonts w:ascii="宋体" w:hAnsi="宋体" w:eastAsia="宋体"/>
          <w:b/>
          <w:color w:val="000000" w:themeColor="text1"/>
          <w:sz w:val="52"/>
          <w:szCs w:val="52"/>
        </w:rPr>
      </w:pPr>
      <w:r>
        <w:rPr>
          <w:rFonts w:ascii="宋体" w:hAnsi="宋体" w:eastAsia="宋体"/>
          <w:b/>
          <w:color w:val="000000" w:themeColor="text1"/>
          <w:sz w:val="52"/>
          <w:szCs w:val="52"/>
        </w:rPr>
        <w:t>目  录</w:t>
      </w:r>
    </w:p>
    <w:p>
      <w:pPr>
        <w:pStyle w:val="20"/>
        <w:tabs>
          <w:tab w:val="right" w:leader="dot" w:pos="9071"/>
        </w:tabs>
        <w:spacing w:after="160" w:line="360" w:lineRule="auto"/>
        <w:rPr>
          <w:rFonts w:ascii="Calibri" w:hAnsi="Times New Roman" w:eastAsia="Times New Roman"/>
          <w:color w:val="000000" w:themeColor="text1"/>
        </w:rPr>
      </w:pPr>
      <w:r>
        <w:rPr>
          <w:color w:val="000000" w:themeColor="text1"/>
        </w:rPr>
        <w:fldChar w:fldCharType="begin"/>
      </w:r>
      <w:r>
        <w:rPr>
          <w:color w:val="000000" w:themeColor="text1"/>
        </w:rPr>
        <w:instrText xml:space="preserve"> HYPERLINK </w:instrText>
      </w:r>
      <w:r>
        <w:rPr>
          <w:color w:val="000000" w:themeColor="text1"/>
        </w:rPr>
        <w:fldChar w:fldCharType="separate"/>
      </w:r>
      <w:r>
        <w:rPr>
          <w:color w:val="000000" w:themeColor="text1"/>
        </w:rPr>
        <w:t>第 一 卷..............................................</w:t>
      </w:r>
      <w:r>
        <w:rPr>
          <w:color w:val="000000" w:themeColor="text1"/>
        </w:rPr>
        <w:fldChar w:fldCharType="end"/>
      </w:r>
    </w:p>
    <w:p>
      <w:pPr>
        <w:pStyle w:val="20"/>
        <w:tabs>
          <w:tab w:val="right" w:leader="dot" w:pos="9071"/>
        </w:tabs>
        <w:spacing w:after="160" w:line="360" w:lineRule="auto"/>
        <w:rPr>
          <w:rFonts w:ascii="Calibri" w:hAnsi="Times New Roman" w:eastAsia="Times New Roman"/>
          <w:color w:val="000000" w:themeColor="text1"/>
        </w:rPr>
      </w:pPr>
      <w:r>
        <w:rPr>
          <w:color w:val="000000" w:themeColor="text1"/>
        </w:rPr>
        <w:fldChar w:fldCharType="begin"/>
      </w:r>
      <w:r>
        <w:rPr>
          <w:color w:val="000000" w:themeColor="text1"/>
        </w:rPr>
        <w:instrText xml:space="preserve"> HYPERLINK </w:instrText>
      </w:r>
      <w:r>
        <w:rPr>
          <w:color w:val="000000" w:themeColor="text1"/>
        </w:rPr>
        <w:fldChar w:fldCharType="separate"/>
      </w:r>
      <w:r>
        <w:rPr>
          <w:color w:val="000000" w:themeColor="text1"/>
        </w:rPr>
        <w:t>第一章  招标公告......................................</w:t>
      </w:r>
      <w:r>
        <w:rPr>
          <w:color w:val="000000" w:themeColor="text1"/>
        </w:rPr>
        <w:fldChar w:fldCharType="end"/>
      </w:r>
    </w:p>
    <w:p>
      <w:pPr>
        <w:pStyle w:val="20"/>
        <w:tabs>
          <w:tab w:val="right" w:leader="dot" w:pos="9071"/>
        </w:tabs>
        <w:spacing w:after="160" w:line="360" w:lineRule="auto"/>
        <w:rPr>
          <w:rFonts w:ascii="Calibri" w:hAnsi="Times New Roman" w:eastAsia="Times New Roman"/>
          <w:color w:val="000000" w:themeColor="text1"/>
        </w:rPr>
      </w:pPr>
      <w:r>
        <w:rPr>
          <w:color w:val="000000" w:themeColor="text1"/>
        </w:rPr>
        <w:fldChar w:fldCharType="begin"/>
      </w:r>
      <w:r>
        <w:rPr>
          <w:color w:val="000000" w:themeColor="text1"/>
        </w:rPr>
        <w:instrText xml:space="preserve"> HYPERLINK </w:instrText>
      </w:r>
      <w:r>
        <w:rPr>
          <w:color w:val="000000" w:themeColor="text1"/>
        </w:rPr>
        <w:fldChar w:fldCharType="separate"/>
      </w:r>
      <w:r>
        <w:rPr>
          <w:color w:val="000000" w:themeColor="text1"/>
        </w:rPr>
        <w:t>第二章  投标人须知.....................................</w:t>
      </w:r>
      <w:r>
        <w:rPr>
          <w:color w:val="000000" w:themeColor="text1"/>
        </w:rPr>
        <w:fldChar w:fldCharType="end"/>
      </w:r>
    </w:p>
    <w:p>
      <w:pPr>
        <w:pStyle w:val="24"/>
        <w:tabs>
          <w:tab w:val="right" w:leader="dot" w:pos="9071"/>
        </w:tabs>
        <w:spacing w:after="160" w:line="360" w:lineRule="auto"/>
        <w:ind w:left="480"/>
        <w:rPr>
          <w:rFonts w:hAnsi="Times New Roman"/>
          <w:color w:val="000000" w:themeColor="text1"/>
        </w:rPr>
      </w:pPr>
      <w:r>
        <w:rPr>
          <w:color w:val="000000" w:themeColor="text1"/>
        </w:rPr>
        <w:fldChar w:fldCharType="begin"/>
      </w:r>
      <w:r>
        <w:rPr>
          <w:color w:val="000000" w:themeColor="text1"/>
        </w:rPr>
        <w:instrText xml:space="preserve"> HYPERLINK </w:instrText>
      </w:r>
      <w:r>
        <w:rPr>
          <w:color w:val="000000" w:themeColor="text1"/>
        </w:rPr>
        <w:fldChar w:fldCharType="separate"/>
      </w:r>
      <w:r>
        <w:rPr>
          <w:rFonts w:ascii="宋体" w:hAnsi="宋体" w:eastAsia="宋体"/>
          <w:color w:val="000000" w:themeColor="text1"/>
        </w:rPr>
        <w:t>需要补充的其他内容：见投标人须知前附表。</w:t>
      </w:r>
      <w:r>
        <w:rPr>
          <w:rFonts w:ascii="宋体" w:hAnsi="宋体" w:eastAsia="宋体"/>
          <w:b/>
          <w:color w:val="000000" w:themeColor="text1"/>
          <w:sz w:val="30"/>
          <w:szCs w:val="30"/>
        </w:rPr>
        <w:t>.............</w:t>
      </w:r>
      <w:r>
        <w:rPr>
          <w:rFonts w:ascii="宋体" w:hAnsi="宋体" w:eastAsia="宋体"/>
          <w:b/>
          <w:color w:val="000000" w:themeColor="text1"/>
          <w:sz w:val="30"/>
          <w:szCs w:val="30"/>
        </w:rPr>
        <w:fldChar w:fldCharType="end"/>
      </w:r>
    </w:p>
    <w:p>
      <w:pPr>
        <w:pStyle w:val="24"/>
        <w:tabs>
          <w:tab w:val="right" w:leader="dot" w:pos="9071"/>
        </w:tabs>
        <w:spacing w:after="160" w:line="360" w:lineRule="auto"/>
        <w:ind w:left="480"/>
        <w:rPr>
          <w:rFonts w:hAnsi="Times New Roman"/>
          <w:color w:val="000000" w:themeColor="text1"/>
        </w:rPr>
      </w:pPr>
      <w:r>
        <w:rPr>
          <w:color w:val="000000" w:themeColor="text1"/>
        </w:rPr>
        <w:fldChar w:fldCharType="begin"/>
      </w:r>
      <w:r>
        <w:rPr>
          <w:color w:val="000000" w:themeColor="text1"/>
        </w:rPr>
        <w:instrText xml:space="preserve"> HYPERLINK </w:instrText>
      </w:r>
      <w:r>
        <w:rPr>
          <w:color w:val="000000" w:themeColor="text1"/>
        </w:rPr>
        <w:fldChar w:fldCharType="separate"/>
      </w:r>
      <w:r>
        <w:rPr>
          <w:rFonts w:ascii="宋体" w:hAnsi="宋体" w:eastAsia="宋体"/>
          <w:color w:val="000000" w:themeColor="text1"/>
        </w:rPr>
        <w:t>第三章 评标方法（综合评估法）</w:t>
      </w:r>
      <w:r>
        <w:rPr>
          <w:rFonts w:ascii="宋体" w:hAnsi="宋体" w:eastAsia="宋体"/>
          <w:b/>
          <w:color w:val="000000" w:themeColor="text1"/>
          <w:sz w:val="30"/>
          <w:szCs w:val="30"/>
        </w:rPr>
        <w:t>........................</w:t>
      </w:r>
      <w:r>
        <w:rPr>
          <w:rFonts w:ascii="宋体" w:hAnsi="宋体" w:eastAsia="宋体"/>
          <w:b/>
          <w:color w:val="000000" w:themeColor="text1"/>
          <w:sz w:val="30"/>
          <w:szCs w:val="30"/>
        </w:rPr>
        <w:fldChar w:fldCharType="end"/>
      </w:r>
    </w:p>
    <w:p>
      <w:pPr>
        <w:pStyle w:val="16"/>
        <w:tabs>
          <w:tab w:val="right" w:leader="dot" w:pos="9071"/>
        </w:tabs>
        <w:spacing w:after="160" w:line="360" w:lineRule="auto"/>
        <w:ind w:left="960"/>
        <w:rPr>
          <w:rFonts w:hAnsi="Times New Roman"/>
          <w:color w:val="000000" w:themeColor="text1"/>
        </w:rPr>
      </w:pPr>
      <w:r>
        <w:rPr>
          <w:color w:val="000000" w:themeColor="text1"/>
        </w:rPr>
        <w:fldChar w:fldCharType="begin"/>
      </w:r>
      <w:r>
        <w:rPr>
          <w:color w:val="000000" w:themeColor="text1"/>
        </w:rPr>
        <w:instrText xml:space="preserve"> HYPERLINK </w:instrText>
      </w:r>
      <w:r>
        <w:rPr>
          <w:color w:val="000000" w:themeColor="text1"/>
        </w:rPr>
        <w:fldChar w:fldCharType="separate"/>
      </w:r>
      <w:r>
        <w:rPr>
          <w:rFonts w:ascii="宋体" w:hAnsi="宋体" w:eastAsia="宋体"/>
          <w:color w:val="000000" w:themeColor="text1"/>
        </w:rPr>
        <w:t>评标办法前附表</w:t>
      </w:r>
      <w:r>
        <w:rPr>
          <w:rFonts w:ascii="宋体" w:hAnsi="宋体" w:eastAsia="宋体"/>
          <w:b/>
          <w:color w:val="000000" w:themeColor="text1"/>
          <w:sz w:val="30"/>
          <w:szCs w:val="30"/>
        </w:rPr>
        <w:t>.....................................</w:t>
      </w:r>
      <w:r>
        <w:rPr>
          <w:rFonts w:ascii="宋体" w:hAnsi="宋体" w:eastAsia="宋体"/>
          <w:b/>
          <w:color w:val="000000" w:themeColor="text1"/>
          <w:sz w:val="30"/>
          <w:szCs w:val="30"/>
        </w:rPr>
        <w:fldChar w:fldCharType="end"/>
      </w:r>
    </w:p>
    <w:p>
      <w:pPr>
        <w:pStyle w:val="21"/>
        <w:tabs>
          <w:tab w:val="right" w:leader="dot" w:pos="9071"/>
        </w:tabs>
        <w:spacing w:after="160" w:line="360" w:lineRule="auto"/>
        <w:ind w:left="1440"/>
        <w:rPr>
          <w:rFonts w:hAnsi="Times New Roman"/>
          <w:color w:val="000000" w:themeColor="text1"/>
        </w:rPr>
      </w:pPr>
      <w:r>
        <w:rPr>
          <w:color w:val="000000" w:themeColor="text1"/>
        </w:rPr>
        <w:fldChar w:fldCharType="begin"/>
      </w:r>
      <w:r>
        <w:rPr>
          <w:color w:val="000000" w:themeColor="text1"/>
        </w:rPr>
        <w:instrText xml:space="preserve"> HYPERLINK </w:instrText>
      </w:r>
      <w:r>
        <w:rPr>
          <w:color w:val="000000" w:themeColor="text1"/>
        </w:rPr>
        <w:fldChar w:fldCharType="separate"/>
      </w:r>
      <w:r>
        <w:rPr>
          <w:rFonts w:ascii="宋体" w:hAnsi="宋体" w:eastAsia="宋体"/>
          <w:color w:val="000000" w:themeColor="text1"/>
        </w:rPr>
        <w:t>1. 评标方法</w:t>
      </w:r>
      <w:r>
        <w:rPr>
          <w:rFonts w:ascii="宋体" w:hAnsi="宋体" w:eastAsia="宋体"/>
          <w:b/>
          <w:color w:val="000000" w:themeColor="text1"/>
          <w:sz w:val="30"/>
          <w:szCs w:val="30"/>
        </w:rPr>
        <w:t>.....................................</w:t>
      </w:r>
      <w:r>
        <w:rPr>
          <w:rFonts w:ascii="宋体" w:hAnsi="宋体" w:eastAsia="宋体"/>
          <w:b/>
          <w:color w:val="000000" w:themeColor="text1"/>
          <w:sz w:val="30"/>
          <w:szCs w:val="30"/>
        </w:rPr>
        <w:fldChar w:fldCharType="end"/>
      </w:r>
    </w:p>
    <w:p>
      <w:pPr>
        <w:pStyle w:val="21"/>
        <w:tabs>
          <w:tab w:val="right" w:leader="dot" w:pos="9071"/>
        </w:tabs>
        <w:spacing w:after="160" w:line="360" w:lineRule="auto"/>
        <w:ind w:left="1440"/>
        <w:rPr>
          <w:rFonts w:hAnsi="Times New Roman"/>
          <w:color w:val="000000" w:themeColor="text1"/>
        </w:rPr>
      </w:pPr>
      <w:r>
        <w:rPr>
          <w:color w:val="000000" w:themeColor="text1"/>
        </w:rPr>
        <w:fldChar w:fldCharType="begin"/>
      </w:r>
      <w:r>
        <w:rPr>
          <w:color w:val="000000" w:themeColor="text1"/>
        </w:rPr>
        <w:instrText xml:space="preserve"> HYPERLINK </w:instrText>
      </w:r>
      <w:r>
        <w:rPr>
          <w:color w:val="000000" w:themeColor="text1"/>
        </w:rPr>
        <w:fldChar w:fldCharType="separate"/>
      </w:r>
      <w:r>
        <w:rPr>
          <w:rFonts w:ascii="宋体" w:hAnsi="宋体" w:eastAsia="宋体"/>
          <w:color w:val="000000" w:themeColor="text1"/>
        </w:rPr>
        <w:t>2. 评审标准</w:t>
      </w:r>
      <w:r>
        <w:rPr>
          <w:rFonts w:ascii="宋体" w:hAnsi="宋体" w:eastAsia="宋体"/>
          <w:b/>
          <w:color w:val="000000" w:themeColor="text1"/>
          <w:sz w:val="30"/>
          <w:szCs w:val="30"/>
        </w:rPr>
        <w:t>.....................................</w:t>
      </w:r>
      <w:r>
        <w:rPr>
          <w:rFonts w:ascii="宋体" w:hAnsi="宋体" w:eastAsia="宋体"/>
          <w:b/>
          <w:color w:val="000000" w:themeColor="text1"/>
          <w:sz w:val="30"/>
          <w:szCs w:val="30"/>
        </w:rPr>
        <w:fldChar w:fldCharType="end"/>
      </w:r>
    </w:p>
    <w:p>
      <w:pPr>
        <w:pStyle w:val="21"/>
        <w:tabs>
          <w:tab w:val="right" w:leader="dot" w:pos="9071"/>
        </w:tabs>
        <w:spacing w:after="160" w:line="360" w:lineRule="auto"/>
        <w:ind w:left="1440"/>
        <w:rPr>
          <w:rFonts w:hAnsi="Times New Roman"/>
          <w:color w:val="000000" w:themeColor="text1"/>
        </w:rPr>
      </w:pPr>
      <w:r>
        <w:rPr>
          <w:color w:val="000000" w:themeColor="text1"/>
        </w:rPr>
        <w:fldChar w:fldCharType="begin"/>
      </w:r>
      <w:r>
        <w:rPr>
          <w:color w:val="000000" w:themeColor="text1"/>
        </w:rPr>
        <w:instrText xml:space="preserve"> HYPERLINK </w:instrText>
      </w:r>
      <w:r>
        <w:rPr>
          <w:color w:val="000000" w:themeColor="text1"/>
        </w:rPr>
        <w:fldChar w:fldCharType="separate"/>
      </w:r>
      <w:r>
        <w:rPr>
          <w:rFonts w:ascii="宋体" w:hAnsi="宋体" w:eastAsia="宋体"/>
          <w:color w:val="000000" w:themeColor="text1"/>
        </w:rPr>
        <w:t>3. 评标程序</w:t>
      </w:r>
      <w:r>
        <w:rPr>
          <w:rFonts w:ascii="宋体" w:hAnsi="宋体" w:eastAsia="宋体"/>
          <w:b/>
          <w:color w:val="000000" w:themeColor="text1"/>
          <w:sz w:val="30"/>
          <w:szCs w:val="30"/>
        </w:rPr>
        <w:t>......................................</w:t>
      </w:r>
      <w:r>
        <w:rPr>
          <w:rFonts w:ascii="宋体" w:hAnsi="宋体" w:eastAsia="宋体"/>
          <w:b/>
          <w:color w:val="000000" w:themeColor="text1"/>
          <w:sz w:val="30"/>
          <w:szCs w:val="30"/>
        </w:rPr>
        <w:fldChar w:fldCharType="end"/>
      </w:r>
    </w:p>
    <w:p>
      <w:pPr>
        <w:pStyle w:val="24"/>
        <w:tabs>
          <w:tab w:val="right" w:leader="dot" w:pos="9071"/>
        </w:tabs>
        <w:spacing w:after="160" w:line="360" w:lineRule="auto"/>
        <w:ind w:left="480"/>
        <w:rPr>
          <w:rFonts w:hAnsi="Times New Roman"/>
          <w:color w:val="000000" w:themeColor="text1"/>
        </w:rPr>
      </w:pPr>
      <w:r>
        <w:rPr>
          <w:color w:val="000000" w:themeColor="text1"/>
        </w:rPr>
        <w:fldChar w:fldCharType="begin"/>
      </w:r>
      <w:r>
        <w:rPr>
          <w:color w:val="000000" w:themeColor="text1"/>
        </w:rPr>
        <w:instrText xml:space="preserve"> HYPERLINK </w:instrText>
      </w:r>
      <w:r>
        <w:rPr>
          <w:color w:val="000000" w:themeColor="text1"/>
        </w:rPr>
        <w:fldChar w:fldCharType="separate"/>
      </w:r>
      <w:r>
        <w:rPr>
          <w:rFonts w:ascii="宋体" w:hAnsi="宋体" w:eastAsia="宋体"/>
          <w:color w:val="000000" w:themeColor="text1"/>
        </w:rPr>
        <w:t>第四章 特许经营协议条款及格式</w:t>
      </w:r>
      <w:r>
        <w:rPr>
          <w:rFonts w:ascii="宋体" w:hAnsi="宋体" w:eastAsia="宋体"/>
          <w:b/>
          <w:color w:val="000000" w:themeColor="text1"/>
          <w:sz w:val="30"/>
          <w:szCs w:val="30"/>
        </w:rPr>
        <w:t>..........................</w:t>
      </w:r>
      <w:r>
        <w:rPr>
          <w:rFonts w:ascii="宋体" w:hAnsi="宋体" w:eastAsia="宋体"/>
          <w:b/>
          <w:color w:val="000000" w:themeColor="text1"/>
          <w:sz w:val="30"/>
          <w:szCs w:val="30"/>
        </w:rPr>
        <w:fldChar w:fldCharType="end"/>
      </w:r>
    </w:p>
    <w:p>
      <w:pPr>
        <w:pStyle w:val="16"/>
        <w:tabs>
          <w:tab w:val="right" w:leader="dot" w:pos="9071"/>
        </w:tabs>
        <w:spacing w:after="160" w:line="360" w:lineRule="auto"/>
        <w:ind w:left="960"/>
        <w:rPr>
          <w:rFonts w:hAnsi="Times New Roman"/>
          <w:color w:val="000000" w:themeColor="text1"/>
        </w:rPr>
      </w:pPr>
      <w:r>
        <w:rPr>
          <w:color w:val="000000" w:themeColor="text1"/>
        </w:rPr>
        <w:fldChar w:fldCharType="begin"/>
      </w:r>
      <w:r>
        <w:rPr>
          <w:color w:val="000000" w:themeColor="text1"/>
        </w:rPr>
        <w:instrText xml:space="preserve"> HYPERLINK </w:instrText>
      </w:r>
      <w:r>
        <w:rPr>
          <w:color w:val="000000" w:themeColor="text1"/>
        </w:rPr>
        <w:fldChar w:fldCharType="separate"/>
      </w:r>
      <w:r>
        <w:rPr>
          <w:rFonts w:ascii="宋体" w:hAnsi="宋体" w:eastAsia="宋体"/>
          <w:color w:val="000000" w:themeColor="text1"/>
        </w:rPr>
        <w:t>第一章 总则</w:t>
      </w:r>
      <w:r>
        <w:rPr>
          <w:rFonts w:ascii="宋体" w:hAnsi="宋体" w:eastAsia="宋体"/>
          <w:b/>
          <w:color w:val="000000" w:themeColor="text1"/>
          <w:sz w:val="30"/>
          <w:szCs w:val="30"/>
        </w:rPr>
        <w:t>.........................................</w:t>
      </w:r>
      <w:r>
        <w:rPr>
          <w:rFonts w:ascii="宋体" w:hAnsi="宋体" w:eastAsia="宋体"/>
          <w:b/>
          <w:color w:val="000000" w:themeColor="text1"/>
          <w:sz w:val="30"/>
          <w:szCs w:val="30"/>
        </w:rPr>
        <w:fldChar w:fldCharType="end"/>
      </w:r>
    </w:p>
    <w:p>
      <w:pPr>
        <w:pStyle w:val="16"/>
        <w:tabs>
          <w:tab w:val="right" w:leader="dot" w:pos="9071"/>
        </w:tabs>
        <w:spacing w:after="160" w:line="360" w:lineRule="auto"/>
        <w:ind w:left="960"/>
        <w:rPr>
          <w:rFonts w:hAnsi="Times New Roman"/>
          <w:color w:val="000000" w:themeColor="text1"/>
        </w:rPr>
      </w:pPr>
      <w:r>
        <w:rPr>
          <w:color w:val="000000" w:themeColor="text1"/>
        </w:rPr>
        <w:fldChar w:fldCharType="begin"/>
      </w:r>
      <w:r>
        <w:rPr>
          <w:color w:val="000000" w:themeColor="text1"/>
        </w:rPr>
        <w:instrText xml:space="preserve"> HYPERLINK </w:instrText>
      </w:r>
      <w:r>
        <w:rPr>
          <w:color w:val="000000" w:themeColor="text1"/>
        </w:rPr>
        <w:fldChar w:fldCharType="separate"/>
      </w:r>
      <w:r>
        <w:rPr>
          <w:rFonts w:ascii="宋体" w:hAnsi="宋体" w:eastAsia="宋体"/>
          <w:color w:val="000000" w:themeColor="text1"/>
        </w:rPr>
        <w:t>第二章 特许经营权</w:t>
      </w:r>
      <w:r>
        <w:rPr>
          <w:rFonts w:ascii="宋体" w:hAnsi="宋体" w:eastAsia="宋体"/>
          <w:b/>
          <w:color w:val="000000" w:themeColor="text1"/>
          <w:sz w:val="30"/>
          <w:szCs w:val="30"/>
        </w:rPr>
        <w:t>....................................</w:t>
      </w:r>
      <w:r>
        <w:rPr>
          <w:rFonts w:ascii="宋体" w:hAnsi="宋体" w:eastAsia="宋体"/>
          <w:b/>
          <w:color w:val="000000" w:themeColor="text1"/>
          <w:sz w:val="30"/>
          <w:szCs w:val="30"/>
        </w:rPr>
        <w:fldChar w:fldCharType="end"/>
      </w:r>
    </w:p>
    <w:p>
      <w:pPr>
        <w:pStyle w:val="16"/>
        <w:tabs>
          <w:tab w:val="right" w:leader="dot" w:pos="9071"/>
        </w:tabs>
        <w:spacing w:after="160" w:line="360" w:lineRule="auto"/>
        <w:ind w:left="960"/>
        <w:rPr>
          <w:rFonts w:hAnsi="Times New Roman"/>
          <w:color w:val="000000" w:themeColor="text1"/>
        </w:rPr>
      </w:pPr>
      <w:r>
        <w:rPr>
          <w:color w:val="000000" w:themeColor="text1"/>
        </w:rPr>
        <w:fldChar w:fldCharType="begin"/>
      </w:r>
      <w:r>
        <w:rPr>
          <w:color w:val="000000" w:themeColor="text1"/>
        </w:rPr>
        <w:instrText xml:space="preserve"> HYPERLINK </w:instrText>
      </w:r>
      <w:r>
        <w:rPr>
          <w:color w:val="000000" w:themeColor="text1"/>
        </w:rPr>
        <w:fldChar w:fldCharType="separate"/>
      </w:r>
      <w:r>
        <w:rPr>
          <w:rFonts w:ascii="宋体" w:hAnsi="宋体" w:eastAsia="宋体"/>
          <w:color w:val="000000" w:themeColor="text1"/>
        </w:rPr>
        <w:t>第三章 建设前期工作</w:t>
      </w:r>
      <w:r>
        <w:rPr>
          <w:rFonts w:ascii="宋体" w:hAnsi="宋体" w:eastAsia="宋体"/>
          <w:b/>
          <w:color w:val="000000" w:themeColor="text1"/>
          <w:sz w:val="30"/>
          <w:szCs w:val="30"/>
        </w:rPr>
        <w:t>...................................</w:t>
      </w:r>
      <w:r>
        <w:rPr>
          <w:rFonts w:ascii="宋体" w:hAnsi="宋体" w:eastAsia="宋体"/>
          <w:b/>
          <w:color w:val="000000" w:themeColor="text1"/>
          <w:sz w:val="30"/>
          <w:szCs w:val="30"/>
        </w:rPr>
        <w:fldChar w:fldCharType="end"/>
      </w:r>
    </w:p>
    <w:p>
      <w:pPr>
        <w:pStyle w:val="16"/>
        <w:tabs>
          <w:tab w:val="right" w:leader="dot" w:pos="9071"/>
        </w:tabs>
        <w:spacing w:after="160" w:line="360" w:lineRule="auto"/>
        <w:ind w:left="960"/>
        <w:rPr>
          <w:rFonts w:hAnsi="Times New Roman"/>
          <w:color w:val="000000" w:themeColor="text1"/>
        </w:rPr>
      </w:pPr>
      <w:r>
        <w:rPr>
          <w:color w:val="000000" w:themeColor="text1"/>
        </w:rPr>
        <w:fldChar w:fldCharType="begin"/>
      </w:r>
      <w:r>
        <w:rPr>
          <w:color w:val="000000" w:themeColor="text1"/>
        </w:rPr>
        <w:instrText xml:space="preserve"> HYPERLINK </w:instrText>
      </w:r>
      <w:r>
        <w:rPr>
          <w:color w:val="000000" w:themeColor="text1"/>
        </w:rPr>
        <w:fldChar w:fldCharType="separate"/>
      </w:r>
      <w:r>
        <w:rPr>
          <w:rFonts w:ascii="宋体" w:hAnsi="宋体" w:eastAsia="宋体"/>
          <w:color w:val="000000" w:themeColor="text1"/>
        </w:rPr>
        <w:t>第四章 项目建设</w:t>
      </w:r>
      <w:r>
        <w:rPr>
          <w:rFonts w:ascii="宋体" w:hAnsi="宋体" w:eastAsia="宋体"/>
          <w:b/>
          <w:color w:val="000000" w:themeColor="text1"/>
          <w:sz w:val="30"/>
          <w:szCs w:val="30"/>
        </w:rPr>
        <w:t>......................................</w:t>
      </w:r>
      <w:r>
        <w:rPr>
          <w:rFonts w:ascii="宋体" w:hAnsi="宋体" w:eastAsia="宋体"/>
          <w:b/>
          <w:color w:val="000000" w:themeColor="text1"/>
          <w:sz w:val="30"/>
          <w:szCs w:val="30"/>
        </w:rPr>
        <w:fldChar w:fldCharType="end"/>
      </w:r>
    </w:p>
    <w:p>
      <w:pPr>
        <w:pStyle w:val="16"/>
        <w:tabs>
          <w:tab w:val="right" w:leader="dot" w:pos="9071"/>
        </w:tabs>
        <w:spacing w:after="160" w:line="360" w:lineRule="auto"/>
        <w:ind w:left="960"/>
        <w:rPr>
          <w:rFonts w:hAnsi="Times New Roman"/>
          <w:color w:val="000000" w:themeColor="text1"/>
        </w:rPr>
      </w:pPr>
      <w:r>
        <w:rPr>
          <w:color w:val="000000" w:themeColor="text1"/>
        </w:rPr>
        <w:fldChar w:fldCharType="begin"/>
      </w:r>
      <w:r>
        <w:rPr>
          <w:color w:val="000000" w:themeColor="text1"/>
        </w:rPr>
        <w:instrText xml:space="preserve"> HYPERLINK </w:instrText>
      </w:r>
      <w:r>
        <w:rPr>
          <w:color w:val="000000" w:themeColor="text1"/>
        </w:rPr>
        <w:fldChar w:fldCharType="separate"/>
      </w:r>
      <w:r>
        <w:rPr>
          <w:rFonts w:ascii="宋体" w:hAnsi="宋体" w:eastAsia="宋体"/>
          <w:color w:val="000000" w:themeColor="text1"/>
        </w:rPr>
        <w:t>第五章 项目的运营和维护</w:t>
      </w:r>
      <w:r>
        <w:rPr>
          <w:rFonts w:ascii="宋体" w:hAnsi="宋体" w:eastAsia="宋体"/>
          <w:b/>
          <w:color w:val="000000" w:themeColor="text1"/>
          <w:sz w:val="30"/>
          <w:szCs w:val="30"/>
        </w:rPr>
        <w:t>................................</w:t>
      </w:r>
      <w:r>
        <w:rPr>
          <w:rFonts w:ascii="宋体" w:hAnsi="宋体" w:eastAsia="宋体"/>
          <w:b/>
          <w:color w:val="000000" w:themeColor="text1"/>
          <w:sz w:val="30"/>
          <w:szCs w:val="30"/>
        </w:rPr>
        <w:fldChar w:fldCharType="end"/>
      </w:r>
    </w:p>
    <w:p>
      <w:pPr>
        <w:pStyle w:val="16"/>
        <w:tabs>
          <w:tab w:val="right" w:leader="dot" w:pos="9071"/>
        </w:tabs>
        <w:spacing w:after="160" w:line="360" w:lineRule="auto"/>
        <w:ind w:left="960"/>
        <w:rPr>
          <w:rFonts w:hAnsi="Times New Roman"/>
          <w:color w:val="000000" w:themeColor="text1"/>
        </w:rPr>
      </w:pPr>
      <w:r>
        <w:rPr>
          <w:color w:val="000000" w:themeColor="text1"/>
        </w:rPr>
        <w:fldChar w:fldCharType="begin"/>
      </w:r>
      <w:r>
        <w:rPr>
          <w:color w:val="000000" w:themeColor="text1"/>
        </w:rPr>
        <w:instrText xml:space="preserve"> HYPERLINK </w:instrText>
      </w:r>
      <w:r>
        <w:rPr>
          <w:color w:val="000000" w:themeColor="text1"/>
        </w:rPr>
        <w:fldChar w:fldCharType="separate"/>
      </w:r>
      <w:r>
        <w:rPr>
          <w:rFonts w:ascii="宋体" w:hAnsi="宋体" w:eastAsia="宋体"/>
          <w:color w:val="000000" w:themeColor="text1"/>
        </w:rPr>
        <w:t>第六章 不可抗力</w:t>
      </w:r>
      <w:r>
        <w:rPr>
          <w:rFonts w:ascii="宋体" w:hAnsi="宋体" w:eastAsia="宋体"/>
          <w:b/>
          <w:color w:val="000000" w:themeColor="text1"/>
          <w:sz w:val="30"/>
          <w:szCs w:val="30"/>
        </w:rPr>
        <w:t>.......................................</w:t>
      </w:r>
      <w:r>
        <w:rPr>
          <w:rFonts w:ascii="宋体" w:hAnsi="宋体" w:eastAsia="宋体"/>
          <w:b/>
          <w:color w:val="000000" w:themeColor="text1"/>
          <w:sz w:val="30"/>
          <w:szCs w:val="30"/>
        </w:rPr>
        <w:fldChar w:fldCharType="end"/>
      </w:r>
    </w:p>
    <w:p>
      <w:pPr>
        <w:pStyle w:val="16"/>
        <w:tabs>
          <w:tab w:val="right" w:leader="dot" w:pos="9071"/>
        </w:tabs>
        <w:spacing w:after="160" w:line="360" w:lineRule="auto"/>
        <w:ind w:left="960"/>
        <w:rPr>
          <w:rFonts w:hAnsi="Times New Roman"/>
          <w:color w:val="000000" w:themeColor="text1"/>
        </w:rPr>
      </w:pPr>
      <w:r>
        <w:rPr>
          <w:color w:val="000000" w:themeColor="text1"/>
        </w:rPr>
        <w:fldChar w:fldCharType="begin"/>
      </w:r>
      <w:r>
        <w:rPr>
          <w:color w:val="000000" w:themeColor="text1"/>
        </w:rPr>
        <w:instrText xml:space="preserve"> HYPERLINK </w:instrText>
      </w:r>
      <w:r>
        <w:rPr>
          <w:color w:val="000000" w:themeColor="text1"/>
        </w:rPr>
        <w:fldChar w:fldCharType="separate"/>
      </w:r>
      <w:r>
        <w:rPr>
          <w:rFonts w:ascii="宋体" w:hAnsi="宋体" w:eastAsia="宋体"/>
          <w:color w:val="000000" w:themeColor="text1"/>
        </w:rPr>
        <w:t>第七章 甲方和乙方项目公司共同的一般权利和义务</w:t>
      </w:r>
      <w:r>
        <w:rPr>
          <w:rFonts w:ascii="宋体" w:hAnsi="宋体" w:eastAsia="宋体"/>
          <w:b/>
          <w:color w:val="000000" w:themeColor="text1"/>
          <w:sz w:val="30"/>
          <w:szCs w:val="30"/>
        </w:rPr>
        <w:t>...............</w:t>
      </w:r>
      <w:r>
        <w:rPr>
          <w:rFonts w:ascii="宋体" w:hAnsi="宋体" w:eastAsia="宋体"/>
          <w:b/>
          <w:color w:val="000000" w:themeColor="text1"/>
          <w:sz w:val="30"/>
          <w:szCs w:val="30"/>
        </w:rPr>
        <w:fldChar w:fldCharType="end"/>
      </w:r>
    </w:p>
    <w:p>
      <w:pPr>
        <w:pStyle w:val="16"/>
        <w:tabs>
          <w:tab w:val="right" w:leader="dot" w:pos="9071"/>
        </w:tabs>
        <w:spacing w:after="160" w:line="360" w:lineRule="auto"/>
        <w:ind w:left="960"/>
        <w:rPr>
          <w:rFonts w:hAnsi="Times New Roman"/>
          <w:color w:val="000000" w:themeColor="text1"/>
        </w:rPr>
      </w:pPr>
      <w:r>
        <w:rPr>
          <w:color w:val="000000" w:themeColor="text1"/>
        </w:rPr>
        <w:fldChar w:fldCharType="begin"/>
      </w:r>
      <w:r>
        <w:rPr>
          <w:color w:val="000000" w:themeColor="text1"/>
        </w:rPr>
        <w:instrText xml:space="preserve"> HYPERLINK </w:instrText>
      </w:r>
      <w:r>
        <w:rPr>
          <w:color w:val="000000" w:themeColor="text1"/>
        </w:rPr>
        <w:fldChar w:fldCharType="separate"/>
      </w:r>
      <w:r>
        <w:rPr>
          <w:rFonts w:ascii="宋体" w:hAnsi="宋体" w:eastAsia="宋体"/>
          <w:color w:val="000000" w:themeColor="text1"/>
        </w:rPr>
        <w:t>第八章 违约赔偿</w:t>
      </w:r>
      <w:r>
        <w:rPr>
          <w:rFonts w:ascii="宋体" w:hAnsi="宋体" w:eastAsia="宋体"/>
          <w:b/>
          <w:color w:val="000000" w:themeColor="text1"/>
          <w:sz w:val="30"/>
          <w:szCs w:val="30"/>
        </w:rPr>
        <w:t>.....................................</w:t>
      </w:r>
      <w:r>
        <w:rPr>
          <w:rFonts w:ascii="宋体" w:hAnsi="宋体" w:eastAsia="宋体"/>
          <w:b/>
          <w:color w:val="000000" w:themeColor="text1"/>
          <w:sz w:val="30"/>
          <w:szCs w:val="30"/>
        </w:rPr>
        <w:fldChar w:fldCharType="end"/>
      </w:r>
    </w:p>
    <w:p>
      <w:pPr>
        <w:pStyle w:val="16"/>
        <w:tabs>
          <w:tab w:val="right" w:leader="dot" w:pos="9071"/>
        </w:tabs>
        <w:spacing w:after="160" w:line="360" w:lineRule="auto"/>
        <w:ind w:left="960"/>
        <w:rPr>
          <w:rFonts w:hAnsi="Times New Roman"/>
          <w:color w:val="000000" w:themeColor="text1"/>
        </w:rPr>
      </w:pPr>
      <w:r>
        <w:rPr>
          <w:color w:val="000000" w:themeColor="text1"/>
        </w:rPr>
        <w:fldChar w:fldCharType="begin"/>
      </w:r>
      <w:r>
        <w:rPr>
          <w:color w:val="000000" w:themeColor="text1"/>
        </w:rPr>
        <w:instrText xml:space="preserve"> HYPERLINK </w:instrText>
      </w:r>
      <w:r>
        <w:rPr>
          <w:color w:val="000000" w:themeColor="text1"/>
        </w:rPr>
        <w:fldChar w:fldCharType="separate"/>
      </w:r>
      <w:r>
        <w:rPr>
          <w:rFonts w:ascii="宋体" w:hAnsi="宋体" w:eastAsia="宋体"/>
          <w:color w:val="000000" w:themeColor="text1"/>
        </w:rPr>
        <w:t>第九章 协议终止、变更和转让</w:t>
      </w:r>
      <w:r>
        <w:rPr>
          <w:rFonts w:ascii="宋体" w:hAnsi="宋体" w:eastAsia="宋体"/>
          <w:b/>
          <w:color w:val="000000" w:themeColor="text1"/>
          <w:sz w:val="30"/>
          <w:szCs w:val="30"/>
        </w:rPr>
        <w:t>............................</w:t>
      </w:r>
      <w:r>
        <w:rPr>
          <w:rFonts w:ascii="宋体" w:hAnsi="宋体" w:eastAsia="宋体"/>
          <w:b/>
          <w:color w:val="000000" w:themeColor="text1"/>
          <w:sz w:val="30"/>
          <w:szCs w:val="30"/>
        </w:rPr>
        <w:fldChar w:fldCharType="end"/>
      </w:r>
    </w:p>
    <w:p>
      <w:pPr>
        <w:pStyle w:val="16"/>
        <w:tabs>
          <w:tab w:val="right" w:leader="dot" w:pos="9071"/>
        </w:tabs>
        <w:spacing w:after="160" w:line="360" w:lineRule="auto"/>
        <w:ind w:left="960"/>
        <w:rPr>
          <w:rFonts w:hAnsi="Times New Roman"/>
          <w:color w:val="000000" w:themeColor="text1"/>
        </w:rPr>
      </w:pPr>
      <w:r>
        <w:rPr>
          <w:color w:val="000000" w:themeColor="text1"/>
        </w:rPr>
        <w:fldChar w:fldCharType="begin"/>
      </w:r>
      <w:r>
        <w:rPr>
          <w:color w:val="000000" w:themeColor="text1"/>
        </w:rPr>
        <w:instrText xml:space="preserve"> HYPERLINK </w:instrText>
      </w:r>
      <w:r>
        <w:rPr>
          <w:color w:val="000000" w:themeColor="text1"/>
        </w:rPr>
        <w:fldChar w:fldCharType="separate"/>
      </w:r>
      <w:r>
        <w:rPr>
          <w:rFonts w:ascii="宋体" w:hAnsi="宋体" w:eastAsia="宋体"/>
          <w:color w:val="000000" w:themeColor="text1"/>
        </w:rPr>
        <w:t>第十章 解释和争议的解决</w:t>
      </w:r>
      <w:r>
        <w:rPr>
          <w:rFonts w:ascii="宋体" w:hAnsi="宋体" w:eastAsia="宋体"/>
          <w:b/>
          <w:color w:val="000000" w:themeColor="text1"/>
          <w:sz w:val="30"/>
          <w:szCs w:val="30"/>
        </w:rPr>
        <w:t>................................</w:t>
      </w:r>
      <w:r>
        <w:rPr>
          <w:rFonts w:ascii="宋体" w:hAnsi="宋体" w:eastAsia="宋体"/>
          <w:b/>
          <w:color w:val="000000" w:themeColor="text1"/>
          <w:sz w:val="30"/>
          <w:szCs w:val="30"/>
        </w:rPr>
        <w:fldChar w:fldCharType="end"/>
      </w:r>
    </w:p>
    <w:p>
      <w:pPr>
        <w:pStyle w:val="16"/>
        <w:tabs>
          <w:tab w:val="right" w:leader="dot" w:pos="9071"/>
        </w:tabs>
        <w:spacing w:after="160" w:line="360" w:lineRule="auto"/>
        <w:ind w:left="960"/>
        <w:rPr>
          <w:rFonts w:hAnsi="Times New Roman"/>
          <w:color w:val="000000" w:themeColor="text1"/>
        </w:rPr>
      </w:pPr>
      <w:r>
        <w:rPr>
          <w:color w:val="000000" w:themeColor="text1"/>
        </w:rPr>
        <w:fldChar w:fldCharType="begin"/>
      </w:r>
      <w:r>
        <w:rPr>
          <w:color w:val="000000" w:themeColor="text1"/>
        </w:rPr>
        <w:instrText xml:space="preserve"> HYPERLINK </w:instrText>
      </w:r>
      <w:r>
        <w:rPr>
          <w:color w:val="000000" w:themeColor="text1"/>
        </w:rPr>
        <w:fldChar w:fldCharType="separate"/>
      </w:r>
      <w:r>
        <w:rPr>
          <w:rFonts w:ascii="宋体" w:hAnsi="宋体" w:eastAsia="宋体"/>
          <w:color w:val="000000" w:themeColor="text1"/>
        </w:rPr>
        <w:t>第十一章 其它</w:t>
      </w:r>
      <w:r>
        <w:rPr>
          <w:rFonts w:ascii="宋体" w:hAnsi="宋体" w:eastAsia="宋体"/>
          <w:b/>
          <w:color w:val="000000" w:themeColor="text1"/>
          <w:sz w:val="30"/>
          <w:szCs w:val="30"/>
        </w:rPr>
        <w:t>........................................</w:t>
      </w:r>
      <w:r>
        <w:rPr>
          <w:rFonts w:ascii="宋体" w:hAnsi="宋体" w:eastAsia="宋体"/>
          <w:b/>
          <w:color w:val="000000" w:themeColor="text1"/>
          <w:sz w:val="30"/>
          <w:szCs w:val="30"/>
        </w:rPr>
        <w:fldChar w:fldCharType="end"/>
      </w:r>
    </w:p>
    <w:p>
      <w:pPr>
        <w:pStyle w:val="20"/>
        <w:tabs>
          <w:tab w:val="right" w:leader="dot" w:pos="9071"/>
        </w:tabs>
        <w:spacing w:after="160" w:line="360" w:lineRule="auto"/>
        <w:rPr>
          <w:rFonts w:ascii="Calibri" w:hAnsi="Times New Roman" w:eastAsia="Times New Roman"/>
          <w:color w:val="000000" w:themeColor="text1"/>
        </w:rPr>
      </w:pPr>
      <w:r>
        <w:rPr>
          <w:color w:val="000000" w:themeColor="text1"/>
        </w:rPr>
        <w:fldChar w:fldCharType="begin"/>
      </w:r>
      <w:r>
        <w:rPr>
          <w:color w:val="000000" w:themeColor="text1"/>
        </w:rPr>
        <w:instrText xml:space="preserve"> HYPERLINK </w:instrText>
      </w:r>
      <w:r>
        <w:rPr>
          <w:color w:val="000000" w:themeColor="text1"/>
        </w:rPr>
        <w:fldChar w:fldCharType="separate"/>
      </w:r>
      <w:r>
        <w:rPr>
          <w:color w:val="000000" w:themeColor="text1"/>
        </w:rPr>
        <w:t>第 二 卷.................................................</w:t>
      </w:r>
      <w:r>
        <w:rPr>
          <w:color w:val="000000" w:themeColor="text1"/>
        </w:rPr>
        <w:fldChar w:fldCharType="end"/>
      </w:r>
    </w:p>
    <w:p>
      <w:pPr>
        <w:pStyle w:val="24"/>
        <w:tabs>
          <w:tab w:val="right" w:leader="dot" w:pos="9071"/>
        </w:tabs>
        <w:spacing w:after="160" w:line="360" w:lineRule="auto"/>
        <w:ind w:left="480"/>
        <w:rPr>
          <w:rFonts w:hAnsi="Times New Roman"/>
          <w:color w:val="000000" w:themeColor="text1"/>
        </w:rPr>
      </w:pPr>
      <w:r>
        <w:rPr>
          <w:color w:val="000000" w:themeColor="text1"/>
        </w:rPr>
        <w:fldChar w:fldCharType="begin"/>
      </w:r>
      <w:r>
        <w:rPr>
          <w:color w:val="000000" w:themeColor="text1"/>
        </w:rPr>
        <w:instrText xml:space="preserve"> HYPERLINK </w:instrText>
      </w:r>
      <w:r>
        <w:rPr>
          <w:color w:val="000000" w:themeColor="text1"/>
        </w:rPr>
        <w:fldChar w:fldCharType="separate"/>
      </w:r>
      <w:r>
        <w:rPr>
          <w:rFonts w:ascii="宋体" w:hAnsi="宋体" w:eastAsia="宋体"/>
          <w:color w:val="000000" w:themeColor="text1"/>
        </w:rPr>
        <w:t>第五章 投资方案及财务评价编制要点</w:t>
      </w:r>
      <w:r>
        <w:rPr>
          <w:rFonts w:ascii="宋体" w:hAnsi="宋体" w:eastAsia="宋体"/>
          <w:b/>
          <w:color w:val="000000" w:themeColor="text1"/>
          <w:sz w:val="30"/>
          <w:szCs w:val="30"/>
        </w:rPr>
        <w:t>........................</w:t>
      </w:r>
      <w:r>
        <w:rPr>
          <w:rFonts w:ascii="宋体" w:hAnsi="宋体" w:eastAsia="宋体"/>
          <w:b/>
          <w:color w:val="000000" w:themeColor="text1"/>
          <w:sz w:val="30"/>
          <w:szCs w:val="30"/>
        </w:rPr>
        <w:fldChar w:fldCharType="end"/>
      </w:r>
    </w:p>
    <w:p>
      <w:pPr>
        <w:pStyle w:val="16"/>
        <w:tabs>
          <w:tab w:val="right" w:leader="dot" w:pos="9071"/>
        </w:tabs>
        <w:spacing w:after="160" w:line="360" w:lineRule="auto"/>
        <w:ind w:left="960"/>
        <w:rPr>
          <w:rFonts w:hAnsi="宋体" w:eastAsia="宋体"/>
          <w:color w:val="000000" w:themeColor="text1"/>
        </w:rPr>
      </w:pPr>
      <w:r>
        <w:rPr>
          <w:color w:val="000000" w:themeColor="text1"/>
        </w:rPr>
        <w:fldChar w:fldCharType="begin"/>
      </w:r>
      <w:r>
        <w:rPr>
          <w:color w:val="000000" w:themeColor="text1"/>
        </w:rPr>
        <w:instrText xml:space="preserve"> HYPERLINK </w:instrText>
      </w:r>
      <w:r>
        <w:rPr>
          <w:color w:val="000000" w:themeColor="text1"/>
        </w:rPr>
        <w:fldChar w:fldCharType="separate"/>
      </w:r>
      <w:r>
        <w:rPr>
          <w:rFonts w:ascii="宋体" w:hAnsi="宋体" w:eastAsia="宋体"/>
          <w:color w:val="000000" w:themeColor="text1"/>
        </w:rPr>
        <w:t>附表1 项目投资估算表</w:t>
      </w:r>
      <w:r>
        <w:rPr>
          <w:rFonts w:ascii="宋体" w:hAnsi="宋体" w:eastAsia="宋体"/>
          <w:color w:val="000000" w:themeColor="text1"/>
        </w:rPr>
        <w:fldChar w:fldCharType="end"/>
      </w:r>
      <w:r>
        <w:rPr>
          <w:rFonts w:ascii="宋体" w:hAnsi="宋体" w:eastAsia="宋体"/>
          <w:b/>
          <w:color w:val="000000" w:themeColor="text1"/>
          <w:sz w:val="30"/>
          <w:szCs w:val="30"/>
        </w:rPr>
        <w:t>...................................</w:t>
      </w:r>
      <w:r>
        <w:rPr>
          <w:rFonts w:hAnsi="Times New Roman"/>
          <w:color w:val="000000" w:themeColor="text1"/>
        </w:rPr>
        <w:t>68</w:t>
      </w:r>
    </w:p>
    <w:p>
      <w:pPr>
        <w:pStyle w:val="16"/>
        <w:tabs>
          <w:tab w:val="right" w:leader="dot" w:pos="9071"/>
        </w:tabs>
        <w:spacing w:after="160" w:line="360" w:lineRule="auto"/>
        <w:ind w:left="960"/>
        <w:rPr>
          <w:rFonts w:hAnsi="Times New Roman"/>
          <w:color w:val="000000" w:themeColor="text1"/>
        </w:rPr>
      </w:pPr>
      <w:r>
        <w:rPr>
          <w:color w:val="000000" w:themeColor="text1"/>
        </w:rPr>
        <w:fldChar w:fldCharType="begin"/>
      </w:r>
      <w:r>
        <w:rPr>
          <w:color w:val="000000" w:themeColor="text1"/>
        </w:rPr>
        <w:instrText xml:space="preserve"> HYPERLINK </w:instrText>
      </w:r>
      <w:r>
        <w:rPr>
          <w:color w:val="000000" w:themeColor="text1"/>
        </w:rPr>
        <w:fldChar w:fldCharType="separate"/>
      </w:r>
      <w:r>
        <w:rPr>
          <w:rFonts w:ascii="宋体" w:hAnsi="宋体" w:eastAsia="宋体"/>
          <w:color w:val="000000" w:themeColor="text1"/>
        </w:rPr>
        <w:t>附表2 项目总投资使用计划与资金筹措表</w:t>
      </w:r>
      <w:r>
        <w:rPr>
          <w:rFonts w:ascii="宋体" w:hAnsi="宋体" w:eastAsia="宋体"/>
          <w:b/>
          <w:color w:val="000000" w:themeColor="text1"/>
          <w:sz w:val="30"/>
          <w:szCs w:val="30"/>
        </w:rPr>
        <w:t>.......................</w:t>
      </w:r>
      <w:r>
        <w:rPr>
          <w:rFonts w:ascii="宋体" w:hAnsi="宋体" w:eastAsia="宋体"/>
          <w:b/>
          <w:color w:val="000000" w:themeColor="text1"/>
          <w:sz w:val="30"/>
          <w:szCs w:val="30"/>
        </w:rPr>
        <w:fldChar w:fldCharType="end"/>
      </w:r>
    </w:p>
    <w:p>
      <w:pPr>
        <w:pStyle w:val="16"/>
        <w:tabs>
          <w:tab w:val="right" w:leader="dot" w:pos="9071"/>
        </w:tabs>
        <w:spacing w:after="160" w:line="360" w:lineRule="auto"/>
        <w:ind w:left="0"/>
        <w:rPr>
          <w:rFonts w:ascii="宋体" w:hAnsi="宋体" w:eastAsia="宋体"/>
          <w:color w:val="000000" w:themeColor="text1"/>
        </w:rPr>
        <w:sectPr>
          <w:footerReference r:id="rId7" w:type="default"/>
          <w:pgSz w:w="11906" w:h="16838"/>
          <w:pgMar w:top="1134" w:right="1134" w:bottom="1134" w:left="1701" w:header="567" w:footer="567" w:gutter="0"/>
          <w:pgNumType w:fmt="upperRoman" w:start="1"/>
          <w:cols w:space="720" w:num="1"/>
          <w:docGrid w:linePitch="312" w:charSpace="0"/>
        </w:sectPr>
      </w:pPr>
      <w:r>
        <w:rPr>
          <w:rFonts w:ascii="宋体" w:hAnsi="宋体" w:eastAsia="宋体"/>
          <w:color w:val="000000" w:themeColor="text1"/>
        </w:rPr>
        <w:t>附表3 主要技术经济指标</w:t>
      </w:r>
      <w:r>
        <w:rPr>
          <w:rFonts w:ascii="宋体" w:hAnsi="宋体" w:eastAsia="宋体"/>
          <w:b/>
          <w:color w:val="000000" w:themeColor="text1"/>
          <w:sz w:val="30"/>
          <w:szCs w:val="30"/>
        </w:rPr>
        <w:t>.......................................</w:t>
      </w:r>
    </w:p>
    <w:p>
      <w:pPr>
        <w:pStyle w:val="16"/>
        <w:tabs>
          <w:tab w:val="right" w:leader="dot" w:pos="9071"/>
        </w:tabs>
        <w:spacing w:after="160" w:line="360" w:lineRule="auto"/>
        <w:ind w:left="0"/>
        <w:rPr>
          <w:rFonts w:hAnsi="Times New Roman"/>
          <w:b/>
          <w:color w:val="000000" w:themeColor="text1"/>
          <w:sz w:val="30"/>
          <w:szCs w:val="30"/>
        </w:rPr>
      </w:pPr>
      <w:r>
        <w:rPr>
          <w:color w:val="000000" w:themeColor="text1"/>
        </w:rPr>
        <w:fldChar w:fldCharType="begin"/>
      </w:r>
      <w:r>
        <w:rPr>
          <w:color w:val="000000" w:themeColor="text1"/>
        </w:rPr>
        <w:instrText xml:space="preserve"> HYPERLINK </w:instrText>
      </w:r>
      <w:r>
        <w:rPr>
          <w:color w:val="000000" w:themeColor="text1"/>
        </w:rPr>
        <w:fldChar w:fldCharType="separate"/>
      </w:r>
      <w:r>
        <w:rPr>
          <w:rFonts w:ascii="宋体" w:hAnsi="宋体" w:eastAsia="宋体"/>
          <w:b/>
          <w:color w:val="000000" w:themeColor="text1"/>
          <w:sz w:val="30"/>
          <w:szCs w:val="30"/>
        </w:rPr>
        <w:t>第 三 卷...............................................</w:t>
      </w:r>
      <w:r>
        <w:rPr>
          <w:rFonts w:ascii="宋体" w:hAnsi="宋体" w:eastAsia="宋体"/>
          <w:b/>
          <w:color w:val="000000" w:themeColor="text1"/>
          <w:sz w:val="30"/>
          <w:szCs w:val="30"/>
        </w:rPr>
        <w:fldChar w:fldCharType="end"/>
      </w:r>
    </w:p>
    <w:p>
      <w:pPr>
        <w:pStyle w:val="24"/>
        <w:tabs>
          <w:tab w:val="right" w:leader="dot" w:pos="9071"/>
        </w:tabs>
        <w:spacing w:after="160" w:line="360" w:lineRule="auto"/>
        <w:ind w:left="480"/>
        <w:rPr>
          <w:rFonts w:hAnsi="Times New Roman"/>
          <w:color w:val="000000" w:themeColor="text1"/>
        </w:rPr>
      </w:pPr>
      <w:r>
        <w:rPr>
          <w:color w:val="000000" w:themeColor="text1"/>
        </w:rPr>
        <w:fldChar w:fldCharType="begin"/>
      </w:r>
      <w:r>
        <w:rPr>
          <w:color w:val="000000" w:themeColor="text1"/>
        </w:rPr>
        <w:instrText xml:space="preserve"> HYPERLINK </w:instrText>
      </w:r>
      <w:r>
        <w:rPr>
          <w:color w:val="000000" w:themeColor="text1"/>
        </w:rPr>
        <w:fldChar w:fldCharType="separate"/>
      </w:r>
      <w:r>
        <w:rPr>
          <w:rFonts w:ascii="宋体" w:hAnsi="宋体" w:eastAsia="宋体"/>
          <w:color w:val="000000" w:themeColor="text1"/>
        </w:rPr>
        <w:t>第六章 技术及建设方案编制要点</w:t>
      </w:r>
      <w:r>
        <w:rPr>
          <w:rFonts w:ascii="宋体" w:hAnsi="宋体" w:eastAsia="宋体"/>
          <w:b/>
          <w:color w:val="000000" w:themeColor="text1"/>
          <w:sz w:val="30"/>
          <w:szCs w:val="30"/>
        </w:rPr>
        <w:t>...........................</w:t>
      </w:r>
      <w:r>
        <w:rPr>
          <w:rFonts w:ascii="宋体" w:hAnsi="宋体" w:eastAsia="宋体"/>
          <w:b/>
          <w:color w:val="000000" w:themeColor="text1"/>
          <w:sz w:val="30"/>
          <w:szCs w:val="30"/>
        </w:rPr>
        <w:fldChar w:fldCharType="end"/>
      </w:r>
    </w:p>
    <w:p>
      <w:pPr>
        <w:pStyle w:val="20"/>
        <w:tabs>
          <w:tab w:val="right" w:leader="dot" w:pos="9071"/>
        </w:tabs>
        <w:spacing w:after="160" w:line="360" w:lineRule="auto"/>
        <w:rPr>
          <w:rFonts w:ascii="Calibri" w:hAnsi="Times New Roman" w:eastAsia="Times New Roman"/>
          <w:color w:val="000000" w:themeColor="text1"/>
        </w:rPr>
      </w:pPr>
      <w:r>
        <w:rPr>
          <w:color w:val="000000" w:themeColor="text1"/>
        </w:rPr>
        <w:t>第 四 卷...............................................</w:t>
      </w:r>
      <w:r>
        <w:rPr>
          <w:rFonts w:ascii="Calibri" w:hAnsi="Times New Roman" w:eastAsia="Times New Roman"/>
          <w:color w:val="000000" w:themeColor="text1"/>
        </w:rPr>
        <w:t>72</w:t>
      </w:r>
      <w:r>
        <w:rPr>
          <w:rFonts w:ascii="Calibri" w:hAnsi="Times New Roman" w:eastAsia="Times New Roman"/>
          <w:color w:val="000000" w:themeColor="text1"/>
        </w:rPr>
        <w:fldChar w:fldCharType="begin"/>
      </w:r>
      <w:r>
        <w:rPr>
          <w:color w:val="000000" w:themeColor="text1"/>
        </w:rPr>
        <w:instrText xml:space="preserve">PAGEREF  _Toc19664\* MERGEFORMAT</w:instrText>
      </w:r>
      <w:r>
        <w:rPr>
          <w:color w:val="000000" w:themeColor="text1"/>
        </w:rPr>
        <w:fldChar w:fldCharType="end"/>
      </w:r>
    </w:p>
    <w:p>
      <w:pPr>
        <w:pStyle w:val="24"/>
        <w:tabs>
          <w:tab w:val="right" w:leader="dot" w:pos="9071"/>
        </w:tabs>
        <w:spacing w:after="160" w:line="360" w:lineRule="auto"/>
        <w:ind w:left="480"/>
        <w:rPr>
          <w:rFonts w:hAnsi="Times New Roman"/>
          <w:color w:val="000000" w:themeColor="text1"/>
        </w:rPr>
      </w:pPr>
      <w:r>
        <w:rPr>
          <w:rFonts w:ascii="宋体" w:hAnsi="宋体" w:eastAsia="宋体"/>
          <w:color w:val="000000" w:themeColor="text1"/>
        </w:rPr>
        <w:t>第七章 投标文件格式</w:t>
      </w:r>
      <w:r>
        <w:rPr>
          <w:rFonts w:ascii="宋体" w:hAnsi="宋体" w:eastAsia="宋体"/>
          <w:b/>
          <w:color w:val="000000" w:themeColor="text1"/>
          <w:sz w:val="30"/>
          <w:szCs w:val="30"/>
        </w:rPr>
        <w:t>..................................</w:t>
      </w:r>
      <w:r>
        <w:rPr>
          <w:rFonts w:hAnsi="Times New Roman"/>
          <w:color w:val="000000" w:themeColor="text1"/>
        </w:rPr>
        <w:t>73</w:t>
      </w:r>
      <w:r>
        <w:rPr>
          <w:rFonts w:hAnsi="Times New Roman"/>
          <w:color w:val="000000" w:themeColor="text1"/>
        </w:rPr>
        <w:fldChar w:fldCharType="begin"/>
      </w:r>
      <w:r>
        <w:rPr>
          <w:color w:val="000000" w:themeColor="text1"/>
        </w:rPr>
        <w:instrText xml:space="preserve">PAGEREF  _Toc31895\* MERGEFORMAT</w:instrText>
      </w:r>
      <w:r>
        <w:rPr>
          <w:rFonts w:ascii="宋体" w:hAnsi="宋体" w:eastAsia="宋体"/>
          <w:color w:val="000000" w:themeColor="text1"/>
        </w:rPr>
        <w:fldChar w:fldCharType="end"/>
      </w:r>
    </w:p>
    <w:p>
      <w:pPr>
        <w:pStyle w:val="24"/>
        <w:tabs>
          <w:tab w:val="right" w:leader="dot" w:pos="9071"/>
        </w:tabs>
        <w:spacing w:after="160" w:line="360" w:lineRule="auto"/>
        <w:ind w:left="480"/>
        <w:rPr>
          <w:rFonts w:hAnsi="Times New Roman"/>
          <w:color w:val="000000" w:themeColor="text1"/>
        </w:rPr>
      </w:pPr>
      <w:r>
        <w:rPr>
          <w:color w:val="000000" w:themeColor="text1"/>
        </w:rPr>
        <w:fldChar w:fldCharType="begin"/>
      </w:r>
      <w:r>
        <w:rPr>
          <w:color w:val="000000" w:themeColor="text1"/>
        </w:rPr>
        <w:instrText xml:space="preserve"> HYPERLINK </w:instrText>
      </w:r>
      <w:r>
        <w:rPr>
          <w:color w:val="000000" w:themeColor="text1"/>
        </w:rPr>
        <w:fldChar w:fldCharType="separate"/>
      </w:r>
      <w:r>
        <w:rPr>
          <w:rFonts w:ascii="宋体" w:hAnsi="宋体" w:eastAsia="宋体"/>
          <w:color w:val="000000" w:themeColor="text1"/>
        </w:rPr>
        <w:t>商务部分</w:t>
      </w:r>
      <w:r>
        <w:rPr>
          <w:rFonts w:ascii="宋体" w:hAnsi="宋体" w:eastAsia="宋体"/>
          <w:b/>
          <w:color w:val="000000" w:themeColor="text1"/>
          <w:sz w:val="30"/>
          <w:szCs w:val="30"/>
        </w:rPr>
        <w:t>............................................</w:t>
      </w:r>
      <w:r>
        <w:rPr>
          <w:rFonts w:ascii="宋体" w:hAnsi="宋体" w:eastAsia="宋体"/>
          <w:b/>
          <w:color w:val="000000" w:themeColor="text1"/>
          <w:sz w:val="30"/>
          <w:szCs w:val="30"/>
        </w:rPr>
        <w:fldChar w:fldCharType="end"/>
      </w:r>
    </w:p>
    <w:p>
      <w:pPr>
        <w:pStyle w:val="24"/>
        <w:tabs>
          <w:tab w:val="right" w:leader="dot" w:pos="9071"/>
        </w:tabs>
        <w:spacing w:after="160" w:line="360" w:lineRule="auto"/>
        <w:ind w:left="480"/>
        <w:rPr>
          <w:rFonts w:hAnsi="Times New Roman"/>
          <w:color w:val="000000" w:themeColor="text1"/>
        </w:rPr>
      </w:pPr>
      <w:r>
        <w:rPr>
          <w:color w:val="000000" w:themeColor="text1"/>
        </w:rPr>
        <w:fldChar w:fldCharType="begin"/>
      </w:r>
      <w:r>
        <w:rPr>
          <w:color w:val="000000" w:themeColor="text1"/>
        </w:rPr>
        <w:instrText xml:space="preserve">HYPERLINK ""</w:instrText>
      </w:r>
      <w:r>
        <w:rPr>
          <w:color w:val="000000" w:themeColor="text1"/>
        </w:rPr>
        <w:fldChar w:fldCharType="separate"/>
      </w:r>
      <w:r>
        <w:rPr>
          <w:rFonts w:ascii="宋体" w:hAnsi="宋体" w:eastAsia="宋体"/>
          <w:color w:val="000000" w:themeColor="text1"/>
        </w:rPr>
        <w:t>一、资格证明文件</w:t>
      </w:r>
      <w:r>
        <w:rPr>
          <w:rFonts w:ascii="宋体" w:hAnsi="宋体" w:eastAsia="宋体"/>
          <w:b/>
          <w:color w:val="000000" w:themeColor="text1"/>
          <w:sz w:val="30"/>
          <w:szCs w:val="30"/>
        </w:rPr>
        <w:t>.....................................</w:t>
      </w:r>
      <w:r>
        <w:rPr>
          <w:rFonts w:hAnsi="Times New Roman"/>
          <w:color w:val="000000" w:themeColor="text1"/>
        </w:rPr>
        <w:t>75</w:t>
      </w:r>
      <w:r>
        <w:rPr>
          <w:rFonts w:hAnsi="Times New Roman"/>
          <w:color w:val="000000" w:themeColor="text1"/>
        </w:rPr>
        <w:fldChar w:fldCharType="begin"/>
      </w:r>
      <w:r>
        <w:rPr>
          <w:color w:val="000000" w:themeColor="text1"/>
        </w:rPr>
        <w:instrText xml:space="preserve">PAGEREF  _Toc25413\* MERGEFORMAT</w:instrText>
      </w:r>
      <w:r>
        <w:rPr>
          <w:rFonts w:ascii="宋体" w:hAnsi="宋体" w:eastAsia="宋体"/>
          <w:color w:val="000000" w:themeColor="text1"/>
        </w:rPr>
        <w:fldChar w:fldCharType="end"/>
      </w:r>
    </w:p>
    <w:p>
      <w:pPr>
        <w:pStyle w:val="16"/>
        <w:tabs>
          <w:tab w:val="right" w:leader="dot" w:pos="9071"/>
        </w:tabs>
        <w:spacing w:after="160" w:line="360" w:lineRule="auto"/>
        <w:ind w:left="960"/>
        <w:rPr>
          <w:rFonts w:hAnsi="Times New Roman"/>
          <w:color w:val="000000" w:themeColor="text1"/>
        </w:rPr>
      </w:pPr>
      <w:r>
        <w:rPr>
          <w:color w:val="000000" w:themeColor="text1"/>
        </w:rPr>
        <w:fldChar w:fldCharType="begin"/>
      </w:r>
      <w:r>
        <w:rPr>
          <w:color w:val="000000" w:themeColor="text1"/>
        </w:rPr>
        <w:instrText xml:space="preserve"> HYPERLINK </w:instrText>
      </w:r>
      <w:r>
        <w:rPr>
          <w:color w:val="000000" w:themeColor="text1"/>
        </w:rPr>
        <w:fldChar w:fldCharType="separate"/>
      </w:r>
      <w:r>
        <w:rPr>
          <w:rFonts w:ascii="宋体" w:hAnsi="宋体" w:eastAsia="宋体"/>
          <w:color w:val="000000" w:themeColor="text1"/>
        </w:rPr>
        <w:t>1.1投标承诺函</w:t>
      </w:r>
      <w:r>
        <w:rPr>
          <w:rFonts w:ascii="宋体" w:hAnsi="宋体" w:eastAsia="宋体"/>
          <w:b/>
          <w:color w:val="000000" w:themeColor="text1"/>
          <w:sz w:val="30"/>
          <w:szCs w:val="30"/>
        </w:rPr>
        <w:t>.......................................</w:t>
      </w:r>
      <w:r>
        <w:rPr>
          <w:rFonts w:ascii="宋体" w:hAnsi="宋体" w:eastAsia="宋体"/>
          <w:b/>
          <w:color w:val="000000" w:themeColor="text1"/>
          <w:sz w:val="30"/>
          <w:szCs w:val="30"/>
        </w:rPr>
        <w:fldChar w:fldCharType="end"/>
      </w:r>
    </w:p>
    <w:p>
      <w:pPr>
        <w:pStyle w:val="16"/>
        <w:tabs>
          <w:tab w:val="right" w:leader="dot" w:pos="9071"/>
        </w:tabs>
        <w:spacing w:after="160" w:line="360" w:lineRule="auto"/>
        <w:ind w:left="960"/>
        <w:rPr>
          <w:rFonts w:hAnsi="Times New Roman"/>
          <w:color w:val="000000" w:themeColor="text1"/>
        </w:rPr>
      </w:pPr>
      <w:r>
        <w:rPr>
          <w:color w:val="000000" w:themeColor="text1"/>
        </w:rPr>
        <w:fldChar w:fldCharType="begin"/>
      </w:r>
      <w:r>
        <w:rPr>
          <w:color w:val="000000" w:themeColor="text1"/>
        </w:rPr>
        <w:instrText xml:space="preserve"> HYPERLINK </w:instrText>
      </w:r>
      <w:r>
        <w:rPr>
          <w:color w:val="000000" w:themeColor="text1"/>
        </w:rPr>
        <w:fldChar w:fldCharType="separate"/>
      </w:r>
      <w:r>
        <w:rPr>
          <w:rFonts w:ascii="宋体" w:hAnsi="宋体" w:eastAsia="宋体"/>
          <w:color w:val="000000" w:themeColor="text1"/>
        </w:rPr>
        <w:t>1.2法定代表人身份证明</w:t>
      </w:r>
      <w:r>
        <w:rPr>
          <w:rFonts w:ascii="宋体" w:hAnsi="宋体" w:eastAsia="宋体"/>
          <w:b/>
          <w:color w:val="000000" w:themeColor="text1"/>
          <w:sz w:val="30"/>
          <w:szCs w:val="30"/>
        </w:rPr>
        <w:t>................................</w:t>
      </w:r>
      <w:r>
        <w:rPr>
          <w:rFonts w:ascii="宋体" w:hAnsi="宋体" w:eastAsia="宋体"/>
          <w:b/>
          <w:color w:val="000000" w:themeColor="text1"/>
          <w:sz w:val="30"/>
          <w:szCs w:val="30"/>
        </w:rPr>
        <w:fldChar w:fldCharType="end"/>
      </w:r>
    </w:p>
    <w:p>
      <w:pPr>
        <w:pStyle w:val="16"/>
        <w:tabs>
          <w:tab w:val="right" w:leader="dot" w:pos="9071"/>
        </w:tabs>
        <w:spacing w:after="160" w:line="360" w:lineRule="auto"/>
        <w:ind w:left="960"/>
        <w:rPr>
          <w:rFonts w:hAnsi="Times New Roman"/>
          <w:color w:val="000000" w:themeColor="text1"/>
        </w:rPr>
      </w:pPr>
      <w:r>
        <w:rPr>
          <w:color w:val="000000" w:themeColor="text1"/>
        </w:rPr>
        <w:fldChar w:fldCharType="begin"/>
      </w:r>
      <w:r>
        <w:rPr>
          <w:color w:val="000000" w:themeColor="text1"/>
        </w:rPr>
        <w:instrText xml:space="preserve"> HYPERLINK </w:instrText>
      </w:r>
      <w:r>
        <w:rPr>
          <w:color w:val="000000" w:themeColor="text1"/>
        </w:rPr>
        <w:fldChar w:fldCharType="separate"/>
      </w:r>
      <w:r>
        <w:rPr>
          <w:rFonts w:ascii="宋体" w:hAnsi="宋体" w:eastAsia="宋体"/>
          <w:color w:val="000000" w:themeColor="text1"/>
        </w:rPr>
        <w:t>1.3授权委托书</w:t>
      </w:r>
      <w:r>
        <w:rPr>
          <w:rFonts w:ascii="宋体" w:hAnsi="宋体" w:eastAsia="宋体"/>
          <w:b/>
          <w:color w:val="000000" w:themeColor="text1"/>
          <w:sz w:val="30"/>
          <w:szCs w:val="30"/>
        </w:rPr>
        <w:t>.......................................</w:t>
      </w:r>
      <w:r>
        <w:rPr>
          <w:rFonts w:ascii="宋体" w:hAnsi="宋体" w:eastAsia="宋体"/>
          <w:b/>
          <w:color w:val="000000" w:themeColor="text1"/>
          <w:sz w:val="30"/>
          <w:szCs w:val="30"/>
        </w:rPr>
        <w:fldChar w:fldCharType="end"/>
      </w:r>
    </w:p>
    <w:p>
      <w:pPr>
        <w:pStyle w:val="16"/>
        <w:tabs>
          <w:tab w:val="right" w:leader="dot" w:pos="9071"/>
        </w:tabs>
        <w:spacing w:after="160" w:line="360" w:lineRule="auto"/>
        <w:ind w:left="960"/>
        <w:rPr>
          <w:rFonts w:hAnsi="Times New Roman"/>
          <w:color w:val="000000" w:themeColor="text1"/>
        </w:rPr>
      </w:pPr>
      <w:r>
        <w:rPr>
          <w:color w:val="000000" w:themeColor="text1"/>
        </w:rPr>
        <w:fldChar w:fldCharType="begin"/>
      </w:r>
      <w:r>
        <w:rPr>
          <w:color w:val="000000" w:themeColor="text1"/>
        </w:rPr>
        <w:instrText xml:space="preserve"> HYPERLINK </w:instrText>
      </w:r>
      <w:r>
        <w:rPr>
          <w:color w:val="000000" w:themeColor="text1"/>
        </w:rPr>
        <w:fldChar w:fldCharType="separate"/>
      </w:r>
      <w:r>
        <w:rPr>
          <w:rFonts w:ascii="宋体" w:hAnsi="宋体" w:eastAsia="宋体"/>
          <w:color w:val="000000" w:themeColor="text1"/>
        </w:rPr>
        <w:t>1.4投标保证金或担保函</w:t>
      </w:r>
      <w:r>
        <w:rPr>
          <w:rFonts w:ascii="宋体" w:hAnsi="宋体" w:eastAsia="宋体"/>
          <w:b/>
          <w:color w:val="000000" w:themeColor="text1"/>
          <w:sz w:val="30"/>
          <w:szCs w:val="30"/>
        </w:rPr>
        <w:t>.................................</w:t>
      </w:r>
      <w:r>
        <w:rPr>
          <w:rFonts w:ascii="宋体" w:hAnsi="宋体" w:eastAsia="宋体"/>
          <w:b/>
          <w:color w:val="000000" w:themeColor="text1"/>
          <w:sz w:val="30"/>
          <w:szCs w:val="30"/>
        </w:rPr>
        <w:fldChar w:fldCharType="end"/>
      </w:r>
    </w:p>
    <w:p>
      <w:pPr>
        <w:pStyle w:val="16"/>
        <w:tabs>
          <w:tab w:val="right" w:leader="dot" w:pos="9071"/>
        </w:tabs>
        <w:spacing w:after="160" w:line="360" w:lineRule="auto"/>
        <w:ind w:left="960"/>
        <w:rPr>
          <w:rFonts w:hAnsi="Times New Roman"/>
          <w:color w:val="000000" w:themeColor="text1"/>
        </w:rPr>
      </w:pPr>
      <w:r>
        <w:rPr>
          <w:color w:val="000000" w:themeColor="text1"/>
        </w:rPr>
        <w:fldChar w:fldCharType="begin"/>
      </w:r>
      <w:r>
        <w:rPr>
          <w:color w:val="000000" w:themeColor="text1"/>
        </w:rPr>
        <w:instrText xml:space="preserve"> HYPERLINK </w:instrText>
      </w:r>
      <w:r>
        <w:rPr>
          <w:color w:val="000000" w:themeColor="text1"/>
        </w:rPr>
        <w:fldChar w:fldCharType="separate"/>
      </w:r>
      <w:r>
        <w:rPr>
          <w:rFonts w:ascii="宋体" w:hAnsi="宋体" w:eastAsia="宋体"/>
          <w:color w:val="000000" w:themeColor="text1"/>
        </w:rPr>
        <w:t>1.5《特许经营协议》的响应意见</w:t>
      </w:r>
      <w:r>
        <w:rPr>
          <w:rFonts w:ascii="宋体" w:hAnsi="宋体" w:eastAsia="宋体"/>
          <w:b/>
          <w:color w:val="000000" w:themeColor="text1"/>
          <w:sz w:val="30"/>
          <w:szCs w:val="30"/>
        </w:rPr>
        <w:t>...........................</w:t>
      </w:r>
      <w:r>
        <w:rPr>
          <w:rFonts w:ascii="宋体" w:hAnsi="宋体" w:eastAsia="宋体"/>
          <w:b/>
          <w:color w:val="000000" w:themeColor="text1"/>
          <w:sz w:val="30"/>
          <w:szCs w:val="30"/>
        </w:rPr>
        <w:fldChar w:fldCharType="end"/>
      </w:r>
    </w:p>
    <w:p>
      <w:pPr>
        <w:pStyle w:val="16"/>
        <w:tabs>
          <w:tab w:val="right" w:leader="dot" w:pos="9071"/>
        </w:tabs>
        <w:spacing w:after="160" w:line="360" w:lineRule="auto"/>
        <w:ind w:left="960"/>
        <w:rPr>
          <w:rFonts w:hAnsi="Times New Roman"/>
          <w:color w:val="000000" w:themeColor="text1"/>
        </w:rPr>
      </w:pPr>
      <w:r>
        <w:rPr>
          <w:color w:val="000000" w:themeColor="text1"/>
        </w:rPr>
        <w:fldChar w:fldCharType="begin"/>
      </w:r>
      <w:r>
        <w:rPr>
          <w:color w:val="000000" w:themeColor="text1"/>
        </w:rPr>
        <w:instrText xml:space="preserve"> HYPERLINK </w:instrText>
      </w:r>
      <w:r>
        <w:rPr>
          <w:color w:val="000000" w:themeColor="text1"/>
        </w:rPr>
        <w:fldChar w:fldCharType="separate"/>
      </w:r>
      <w:r>
        <w:rPr>
          <w:rFonts w:ascii="宋体" w:hAnsi="宋体" w:eastAsia="宋体"/>
          <w:color w:val="000000" w:themeColor="text1"/>
        </w:rPr>
        <w:t>1.6投标人基本情况表</w:t>
      </w:r>
      <w:r>
        <w:rPr>
          <w:rFonts w:ascii="宋体" w:hAnsi="宋体" w:eastAsia="宋体"/>
          <w:b/>
          <w:color w:val="000000" w:themeColor="text1"/>
          <w:sz w:val="30"/>
          <w:szCs w:val="30"/>
        </w:rPr>
        <w:t>..................................</w:t>
      </w:r>
      <w:r>
        <w:rPr>
          <w:rFonts w:ascii="宋体" w:hAnsi="宋体" w:eastAsia="宋体"/>
          <w:b/>
          <w:color w:val="000000" w:themeColor="text1"/>
          <w:sz w:val="30"/>
          <w:szCs w:val="30"/>
        </w:rPr>
        <w:fldChar w:fldCharType="end"/>
      </w:r>
    </w:p>
    <w:p>
      <w:pPr>
        <w:pStyle w:val="16"/>
        <w:tabs>
          <w:tab w:val="right" w:leader="dot" w:pos="9071"/>
        </w:tabs>
        <w:spacing w:after="160" w:line="360" w:lineRule="auto"/>
        <w:ind w:left="960"/>
        <w:rPr>
          <w:rFonts w:hAnsi="Times New Roman"/>
          <w:color w:val="000000" w:themeColor="text1"/>
        </w:rPr>
      </w:pPr>
      <w:r>
        <w:rPr>
          <w:color w:val="000000" w:themeColor="text1"/>
        </w:rPr>
        <w:fldChar w:fldCharType="begin"/>
      </w:r>
      <w:r>
        <w:rPr>
          <w:color w:val="000000" w:themeColor="text1"/>
        </w:rPr>
        <w:instrText xml:space="preserve"> HYPERLINK </w:instrText>
      </w:r>
      <w:r>
        <w:rPr>
          <w:color w:val="000000" w:themeColor="text1"/>
        </w:rPr>
        <w:fldChar w:fldCharType="separate"/>
      </w:r>
      <w:r>
        <w:rPr>
          <w:rFonts w:ascii="宋体" w:hAnsi="宋体" w:eastAsia="宋体"/>
          <w:color w:val="000000" w:themeColor="text1"/>
        </w:rPr>
        <w:t>1.7财务状况表</w:t>
      </w:r>
      <w:r>
        <w:rPr>
          <w:rFonts w:ascii="宋体" w:hAnsi="宋体" w:eastAsia="宋体"/>
          <w:b/>
          <w:color w:val="000000" w:themeColor="text1"/>
          <w:sz w:val="30"/>
          <w:szCs w:val="30"/>
        </w:rPr>
        <w:t>.......................................</w:t>
      </w:r>
      <w:r>
        <w:rPr>
          <w:rFonts w:ascii="宋体" w:hAnsi="宋体" w:eastAsia="宋体"/>
          <w:b/>
          <w:color w:val="000000" w:themeColor="text1"/>
          <w:sz w:val="30"/>
          <w:szCs w:val="30"/>
        </w:rPr>
        <w:fldChar w:fldCharType="end"/>
      </w:r>
    </w:p>
    <w:p>
      <w:pPr>
        <w:pStyle w:val="16"/>
        <w:tabs>
          <w:tab w:val="right" w:leader="dot" w:pos="9071"/>
        </w:tabs>
        <w:spacing w:after="160" w:line="360" w:lineRule="auto"/>
        <w:ind w:left="960"/>
        <w:rPr>
          <w:rFonts w:hAnsi="Times New Roman"/>
          <w:color w:val="000000" w:themeColor="text1"/>
        </w:rPr>
      </w:pPr>
      <w:r>
        <w:rPr>
          <w:color w:val="000000" w:themeColor="text1"/>
        </w:rPr>
        <w:fldChar w:fldCharType="begin"/>
      </w:r>
      <w:r>
        <w:rPr>
          <w:color w:val="000000" w:themeColor="text1"/>
        </w:rPr>
        <w:instrText xml:space="preserve"> HYPERLINK </w:instrText>
      </w:r>
      <w:r>
        <w:rPr>
          <w:color w:val="000000" w:themeColor="text1"/>
        </w:rPr>
        <w:fldChar w:fldCharType="separate"/>
      </w:r>
      <w:r>
        <w:rPr>
          <w:rFonts w:ascii="宋体" w:hAnsi="宋体" w:eastAsia="宋体"/>
          <w:color w:val="000000" w:themeColor="text1"/>
        </w:rPr>
        <w:t>1.8项目技术人员简介</w:t>
      </w:r>
      <w:r>
        <w:rPr>
          <w:rFonts w:ascii="宋体" w:hAnsi="宋体" w:eastAsia="宋体"/>
          <w:b/>
          <w:color w:val="000000" w:themeColor="text1"/>
          <w:sz w:val="30"/>
          <w:szCs w:val="30"/>
        </w:rPr>
        <w:t>..................................</w:t>
      </w:r>
      <w:r>
        <w:rPr>
          <w:rFonts w:ascii="宋体" w:hAnsi="宋体" w:eastAsia="宋体"/>
          <w:b/>
          <w:color w:val="000000" w:themeColor="text1"/>
          <w:sz w:val="30"/>
          <w:szCs w:val="30"/>
        </w:rPr>
        <w:fldChar w:fldCharType="end"/>
      </w:r>
    </w:p>
    <w:p>
      <w:pPr>
        <w:pStyle w:val="16"/>
        <w:tabs>
          <w:tab w:val="right" w:leader="dot" w:pos="9071"/>
        </w:tabs>
        <w:spacing w:after="160" w:line="360" w:lineRule="auto"/>
        <w:ind w:left="960"/>
        <w:rPr>
          <w:rFonts w:hAnsi="Times New Roman"/>
          <w:color w:val="000000" w:themeColor="text1"/>
        </w:rPr>
      </w:pPr>
      <w:r>
        <w:rPr>
          <w:color w:val="000000" w:themeColor="text1"/>
        </w:rPr>
        <w:fldChar w:fldCharType="begin"/>
      </w:r>
      <w:r>
        <w:rPr>
          <w:color w:val="000000" w:themeColor="text1"/>
        </w:rPr>
        <w:instrText xml:space="preserve"> HYPERLINK </w:instrText>
      </w:r>
      <w:r>
        <w:rPr>
          <w:color w:val="000000" w:themeColor="text1"/>
        </w:rPr>
        <w:fldChar w:fldCharType="separate"/>
      </w:r>
      <w:r>
        <w:rPr>
          <w:rFonts w:ascii="宋体" w:hAnsi="宋体" w:eastAsia="宋体"/>
          <w:color w:val="000000" w:themeColor="text1"/>
        </w:rPr>
        <w:t>1.9类似项目业绩</w:t>
      </w:r>
      <w:r>
        <w:rPr>
          <w:rFonts w:ascii="宋体" w:hAnsi="宋体" w:eastAsia="宋体"/>
          <w:b/>
          <w:color w:val="000000" w:themeColor="text1"/>
          <w:sz w:val="30"/>
          <w:szCs w:val="30"/>
        </w:rPr>
        <w:t>.....................................</w:t>
      </w:r>
      <w:r>
        <w:rPr>
          <w:rFonts w:ascii="宋体" w:hAnsi="宋体" w:eastAsia="宋体"/>
          <w:b/>
          <w:color w:val="000000" w:themeColor="text1"/>
          <w:sz w:val="30"/>
          <w:szCs w:val="30"/>
        </w:rPr>
        <w:fldChar w:fldCharType="end"/>
      </w:r>
    </w:p>
    <w:p>
      <w:pPr>
        <w:pStyle w:val="16"/>
        <w:tabs>
          <w:tab w:val="right" w:leader="dot" w:pos="9071"/>
        </w:tabs>
        <w:spacing w:after="160" w:line="360" w:lineRule="auto"/>
        <w:ind w:left="960"/>
        <w:rPr>
          <w:rFonts w:hAnsi="Times New Roman"/>
          <w:color w:val="000000" w:themeColor="text1"/>
        </w:rPr>
      </w:pPr>
      <w:r>
        <w:rPr>
          <w:color w:val="000000" w:themeColor="text1"/>
        </w:rPr>
        <w:fldChar w:fldCharType="begin"/>
      </w:r>
      <w:r>
        <w:rPr>
          <w:color w:val="000000" w:themeColor="text1"/>
        </w:rPr>
        <w:instrText xml:space="preserve"> HYPERLINK </w:instrText>
      </w:r>
      <w:r>
        <w:rPr>
          <w:color w:val="000000" w:themeColor="text1"/>
        </w:rPr>
        <w:fldChar w:fldCharType="separate"/>
      </w:r>
      <w:r>
        <w:rPr>
          <w:rFonts w:ascii="宋体" w:hAnsi="宋体" w:eastAsia="宋体"/>
          <w:color w:val="000000" w:themeColor="text1"/>
        </w:rPr>
        <w:t>1.10荣誉证书、体系认证</w:t>
      </w:r>
      <w:r>
        <w:rPr>
          <w:rFonts w:ascii="宋体" w:hAnsi="宋体" w:eastAsia="宋体"/>
          <w:b/>
          <w:color w:val="000000" w:themeColor="text1"/>
          <w:sz w:val="30"/>
          <w:szCs w:val="30"/>
        </w:rPr>
        <w:t>................................</w:t>
      </w:r>
      <w:r>
        <w:rPr>
          <w:rFonts w:ascii="宋体" w:hAnsi="宋体" w:eastAsia="宋体"/>
          <w:b/>
          <w:color w:val="000000" w:themeColor="text1"/>
          <w:sz w:val="30"/>
          <w:szCs w:val="30"/>
        </w:rPr>
        <w:fldChar w:fldCharType="end"/>
      </w:r>
    </w:p>
    <w:p>
      <w:pPr>
        <w:pStyle w:val="16"/>
        <w:tabs>
          <w:tab w:val="right" w:leader="dot" w:pos="9071"/>
        </w:tabs>
        <w:spacing w:after="160" w:line="360" w:lineRule="auto"/>
        <w:ind w:left="960"/>
        <w:rPr>
          <w:rFonts w:hAnsi="Times New Roman"/>
          <w:color w:val="000000" w:themeColor="text1"/>
        </w:rPr>
      </w:pPr>
      <w:r>
        <w:rPr>
          <w:color w:val="000000" w:themeColor="text1"/>
        </w:rPr>
        <w:fldChar w:fldCharType="begin"/>
      </w:r>
      <w:r>
        <w:rPr>
          <w:color w:val="000000" w:themeColor="text1"/>
        </w:rPr>
        <w:instrText xml:space="preserve"> HYPERLINK </w:instrText>
      </w:r>
      <w:r>
        <w:rPr>
          <w:color w:val="000000" w:themeColor="text1"/>
        </w:rPr>
        <w:fldChar w:fldCharType="separate"/>
      </w:r>
      <w:r>
        <w:rPr>
          <w:rFonts w:ascii="宋体" w:hAnsi="宋体" w:eastAsia="宋体"/>
          <w:color w:val="000000" w:themeColor="text1"/>
        </w:rPr>
        <w:t>1.11其他材料</w:t>
      </w:r>
      <w:r>
        <w:rPr>
          <w:rFonts w:ascii="宋体" w:hAnsi="宋体" w:eastAsia="宋体"/>
          <w:b/>
          <w:color w:val="000000" w:themeColor="text1"/>
          <w:sz w:val="30"/>
          <w:szCs w:val="30"/>
        </w:rPr>
        <w:t>........................................</w:t>
      </w:r>
      <w:r>
        <w:rPr>
          <w:rFonts w:ascii="宋体" w:hAnsi="宋体" w:eastAsia="宋体"/>
          <w:b/>
          <w:color w:val="000000" w:themeColor="text1"/>
          <w:sz w:val="30"/>
          <w:szCs w:val="30"/>
        </w:rPr>
        <w:fldChar w:fldCharType="end"/>
      </w:r>
    </w:p>
    <w:p>
      <w:pPr>
        <w:pStyle w:val="24"/>
        <w:tabs>
          <w:tab w:val="right" w:leader="dot" w:pos="9071"/>
        </w:tabs>
        <w:spacing w:after="160" w:line="360" w:lineRule="auto"/>
        <w:ind w:left="480"/>
        <w:rPr>
          <w:rFonts w:hAnsi="Times New Roman"/>
          <w:color w:val="000000" w:themeColor="text1"/>
        </w:rPr>
      </w:pPr>
      <w:r>
        <w:rPr>
          <w:color w:val="000000" w:themeColor="text1"/>
        </w:rPr>
        <w:fldChar w:fldCharType="begin"/>
      </w:r>
      <w:r>
        <w:rPr>
          <w:color w:val="000000" w:themeColor="text1"/>
        </w:rPr>
        <w:instrText xml:space="preserve"> HYPERLINK </w:instrText>
      </w:r>
      <w:r>
        <w:rPr>
          <w:color w:val="000000" w:themeColor="text1"/>
        </w:rPr>
        <w:fldChar w:fldCharType="separate"/>
      </w:r>
      <w:r>
        <w:rPr>
          <w:rFonts w:ascii="宋体" w:hAnsi="宋体" w:eastAsia="宋体"/>
          <w:color w:val="000000" w:themeColor="text1"/>
        </w:rPr>
        <w:t>二、投资方案及财务评价</w:t>
      </w:r>
      <w:r>
        <w:rPr>
          <w:rFonts w:ascii="宋体" w:hAnsi="宋体" w:eastAsia="宋体"/>
          <w:b/>
          <w:color w:val="000000" w:themeColor="text1"/>
          <w:sz w:val="30"/>
          <w:szCs w:val="30"/>
        </w:rPr>
        <w:t>................................</w:t>
      </w:r>
      <w:r>
        <w:rPr>
          <w:rFonts w:ascii="宋体" w:hAnsi="宋体" w:eastAsia="宋体"/>
          <w:b/>
          <w:color w:val="000000" w:themeColor="text1"/>
          <w:sz w:val="30"/>
          <w:szCs w:val="30"/>
        </w:rPr>
        <w:fldChar w:fldCharType="end"/>
      </w:r>
    </w:p>
    <w:p>
      <w:pPr>
        <w:pStyle w:val="24"/>
        <w:tabs>
          <w:tab w:val="right" w:leader="dot" w:pos="9071"/>
        </w:tabs>
        <w:spacing w:after="160" w:line="360" w:lineRule="auto"/>
        <w:ind w:left="480"/>
        <w:rPr>
          <w:rFonts w:hAnsi="Times New Roman"/>
          <w:color w:val="000000" w:themeColor="text1"/>
        </w:rPr>
      </w:pPr>
      <w:r>
        <w:rPr>
          <w:color w:val="000000" w:themeColor="text1"/>
        </w:rPr>
        <w:fldChar w:fldCharType="begin"/>
      </w:r>
      <w:r>
        <w:rPr>
          <w:color w:val="000000" w:themeColor="text1"/>
        </w:rPr>
        <w:instrText xml:space="preserve"> HYPERLINK </w:instrText>
      </w:r>
      <w:r>
        <w:rPr>
          <w:color w:val="000000" w:themeColor="text1"/>
        </w:rPr>
        <w:fldChar w:fldCharType="separate"/>
      </w:r>
      <w:r>
        <w:rPr>
          <w:rFonts w:ascii="宋体" w:hAnsi="宋体" w:eastAsia="宋体"/>
          <w:color w:val="000000" w:themeColor="text1"/>
        </w:rPr>
        <w:t>技术部分</w:t>
      </w:r>
      <w:r>
        <w:rPr>
          <w:rFonts w:ascii="宋体" w:hAnsi="宋体" w:eastAsia="宋体"/>
          <w:b/>
          <w:color w:val="000000" w:themeColor="text1"/>
          <w:sz w:val="30"/>
          <w:szCs w:val="30"/>
        </w:rPr>
        <w:t>.............................................</w:t>
      </w:r>
      <w:r>
        <w:rPr>
          <w:rFonts w:ascii="宋体" w:hAnsi="宋体" w:eastAsia="宋体"/>
          <w:b/>
          <w:color w:val="000000" w:themeColor="text1"/>
          <w:sz w:val="30"/>
          <w:szCs w:val="30"/>
        </w:rPr>
        <w:fldChar w:fldCharType="end"/>
      </w:r>
    </w:p>
    <w:p>
      <w:pPr>
        <w:pStyle w:val="24"/>
        <w:tabs>
          <w:tab w:val="right" w:leader="dot" w:pos="9071"/>
        </w:tabs>
        <w:spacing w:after="160" w:line="360" w:lineRule="auto"/>
        <w:ind w:left="480"/>
        <w:rPr>
          <w:rFonts w:hAnsi="Times New Roman"/>
          <w:color w:val="000000" w:themeColor="text1"/>
        </w:rPr>
      </w:pPr>
      <w:r>
        <w:rPr>
          <w:color w:val="000000" w:themeColor="text1"/>
        </w:rPr>
        <w:fldChar w:fldCharType="begin"/>
      </w:r>
      <w:r>
        <w:rPr>
          <w:color w:val="000000" w:themeColor="text1"/>
        </w:rPr>
        <w:instrText xml:space="preserve"> HYPERLINK </w:instrText>
      </w:r>
      <w:r>
        <w:rPr>
          <w:color w:val="000000" w:themeColor="text1"/>
        </w:rPr>
        <w:fldChar w:fldCharType="separate"/>
      </w:r>
      <w:r>
        <w:rPr>
          <w:rFonts w:ascii="宋体" w:hAnsi="宋体" w:eastAsia="宋体"/>
          <w:color w:val="000000" w:themeColor="text1"/>
        </w:rPr>
        <w:t>一、技术及建设方案</w:t>
      </w:r>
      <w:r>
        <w:rPr>
          <w:rFonts w:ascii="宋体" w:hAnsi="宋体" w:eastAsia="宋体"/>
          <w:b/>
          <w:color w:val="000000" w:themeColor="text1"/>
          <w:sz w:val="30"/>
          <w:szCs w:val="30"/>
        </w:rPr>
        <w:t>..................................</w:t>
      </w:r>
      <w:r>
        <w:rPr>
          <w:rFonts w:ascii="宋体" w:hAnsi="宋体" w:eastAsia="宋体"/>
          <w:b/>
          <w:color w:val="000000" w:themeColor="text1"/>
          <w:sz w:val="30"/>
          <w:szCs w:val="30"/>
        </w:rPr>
        <w:fldChar w:fldCharType="end"/>
      </w:r>
    </w:p>
    <w:p>
      <w:pPr>
        <w:tabs>
          <w:tab w:val="right" w:leader="middleDot" w:pos="8190"/>
        </w:tabs>
        <w:spacing w:after="240" w:line="360" w:lineRule="auto"/>
        <w:rPr>
          <w:rFonts w:ascii="宋体" w:hAnsi="宋体" w:eastAsia="宋体"/>
          <w:color w:val="000000" w:themeColor="text1"/>
        </w:rPr>
        <w:sectPr>
          <w:footerReference r:id="rId8" w:type="default"/>
          <w:pgSz w:w="11906" w:h="16838"/>
          <w:pgMar w:top="1134" w:right="1134" w:bottom="1134" w:left="1701" w:header="567" w:footer="567" w:gutter="0"/>
          <w:pgNumType w:fmt="upperRoman" w:start="1"/>
          <w:cols w:space="720" w:num="1"/>
          <w:docGrid w:linePitch="312" w:charSpace="0"/>
        </w:sectPr>
      </w:pPr>
      <w:r>
        <w:rPr>
          <w:rFonts w:ascii="宋体" w:hAnsi="宋体" w:eastAsia="宋体"/>
          <w:color w:val="000000" w:themeColor="text1"/>
        </w:rPr>
        <w:fldChar w:fldCharType="end"/>
      </w:r>
    </w:p>
    <w:p>
      <w:pPr>
        <w:spacing w:after="160" w:line="360" w:lineRule="auto"/>
        <w:jc w:val="center"/>
        <w:rPr>
          <w:rFonts w:ascii="宋体" w:hAnsi="宋体" w:eastAsia="宋体"/>
          <w:color w:val="000000" w:themeColor="text1"/>
        </w:rPr>
      </w:pPr>
    </w:p>
    <w:p>
      <w:pPr>
        <w:spacing w:after="160" w:line="360" w:lineRule="auto"/>
        <w:jc w:val="center"/>
        <w:rPr>
          <w:rFonts w:ascii="宋体" w:hAnsi="宋体" w:eastAsia="宋体"/>
          <w:color w:val="000000" w:themeColor="text1"/>
        </w:rPr>
      </w:pPr>
    </w:p>
    <w:p>
      <w:pPr>
        <w:spacing w:after="160" w:line="360" w:lineRule="auto"/>
        <w:jc w:val="center"/>
        <w:rPr>
          <w:rFonts w:ascii="宋体" w:hAnsi="宋体" w:eastAsia="宋体"/>
          <w:color w:val="000000" w:themeColor="text1"/>
        </w:rPr>
      </w:pPr>
    </w:p>
    <w:p>
      <w:pPr>
        <w:spacing w:after="160" w:line="360" w:lineRule="auto"/>
        <w:jc w:val="center"/>
        <w:rPr>
          <w:rFonts w:ascii="宋体" w:hAnsi="宋体" w:eastAsia="宋体"/>
          <w:color w:val="000000" w:themeColor="text1"/>
        </w:rPr>
      </w:pPr>
    </w:p>
    <w:p>
      <w:pPr>
        <w:spacing w:after="160" w:line="360" w:lineRule="auto"/>
        <w:jc w:val="center"/>
        <w:rPr>
          <w:rFonts w:ascii="宋体" w:hAnsi="宋体" w:eastAsia="宋体"/>
          <w:b/>
          <w:color w:val="000000" w:themeColor="text1"/>
          <w:sz w:val="52"/>
          <w:szCs w:val="52"/>
        </w:rPr>
      </w:pPr>
      <w:bookmarkStart w:id="0" w:name="_Toc5925"/>
      <w:bookmarkStart w:id="1" w:name="_Toc533769405"/>
      <w:bookmarkStart w:id="2" w:name="_Toc20744"/>
      <w:bookmarkStart w:id="3" w:name="_Toc29543"/>
      <w:bookmarkStart w:id="4" w:name="_Toc32248"/>
      <w:bookmarkStart w:id="5" w:name="_Toc5952"/>
      <w:r>
        <w:rPr>
          <w:rFonts w:ascii="宋体" w:hAnsi="宋体" w:eastAsia="宋体"/>
          <w:b/>
          <w:color w:val="000000" w:themeColor="text1"/>
          <w:sz w:val="52"/>
          <w:szCs w:val="52"/>
        </w:rPr>
        <w:t>第 一 卷</w:t>
      </w:r>
      <w:bookmarkEnd w:id="0"/>
      <w:bookmarkEnd w:id="1"/>
      <w:bookmarkEnd w:id="2"/>
      <w:bookmarkEnd w:id="3"/>
      <w:bookmarkEnd w:id="4"/>
      <w:bookmarkEnd w:id="5"/>
    </w:p>
    <w:p>
      <w:pPr>
        <w:spacing w:after="160" w:line="360" w:lineRule="auto"/>
        <w:jc w:val="center"/>
        <w:rPr>
          <w:rFonts w:ascii="宋体" w:hAnsi="宋体" w:eastAsia="宋体"/>
          <w:color w:val="000000" w:themeColor="text1"/>
        </w:rPr>
        <w:sectPr>
          <w:footerReference r:id="rId9" w:type="default"/>
          <w:pgSz w:w="11906" w:h="16838"/>
          <w:pgMar w:top="1134" w:right="1134" w:bottom="1134" w:left="1701" w:header="567" w:footer="567" w:gutter="0"/>
          <w:pgNumType w:start="1"/>
          <w:cols w:space="720" w:num="1"/>
          <w:docGrid w:linePitch="312" w:charSpace="0"/>
        </w:sectPr>
      </w:pPr>
    </w:p>
    <w:p>
      <w:pPr>
        <w:spacing w:after="160" w:line="360" w:lineRule="auto"/>
        <w:ind w:firstLine="723"/>
        <w:jc w:val="center"/>
        <w:rPr>
          <w:rFonts w:hAnsi="Times New Roman"/>
          <w:b/>
          <w:color w:val="000000" w:themeColor="text1"/>
          <w:sz w:val="36"/>
          <w:szCs w:val="36"/>
        </w:rPr>
      </w:pPr>
      <w:bookmarkStart w:id="6" w:name="_Toc23339466"/>
      <w:bookmarkStart w:id="7" w:name="_Toc25141816"/>
      <w:bookmarkStart w:id="8" w:name="_Toc1417"/>
      <w:bookmarkStart w:id="9" w:name="_Toc28422"/>
      <w:bookmarkStart w:id="10" w:name="_Toc25724"/>
      <w:bookmarkStart w:id="11" w:name="_Toc15906"/>
      <w:r>
        <w:rPr>
          <w:rFonts w:hAnsi="Times New Roman" w:eastAsia="Times New Roman"/>
          <w:b/>
          <w:color w:val="000000" w:themeColor="text1"/>
          <w:sz w:val="36"/>
          <w:szCs w:val="36"/>
        </w:rPr>
        <w:t>Y2019FZ266</w:t>
      </w:r>
      <w:r>
        <w:rPr>
          <w:rFonts w:hint="eastAsia" w:hAnsi="Times New Roman" w:eastAsia="Times New Roman"/>
          <w:b/>
          <w:color w:val="000000" w:themeColor="text1"/>
          <w:sz w:val="36"/>
          <w:szCs w:val="36"/>
          <w:lang w:val="en-US" w:eastAsia="zh-CN"/>
        </w:rPr>
        <w:t>(不见面开标）</w:t>
      </w:r>
      <w:r>
        <w:rPr>
          <w:rFonts w:hAnsi="Times New Roman"/>
          <w:b/>
          <w:color w:val="000000" w:themeColor="text1"/>
          <w:sz w:val="36"/>
          <w:szCs w:val="36"/>
        </w:rPr>
        <w:t>鄢陵县畜禽粪污资源化利用整县推进特许经营项目</w:t>
      </w:r>
      <w:r>
        <w:rPr>
          <w:rFonts w:ascii="宋体" w:hAnsi="宋体" w:eastAsia="宋体"/>
          <w:b/>
          <w:color w:val="000000" w:themeColor="text1"/>
          <w:sz w:val="36"/>
          <w:szCs w:val="36"/>
        </w:rPr>
        <w:t>招标公告</w:t>
      </w:r>
    </w:p>
    <w:p>
      <w:pPr>
        <w:spacing w:after="160" w:line="360" w:lineRule="auto"/>
        <w:jc w:val="left"/>
        <w:rPr>
          <w:rFonts w:hAnsi="Times New Roman"/>
          <w:b/>
          <w:color w:val="000000" w:themeColor="text1"/>
        </w:rPr>
      </w:pPr>
      <w:r>
        <w:rPr>
          <w:rFonts w:hAnsi="Times New Roman"/>
          <w:b/>
          <w:color w:val="000000" w:themeColor="text1"/>
        </w:rPr>
        <w:t>一、招标条件</w:t>
      </w:r>
    </w:p>
    <w:p>
      <w:pPr>
        <w:snapToGrid w:val="0"/>
        <w:spacing w:after="160" w:line="360" w:lineRule="auto"/>
        <w:ind w:firstLine="480"/>
        <w:jc w:val="left"/>
        <w:rPr>
          <w:rFonts w:hAnsi="Times New Roman"/>
          <w:color w:val="000000" w:themeColor="text1"/>
        </w:rPr>
      </w:pPr>
      <w:r>
        <w:rPr>
          <w:rFonts w:hAnsi="Times New Roman"/>
          <w:color w:val="000000" w:themeColor="text1"/>
        </w:rPr>
        <w:t>根据农业农村部办公厅、财政部办公厅关于公布2019年畜禽粪污资源化利用项目备案情况的通知农办牧【2019】58号文件以及河南省农业农村厅、河南省财政厅关于印发河南省2019年度畜禽粪污资源化利用项目工作方案的通知豫农财务【2019】29号文件和河南省畜牧局关于进一步完善畜禽粪污资源化利用和模式创新项目实施方案的补充通知的相关文件，本项目采用特许经营模式建设运营，实施机构为鄢陵县畜牧局。项目已具备招标条件，现对该项目的特许经营权进行公开招标。</w:t>
      </w:r>
    </w:p>
    <w:p>
      <w:pPr>
        <w:spacing w:after="160" w:line="360" w:lineRule="auto"/>
        <w:jc w:val="left"/>
        <w:rPr>
          <w:rFonts w:hAnsi="Times New Roman"/>
          <w:b/>
          <w:color w:val="000000" w:themeColor="text1"/>
        </w:rPr>
      </w:pPr>
      <w:r>
        <w:rPr>
          <w:rFonts w:hAnsi="Times New Roman"/>
          <w:b/>
          <w:color w:val="000000" w:themeColor="text1"/>
        </w:rPr>
        <w:t>二、项目概况</w:t>
      </w:r>
    </w:p>
    <w:p>
      <w:pPr>
        <w:spacing w:after="160" w:line="360" w:lineRule="auto"/>
        <w:ind w:firstLine="480"/>
        <w:jc w:val="left"/>
        <w:rPr>
          <w:rFonts w:hAnsi="Times New Roman"/>
          <w:color w:val="000000" w:themeColor="text1"/>
        </w:rPr>
      </w:pPr>
      <w:r>
        <w:rPr>
          <w:rFonts w:hAnsi="Times New Roman"/>
          <w:color w:val="000000" w:themeColor="text1"/>
        </w:rPr>
        <w:t>2.1项目名称：鄢陵县畜禽粪污资源化利用整县推进特许经营项目。</w:t>
      </w:r>
    </w:p>
    <w:p>
      <w:pPr>
        <w:spacing w:after="160" w:line="360" w:lineRule="auto"/>
        <w:ind w:firstLine="480"/>
        <w:jc w:val="left"/>
        <w:rPr>
          <w:rFonts w:hAnsi="Times New Roman"/>
          <w:color w:val="000000" w:themeColor="text1"/>
        </w:rPr>
      </w:pPr>
      <w:r>
        <w:rPr>
          <w:rFonts w:hAnsi="Times New Roman"/>
          <w:color w:val="000000" w:themeColor="text1"/>
        </w:rPr>
        <w:t>2.2建设地点：河南省许昌市鄢陵县。</w:t>
      </w:r>
    </w:p>
    <w:p>
      <w:pPr>
        <w:spacing w:after="160" w:line="360" w:lineRule="auto"/>
        <w:ind w:firstLine="480"/>
        <w:jc w:val="left"/>
        <w:rPr>
          <w:rFonts w:hAnsi="Times New Roman"/>
          <w:color w:val="000000" w:themeColor="text1"/>
        </w:rPr>
      </w:pPr>
      <w:r>
        <w:rPr>
          <w:rFonts w:hAnsi="Times New Roman"/>
          <w:color w:val="000000" w:themeColor="text1"/>
        </w:rPr>
        <w:t>2.3资金来源：依据项目实施方案，项目总投资约1.035亿元（最终投资以财政审核为准），申请中央预算内投资4000万元（其中规模养殖场申请补助资金372.57万元，用于本项目第三方集中处理中心和收储点申请中央资金3627.43万元，剩余部分资金由特许经营者筹集，鼓励扩宽融资渠道，方式包括但不限于结构化融资，成立私募基金，引入战略投资者、财务投资者等）。</w:t>
      </w:r>
    </w:p>
    <w:p>
      <w:pPr>
        <w:spacing w:after="160" w:line="360" w:lineRule="auto"/>
        <w:ind w:firstLine="480"/>
        <w:jc w:val="left"/>
        <w:rPr>
          <w:rFonts w:hAnsi="Times New Roman"/>
          <w:color w:val="000000" w:themeColor="text1"/>
          <w:highlight w:val="yellow"/>
        </w:rPr>
      </w:pPr>
      <w:r>
        <w:rPr>
          <w:rFonts w:hAnsi="Times New Roman"/>
          <w:color w:val="000000" w:themeColor="text1"/>
        </w:rPr>
        <w:t>2.4建设内容：1个粪污集中处理中心，建设地点位于鄢陵县只乐镇；5个原料收储点：地点位于鄢陵县陶城镇，张桥镇，马栏镇，马坊镇，彭店镇。</w:t>
      </w:r>
    </w:p>
    <w:p>
      <w:pPr>
        <w:snapToGrid w:val="0"/>
        <w:spacing w:after="160" w:line="360" w:lineRule="auto"/>
        <w:ind w:firstLine="480"/>
        <w:jc w:val="left"/>
        <w:rPr>
          <w:rFonts w:hAnsi="Times New Roman"/>
          <w:color w:val="000000" w:themeColor="text1"/>
        </w:rPr>
      </w:pPr>
      <w:r>
        <w:rPr>
          <w:rFonts w:hAnsi="Times New Roman"/>
          <w:color w:val="000000" w:themeColor="text1"/>
        </w:rPr>
        <w:t>2.5本项目划分为一个特许经营标段和一个监理标段。</w:t>
      </w:r>
    </w:p>
    <w:p>
      <w:pPr>
        <w:pStyle w:val="28"/>
        <w:spacing w:after="120"/>
        <w:ind w:firstLine="480"/>
        <w:jc w:val="both"/>
        <w:rPr>
          <w:rFonts w:hAnsi="宋体" w:eastAsia="宋体"/>
          <w:color w:val="000000" w:themeColor="text1"/>
          <w:sz w:val="21"/>
          <w:szCs w:val="21"/>
        </w:rPr>
      </w:pPr>
      <w:r>
        <w:rPr>
          <w:rFonts w:ascii="Times New Roman" w:hAnsi="Times New Roman"/>
          <w:color w:val="000000" w:themeColor="text1"/>
          <w:sz w:val="24"/>
          <w:szCs w:val="24"/>
        </w:rPr>
        <w:t>2.6监理招标控制价：各工程造价的1.5%（财政评审后）</w:t>
      </w:r>
    </w:p>
    <w:p>
      <w:pPr>
        <w:spacing w:after="160" w:line="360" w:lineRule="auto"/>
        <w:ind w:firstLine="482"/>
        <w:jc w:val="left"/>
        <w:rPr>
          <w:rFonts w:hAnsi="Times New Roman"/>
          <w:b/>
          <w:color w:val="000000" w:themeColor="text1"/>
        </w:rPr>
      </w:pPr>
      <w:r>
        <w:rPr>
          <w:rFonts w:hAnsi="Times New Roman"/>
          <w:b/>
          <w:color w:val="000000" w:themeColor="text1"/>
        </w:rPr>
        <w:t>三、特许经营方式、期限</w:t>
      </w:r>
    </w:p>
    <w:p>
      <w:pPr>
        <w:spacing w:after="160" w:line="360" w:lineRule="auto"/>
        <w:ind w:firstLine="480"/>
        <w:jc w:val="left"/>
        <w:rPr>
          <w:rFonts w:hAnsi="Times New Roman"/>
          <w:color w:val="000000" w:themeColor="text1"/>
        </w:rPr>
      </w:pPr>
      <w:r>
        <w:rPr>
          <w:rFonts w:hAnsi="Times New Roman"/>
          <w:color w:val="000000" w:themeColor="text1"/>
        </w:rPr>
        <w:t>3.1特许经营方式：本项目运作模式为BOO，政府方通过招标方式选定特许经营者，并按照招标文件要求成立特许经营项目公司，特许经营项目公司负责项目的投（融）资、设计、建设、运营、管理维护等全部服务内容。</w:t>
      </w:r>
    </w:p>
    <w:p>
      <w:pPr>
        <w:spacing w:after="160" w:line="360" w:lineRule="auto"/>
        <w:ind w:firstLine="480"/>
        <w:jc w:val="left"/>
        <w:rPr>
          <w:rFonts w:hAnsi="Times New Roman"/>
          <w:b/>
          <w:color w:val="000000" w:themeColor="text1"/>
        </w:rPr>
      </w:pPr>
      <w:r>
        <w:rPr>
          <w:rFonts w:hAnsi="Times New Roman"/>
          <w:color w:val="000000" w:themeColor="text1"/>
        </w:rPr>
        <w:t>3.2特许经营期限：30年，包含1年建设期。</w:t>
      </w:r>
    </w:p>
    <w:p>
      <w:pPr>
        <w:spacing w:after="160" w:line="360" w:lineRule="auto"/>
        <w:jc w:val="left"/>
        <w:rPr>
          <w:rFonts w:hAnsi="Times New Roman"/>
          <w:b/>
          <w:color w:val="000000" w:themeColor="text1"/>
        </w:rPr>
      </w:pPr>
      <w:r>
        <w:rPr>
          <w:rFonts w:hAnsi="Times New Roman"/>
          <w:b/>
          <w:color w:val="000000" w:themeColor="text1"/>
        </w:rPr>
        <w:t>四、投标人资格要求</w:t>
      </w:r>
    </w:p>
    <w:p>
      <w:pPr>
        <w:snapToGrid w:val="0"/>
        <w:spacing w:after="160" w:line="360" w:lineRule="auto"/>
        <w:rPr>
          <w:rFonts w:hAnsi="Times New Roman"/>
          <w:b/>
          <w:color w:val="000000" w:themeColor="text1"/>
        </w:rPr>
      </w:pPr>
      <w:r>
        <w:rPr>
          <w:rFonts w:hAnsi="Times New Roman"/>
          <w:b/>
          <w:color w:val="000000" w:themeColor="text1"/>
        </w:rPr>
        <w:t>特许经营标段：</w:t>
      </w:r>
    </w:p>
    <w:p>
      <w:pPr>
        <w:snapToGrid w:val="0"/>
        <w:spacing w:after="160" w:line="360" w:lineRule="auto"/>
        <w:ind w:firstLine="480"/>
        <w:rPr>
          <w:rFonts w:hAnsi="Times New Roman"/>
          <w:color w:val="000000" w:themeColor="text1"/>
        </w:rPr>
      </w:pPr>
      <w:r>
        <w:rPr>
          <w:rFonts w:hAnsi="Times New Roman"/>
          <w:color w:val="000000" w:themeColor="text1"/>
        </w:rPr>
        <w:t>4.1在中国境内依法注册的企业法人，具有独立承担民事责任的能力，且合法存续，没有处于被吊销营业执照、责令关闭或者被撤销等不良状态。</w:t>
      </w:r>
    </w:p>
    <w:p>
      <w:pPr>
        <w:snapToGrid w:val="0"/>
        <w:spacing w:after="160" w:line="360" w:lineRule="auto"/>
        <w:ind w:firstLine="480"/>
        <w:rPr>
          <w:rFonts w:hAnsi="Times New Roman"/>
          <w:color w:val="000000" w:themeColor="text1"/>
        </w:rPr>
      </w:pPr>
      <w:r>
        <w:rPr>
          <w:rFonts w:hAnsi="Times New Roman"/>
          <w:color w:val="000000" w:themeColor="text1"/>
        </w:rPr>
        <w:t>4.2投标人应具备环保工程专业承包壹级资质或市政公用工程施工专业贰级及以上资质要求。</w:t>
      </w:r>
    </w:p>
    <w:p>
      <w:pPr>
        <w:snapToGrid w:val="0"/>
        <w:spacing w:after="160" w:line="360" w:lineRule="auto"/>
        <w:ind w:firstLine="480"/>
        <w:rPr>
          <w:rFonts w:hAnsi="宋体" w:eastAsia="宋体"/>
          <w:color w:val="000000" w:themeColor="text1"/>
        </w:rPr>
      </w:pPr>
      <w:r>
        <w:rPr>
          <w:rFonts w:hAnsi="宋体" w:eastAsia="宋体"/>
          <w:color w:val="000000" w:themeColor="text1"/>
        </w:rPr>
        <w:t>4.3具有履行合同所必需的设备和专业技术能力。</w:t>
      </w:r>
    </w:p>
    <w:p>
      <w:pPr>
        <w:snapToGrid w:val="0"/>
        <w:spacing w:after="160" w:line="360" w:lineRule="auto"/>
        <w:ind w:firstLine="480"/>
        <w:rPr>
          <w:rFonts w:hAnsi="Times New Roman"/>
          <w:color w:val="000000" w:themeColor="text1"/>
        </w:rPr>
      </w:pPr>
      <w:r>
        <w:rPr>
          <w:rFonts w:hAnsi="Times New Roman"/>
          <w:color w:val="000000" w:themeColor="text1"/>
        </w:rPr>
        <w:t>4.4投标人企业还应具备有效的安全生产许可证。</w:t>
      </w:r>
    </w:p>
    <w:p>
      <w:pPr>
        <w:snapToGrid w:val="0"/>
        <w:spacing w:after="160" w:line="360" w:lineRule="auto"/>
        <w:ind w:firstLine="480"/>
        <w:rPr>
          <w:rFonts w:hAnsi="Times New Roman"/>
          <w:color w:val="000000" w:themeColor="text1"/>
        </w:rPr>
      </w:pPr>
      <w:r>
        <w:rPr>
          <w:rFonts w:hAnsi="Times New Roman"/>
          <w:color w:val="000000" w:themeColor="text1"/>
        </w:rPr>
        <w:t>4.5财务状况良好，提供近三年财务审计报告；</w:t>
      </w:r>
    </w:p>
    <w:p>
      <w:pPr>
        <w:snapToGrid w:val="0"/>
        <w:spacing w:after="160" w:line="360" w:lineRule="auto"/>
        <w:rPr>
          <w:rFonts w:hAnsi="Times New Roman"/>
          <w:color w:val="000000" w:themeColor="text1"/>
        </w:rPr>
      </w:pPr>
      <w:r>
        <w:rPr>
          <w:rFonts w:hAnsi="Times New Roman"/>
          <w:color w:val="000000" w:themeColor="text1"/>
        </w:rPr>
        <w:t xml:space="preserve">    4.6未被列入“信用中国”（www.creditchina.gov.cn）/“信用河南”（http://www.xyhn.gov.cn/）网站信用信息栏黑名单，“国家企业信用信息公示系统” （http://www.gsxt.gov.cn/）经营异常名录或严重失信黑名单。</w:t>
      </w:r>
    </w:p>
    <w:p>
      <w:pPr>
        <w:snapToGrid w:val="0"/>
        <w:spacing w:after="160" w:line="360" w:lineRule="auto"/>
        <w:ind w:firstLine="480"/>
        <w:rPr>
          <w:rFonts w:hAnsi="Times New Roman"/>
          <w:color w:val="000000" w:themeColor="text1"/>
        </w:rPr>
      </w:pPr>
      <w:r>
        <w:rPr>
          <w:rFonts w:hAnsi="Times New Roman"/>
          <w:color w:val="000000" w:themeColor="text1"/>
        </w:rPr>
        <w:t>4.7本次招标不接受联合体投标。</w:t>
      </w:r>
    </w:p>
    <w:p>
      <w:pPr>
        <w:snapToGrid w:val="0"/>
        <w:spacing w:after="160" w:line="360" w:lineRule="auto"/>
        <w:ind w:firstLine="480"/>
        <w:rPr>
          <w:rFonts w:hAnsi="Times New Roman"/>
          <w:color w:val="000000" w:themeColor="text1"/>
        </w:rPr>
      </w:pPr>
      <w:r>
        <w:rPr>
          <w:rFonts w:hAnsi="Times New Roman"/>
          <w:color w:val="000000" w:themeColor="text1"/>
        </w:rPr>
        <w:t>4.8与招标人存在利害关系可能影响招标公正性的法人、其他组织或者个人，不得参加投标。单位负责人为同一人或者存在控股、管理关系的不同单位，不得参加本项目投标，否则相关投标均无效。</w:t>
      </w:r>
    </w:p>
    <w:p>
      <w:pPr>
        <w:snapToGrid w:val="0"/>
        <w:spacing w:after="160" w:line="360" w:lineRule="auto"/>
        <w:ind w:firstLine="480"/>
        <w:rPr>
          <w:rFonts w:hAnsi="Times New Roman"/>
          <w:color w:val="000000" w:themeColor="text1"/>
        </w:rPr>
      </w:pPr>
      <w:r>
        <w:rPr>
          <w:rFonts w:hAnsi="Times New Roman"/>
          <w:color w:val="000000" w:themeColor="text1"/>
        </w:rPr>
        <w:t>4.9投标人具有与拟承担的工作相适应的工程总承包资质的，可直接作为工程总承包方。</w:t>
      </w:r>
    </w:p>
    <w:p>
      <w:pPr>
        <w:snapToGrid w:val="0"/>
        <w:spacing w:after="160" w:line="360" w:lineRule="auto"/>
        <w:rPr>
          <w:rFonts w:hAnsi="Times New Roman"/>
          <w:b/>
          <w:color w:val="000000" w:themeColor="text1"/>
        </w:rPr>
      </w:pPr>
      <w:r>
        <w:rPr>
          <w:rFonts w:hAnsi="Times New Roman"/>
          <w:b/>
          <w:color w:val="000000" w:themeColor="text1"/>
        </w:rPr>
        <w:t>监理标段：</w:t>
      </w:r>
    </w:p>
    <w:p>
      <w:pPr>
        <w:snapToGrid w:val="0"/>
        <w:spacing w:after="160" w:line="360" w:lineRule="auto"/>
        <w:ind w:firstLine="480"/>
        <w:rPr>
          <w:rFonts w:hAnsi="Times New Roman"/>
          <w:color w:val="000000" w:themeColor="text1"/>
        </w:rPr>
      </w:pPr>
      <w:r>
        <w:rPr>
          <w:rFonts w:hAnsi="Times New Roman"/>
          <w:color w:val="000000" w:themeColor="text1"/>
        </w:rPr>
        <w:t>4.10投标人应具有独立法人资格。</w:t>
      </w:r>
    </w:p>
    <w:p>
      <w:pPr>
        <w:snapToGrid w:val="0"/>
        <w:spacing w:after="160" w:line="360" w:lineRule="auto"/>
        <w:ind w:firstLine="480"/>
        <w:rPr>
          <w:rFonts w:hAnsi="Times New Roman"/>
          <w:color w:val="000000" w:themeColor="text1"/>
        </w:rPr>
      </w:pPr>
      <w:r>
        <w:rPr>
          <w:rFonts w:hAnsi="Times New Roman"/>
          <w:color w:val="000000" w:themeColor="text1"/>
        </w:rPr>
        <w:t xml:space="preserve">4.11投标单位须具备建设行政主管部门颁发的工程监理综合资质或市政公用工程专业乙级和房屋建筑公用工程专业乙级及以上资质。拟派项目总监须具备市政公用专业和房屋建筑专业注册监理工程师资格。 </w:t>
      </w:r>
    </w:p>
    <w:p>
      <w:pPr>
        <w:snapToGrid w:val="0"/>
        <w:spacing w:after="160" w:line="360" w:lineRule="auto"/>
        <w:ind w:firstLine="480"/>
        <w:rPr>
          <w:rFonts w:hAnsi="Times New Roman"/>
          <w:color w:val="000000" w:themeColor="text1"/>
        </w:rPr>
      </w:pPr>
      <w:r>
        <w:rPr>
          <w:rFonts w:hAnsi="Times New Roman"/>
          <w:color w:val="000000" w:themeColor="text1"/>
        </w:rPr>
        <w:t>4.12未被列入“信用中国”（www.creditchina.gov.cn）/“信用河南”（http://www.xyhn.gov.cn/）网站信用信息栏黑名单，“国家企业信用信息公示系统” （http://www.gsxt.gov.cn/）经营异常名录或严重失信黑名单。</w:t>
      </w:r>
    </w:p>
    <w:p>
      <w:pPr>
        <w:snapToGrid w:val="0"/>
        <w:spacing w:after="160" w:line="360" w:lineRule="auto"/>
        <w:ind w:firstLine="480"/>
        <w:rPr>
          <w:rFonts w:hAnsi="Times New Roman"/>
          <w:color w:val="000000" w:themeColor="text1"/>
        </w:rPr>
      </w:pPr>
      <w:r>
        <w:rPr>
          <w:rFonts w:hAnsi="Times New Roman"/>
          <w:color w:val="000000" w:themeColor="text1"/>
        </w:rPr>
        <w:t>4.13不组织踏勘施工现场。</w:t>
      </w:r>
    </w:p>
    <w:p>
      <w:pPr>
        <w:snapToGrid w:val="0"/>
        <w:spacing w:after="160" w:line="360" w:lineRule="auto"/>
        <w:ind w:firstLine="480"/>
        <w:rPr>
          <w:rFonts w:hAnsi="Times New Roman"/>
          <w:color w:val="000000" w:themeColor="text1"/>
        </w:rPr>
      </w:pPr>
      <w:r>
        <w:rPr>
          <w:rFonts w:hAnsi="Times New Roman"/>
          <w:color w:val="000000" w:themeColor="text1"/>
        </w:rPr>
        <w:t>4.14本次招标不接受联合体投标。</w:t>
      </w:r>
    </w:p>
    <w:p>
      <w:pPr>
        <w:snapToGrid w:val="0"/>
        <w:spacing w:after="160" w:line="360" w:lineRule="auto"/>
        <w:ind w:firstLine="480"/>
        <w:rPr>
          <w:rFonts w:hAnsi="Times New Roman"/>
          <w:color w:val="000000" w:themeColor="text1"/>
        </w:rPr>
      </w:pPr>
      <w:r>
        <w:rPr>
          <w:rFonts w:hAnsi="Times New Roman"/>
          <w:color w:val="000000" w:themeColor="text1"/>
        </w:rPr>
        <w:t>4.15本次招标实行资格后审。</w:t>
      </w:r>
    </w:p>
    <w:p>
      <w:pPr>
        <w:shd w:val="clear" w:color="000000" w:fill="FFFFFF"/>
        <w:spacing w:after="160" w:line="326" w:lineRule="atLeast"/>
        <w:ind w:right="-105"/>
        <w:jc w:val="left"/>
        <w:rPr>
          <w:rFonts w:ascii="Arial" w:hAnsi="Arial" w:eastAsia="Arial"/>
          <w:color w:val="000000" w:themeColor="text1"/>
          <w:sz w:val="27"/>
          <w:szCs w:val="27"/>
        </w:rPr>
      </w:pPr>
      <w:r>
        <w:rPr>
          <w:rFonts w:ascii="宋体" w:hAnsi="Arial" w:eastAsia="Arial"/>
          <w:b/>
          <w:color w:val="000000" w:themeColor="text1"/>
        </w:rPr>
        <w:t>五、网上下载招标文件</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Ansi="宋体"/>
          <w:bCs/>
          <w:color w:val="000000" w:themeColor="text1"/>
          <w:sz w:val="24"/>
        </w:rPr>
      </w:pPr>
      <w:r>
        <w:rPr>
          <w:rFonts w:hint="eastAsia" w:hAnsi="宋体"/>
          <w:bCs/>
          <w:color w:val="000000" w:themeColor="text1"/>
          <w:sz w:val="24"/>
        </w:rPr>
        <w:t xml:space="preserve"> 5.1招标文件和工程量清单的获取：投标人于投标文件递交截止时间前均可登录《全国公共资源交易平台(河南省▪许昌市)》（http://ggzy.xuchang.gov.cn/），通过“投标人/供应商登录” 入口自行下载。</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Ansi="宋体"/>
          <w:bCs/>
          <w:color w:val="000000" w:themeColor="text1"/>
          <w:sz w:val="24"/>
        </w:rPr>
      </w:pPr>
      <w:r>
        <w:rPr>
          <w:rFonts w:hint="eastAsia" w:hAnsi="宋体"/>
          <w:bCs/>
          <w:color w:val="000000" w:themeColor="text1"/>
          <w:sz w:val="24"/>
        </w:rPr>
        <w:t xml:space="preserve"> 5.2施工图纸下载：按照招标文件中第二章投标人须知前附表自行下载。</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Ansi="宋体"/>
          <w:bCs/>
          <w:color w:val="000000" w:themeColor="text1"/>
          <w:sz w:val="24"/>
        </w:rPr>
      </w:pPr>
      <w:r>
        <w:rPr>
          <w:rFonts w:hint="eastAsia" w:hAnsi="宋体"/>
          <w:bCs/>
          <w:color w:val="000000" w:themeColor="text1"/>
          <w:sz w:val="24"/>
        </w:rPr>
        <w:t xml:space="preserve"> 5.3招标文件每套售价</w:t>
      </w:r>
      <w:r>
        <w:rPr>
          <w:rFonts w:hint="eastAsia" w:hAnsi="宋体"/>
          <w:bCs/>
          <w:color w:val="000000" w:themeColor="text1"/>
          <w:sz w:val="24"/>
          <w:u w:val="single"/>
          <w:lang w:val="en-US" w:eastAsia="zh-CN"/>
        </w:rPr>
        <w:t xml:space="preserve"> 300 </w:t>
      </w:r>
      <w:r>
        <w:rPr>
          <w:rFonts w:hint="eastAsia" w:hAnsi="宋体"/>
          <w:bCs/>
          <w:color w:val="000000" w:themeColor="text1"/>
          <w:sz w:val="24"/>
        </w:rPr>
        <w:t>元，</w:t>
      </w:r>
      <w:r>
        <w:rPr>
          <w:rFonts w:hint="eastAsia" w:hAnsi="宋体"/>
          <w:bCs/>
          <w:color w:val="000000" w:themeColor="text1"/>
          <w:sz w:val="24"/>
          <w:lang w:val="en-US" w:eastAsia="zh-CN"/>
        </w:rPr>
        <w:t>投标人于开标结束后转账至支付宝账号：609530637@qq.com（转账时请注明项目编号、标段及公司名称）</w:t>
      </w:r>
      <w:r>
        <w:rPr>
          <w:rFonts w:hint="eastAsia" w:hAnsi="宋体"/>
          <w:bCs/>
          <w:color w:val="000000" w:themeColor="text1"/>
          <w:sz w:val="24"/>
        </w:rPr>
        <w:t>。</w:t>
      </w:r>
    </w:p>
    <w:p>
      <w:pPr>
        <w:widowControl/>
        <w:numPr>
          <w:ilvl w:val="0"/>
          <w:numId w:val="1"/>
        </w:numPr>
        <w:spacing w:line="312" w:lineRule="auto"/>
        <w:rPr>
          <w:rFonts w:hAnsi="宋体"/>
          <w:b/>
          <w:color w:val="000000" w:themeColor="text1"/>
          <w:sz w:val="24"/>
        </w:rPr>
      </w:pPr>
      <w:bookmarkStart w:id="12" w:name="_Toc5243"/>
      <w:r>
        <w:rPr>
          <w:rFonts w:hint="eastAsia" w:hAnsi="宋体"/>
          <w:b/>
          <w:color w:val="000000" w:themeColor="text1"/>
          <w:sz w:val="24"/>
        </w:rPr>
        <w:t>投标文件的递交</w:t>
      </w:r>
    </w:p>
    <w:p>
      <w:pPr>
        <w:numPr>
          <w:ilvl w:val="0"/>
          <w:numId w:val="0"/>
        </w:numPr>
        <w:shd w:val="clear" w:color="000000" w:fill="FFFFFF"/>
        <w:spacing w:after="160" w:line="360" w:lineRule="auto"/>
        <w:ind w:right="-105" w:rightChars="0" w:firstLine="480" w:firstLineChars="200"/>
        <w:jc w:val="left"/>
        <w:rPr>
          <w:rFonts w:hAnsi="宋体" w:cs="宋体"/>
          <w:color w:val="000000" w:themeColor="text1"/>
          <w:sz w:val="24"/>
          <w:szCs w:val="24"/>
        </w:rPr>
      </w:pPr>
      <w:r>
        <w:rPr>
          <w:rFonts w:hAnsi="宋体"/>
          <w:bCs/>
          <w:color w:val="000000" w:themeColor="text1"/>
          <w:sz w:val="24"/>
        </w:rPr>
        <w:t>6</w:t>
      </w:r>
      <w:r>
        <w:rPr>
          <w:rFonts w:hint="eastAsia" w:hAnsi="宋体"/>
          <w:bCs/>
          <w:color w:val="000000" w:themeColor="text1"/>
          <w:sz w:val="24"/>
        </w:rPr>
        <w:t>.1 本项目为全流程电子化交易项目，</w:t>
      </w:r>
      <w:r>
        <w:rPr>
          <w:rFonts w:hint="eastAsia" w:hAnsi="宋体"/>
          <w:bCs/>
          <w:color w:val="000000" w:themeColor="text1"/>
          <w:sz w:val="24"/>
          <w:lang w:val="en-US" w:eastAsia="zh-CN"/>
        </w:rPr>
        <w:t>投标人应按规定在</w:t>
      </w:r>
      <w:r>
        <w:rPr>
          <w:rFonts w:hint="eastAsia" w:hAnsi="宋体"/>
          <w:bCs/>
          <w:color w:val="000000" w:themeColor="text1"/>
          <w:sz w:val="24"/>
        </w:rPr>
        <w:t>投标</w:t>
      </w:r>
      <w:r>
        <w:rPr>
          <w:rFonts w:hint="eastAsia" w:hAnsi="宋体"/>
          <w:bCs/>
          <w:color w:val="000000" w:themeColor="text1"/>
          <w:sz w:val="24"/>
          <w:lang w:val="en-US" w:eastAsia="zh-CN"/>
        </w:rPr>
        <w:t>截止时间（同开标时间）前通过</w:t>
      </w:r>
      <w:r>
        <w:rPr>
          <w:rFonts w:hint="eastAsia" w:hAnsi="宋体"/>
          <w:bCs/>
          <w:color w:val="000000" w:themeColor="text1"/>
          <w:sz w:val="24"/>
        </w:rPr>
        <w:t>《全国公共资源交易平台(河南省▪许昌市)》公共资源交易系统</w:t>
      </w:r>
      <w:r>
        <w:rPr>
          <w:rFonts w:hint="eastAsia" w:hAnsi="宋体"/>
          <w:bCs/>
          <w:color w:val="000000" w:themeColor="text1"/>
          <w:sz w:val="24"/>
          <w:lang w:val="en-US" w:eastAsia="zh-CN"/>
        </w:rPr>
        <w:t>成功上传本项目加密电子投标文件</w:t>
      </w:r>
      <w:r>
        <w:rPr>
          <w:rFonts w:hint="eastAsia" w:hAnsi="宋体"/>
          <w:bCs/>
          <w:color w:val="000000" w:themeColor="text1"/>
          <w:sz w:val="24"/>
        </w:rPr>
        <w:t>。</w:t>
      </w:r>
    </w:p>
    <w:p>
      <w:pPr>
        <w:keepNext w:val="0"/>
        <w:keepLines w:val="0"/>
        <w:widowControl/>
        <w:suppressLineNumbers w:val="0"/>
        <w:spacing w:line="360" w:lineRule="auto"/>
        <w:ind w:firstLine="480" w:firstLineChars="200"/>
        <w:jc w:val="left"/>
        <w:textAlignment w:val="center"/>
        <w:rPr>
          <w:rFonts w:hint="default" w:ascii="宋体" w:hAnsi="宋体" w:eastAsia="宋体" w:cs="宋体"/>
          <w:i w:val="0"/>
          <w:color w:val="000000" w:themeColor="text1"/>
          <w:kern w:val="0"/>
          <w:sz w:val="24"/>
          <w:szCs w:val="24"/>
          <w:u w:val="none"/>
          <w:lang w:val="en-US" w:eastAsia="zh-CN" w:bidi="ar"/>
        </w:rPr>
      </w:pPr>
      <w:r>
        <w:rPr>
          <w:rFonts w:hint="eastAsia" w:ascii="宋体" w:hAnsi="宋体" w:eastAsia="宋体" w:cs="宋体"/>
          <w:i w:val="0"/>
          <w:color w:val="000000" w:themeColor="text1"/>
          <w:kern w:val="0"/>
          <w:sz w:val="24"/>
          <w:szCs w:val="24"/>
          <w:u w:val="none"/>
          <w:lang w:val="en-US" w:eastAsia="zh-CN" w:bidi="ar"/>
        </w:rPr>
        <w:t>6.2</w:t>
      </w:r>
      <w:bookmarkEnd w:id="12"/>
      <w:r>
        <w:rPr>
          <w:rFonts w:hint="eastAsia" w:ascii="宋体" w:hAnsi="宋体" w:eastAsia="宋体" w:cs="宋体"/>
          <w:i w:val="0"/>
          <w:color w:val="000000" w:themeColor="text1"/>
          <w:kern w:val="0"/>
          <w:sz w:val="24"/>
          <w:szCs w:val="24"/>
          <w:u w:val="none"/>
          <w:lang w:val="en-US" w:eastAsia="zh-CN" w:bidi="ar"/>
        </w:rPr>
        <w:t>投标文件提交的截止时间及开标时间：2020年3月18日09时00分</w:t>
      </w:r>
    </w:p>
    <w:p>
      <w:pPr>
        <w:widowControl/>
        <w:spacing w:line="360" w:lineRule="auto"/>
        <w:ind w:firstLine="480" w:firstLineChars="200"/>
        <w:rPr>
          <w:rFonts w:hint="default" w:hAnsi="宋体"/>
          <w:bCs/>
          <w:color w:val="000000" w:themeColor="text1"/>
          <w:sz w:val="24"/>
          <w:szCs w:val="22"/>
          <w:lang w:val="en-US" w:eastAsia="zh-CN"/>
        </w:rPr>
      </w:pPr>
      <w:r>
        <w:rPr>
          <w:rFonts w:hint="eastAsia" w:hAnsi="宋体"/>
          <w:bCs/>
          <w:color w:val="000000" w:themeColor="text1"/>
          <w:sz w:val="24"/>
        </w:rPr>
        <w:t>6.</w:t>
      </w:r>
      <w:r>
        <w:rPr>
          <w:rFonts w:hint="eastAsia" w:hAnsi="宋体"/>
          <w:bCs/>
          <w:color w:val="000000" w:themeColor="text1"/>
          <w:sz w:val="24"/>
          <w:lang w:val="en-US" w:eastAsia="zh-CN"/>
        </w:rPr>
        <w:t>3招标人（代理机构）线上开标</w:t>
      </w:r>
      <w:r>
        <w:rPr>
          <w:rFonts w:hint="eastAsia" w:hAnsi="宋体"/>
          <w:bCs/>
          <w:color w:val="000000" w:themeColor="text1"/>
          <w:sz w:val="24"/>
        </w:rPr>
        <w:t>地点：</w:t>
      </w:r>
      <w:r>
        <w:rPr>
          <w:rFonts w:hint="eastAsia" w:ascii="宋体" w:hAnsi="宋体" w:eastAsia="宋体" w:cs="宋体"/>
          <w:i w:val="0"/>
          <w:color w:val="000000" w:themeColor="text1"/>
          <w:kern w:val="0"/>
          <w:sz w:val="24"/>
          <w:szCs w:val="24"/>
          <w:u w:val="none"/>
          <w:lang w:val="en-US" w:eastAsia="zh-CN" w:bidi="ar"/>
        </w:rPr>
        <w:t>鄢陵县公共资源交易中心（S219（鄢陶路）与未来大道交叉口鄢陵创客园院内南楼四楼开标</w:t>
      </w:r>
      <w:r>
        <w:rPr>
          <w:rFonts w:hint="eastAsia" w:hAnsi="宋体" w:eastAsia="宋体" w:cs="宋体"/>
          <w:i w:val="0"/>
          <w:color w:val="000000" w:themeColor="text1"/>
          <w:kern w:val="0"/>
          <w:sz w:val="24"/>
          <w:szCs w:val="24"/>
          <w:u w:val="none"/>
          <w:lang w:val="en-US" w:eastAsia="zh-CN" w:bidi="ar"/>
        </w:rPr>
        <w:t>一</w:t>
      </w:r>
      <w:r>
        <w:rPr>
          <w:rFonts w:hint="eastAsia" w:ascii="宋体" w:hAnsi="宋体" w:eastAsia="宋体" w:cs="宋体"/>
          <w:i w:val="0"/>
          <w:color w:val="000000" w:themeColor="text1"/>
          <w:kern w:val="0"/>
          <w:sz w:val="24"/>
          <w:szCs w:val="24"/>
          <w:u w:val="none"/>
          <w:lang w:val="en-US" w:eastAsia="zh-CN" w:bidi="ar"/>
        </w:rPr>
        <w:t>室）</w:t>
      </w:r>
      <w:r>
        <w:rPr>
          <w:rFonts w:hint="eastAsia" w:hAnsi="宋体"/>
          <w:bCs/>
          <w:color w:val="000000" w:themeColor="text1"/>
          <w:sz w:val="24"/>
          <w:szCs w:val="22"/>
        </w:rPr>
        <w:t>本项目采用远程不见面开标，投标人无须到</w:t>
      </w:r>
      <w:r>
        <w:rPr>
          <w:rFonts w:hint="eastAsia" w:hAnsi="宋体"/>
          <w:bCs/>
          <w:color w:val="000000" w:themeColor="text1"/>
          <w:sz w:val="24"/>
          <w:szCs w:val="22"/>
          <w:lang w:val="en-US" w:eastAsia="zh-CN"/>
        </w:rPr>
        <w:t>开标</w:t>
      </w:r>
      <w:r>
        <w:rPr>
          <w:rFonts w:hint="eastAsia" w:hAnsi="宋体"/>
          <w:bCs/>
          <w:color w:val="000000" w:themeColor="text1"/>
          <w:sz w:val="24"/>
          <w:szCs w:val="22"/>
        </w:rPr>
        <w:t>现场</w:t>
      </w:r>
      <w:r>
        <w:rPr>
          <w:rFonts w:hint="eastAsia" w:hAnsi="宋体"/>
          <w:bCs/>
          <w:color w:val="000000" w:themeColor="text1"/>
          <w:sz w:val="24"/>
          <w:szCs w:val="22"/>
          <w:lang w:val="en-US" w:eastAsia="zh-CN"/>
        </w:rPr>
        <w:t>参加开标会议</w:t>
      </w:r>
      <w:r>
        <w:rPr>
          <w:rFonts w:hint="eastAsia" w:hAnsi="宋体"/>
          <w:bCs/>
          <w:color w:val="000000" w:themeColor="text1"/>
          <w:sz w:val="24"/>
          <w:szCs w:val="22"/>
          <w:lang w:eastAsia="zh-CN"/>
        </w:rPr>
        <w:t>、</w:t>
      </w:r>
      <w:r>
        <w:rPr>
          <w:rFonts w:hint="eastAsia" w:hAnsi="宋体"/>
          <w:bCs/>
          <w:color w:val="000000" w:themeColor="text1"/>
          <w:sz w:val="24"/>
          <w:szCs w:val="22"/>
          <w:lang w:val="en-US" w:eastAsia="zh-CN"/>
        </w:rPr>
        <w:t>无须现场提交有关原件资料；投标人在开标时间前持</w:t>
      </w:r>
      <w:r>
        <w:rPr>
          <w:rFonts w:hint="eastAsia" w:hAnsi="宋体"/>
          <w:bCs/>
          <w:color w:val="000000" w:themeColor="text1"/>
          <w:sz w:val="24"/>
          <w:szCs w:val="22"/>
        </w:rPr>
        <w:t>CA数字证书登录全国公共资源交易平台（河南省·许昌市）——进入公共资源交易系统（http://ggzy.xuchang.gov.cn:8088/ggzy/）——点击“项目信息——项目名称”——在系统操作导航栏点击“开标——不见面开标大厅”，准时参加线上开标，进行远程解密、在线询问、电子签章等。</w:t>
      </w:r>
    </w:p>
    <w:p>
      <w:pPr>
        <w:shd w:val="clear" w:color="000000" w:fill="FFFFFF"/>
        <w:spacing w:after="160" w:line="360" w:lineRule="auto"/>
        <w:ind w:right="-105"/>
        <w:jc w:val="left"/>
        <w:rPr>
          <w:rFonts w:hint="eastAsia" w:hAnsi="宋体"/>
          <w:bCs/>
          <w:color w:val="000000" w:themeColor="text1"/>
          <w:sz w:val="24"/>
        </w:rPr>
      </w:pPr>
      <w:r>
        <w:rPr>
          <w:rFonts w:hint="eastAsia" w:hAnsi="宋体"/>
          <w:bCs/>
          <w:color w:val="000000" w:themeColor="text1"/>
          <w:sz w:val="24"/>
        </w:rPr>
        <w:t>6.</w:t>
      </w:r>
      <w:r>
        <w:rPr>
          <w:rFonts w:hint="eastAsia" w:hAnsi="宋体"/>
          <w:bCs/>
          <w:color w:val="000000" w:themeColor="text1"/>
          <w:sz w:val="24"/>
          <w:lang w:val="en-US" w:eastAsia="zh-CN"/>
        </w:rPr>
        <w:t>4</w:t>
      </w:r>
      <w:r>
        <w:rPr>
          <w:rFonts w:hint="eastAsia" w:hAnsi="宋体"/>
          <w:bCs/>
          <w:color w:val="000000" w:themeColor="text1"/>
          <w:sz w:val="24"/>
        </w:rPr>
        <w:t>逾期送达</w:t>
      </w:r>
      <w:r>
        <w:rPr>
          <w:rFonts w:hint="eastAsia" w:hAnsi="宋体"/>
          <w:bCs/>
          <w:color w:val="000000" w:themeColor="text1"/>
          <w:sz w:val="24"/>
          <w:szCs w:val="22"/>
          <w:lang w:val="en-US" w:eastAsia="zh-CN"/>
        </w:rPr>
        <w:t>（未成功上传）</w:t>
      </w:r>
      <w:r>
        <w:rPr>
          <w:rFonts w:hint="eastAsia" w:hAnsi="宋体"/>
          <w:bCs/>
          <w:color w:val="000000" w:themeColor="text1"/>
          <w:sz w:val="24"/>
        </w:rPr>
        <w:t>的或者未</w:t>
      </w:r>
      <w:r>
        <w:rPr>
          <w:rFonts w:hint="eastAsia" w:hAnsi="宋体"/>
          <w:bCs/>
          <w:color w:val="000000" w:themeColor="text1"/>
          <w:sz w:val="24"/>
          <w:szCs w:val="22"/>
          <w:lang w:val="en-US" w:eastAsia="zh-CN"/>
        </w:rPr>
        <w:t>按规定解密的</w:t>
      </w:r>
      <w:r>
        <w:rPr>
          <w:rFonts w:hint="eastAsia" w:hAnsi="宋体" w:cs="宋体"/>
          <w:color w:val="000000" w:themeColor="text1"/>
          <w:sz w:val="24"/>
        </w:rPr>
        <w:t>电子投标文件</w:t>
      </w:r>
      <w:r>
        <w:rPr>
          <w:rFonts w:hint="eastAsia" w:hAnsi="宋体"/>
          <w:bCs/>
          <w:color w:val="000000" w:themeColor="text1"/>
          <w:sz w:val="24"/>
        </w:rPr>
        <w:t>，招标人不予受理。</w:t>
      </w:r>
    </w:p>
    <w:p>
      <w:pPr>
        <w:shd w:val="clear" w:color="000000" w:fill="FFFFFF"/>
        <w:spacing w:after="160" w:line="360" w:lineRule="auto"/>
        <w:ind w:right="-105"/>
        <w:jc w:val="left"/>
        <w:rPr>
          <w:rFonts w:ascii="宋体" w:hAnsi="Arial" w:eastAsia="Arial"/>
          <w:color w:val="000000" w:themeColor="text1"/>
          <w:sz w:val="27"/>
          <w:szCs w:val="27"/>
        </w:rPr>
      </w:pPr>
      <w:r>
        <w:rPr>
          <w:rFonts w:hint="eastAsia" w:ascii="宋体" w:hAnsi="Arial" w:eastAsia="宋体"/>
          <w:b/>
          <w:color w:val="000000" w:themeColor="text1"/>
          <w:lang w:eastAsia="zh-CN"/>
        </w:rPr>
        <w:t>七</w:t>
      </w:r>
      <w:r>
        <w:rPr>
          <w:rFonts w:ascii="宋体" w:hAnsi="Arial" w:eastAsia="Arial"/>
          <w:b/>
          <w:color w:val="000000" w:themeColor="text1"/>
        </w:rPr>
        <w:t>、发布公告的媒介</w:t>
      </w:r>
    </w:p>
    <w:p>
      <w:pPr>
        <w:shd w:val="clear" w:color="000000" w:fill="FFFFFF"/>
        <w:spacing w:after="160" w:line="360" w:lineRule="auto"/>
        <w:ind w:left="-105" w:right="-105" w:firstLine="480"/>
        <w:jc w:val="left"/>
        <w:rPr>
          <w:rFonts w:ascii="宋体" w:hAnsi="Arial" w:eastAsia="Arial"/>
          <w:color w:val="000000" w:themeColor="text1"/>
          <w:sz w:val="27"/>
          <w:szCs w:val="27"/>
        </w:rPr>
      </w:pPr>
      <w:r>
        <w:rPr>
          <w:rFonts w:ascii="宋体" w:hAnsi="Arial" w:eastAsia="Arial"/>
          <w:color w:val="000000" w:themeColor="text1"/>
        </w:rPr>
        <w:t>本公告同时在《全国公共资源交易平台(河南省</w:t>
      </w:r>
      <w:r>
        <w:rPr>
          <w:rFonts w:ascii="宋体" w:hAnsi="MS Mincho" w:eastAsia="MS Mincho"/>
          <w:color w:val="000000" w:themeColor="text1"/>
        </w:rPr>
        <w:t>▪</w:t>
      </w:r>
      <w:r>
        <w:rPr>
          <w:rFonts w:ascii="宋体" w:hAnsi="宋体" w:eastAsia="宋体"/>
          <w:color w:val="000000" w:themeColor="text1"/>
        </w:rPr>
        <w:t>许昌市</w:t>
      </w:r>
      <w:r>
        <w:rPr>
          <w:rFonts w:ascii="宋体" w:hAnsi="Arial" w:eastAsia="Arial"/>
          <w:color w:val="000000" w:themeColor="text1"/>
        </w:rPr>
        <w:t>)》、《河南省电子招标投标公共服务平台》上发布。</w:t>
      </w:r>
    </w:p>
    <w:p>
      <w:pPr>
        <w:spacing w:after="160" w:line="360" w:lineRule="auto"/>
        <w:jc w:val="left"/>
        <w:rPr>
          <w:rFonts w:hAnsi="Times New Roman"/>
          <w:b/>
          <w:color w:val="000000" w:themeColor="text1"/>
        </w:rPr>
      </w:pPr>
      <w:r>
        <w:rPr>
          <w:rFonts w:hint="eastAsia" w:hAnsi="Times New Roman" w:eastAsia="宋体"/>
          <w:b/>
          <w:color w:val="000000" w:themeColor="text1"/>
          <w:lang w:eastAsia="zh-CN"/>
        </w:rPr>
        <w:t>八</w:t>
      </w:r>
      <w:r>
        <w:rPr>
          <w:rFonts w:hAnsi="Times New Roman"/>
          <w:b/>
          <w:color w:val="000000" w:themeColor="text1"/>
        </w:rPr>
        <w:t>、招标人及招标代理机构联系方式</w:t>
      </w:r>
    </w:p>
    <w:p>
      <w:pPr>
        <w:spacing w:after="160" w:line="360" w:lineRule="auto"/>
        <w:ind w:firstLine="480"/>
        <w:jc w:val="left"/>
        <w:rPr>
          <w:rFonts w:hAnsi="Times New Roman"/>
          <w:color w:val="000000" w:themeColor="text1"/>
        </w:rPr>
      </w:pPr>
      <w:r>
        <w:rPr>
          <w:rFonts w:hAnsi="Times New Roman"/>
          <w:color w:val="000000" w:themeColor="text1"/>
        </w:rPr>
        <w:t>招 标 人：鄢陵县畜牧局</w:t>
      </w:r>
    </w:p>
    <w:p>
      <w:pPr>
        <w:spacing w:after="160" w:line="360" w:lineRule="auto"/>
        <w:ind w:firstLine="480"/>
        <w:jc w:val="left"/>
        <w:rPr>
          <w:rFonts w:hAnsi="Times New Roman"/>
          <w:color w:val="000000" w:themeColor="text1"/>
        </w:rPr>
      </w:pPr>
      <w:r>
        <w:rPr>
          <w:rFonts w:hAnsi="Times New Roman"/>
          <w:color w:val="000000" w:themeColor="text1"/>
        </w:rPr>
        <w:t>地    址：许昌市鄢陵县南大街</w:t>
      </w:r>
    </w:p>
    <w:p>
      <w:pPr>
        <w:spacing w:after="160" w:line="360" w:lineRule="auto"/>
        <w:ind w:firstLine="480"/>
        <w:jc w:val="left"/>
        <w:rPr>
          <w:rFonts w:hAnsi="Times New Roman"/>
          <w:color w:val="000000" w:themeColor="text1"/>
        </w:rPr>
      </w:pPr>
      <w:r>
        <w:rPr>
          <w:rFonts w:hAnsi="Times New Roman"/>
          <w:color w:val="000000" w:themeColor="text1"/>
        </w:rPr>
        <w:t>联 系 人： 汪先生</w:t>
      </w:r>
    </w:p>
    <w:p>
      <w:pPr>
        <w:spacing w:after="160" w:line="360" w:lineRule="auto"/>
        <w:ind w:firstLine="480"/>
        <w:jc w:val="left"/>
        <w:rPr>
          <w:rFonts w:hAnsi="Times New Roman"/>
          <w:color w:val="000000" w:themeColor="text1"/>
        </w:rPr>
      </w:pPr>
      <w:r>
        <w:rPr>
          <w:rFonts w:hAnsi="Times New Roman"/>
          <w:color w:val="000000" w:themeColor="text1"/>
        </w:rPr>
        <w:t>电    话：13849886335</w:t>
      </w:r>
    </w:p>
    <w:p>
      <w:pPr>
        <w:spacing w:after="160" w:line="360" w:lineRule="auto"/>
        <w:ind w:firstLine="480"/>
        <w:jc w:val="left"/>
        <w:rPr>
          <w:rFonts w:hAnsi="Times New Roman"/>
          <w:color w:val="000000" w:themeColor="text1"/>
        </w:rPr>
      </w:pPr>
      <w:r>
        <w:rPr>
          <w:rFonts w:hAnsi="Times New Roman"/>
          <w:color w:val="000000" w:themeColor="text1"/>
        </w:rPr>
        <w:t>招标代理机构：河南永安工程管理有限公司</w:t>
      </w:r>
    </w:p>
    <w:p>
      <w:pPr>
        <w:spacing w:after="160" w:line="360" w:lineRule="auto"/>
        <w:ind w:firstLine="480"/>
        <w:jc w:val="left"/>
        <w:rPr>
          <w:rFonts w:hAnsi="Times New Roman"/>
          <w:color w:val="000000" w:themeColor="text1"/>
        </w:rPr>
      </w:pPr>
      <w:r>
        <w:rPr>
          <w:rFonts w:hAnsi="Times New Roman"/>
          <w:color w:val="000000" w:themeColor="text1"/>
        </w:rPr>
        <w:t>地    址：许昌市城乡一体化示范区元鼎国际B座1612</w:t>
      </w:r>
    </w:p>
    <w:p>
      <w:pPr>
        <w:spacing w:after="160" w:line="360" w:lineRule="auto"/>
        <w:ind w:firstLine="480"/>
        <w:jc w:val="left"/>
        <w:rPr>
          <w:rFonts w:hAnsi="Times New Roman"/>
          <w:color w:val="000000" w:themeColor="text1"/>
        </w:rPr>
      </w:pPr>
      <w:r>
        <w:rPr>
          <w:rFonts w:hAnsi="Times New Roman"/>
          <w:color w:val="000000" w:themeColor="text1"/>
        </w:rPr>
        <w:t>联 系 人：蔡女士</w:t>
      </w:r>
    </w:p>
    <w:p>
      <w:pPr>
        <w:spacing w:after="160" w:line="360" w:lineRule="auto"/>
        <w:ind w:firstLine="480"/>
        <w:jc w:val="left"/>
        <w:rPr>
          <w:rFonts w:hAnsi="Times New Roman"/>
          <w:color w:val="000000" w:themeColor="text1"/>
        </w:rPr>
      </w:pPr>
      <w:r>
        <w:rPr>
          <w:rFonts w:hAnsi="Times New Roman"/>
          <w:color w:val="000000" w:themeColor="text1"/>
        </w:rPr>
        <w:t>电    话：0374-8318599</w:t>
      </w:r>
    </w:p>
    <w:p>
      <w:pPr>
        <w:spacing w:after="160" w:line="360" w:lineRule="auto"/>
        <w:ind w:firstLine="480"/>
        <w:jc w:val="right"/>
        <w:rPr>
          <w:rFonts w:hAnsi="Times New Roman"/>
          <w:color w:val="000000" w:themeColor="text1"/>
        </w:rPr>
      </w:pPr>
      <w:r>
        <w:rPr>
          <w:rFonts w:hAnsi="Times New Roman"/>
          <w:color w:val="000000" w:themeColor="text1"/>
        </w:rPr>
        <w:t>鄢陵县畜牧局</w:t>
      </w:r>
    </w:p>
    <w:p>
      <w:pPr>
        <w:spacing w:after="160" w:line="360" w:lineRule="auto"/>
        <w:ind w:firstLine="480"/>
        <w:jc w:val="right"/>
        <w:rPr>
          <w:rFonts w:hAnsi="Times New Roman"/>
          <w:color w:val="000000" w:themeColor="text1"/>
        </w:rPr>
      </w:pPr>
      <w:r>
        <w:rPr>
          <w:rFonts w:hAnsi="Times New Roman"/>
          <w:color w:val="000000" w:themeColor="text1"/>
        </w:rPr>
        <w:t>2020年</w:t>
      </w:r>
      <w:r>
        <w:rPr>
          <w:rFonts w:hint="eastAsia" w:hAnsi="Times New Roman" w:eastAsia="宋体"/>
          <w:color w:val="000000" w:themeColor="text1"/>
          <w:lang w:val="en-US" w:eastAsia="zh-CN"/>
        </w:rPr>
        <w:t>3</w:t>
      </w:r>
      <w:r>
        <w:rPr>
          <w:rFonts w:hAnsi="Times New Roman"/>
          <w:color w:val="000000" w:themeColor="text1"/>
        </w:rPr>
        <w:t xml:space="preserve"> 月</w:t>
      </w:r>
      <w:r>
        <w:rPr>
          <w:rFonts w:hint="eastAsia" w:hAnsi="Times New Roman" w:eastAsia="宋体"/>
          <w:color w:val="000000" w:themeColor="text1"/>
          <w:lang w:val="en-US" w:eastAsia="zh-CN"/>
        </w:rPr>
        <w:t>10</w:t>
      </w:r>
      <w:r>
        <w:rPr>
          <w:rFonts w:hAnsi="Times New Roman"/>
          <w:color w:val="000000" w:themeColor="text1"/>
        </w:rPr>
        <w:t>日</w:t>
      </w:r>
    </w:p>
    <w:p>
      <w:pPr>
        <w:spacing w:after="160" w:line="360" w:lineRule="auto"/>
        <w:rPr>
          <w:rFonts w:hAnsi="Times New Roman"/>
          <w:color w:val="000000" w:themeColor="text1"/>
        </w:rPr>
      </w:pPr>
    </w:p>
    <w:p>
      <w:pPr>
        <w:spacing w:line="360" w:lineRule="auto"/>
        <w:rPr>
          <w:rFonts w:hAnsi="宋体"/>
          <w:b/>
          <w:color w:val="000000" w:themeColor="text1"/>
          <w:sz w:val="28"/>
          <w:szCs w:val="28"/>
        </w:rPr>
      </w:pPr>
      <w:r>
        <w:rPr>
          <w:rFonts w:hint="eastAsia" w:hAnsi="宋体"/>
          <w:b/>
          <w:color w:val="000000" w:themeColor="text1"/>
          <w:sz w:val="28"/>
          <w:szCs w:val="28"/>
        </w:rPr>
        <w:t>温馨提示：</w:t>
      </w:r>
    </w:p>
    <w:p>
      <w:pPr>
        <w:spacing w:line="360" w:lineRule="auto"/>
        <w:ind w:firstLine="560" w:firstLineChars="200"/>
        <w:rPr>
          <w:rFonts w:ascii="仿宋_GB2312" w:eastAsia="仿宋_GB2312"/>
          <w:b/>
          <w:color w:val="000000" w:themeColor="text1"/>
          <w:sz w:val="32"/>
          <w:szCs w:val="32"/>
        </w:rPr>
      </w:pPr>
      <w:r>
        <w:rPr>
          <w:rFonts w:hint="eastAsia" w:hAnsi="宋体"/>
          <w:b/>
          <w:color w:val="000000" w:themeColor="text1"/>
          <w:sz w:val="28"/>
          <w:szCs w:val="28"/>
        </w:rPr>
        <w:t>本项目为全流程电子化交易项目，请认真阅读招标文件，并注意以下事项。</w:t>
      </w:r>
    </w:p>
    <w:p>
      <w:pPr>
        <w:spacing w:line="360" w:lineRule="auto"/>
        <w:ind w:firstLine="480" w:firstLineChars="200"/>
        <w:rPr>
          <w:rFonts w:hint="eastAsia" w:hAnsi="宋体"/>
          <w:color w:val="000000" w:themeColor="text1"/>
          <w:sz w:val="24"/>
          <w:szCs w:val="22"/>
        </w:rPr>
      </w:pPr>
      <w:r>
        <w:rPr>
          <w:rFonts w:hint="eastAsia" w:hAnsi="宋体"/>
          <w:color w:val="000000" w:themeColor="text1"/>
          <w:sz w:val="24"/>
          <w:szCs w:val="22"/>
        </w:rPr>
        <w:t>1.投标人应按招标文件规定编制、提交、解密电子投标文件。</w:t>
      </w:r>
    </w:p>
    <w:p>
      <w:pPr>
        <w:spacing w:line="360" w:lineRule="auto"/>
        <w:ind w:firstLine="480" w:firstLineChars="200"/>
        <w:rPr>
          <w:rFonts w:hint="eastAsia" w:hAnsi="宋体"/>
          <w:color w:val="000000" w:themeColor="text1"/>
          <w:sz w:val="24"/>
          <w:szCs w:val="22"/>
        </w:rPr>
      </w:pPr>
      <w:r>
        <w:rPr>
          <w:rFonts w:hint="eastAsia" w:hAnsi="宋体"/>
          <w:color w:val="000000" w:themeColor="text1"/>
          <w:sz w:val="24"/>
          <w:szCs w:val="22"/>
        </w:rPr>
        <w:t>2.电子文件下载、制作、提交期间和远程不见面开标（电子投标文件的解密）环节，投标人须使用同一个CA数字证书（证书须在有效期内并可正常使用）。</w:t>
      </w:r>
    </w:p>
    <w:p>
      <w:pPr>
        <w:spacing w:line="360" w:lineRule="auto"/>
        <w:ind w:firstLine="480" w:firstLineChars="200"/>
        <w:rPr>
          <w:rFonts w:hint="eastAsia" w:hAnsi="宋体"/>
          <w:b/>
          <w:bCs/>
          <w:color w:val="000000" w:themeColor="text1"/>
          <w:sz w:val="24"/>
          <w:szCs w:val="22"/>
        </w:rPr>
      </w:pPr>
      <w:r>
        <w:rPr>
          <w:rFonts w:hint="eastAsia" w:hAnsi="宋体"/>
          <w:b/>
          <w:bCs/>
          <w:color w:val="000000" w:themeColor="text1"/>
          <w:sz w:val="24"/>
          <w:szCs w:val="22"/>
        </w:rPr>
        <w:t>3.电子投标文件的制作</w:t>
      </w:r>
    </w:p>
    <w:p>
      <w:pPr>
        <w:spacing w:line="360" w:lineRule="auto"/>
        <w:ind w:firstLine="480" w:firstLineChars="200"/>
        <w:rPr>
          <w:rFonts w:hint="eastAsia" w:hAnsi="宋体"/>
          <w:color w:val="000000" w:themeColor="text1"/>
          <w:sz w:val="24"/>
          <w:szCs w:val="22"/>
        </w:rPr>
      </w:pPr>
      <w:r>
        <w:rPr>
          <w:rFonts w:hint="eastAsia" w:hAnsi="宋体"/>
          <w:color w:val="000000" w:themeColor="text1"/>
          <w:sz w:val="24"/>
          <w:szCs w:val="22"/>
        </w:rPr>
        <w:t>3.1 投标人登录《全国公共资源交易平台(河南省▪许昌市)》公共资源交易系统（</w:t>
      </w:r>
      <w:r>
        <w:rPr>
          <w:rFonts w:hint="eastAsia" w:hAnsi="宋体"/>
          <w:color w:val="000000" w:themeColor="text1"/>
          <w:sz w:val="24"/>
          <w:szCs w:val="22"/>
        </w:rPr>
        <w:fldChar w:fldCharType="begin"/>
      </w:r>
      <w:r>
        <w:rPr>
          <w:rFonts w:hint="eastAsia" w:hAnsi="宋体"/>
          <w:color w:val="000000" w:themeColor="text1"/>
          <w:sz w:val="24"/>
          <w:szCs w:val="22"/>
        </w:rPr>
        <w:instrText xml:space="preserve">HYPERLINK "http://221.14.6.70:8088/ggzy/"</w:instrText>
      </w:r>
      <w:r>
        <w:rPr>
          <w:rFonts w:hint="eastAsia" w:hAnsi="宋体"/>
          <w:color w:val="000000" w:themeColor="text1"/>
          <w:sz w:val="24"/>
          <w:szCs w:val="22"/>
        </w:rPr>
        <w:fldChar w:fldCharType="separate"/>
      </w:r>
      <w:r>
        <w:rPr>
          <w:rFonts w:hint="eastAsia" w:hAnsi="宋体"/>
          <w:color w:val="000000" w:themeColor="text1"/>
          <w:sz w:val="24"/>
          <w:szCs w:val="22"/>
        </w:rPr>
        <w:t>http://221.14.6.70:8088/ggzy/</w:t>
      </w:r>
      <w:r>
        <w:rPr>
          <w:rFonts w:hint="eastAsia" w:hAnsi="宋体"/>
          <w:color w:val="000000" w:themeColor="text1"/>
          <w:sz w:val="24"/>
          <w:szCs w:val="22"/>
        </w:rPr>
        <w:fldChar w:fldCharType="end"/>
      </w:r>
      <w:r>
        <w:rPr>
          <w:rFonts w:hint="eastAsia" w:hAnsi="宋体"/>
          <w:color w:val="000000" w:themeColor="text1"/>
          <w:sz w:val="24"/>
          <w:szCs w:val="22"/>
        </w:rPr>
        <w:t>）下载“许昌投标文件制作系统SEARUN 最新版本”，按招标文件要求制作电子投标文件。</w:t>
      </w:r>
    </w:p>
    <w:p>
      <w:pPr>
        <w:spacing w:line="360" w:lineRule="auto"/>
        <w:ind w:firstLine="480" w:firstLineChars="200"/>
        <w:rPr>
          <w:rFonts w:hint="eastAsia" w:hAnsi="宋体"/>
          <w:color w:val="000000" w:themeColor="text1"/>
          <w:sz w:val="24"/>
          <w:szCs w:val="22"/>
        </w:rPr>
      </w:pPr>
      <w:r>
        <w:rPr>
          <w:rFonts w:hint="eastAsia" w:hAnsi="宋体"/>
          <w:color w:val="000000" w:themeColor="text1"/>
          <w:sz w:val="24"/>
          <w:szCs w:val="22"/>
        </w:rPr>
        <w:t>电子投标文件的制作，参考《全国公共资源交易平台(河南省▪许昌市)》公共资源交易系统——组件下载——交易系统操作手册（投标人、供应商）。</w:t>
      </w:r>
    </w:p>
    <w:p>
      <w:pPr>
        <w:spacing w:line="360" w:lineRule="auto"/>
        <w:ind w:firstLine="480" w:firstLineChars="200"/>
        <w:rPr>
          <w:rFonts w:hint="eastAsia" w:hAnsi="宋体"/>
          <w:color w:val="000000" w:themeColor="text1"/>
          <w:sz w:val="24"/>
          <w:szCs w:val="22"/>
        </w:rPr>
      </w:pPr>
      <w:r>
        <w:rPr>
          <w:rFonts w:hint="eastAsia" w:hAnsi="宋体"/>
          <w:color w:val="000000" w:themeColor="text1"/>
          <w:sz w:val="24"/>
          <w:szCs w:val="22"/>
        </w:rPr>
        <w:t>3.2 投标人须将招标文件要求的资质、业绩、荣誉及相关人员证明材料等资料原件扫描件（或图片）制作到所提交的电子投标文件中。</w:t>
      </w:r>
    </w:p>
    <w:p>
      <w:pPr>
        <w:spacing w:line="360" w:lineRule="auto"/>
        <w:ind w:firstLine="480" w:firstLineChars="200"/>
        <w:rPr>
          <w:rFonts w:hint="eastAsia" w:hAnsi="宋体"/>
          <w:color w:val="000000" w:themeColor="text1"/>
          <w:sz w:val="24"/>
          <w:szCs w:val="22"/>
        </w:rPr>
      </w:pPr>
      <w:r>
        <w:rPr>
          <w:rFonts w:hint="eastAsia" w:hAnsi="宋体"/>
          <w:color w:val="000000" w:themeColor="text1"/>
          <w:sz w:val="24"/>
          <w:szCs w:val="22"/>
        </w:rPr>
        <w:t>3.3投标人对同一项目多个标段进行投标的，应分别下载所投标段的招标文件，按标段制作电子投标文件，并按招标文件要求在相应位置加盖投标人电子印章和法人电子印章。</w:t>
      </w:r>
    </w:p>
    <w:p>
      <w:pPr>
        <w:autoSpaceDE w:val="0"/>
        <w:autoSpaceDN w:val="0"/>
        <w:adjustRightInd w:val="0"/>
        <w:spacing w:line="340" w:lineRule="exact"/>
        <w:ind w:firstLine="480" w:firstLineChars="200"/>
        <w:rPr>
          <w:rFonts w:hint="eastAsia" w:hAnsi="宋体"/>
          <w:color w:val="000000" w:themeColor="text1"/>
          <w:sz w:val="24"/>
          <w:szCs w:val="22"/>
        </w:rPr>
      </w:pPr>
      <w:r>
        <w:rPr>
          <w:rFonts w:hint="eastAsia" w:hAnsi="宋体"/>
          <w:color w:val="000000" w:themeColor="text1"/>
          <w:sz w:val="24"/>
          <w:szCs w:val="22"/>
        </w:rPr>
        <w:t>一个标段对应生成一个文件夹（xxxx项目xx标段）,其中后缀名为“.file”的文件用于电子投标使用。</w:t>
      </w:r>
    </w:p>
    <w:p>
      <w:pPr>
        <w:autoSpaceDE w:val="0"/>
        <w:autoSpaceDN w:val="0"/>
        <w:adjustRightInd w:val="0"/>
        <w:spacing w:line="360" w:lineRule="auto"/>
        <w:ind w:firstLine="480" w:firstLineChars="200"/>
        <w:rPr>
          <w:rFonts w:hint="eastAsia" w:hAnsi="宋体"/>
          <w:b/>
          <w:bCs/>
          <w:color w:val="000000" w:themeColor="text1"/>
          <w:sz w:val="24"/>
          <w:szCs w:val="22"/>
          <w:lang w:val="en-US" w:eastAsia="zh-CN"/>
        </w:rPr>
      </w:pPr>
      <w:r>
        <w:rPr>
          <w:rFonts w:hint="eastAsia" w:hAnsi="宋体" w:cs="宋体"/>
          <w:b/>
          <w:bCs/>
          <w:color w:val="000000" w:themeColor="text1"/>
          <w:sz w:val="24"/>
          <w:szCs w:val="22"/>
          <w:lang w:val="en-US" w:eastAsia="zh-CN"/>
        </w:rPr>
        <w:t>4.投标保证金的提交</w:t>
      </w:r>
    </w:p>
    <w:p>
      <w:pPr>
        <w:autoSpaceDE w:val="0"/>
        <w:autoSpaceDN w:val="0"/>
        <w:adjustRightInd w:val="0"/>
        <w:spacing w:line="360" w:lineRule="auto"/>
        <w:ind w:firstLine="480" w:firstLineChars="200"/>
        <w:rPr>
          <w:rFonts w:hint="eastAsia" w:hAnsi="宋体" w:cs="宋体"/>
          <w:color w:val="000000" w:themeColor="text1"/>
          <w:sz w:val="24"/>
          <w:szCs w:val="22"/>
          <w:lang w:val="zh-CN" w:eastAsia="zh-CN"/>
        </w:rPr>
      </w:pPr>
      <w:r>
        <w:rPr>
          <w:rFonts w:hint="eastAsia" w:hAnsi="宋体" w:cs="宋体"/>
          <w:color w:val="000000" w:themeColor="text1"/>
          <w:sz w:val="24"/>
          <w:szCs w:val="22"/>
          <w:lang w:val="en-US" w:eastAsia="zh-CN"/>
        </w:rPr>
        <w:t>4.1</w:t>
      </w:r>
      <w:r>
        <w:rPr>
          <w:rFonts w:hint="eastAsia" w:hAnsi="宋体" w:cs="宋体"/>
          <w:color w:val="000000" w:themeColor="text1"/>
          <w:sz w:val="24"/>
          <w:szCs w:val="22"/>
          <w:lang w:val="zh-CN" w:eastAsia="zh-CN"/>
        </w:rPr>
        <w:t>使用银行转帐方式</w:t>
      </w:r>
      <w:r>
        <w:rPr>
          <w:rFonts w:hint="eastAsia" w:hAnsi="宋体" w:cs="宋体"/>
          <w:color w:val="000000" w:themeColor="text1"/>
          <w:sz w:val="24"/>
          <w:szCs w:val="22"/>
          <w:lang w:val="en-US" w:eastAsia="zh-CN"/>
        </w:rPr>
        <w:t>提交</w:t>
      </w:r>
      <w:r>
        <w:rPr>
          <w:rFonts w:hint="eastAsia" w:hAnsi="宋体" w:cs="宋体"/>
          <w:color w:val="000000" w:themeColor="text1"/>
          <w:sz w:val="24"/>
          <w:szCs w:val="22"/>
          <w:lang w:val="zh-CN" w:eastAsia="zh-CN"/>
        </w:rPr>
        <w:t>的，投标人通过基本账户将款项一次足额递交、成功绑定，以收款人到账时间为准。</w:t>
      </w:r>
    </w:p>
    <w:p>
      <w:pPr>
        <w:autoSpaceDE w:val="0"/>
        <w:autoSpaceDN w:val="0"/>
        <w:adjustRightInd w:val="0"/>
        <w:spacing w:line="360" w:lineRule="auto"/>
        <w:ind w:firstLine="480" w:firstLineChars="200"/>
        <w:rPr>
          <w:rFonts w:hint="default" w:hAnsi="宋体" w:cs="宋体"/>
          <w:color w:val="000000" w:themeColor="text1"/>
          <w:sz w:val="24"/>
          <w:szCs w:val="22"/>
          <w:lang w:val="en-US" w:eastAsia="zh-CN"/>
        </w:rPr>
      </w:pPr>
      <w:r>
        <w:rPr>
          <w:rFonts w:hint="eastAsia" w:hAnsi="宋体" w:cs="宋体"/>
          <w:color w:val="000000" w:themeColor="text1"/>
          <w:sz w:val="24"/>
          <w:szCs w:val="22"/>
          <w:lang w:val="en-US" w:eastAsia="zh-CN"/>
        </w:rPr>
        <w:t>4.1.1</w:t>
      </w:r>
      <w:r>
        <w:rPr>
          <w:rFonts w:hint="eastAsia" w:hAnsi="宋体" w:cs="宋体"/>
          <w:color w:val="000000" w:themeColor="text1"/>
          <w:sz w:val="24"/>
          <w:szCs w:val="22"/>
          <w:lang w:val="zh-CN" w:eastAsia="zh-CN"/>
        </w:rPr>
        <w:t>投标人网上</w:t>
      </w:r>
      <w:r>
        <w:rPr>
          <w:rFonts w:hint="eastAsia" w:hAnsi="宋体" w:cs="宋体"/>
          <w:color w:val="000000" w:themeColor="text1"/>
          <w:sz w:val="24"/>
          <w:szCs w:val="22"/>
          <w:lang w:val="en-US" w:eastAsia="zh-CN"/>
        </w:rPr>
        <w:t>下载招标文件并</w:t>
      </w:r>
      <w:r>
        <w:rPr>
          <w:rFonts w:hint="eastAsia" w:hAnsi="宋体" w:cs="宋体"/>
          <w:color w:val="000000" w:themeColor="text1"/>
          <w:sz w:val="24"/>
          <w:szCs w:val="22"/>
          <w:lang w:val="zh-CN" w:eastAsia="zh-CN"/>
        </w:rPr>
        <w:t>根据每个标段的缴纳说明单在</w:t>
      </w:r>
      <w:r>
        <w:rPr>
          <w:rFonts w:hint="eastAsia" w:hAnsi="宋体" w:cs="宋体"/>
          <w:color w:val="000000" w:themeColor="text1"/>
          <w:sz w:val="24"/>
          <w:szCs w:val="22"/>
          <w:lang w:val="en-US" w:eastAsia="zh-CN"/>
        </w:rPr>
        <w:t>开标</w:t>
      </w:r>
      <w:r>
        <w:rPr>
          <w:rFonts w:hint="eastAsia" w:hAnsi="宋体" w:cs="宋体"/>
          <w:color w:val="000000" w:themeColor="text1"/>
          <w:sz w:val="24"/>
          <w:szCs w:val="22"/>
          <w:lang w:val="zh-CN" w:eastAsia="zh-CN"/>
        </w:rPr>
        <w:t>截止时间前</w:t>
      </w:r>
      <w:r>
        <w:rPr>
          <w:rFonts w:hint="eastAsia" w:hAnsi="宋体" w:cs="宋体"/>
          <w:color w:val="000000" w:themeColor="text1"/>
          <w:sz w:val="24"/>
          <w:szCs w:val="22"/>
          <w:lang w:val="en-US" w:eastAsia="zh-CN"/>
        </w:rPr>
        <w:t>提交。</w:t>
      </w:r>
      <w:r>
        <w:rPr>
          <w:rFonts w:hint="eastAsia" w:hAnsi="宋体" w:cs="宋体"/>
          <w:color w:val="000000" w:themeColor="text1"/>
          <w:sz w:val="24"/>
          <w:szCs w:val="22"/>
          <w:lang w:val="zh-CN" w:eastAsia="zh-CN"/>
        </w:rPr>
        <w:t>每个投标人每个项目每个标段只有唯一缴纳账号，</w:t>
      </w:r>
      <w:r>
        <w:rPr>
          <w:rFonts w:hint="eastAsia" w:hAnsi="宋体" w:cs="宋体"/>
          <w:color w:val="000000" w:themeColor="text1"/>
          <w:sz w:val="24"/>
          <w:szCs w:val="22"/>
          <w:lang w:val="en-US" w:eastAsia="zh-CN"/>
        </w:rPr>
        <w:t>切勿重复缴纳或错误缴纳。</w:t>
      </w:r>
    </w:p>
    <w:p>
      <w:pPr>
        <w:autoSpaceDE w:val="0"/>
        <w:autoSpaceDN w:val="0"/>
        <w:adjustRightInd w:val="0"/>
        <w:spacing w:line="360" w:lineRule="auto"/>
        <w:ind w:firstLine="480" w:firstLineChars="200"/>
        <w:rPr>
          <w:rFonts w:hint="default" w:hAnsi="宋体" w:cs="宋体"/>
          <w:color w:val="000000" w:themeColor="text1"/>
          <w:sz w:val="24"/>
          <w:szCs w:val="22"/>
          <w:lang w:val="en-US" w:eastAsia="zh-CN"/>
        </w:rPr>
      </w:pPr>
      <w:r>
        <w:rPr>
          <w:rFonts w:hint="eastAsia" w:hAnsi="宋体" w:cs="宋体"/>
          <w:color w:val="000000" w:themeColor="text1"/>
          <w:sz w:val="24"/>
          <w:szCs w:val="22"/>
          <w:lang w:val="en-US" w:eastAsia="zh-CN"/>
        </w:rPr>
        <w:t>4.1.2提交</w:t>
      </w:r>
      <w:r>
        <w:rPr>
          <w:rFonts w:hint="eastAsia" w:hAnsi="宋体" w:cs="宋体"/>
          <w:color w:val="000000" w:themeColor="text1"/>
          <w:sz w:val="24"/>
          <w:szCs w:val="22"/>
          <w:lang w:val="zh-CN" w:eastAsia="zh-CN"/>
        </w:rPr>
        <w:t>后</w:t>
      </w:r>
      <w:r>
        <w:rPr>
          <w:rFonts w:hint="eastAsia" w:hAnsi="宋体" w:cs="宋体"/>
          <w:color w:val="000000" w:themeColor="text1"/>
          <w:sz w:val="24"/>
          <w:szCs w:val="22"/>
          <w:lang w:val="en-US" w:eastAsia="zh-CN"/>
        </w:rPr>
        <w:t>再次</w:t>
      </w:r>
      <w:r>
        <w:rPr>
          <w:rFonts w:hint="eastAsia" w:hAnsi="宋体" w:cs="宋体"/>
          <w:color w:val="000000" w:themeColor="text1"/>
          <w:sz w:val="24"/>
          <w:szCs w:val="22"/>
          <w:lang w:val="zh-CN" w:eastAsia="zh-CN"/>
        </w:rPr>
        <w:t>登录</w:t>
      </w:r>
      <w:r>
        <w:rPr>
          <w:rFonts w:hint="eastAsia" w:hAnsi="宋体" w:cs="宋体"/>
          <w:color w:val="000000" w:themeColor="text1"/>
          <w:sz w:val="24"/>
          <w:szCs w:val="22"/>
          <w:lang w:val="en-US" w:eastAsia="zh-CN"/>
        </w:rPr>
        <w:fldChar w:fldCharType="begin"/>
      </w:r>
      <w:r>
        <w:rPr>
          <w:rFonts w:hint="eastAsia" w:hAnsi="宋体" w:cs="宋体"/>
          <w:color w:val="000000" w:themeColor="text1"/>
          <w:sz w:val="24"/>
          <w:szCs w:val="22"/>
          <w:lang w:val="en-US" w:eastAsia="zh-CN"/>
        </w:rPr>
        <w:instrText xml:space="preserve"> HYPERLINK "http://221.14.6.70:8088/ggzy" </w:instrText>
      </w:r>
      <w:r>
        <w:rPr>
          <w:rFonts w:hint="eastAsia" w:hAnsi="宋体" w:cs="宋体"/>
          <w:color w:val="000000" w:themeColor="text1"/>
          <w:sz w:val="24"/>
          <w:szCs w:val="22"/>
          <w:lang w:val="en-US" w:eastAsia="zh-CN"/>
        </w:rPr>
        <w:fldChar w:fldCharType="separate"/>
      </w:r>
      <w:r>
        <w:rPr>
          <w:rFonts w:hint="eastAsia" w:hAnsi="宋体" w:cs="宋体"/>
          <w:color w:val="000000" w:themeColor="text1"/>
          <w:sz w:val="24"/>
          <w:szCs w:val="22"/>
          <w:lang w:val="en-US" w:eastAsia="zh-CN"/>
        </w:rPr>
        <w:t>http://221.14.6.70:8088/ggzy</w:t>
      </w:r>
      <w:r>
        <w:rPr>
          <w:rFonts w:hint="eastAsia" w:hAnsi="宋体" w:cs="宋体"/>
          <w:color w:val="000000" w:themeColor="text1"/>
          <w:sz w:val="24"/>
          <w:szCs w:val="22"/>
          <w:lang w:val="en-US" w:eastAsia="zh-CN"/>
        </w:rPr>
        <w:fldChar w:fldCharType="end"/>
      </w:r>
      <w:r>
        <w:rPr>
          <w:rFonts w:hint="eastAsia" w:hAnsi="宋体" w:cs="宋体"/>
          <w:color w:val="000000" w:themeColor="text1"/>
          <w:sz w:val="24"/>
          <w:szCs w:val="22"/>
          <w:lang w:val="zh-CN" w:eastAsia="zh-CN"/>
        </w:rPr>
        <w:t>系统</w:t>
      </w:r>
      <w:r>
        <w:rPr>
          <w:rFonts w:hint="eastAsia" w:hAnsi="宋体" w:cs="宋体"/>
          <w:color w:val="000000" w:themeColor="text1"/>
          <w:sz w:val="24"/>
          <w:szCs w:val="22"/>
          <w:lang w:val="en-US" w:eastAsia="zh-CN"/>
        </w:rPr>
        <w:t>，</w:t>
      </w:r>
      <w:r>
        <w:rPr>
          <w:rFonts w:hint="eastAsia" w:hAnsi="宋体" w:cs="宋体"/>
          <w:color w:val="000000" w:themeColor="text1"/>
          <w:sz w:val="24"/>
          <w:szCs w:val="22"/>
          <w:lang w:val="zh-CN" w:eastAsia="zh-CN"/>
        </w:rPr>
        <w:t>依次点击</w:t>
      </w:r>
      <w:r>
        <w:rPr>
          <w:rFonts w:hint="eastAsia" w:hAnsi="宋体" w:cs="宋体"/>
          <w:color w:val="000000" w:themeColor="text1"/>
          <w:sz w:val="24"/>
          <w:szCs w:val="22"/>
          <w:lang w:val="en-US" w:eastAsia="zh-CN"/>
        </w:rPr>
        <w:t>“</w:t>
      </w:r>
      <w:r>
        <w:rPr>
          <w:rFonts w:hint="eastAsia" w:hAnsi="宋体" w:cs="宋体"/>
          <w:color w:val="000000" w:themeColor="text1"/>
          <w:sz w:val="24"/>
          <w:szCs w:val="22"/>
          <w:lang w:val="zh-CN" w:eastAsia="zh-CN"/>
        </w:rPr>
        <w:t>会员向导</w:t>
      </w:r>
      <w:r>
        <w:rPr>
          <w:rFonts w:hint="eastAsia" w:hAnsi="宋体" w:cs="宋体"/>
          <w:color w:val="000000" w:themeColor="text1"/>
          <w:sz w:val="24"/>
          <w:szCs w:val="22"/>
          <w:lang w:val="en-US" w:eastAsia="zh-CN"/>
        </w:rPr>
        <w:t>”→“</w:t>
      </w:r>
      <w:r>
        <w:rPr>
          <w:rFonts w:hint="eastAsia" w:hAnsi="宋体" w:cs="宋体"/>
          <w:color w:val="000000" w:themeColor="text1"/>
          <w:sz w:val="24"/>
          <w:szCs w:val="22"/>
          <w:lang w:val="zh-CN" w:eastAsia="zh-CN"/>
        </w:rPr>
        <w:t>参与投标</w:t>
      </w:r>
      <w:r>
        <w:rPr>
          <w:rFonts w:hint="eastAsia" w:hAnsi="宋体" w:cs="宋体"/>
          <w:color w:val="000000" w:themeColor="text1"/>
          <w:sz w:val="24"/>
          <w:szCs w:val="22"/>
          <w:lang w:val="en-US" w:eastAsia="zh-CN"/>
        </w:rPr>
        <w:t>”→“</w:t>
      </w:r>
      <w:r>
        <w:rPr>
          <w:rFonts w:hint="eastAsia" w:hAnsi="宋体" w:cs="宋体"/>
          <w:color w:val="000000" w:themeColor="text1"/>
          <w:sz w:val="24"/>
          <w:szCs w:val="22"/>
          <w:lang w:val="zh-CN" w:eastAsia="zh-CN"/>
        </w:rPr>
        <w:t>保证金绑定</w:t>
      </w:r>
      <w:r>
        <w:rPr>
          <w:rFonts w:hint="eastAsia" w:hAnsi="宋体" w:cs="宋体"/>
          <w:color w:val="000000" w:themeColor="text1"/>
          <w:sz w:val="24"/>
          <w:szCs w:val="22"/>
          <w:lang w:val="en-US" w:eastAsia="zh-CN"/>
        </w:rPr>
        <w:t>”→“</w:t>
      </w:r>
      <w:r>
        <w:rPr>
          <w:rFonts w:hint="eastAsia" w:hAnsi="宋体" w:cs="宋体"/>
          <w:color w:val="000000" w:themeColor="text1"/>
          <w:sz w:val="24"/>
          <w:szCs w:val="22"/>
          <w:lang w:val="zh-CN" w:eastAsia="zh-CN"/>
        </w:rPr>
        <w:t>绑定</w:t>
      </w:r>
      <w:r>
        <w:rPr>
          <w:rFonts w:hint="eastAsia" w:hAnsi="宋体" w:cs="宋体"/>
          <w:color w:val="000000" w:themeColor="text1"/>
          <w:sz w:val="24"/>
          <w:szCs w:val="22"/>
          <w:lang w:val="en-US" w:eastAsia="zh-CN"/>
        </w:rPr>
        <w:t>”</w:t>
      </w:r>
      <w:r>
        <w:rPr>
          <w:rFonts w:hint="eastAsia" w:hAnsi="宋体" w:cs="宋体"/>
          <w:color w:val="000000" w:themeColor="text1"/>
          <w:sz w:val="24"/>
          <w:szCs w:val="22"/>
          <w:lang w:val="zh-CN" w:eastAsia="zh-CN"/>
        </w:rPr>
        <w:t>进行投标保证金绑定，</w:t>
      </w:r>
      <w:r>
        <w:rPr>
          <w:rFonts w:hint="eastAsia" w:hAnsi="宋体" w:cs="宋体"/>
          <w:color w:val="000000" w:themeColor="text1"/>
          <w:sz w:val="24"/>
          <w:szCs w:val="22"/>
          <w:lang w:val="en-US" w:eastAsia="zh-CN"/>
        </w:rPr>
        <w:t>前述系统显示</w:t>
      </w:r>
      <w:r>
        <w:rPr>
          <w:rFonts w:hint="eastAsia" w:hAnsi="宋体" w:cs="宋体"/>
          <w:color w:val="000000" w:themeColor="text1"/>
          <w:sz w:val="24"/>
          <w:szCs w:val="22"/>
          <w:lang w:val="zh-CN" w:eastAsia="zh-CN"/>
        </w:rPr>
        <w:t>“许昌公共资源交易中心保证金缴纳回执”</w:t>
      </w:r>
      <w:r>
        <w:rPr>
          <w:rFonts w:hint="eastAsia" w:hAnsi="宋体" w:cs="宋体"/>
          <w:color w:val="000000" w:themeColor="text1"/>
          <w:sz w:val="24"/>
          <w:szCs w:val="22"/>
          <w:lang w:val="en-US" w:eastAsia="zh-CN"/>
        </w:rPr>
        <w:t>表示投标保证金提交完成。</w:t>
      </w:r>
      <w:r>
        <w:rPr>
          <w:rFonts w:hint="eastAsia" w:hAnsi="宋体" w:cs="宋体"/>
          <w:color w:val="000000" w:themeColor="text1"/>
          <w:sz w:val="24"/>
          <w:szCs w:val="22"/>
          <w:lang w:val="zh-CN" w:eastAsia="zh-CN"/>
        </w:rPr>
        <w:t>未绑定标段的投标保证金，视为未按</w:t>
      </w:r>
      <w:r>
        <w:rPr>
          <w:rFonts w:hint="eastAsia" w:hAnsi="宋体" w:cs="宋体"/>
          <w:color w:val="000000" w:themeColor="text1"/>
          <w:sz w:val="24"/>
          <w:szCs w:val="22"/>
          <w:lang w:val="en-US" w:eastAsia="zh-CN"/>
        </w:rPr>
        <w:t>规定提交。</w:t>
      </w:r>
    </w:p>
    <w:p>
      <w:pPr>
        <w:autoSpaceDE w:val="0"/>
        <w:autoSpaceDN w:val="0"/>
        <w:adjustRightInd w:val="0"/>
        <w:spacing w:line="360" w:lineRule="auto"/>
        <w:ind w:firstLine="480" w:firstLineChars="200"/>
        <w:rPr>
          <w:rFonts w:hint="eastAsia" w:hAnsi="宋体" w:cs="宋体"/>
          <w:color w:val="000000" w:themeColor="text1"/>
          <w:sz w:val="24"/>
          <w:szCs w:val="22"/>
          <w:lang w:val="zh-CN" w:eastAsia="zh-CN"/>
        </w:rPr>
      </w:pPr>
      <w:r>
        <w:rPr>
          <w:rFonts w:hint="eastAsia" w:hAnsi="宋体" w:cs="宋体"/>
          <w:color w:val="000000" w:themeColor="text1"/>
          <w:sz w:val="24"/>
          <w:szCs w:val="22"/>
          <w:lang w:val="en-US" w:eastAsia="zh-CN"/>
        </w:rPr>
        <w:t>4.1.3投标人按照所投项目及标段</w:t>
      </w:r>
      <w:r>
        <w:rPr>
          <w:rFonts w:hint="eastAsia" w:hAnsi="宋体" w:cs="宋体"/>
          <w:color w:val="000000" w:themeColor="text1"/>
          <w:sz w:val="24"/>
          <w:szCs w:val="22"/>
          <w:lang w:val="zh-CN" w:eastAsia="zh-CN"/>
        </w:rPr>
        <w:t>将缴纳凭证“许昌公共资源交易中心保证金缴纳回执”附于投标文件中。</w:t>
      </w:r>
    </w:p>
    <w:p>
      <w:pPr>
        <w:autoSpaceDE w:val="0"/>
        <w:autoSpaceDN w:val="0"/>
        <w:adjustRightInd w:val="0"/>
        <w:spacing w:line="360" w:lineRule="auto"/>
        <w:ind w:firstLine="480" w:firstLineChars="200"/>
        <w:rPr>
          <w:rFonts w:hint="default" w:hAnsi="宋体" w:eastAsiaTheme="minorEastAsia"/>
          <w:color w:val="000000" w:themeColor="text1"/>
          <w:sz w:val="24"/>
          <w:szCs w:val="22"/>
          <w:lang w:val="en-US" w:eastAsia="zh-CN"/>
        </w:rPr>
      </w:pPr>
      <w:r>
        <w:rPr>
          <w:rFonts w:hint="eastAsia" w:hAnsi="宋体" w:cs="宋体"/>
          <w:color w:val="000000" w:themeColor="text1"/>
          <w:sz w:val="24"/>
          <w:szCs w:val="22"/>
          <w:lang w:val="en-US" w:eastAsia="zh-CN"/>
        </w:rPr>
        <w:t>4.2</w:t>
      </w:r>
      <w:r>
        <w:rPr>
          <w:rFonts w:hint="eastAsia" w:hAnsi="宋体" w:cs="宋体"/>
          <w:color w:val="000000" w:themeColor="text1"/>
          <w:sz w:val="24"/>
          <w:szCs w:val="22"/>
          <w:lang w:val="zh-CN" w:eastAsia="zh-CN"/>
        </w:rPr>
        <w:t>使用银行</w:t>
      </w:r>
      <w:r>
        <w:rPr>
          <w:rFonts w:hint="eastAsia" w:hAnsi="宋体" w:cs="宋体"/>
          <w:color w:val="000000" w:themeColor="text1"/>
          <w:sz w:val="24"/>
          <w:szCs w:val="22"/>
          <w:lang w:val="en-US" w:eastAsia="zh-CN"/>
        </w:rPr>
        <w:t>保函</w:t>
      </w:r>
      <w:r>
        <w:rPr>
          <w:rFonts w:hint="eastAsia" w:hAnsi="宋体" w:cs="宋体"/>
          <w:color w:val="000000" w:themeColor="text1"/>
          <w:sz w:val="24"/>
          <w:szCs w:val="22"/>
          <w:lang w:val="zh-CN" w:eastAsia="zh-CN"/>
        </w:rPr>
        <w:t>方式</w:t>
      </w:r>
      <w:r>
        <w:rPr>
          <w:rFonts w:hint="eastAsia" w:hAnsi="宋体" w:cs="宋体"/>
          <w:color w:val="000000" w:themeColor="text1"/>
          <w:sz w:val="24"/>
          <w:szCs w:val="22"/>
          <w:lang w:val="en-US" w:eastAsia="zh-CN"/>
        </w:rPr>
        <w:t>提交</w:t>
      </w:r>
      <w:r>
        <w:rPr>
          <w:rFonts w:hint="eastAsia" w:hAnsi="宋体" w:cs="宋体"/>
          <w:color w:val="000000" w:themeColor="text1"/>
          <w:sz w:val="24"/>
          <w:szCs w:val="22"/>
          <w:lang w:val="zh-CN" w:eastAsia="zh-CN"/>
        </w:rPr>
        <w:t>的，投标人</w:t>
      </w:r>
      <w:r>
        <w:rPr>
          <w:rFonts w:hint="eastAsia" w:hAnsi="宋体" w:cs="宋体"/>
          <w:color w:val="000000" w:themeColor="text1"/>
          <w:sz w:val="24"/>
          <w:szCs w:val="22"/>
          <w:lang w:val="en-US" w:eastAsia="zh-CN"/>
        </w:rPr>
        <w:t>办理投标</w:t>
      </w:r>
      <w:r>
        <w:rPr>
          <w:rFonts w:hint="eastAsia" w:hAnsi="宋体" w:cs="宋体"/>
          <w:color w:val="000000" w:themeColor="text1"/>
          <w:sz w:val="24"/>
          <w:szCs w:val="22"/>
          <w:lang w:val="zh-CN" w:eastAsia="zh-CN"/>
        </w:rPr>
        <w:t>银行保函，银行保函</w:t>
      </w:r>
      <w:r>
        <w:rPr>
          <w:rFonts w:hint="eastAsia" w:hAnsi="宋体" w:cs="宋体"/>
          <w:color w:val="000000" w:themeColor="text1"/>
          <w:sz w:val="24"/>
          <w:szCs w:val="22"/>
          <w:lang w:val="en-US" w:eastAsia="zh-CN"/>
        </w:rPr>
        <w:t>应</w:t>
      </w:r>
      <w:r>
        <w:rPr>
          <w:rFonts w:hint="eastAsia" w:hAnsi="宋体" w:cs="宋体"/>
          <w:color w:val="000000" w:themeColor="text1"/>
          <w:sz w:val="24"/>
          <w:szCs w:val="22"/>
          <w:lang w:val="zh-CN" w:eastAsia="zh-CN"/>
        </w:rPr>
        <w:t>明确</w:t>
      </w:r>
      <w:r>
        <w:rPr>
          <w:rFonts w:hint="eastAsia" w:hAnsi="宋体" w:cs="宋体"/>
          <w:color w:val="000000" w:themeColor="text1"/>
          <w:sz w:val="24"/>
          <w:szCs w:val="22"/>
          <w:lang w:val="en-US" w:eastAsia="zh-CN"/>
        </w:rPr>
        <w:t>所投</w:t>
      </w:r>
      <w:r>
        <w:rPr>
          <w:rFonts w:hint="eastAsia" w:hAnsi="宋体" w:cs="宋体"/>
          <w:color w:val="000000" w:themeColor="text1"/>
          <w:sz w:val="24"/>
          <w:szCs w:val="22"/>
          <w:lang w:val="zh-CN" w:eastAsia="zh-CN"/>
        </w:rPr>
        <w:t>项目名称、项目编号及标段、受益人（招标人）、有效期（不低于本项目投标有效期）、担保金额（不低于本项目本标段投标保证金数额）。投标人应将</w:t>
      </w:r>
      <w:r>
        <w:rPr>
          <w:rFonts w:hint="eastAsia" w:hAnsi="宋体" w:cs="宋体"/>
          <w:color w:val="000000" w:themeColor="text1"/>
          <w:sz w:val="24"/>
          <w:szCs w:val="22"/>
          <w:lang w:val="en-US" w:eastAsia="zh-CN"/>
        </w:rPr>
        <w:t>投标</w:t>
      </w:r>
      <w:r>
        <w:rPr>
          <w:rFonts w:hint="eastAsia" w:hAnsi="宋体" w:cs="宋体"/>
          <w:color w:val="000000" w:themeColor="text1"/>
          <w:sz w:val="24"/>
          <w:szCs w:val="22"/>
          <w:lang w:val="zh-CN" w:eastAsia="zh-CN"/>
        </w:rPr>
        <w:t>银行保函原件扫描件附于投标文件中，否则视为未按</w:t>
      </w:r>
      <w:r>
        <w:rPr>
          <w:rFonts w:hint="eastAsia" w:hAnsi="宋体" w:cs="宋体"/>
          <w:color w:val="000000" w:themeColor="text1"/>
          <w:sz w:val="24"/>
          <w:szCs w:val="22"/>
          <w:lang w:val="en-US" w:eastAsia="zh-CN"/>
        </w:rPr>
        <w:t>规定提交投标保证金</w:t>
      </w:r>
      <w:r>
        <w:rPr>
          <w:rFonts w:hint="eastAsia" w:hAnsi="宋体" w:cs="宋体"/>
          <w:color w:val="000000" w:themeColor="text1"/>
          <w:sz w:val="24"/>
          <w:szCs w:val="22"/>
          <w:lang w:val="zh-CN" w:eastAsia="zh-CN"/>
        </w:rPr>
        <w:t>。</w:t>
      </w:r>
    </w:p>
    <w:p>
      <w:pPr>
        <w:spacing w:line="360" w:lineRule="auto"/>
        <w:ind w:firstLine="480" w:firstLineChars="200"/>
        <w:rPr>
          <w:rFonts w:hint="eastAsia" w:hAnsi="宋体"/>
          <w:b/>
          <w:bCs/>
          <w:color w:val="000000" w:themeColor="text1"/>
          <w:sz w:val="24"/>
          <w:szCs w:val="22"/>
        </w:rPr>
      </w:pPr>
      <w:r>
        <w:rPr>
          <w:rFonts w:hint="eastAsia" w:hAnsi="宋体"/>
          <w:b/>
          <w:bCs/>
          <w:color w:val="000000" w:themeColor="text1"/>
          <w:sz w:val="24"/>
          <w:szCs w:val="22"/>
          <w:lang w:val="en-US" w:eastAsia="zh-CN"/>
        </w:rPr>
        <w:t>5</w:t>
      </w:r>
      <w:r>
        <w:rPr>
          <w:rFonts w:hint="eastAsia" w:hAnsi="宋体"/>
          <w:b/>
          <w:bCs/>
          <w:color w:val="000000" w:themeColor="text1"/>
          <w:sz w:val="24"/>
          <w:szCs w:val="22"/>
        </w:rPr>
        <w:t>.加密电子投标文件的提交</w:t>
      </w:r>
    </w:p>
    <w:p>
      <w:pPr>
        <w:spacing w:line="360" w:lineRule="auto"/>
        <w:ind w:firstLine="480" w:firstLineChars="200"/>
        <w:rPr>
          <w:rFonts w:hint="eastAsia" w:hAnsi="宋体"/>
          <w:color w:val="000000" w:themeColor="text1"/>
          <w:sz w:val="24"/>
          <w:szCs w:val="22"/>
        </w:rPr>
      </w:pPr>
      <w:r>
        <w:rPr>
          <w:rFonts w:hint="eastAsia" w:hAnsi="宋体"/>
          <w:color w:val="000000" w:themeColor="text1"/>
          <w:sz w:val="24"/>
          <w:szCs w:val="22"/>
          <w:lang w:val="en-US" w:eastAsia="zh-CN"/>
        </w:rPr>
        <w:t>5</w:t>
      </w:r>
      <w:r>
        <w:rPr>
          <w:rFonts w:hint="eastAsia" w:hAnsi="宋体"/>
          <w:color w:val="000000" w:themeColor="text1"/>
          <w:sz w:val="24"/>
          <w:szCs w:val="22"/>
        </w:rPr>
        <w:t>.1加密电子投标文件应按规定在投标截止时间（开标时间）之前成功提交至《全国公共资源交易平台(河南省▪许昌市)》公共资源交易系统（</w:t>
      </w:r>
      <w:r>
        <w:rPr>
          <w:rFonts w:hint="eastAsia" w:hAnsi="宋体"/>
          <w:color w:val="000000" w:themeColor="text1"/>
          <w:sz w:val="24"/>
          <w:szCs w:val="22"/>
        </w:rPr>
        <w:fldChar w:fldCharType="begin"/>
      </w:r>
      <w:r>
        <w:rPr>
          <w:rFonts w:hint="eastAsia" w:hAnsi="宋体"/>
          <w:color w:val="000000" w:themeColor="text1"/>
          <w:sz w:val="24"/>
          <w:szCs w:val="22"/>
        </w:rPr>
        <w:instrText xml:space="preserve"> HYPERLINK "http://221.14.6.70:8088/ggzy/" </w:instrText>
      </w:r>
      <w:r>
        <w:rPr>
          <w:rFonts w:hint="eastAsia" w:hAnsi="宋体"/>
          <w:color w:val="000000" w:themeColor="text1"/>
          <w:sz w:val="24"/>
          <w:szCs w:val="22"/>
        </w:rPr>
        <w:fldChar w:fldCharType="separate"/>
      </w:r>
      <w:r>
        <w:rPr>
          <w:rFonts w:hint="eastAsia" w:hAnsi="宋体"/>
          <w:color w:val="000000" w:themeColor="text1"/>
          <w:sz w:val="24"/>
          <w:szCs w:val="22"/>
        </w:rPr>
        <w:t>http://221.14.6.70:8088/ggzy/</w:t>
      </w:r>
      <w:r>
        <w:rPr>
          <w:rFonts w:hint="eastAsia" w:hAnsi="宋体"/>
          <w:color w:val="000000" w:themeColor="text1"/>
          <w:sz w:val="24"/>
          <w:szCs w:val="22"/>
        </w:rPr>
        <w:fldChar w:fldCharType="end"/>
      </w:r>
      <w:r>
        <w:rPr>
          <w:rFonts w:hint="eastAsia" w:hAnsi="宋体"/>
          <w:color w:val="000000" w:themeColor="text1"/>
          <w:sz w:val="24"/>
          <w:szCs w:val="22"/>
        </w:rPr>
        <w:t>）。</w:t>
      </w:r>
    </w:p>
    <w:p>
      <w:pPr>
        <w:spacing w:line="360" w:lineRule="auto"/>
        <w:ind w:firstLine="480" w:firstLineChars="200"/>
        <w:rPr>
          <w:rFonts w:hint="eastAsia" w:hAnsi="宋体"/>
          <w:color w:val="000000" w:themeColor="text1"/>
          <w:sz w:val="24"/>
          <w:szCs w:val="22"/>
        </w:rPr>
      </w:pPr>
      <w:r>
        <w:rPr>
          <w:rFonts w:hint="eastAsia" w:hAnsi="宋体"/>
          <w:color w:val="000000" w:themeColor="text1"/>
          <w:sz w:val="24"/>
          <w:szCs w:val="22"/>
        </w:rPr>
        <w:t>投标人应充分考虑并预留技术处理和上传数据所需时间。</w:t>
      </w:r>
    </w:p>
    <w:p>
      <w:pPr>
        <w:spacing w:line="360" w:lineRule="auto"/>
        <w:ind w:firstLine="480" w:firstLineChars="200"/>
        <w:rPr>
          <w:rFonts w:hint="eastAsia" w:hAnsi="宋体"/>
          <w:color w:val="000000" w:themeColor="text1"/>
          <w:sz w:val="24"/>
          <w:szCs w:val="22"/>
        </w:rPr>
      </w:pPr>
      <w:r>
        <w:rPr>
          <w:rFonts w:hint="eastAsia" w:hAnsi="宋体"/>
          <w:color w:val="000000" w:themeColor="text1"/>
          <w:sz w:val="24"/>
          <w:szCs w:val="22"/>
          <w:lang w:val="en-US" w:eastAsia="zh-CN"/>
        </w:rPr>
        <w:t>5</w:t>
      </w:r>
      <w:r>
        <w:rPr>
          <w:rFonts w:hint="eastAsia" w:hAnsi="宋体"/>
          <w:color w:val="000000" w:themeColor="text1"/>
          <w:sz w:val="24"/>
          <w:szCs w:val="22"/>
        </w:rPr>
        <w:t>.2 投标人对同一项目多个标段进行投标的，加密电子投标文件应按标段分别提交。</w:t>
      </w:r>
    </w:p>
    <w:p>
      <w:pPr>
        <w:spacing w:line="360" w:lineRule="auto"/>
        <w:ind w:firstLine="480" w:firstLineChars="200"/>
        <w:rPr>
          <w:rFonts w:hint="eastAsia" w:hAnsi="宋体"/>
          <w:color w:val="000000" w:themeColor="text1"/>
          <w:sz w:val="24"/>
          <w:szCs w:val="22"/>
        </w:rPr>
      </w:pPr>
      <w:r>
        <w:rPr>
          <w:rFonts w:hint="eastAsia" w:hAnsi="宋体"/>
          <w:color w:val="000000" w:themeColor="text1"/>
          <w:sz w:val="24"/>
          <w:szCs w:val="22"/>
          <w:lang w:val="en-US" w:eastAsia="zh-CN"/>
        </w:rPr>
        <w:t>5</w:t>
      </w:r>
      <w:r>
        <w:rPr>
          <w:rFonts w:hint="eastAsia" w:hAnsi="宋体"/>
          <w:color w:val="000000" w:themeColor="text1"/>
          <w:sz w:val="24"/>
          <w:szCs w:val="22"/>
        </w:rPr>
        <w:t>.3 加密电子投标文件成功提交后，《全国公共资源交易平台(河南省▪许昌市)》公共资源交易系统（</w:t>
      </w:r>
      <w:r>
        <w:rPr>
          <w:rFonts w:hint="eastAsia" w:hAnsi="宋体"/>
          <w:color w:val="000000" w:themeColor="text1"/>
          <w:sz w:val="24"/>
          <w:szCs w:val="22"/>
        </w:rPr>
        <w:fldChar w:fldCharType="begin"/>
      </w:r>
      <w:r>
        <w:rPr>
          <w:rFonts w:hint="eastAsia" w:hAnsi="宋体"/>
          <w:color w:val="000000" w:themeColor="text1"/>
          <w:sz w:val="24"/>
          <w:szCs w:val="22"/>
        </w:rPr>
        <w:instrText xml:space="preserve"> HYPERLINK "http://221.14.6.70:8088/ggzy/" </w:instrText>
      </w:r>
      <w:r>
        <w:rPr>
          <w:rFonts w:hint="eastAsia" w:hAnsi="宋体"/>
          <w:color w:val="000000" w:themeColor="text1"/>
          <w:sz w:val="24"/>
          <w:szCs w:val="22"/>
        </w:rPr>
        <w:fldChar w:fldCharType="separate"/>
      </w:r>
      <w:r>
        <w:rPr>
          <w:rFonts w:hint="eastAsia" w:hAnsi="宋体"/>
          <w:color w:val="000000" w:themeColor="text1"/>
          <w:sz w:val="24"/>
          <w:szCs w:val="22"/>
        </w:rPr>
        <w:t>http://221.14.6.70:8088/ggzy/</w:t>
      </w:r>
      <w:r>
        <w:rPr>
          <w:rFonts w:hint="eastAsia" w:hAnsi="宋体"/>
          <w:color w:val="000000" w:themeColor="text1"/>
          <w:sz w:val="24"/>
          <w:szCs w:val="22"/>
        </w:rPr>
        <w:fldChar w:fldCharType="end"/>
      </w:r>
      <w:r>
        <w:rPr>
          <w:rFonts w:hint="eastAsia" w:hAnsi="宋体"/>
          <w:color w:val="000000" w:themeColor="text1"/>
          <w:sz w:val="24"/>
          <w:szCs w:val="22"/>
        </w:rPr>
        <w:t>）生成“投标文件提交回执单”。</w:t>
      </w:r>
    </w:p>
    <w:p>
      <w:pPr>
        <w:spacing w:line="360" w:lineRule="auto"/>
        <w:ind w:firstLine="480" w:firstLineChars="200"/>
        <w:rPr>
          <w:rFonts w:hint="eastAsia" w:hAnsi="宋体"/>
          <w:b/>
          <w:bCs/>
          <w:color w:val="000000" w:themeColor="text1"/>
          <w:sz w:val="24"/>
          <w:szCs w:val="22"/>
        </w:rPr>
      </w:pPr>
      <w:r>
        <w:rPr>
          <w:rFonts w:hint="eastAsia" w:hAnsi="宋体"/>
          <w:b/>
          <w:bCs/>
          <w:color w:val="000000" w:themeColor="text1"/>
          <w:sz w:val="24"/>
          <w:szCs w:val="22"/>
          <w:lang w:val="en-US" w:eastAsia="zh-CN"/>
        </w:rPr>
        <w:t>6</w:t>
      </w:r>
      <w:r>
        <w:rPr>
          <w:rFonts w:hint="eastAsia" w:hAnsi="宋体"/>
          <w:b/>
          <w:bCs/>
          <w:color w:val="000000" w:themeColor="text1"/>
          <w:sz w:val="24"/>
          <w:szCs w:val="22"/>
        </w:rPr>
        <w:t>.远程不见面开标（电子投标文件的解密）</w:t>
      </w:r>
    </w:p>
    <w:p>
      <w:pPr>
        <w:spacing w:line="360" w:lineRule="auto"/>
        <w:ind w:firstLine="480" w:firstLineChars="200"/>
        <w:rPr>
          <w:rFonts w:hint="eastAsia" w:hAnsi="宋体"/>
          <w:color w:val="000000" w:themeColor="text1"/>
          <w:sz w:val="24"/>
          <w:szCs w:val="22"/>
        </w:rPr>
      </w:pPr>
      <w:r>
        <w:rPr>
          <w:rFonts w:hint="eastAsia" w:hAnsi="宋体"/>
          <w:color w:val="000000" w:themeColor="text1"/>
          <w:sz w:val="24"/>
          <w:szCs w:val="22"/>
          <w:lang w:val="en-US" w:eastAsia="zh-CN"/>
        </w:rPr>
        <w:t>6</w:t>
      </w:r>
      <w:r>
        <w:rPr>
          <w:rFonts w:hint="eastAsia" w:hAnsi="宋体"/>
          <w:color w:val="000000" w:themeColor="text1"/>
          <w:sz w:val="24"/>
          <w:szCs w:val="22"/>
        </w:rPr>
        <w:t>.1 投标人应熟悉《许昌市不见面</w:t>
      </w:r>
      <w:r>
        <w:rPr>
          <w:rFonts w:hint="eastAsia" w:hAnsi="宋体"/>
          <w:color w:val="000000" w:themeColor="text1"/>
          <w:sz w:val="24"/>
          <w:szCs w:val="22"/>
          <w:lang w:eastAsia="zh-CN"/>
        </w:rPr>
        <w:t>开标</w:t>
      </w:r>
      <w:r>
        <w:rPr>
          <w:rFonts w:hint="eastAsia" w:hAnsi="宋体"/>
          <w:color w:val="000000" w:themeColor="text1"/>
          <w:sz w:val="24"/>
          <w:szCs w:val="22"/>
        </w:rPr>
        <w:t>操作手册》，并提前设置不见面开标浏览器（设置流程详见《许昌市不见面</w:t>
      </w:r>
      <w:r>
        <w:rPr>
          <w:rFonts w:hint="eastAsia" w:hAnsi="宋体"/>
          <w:color w:val="000000" w:themeColor="text1"/>
          <w:sz w:val="24"/>
          <w:szCs w:val="22"/>
          <w:lang w:eastAsia="zh-CN"/>
        </w:rPr>
        <w:t>开标</w:t>
      </w:r>
      <w:r>
        <w:rPr>
          <w:rFonts w:hint="eastAsia" w:hAnsi="宋体"/>
          <w:color w:val="000000" w:themeColor="text1"/>
          <w:sz w:val="24"/>
          <w:szCs w:val="22"/>
        </w:rPr>
        <w:t>操作手册》）。</w:t>
      </w:r>
    </w:p>
    <w:p>
      <w:pPr>
        <w:spacing w:line="360" w:lineRule="auto"/>
        <w:ind w:firstLine="480" w:firstLineChars="200"/>
        <w:rPr>
          <w:rFonts w:hint="eastAsia" w:hAnsi="宋体"/>
          <w:color w:val="000000" w:themeColor="text1"/>
          <w:sz w:val="24"/>
          <w:szCs w:val="22"/>
        </w:rPr>
      </w:pPr>
      <w:r>
        <w:rPr>
          <w:rFonts w:hint="eastAsia" w:hAnsi="宋体"/>
          <w:color w:val="000000" w:themeColor="text1"/>
          <w:sz w:val="24"/>
          <w:szCs w:val="22"/>
          <w:lang w:val="en-US" w:eastAsia="zh-CN"/>
        </w:rPr>
        <w:t>6</w:t>
      </w:r>
      <w:r>
        <w:rPr>
          <w:rFonts w:hint="eastAsia" w:hAnsi="宋体"/>
          <w:color w:val="000000" w:themeColor="text1"/>
          <w:sz w:val="24"/>
          <w:szCs w:val="22"/>
        </w:rPr>
        <w:t>.2 《许昌市不见面</w:t>
      </w:r>
      <w:r>
        <w:rPr>
          <w:rFonts w:hint="eastAsia" w:hAnsi="宋体"/>
          <w:color w:val="000000" w:themeColor="text1"/>
          <w:sz w:val="24"/>
          <w:szCs w:val="22"/>
          <w:lang w:eastAsia="zh-CN"/>
        </w:rPr>
        <w:t>开标</w:t>
      </w:r>
      <w:r>
        <w:rPr>
          <w:rFonts w:hint="eastAsia" w:hAnsi="宋体"/>
          <w:color w:val="000000" w:themeColor="text1"/>
          <w:sz w:val="24"/>
          <w:szCs w:val="22"/>
        </w:rPr>
        <w:t>操作手册》下载路径：全国公共资源交易平台（河南省·许昌市）—“资料下载”栏目。</w:t>
      </w:r>
    </w:p>
    <w:p>
      <w:pPr>
        <w:spacing w:line="360" w:lineRule="auto"/>
        <w:ind w:firstLine="480" w:firstLineChars="200"/>
        <w:rPr>
          <w:rFonts w:hint="eastAsia" w:hAnsi="宋体"/>
          <w:color w:val="000000" w:themeColor="text1"/>
          <w:sz w:val="24"/>
          <w:szCs w:val="22"/>
        </w:rPr>
      </w:pPr>
      <w:r>
        <w:rPr>
          <w:rFonts w:hint="eastAsia" w:hAnsi="宋体"/>
          <w:color w:val="000000" w:themeColor="text1"/>
          <w:sz w:val="24"/>
          <w:szCs w:val="22"/>
          <w:lang w:val="en-US" w:eastAsia="zh-CN"/>
        </w:rPr>
        <w:t>6</w:t>
      </w:r>
      <w:r>
        <w:rPr>
          <w:rFonts w:hint="eastAsia" w:hAnsi="宋体"/>
          <w:color w:val="000000" w:themeColor="text1"/>
          <w:sz w:val="24"/>
          <w:szCs w:val="22"/>
        </w:rPr>
        <w:t>.3开标时间前投标人应登录本项目不见面开标大厅，按照招标文件确定的开标时间准时参加网上开标。</w:t>
      </w:r>
    </w:p>
    <w:p>
      <w:pPr>
        <w:spacing w:line="360" w:lineRule="auto"/>
        <w:ind w:firstLine="480" w:firstLineChars="200"/>
        <w:rPr>
          <w:rFonts w:hint="eastAsia" w:hAnsi="宋体"/>
          <w:color w:val="000000" w:themeColor="text1"/>
          <w:sz w:val="24"/>
          <w:szCs w:val="22"/>
        </w:rPr>
      </w:pPr>
      <w:r>
        <w:rPr>
          <w:rFonts w:hint="eastAsia" w:hAnsi="宋体"/>
          <w:color w:val="000000" w:themeColor="text1"/>
          <w:sz w:val="24"/>
          <w:szCs w:val="22"/>
          <w:lang w:val="en-US" w:eastAsia="zh-CN"/>
        </w:rPr>
        <w:t>6</w:t>
      </w:r>
      <w:r>
        <w:rPr>
          <w:rFonts w:hint="eastAsia" w:hAnsi="宋体"/>
          <w:color w:val="000000" w:themeColor="text1"/>
          <w:sz w:val="24"/>
          <w:szCs w:val="22"/>
        </w:rPr>
        <w:t>.4投标人对开标过程和开标记录如有疑义，可在本项目不见面开标大厅“文字互动”对话框或“新增质疑”处在线提出询问。</w:t>
      </w:r>
    </w:p>
    <w:p>
      <w:pPr>
        <w:spacing w:line="360" w:lineRule="auto"/>
        <w:ind w:firstLine="480" w:firstLineChars="200"/>
        <w:rPr>
          <w:rFonts w:hint="eastAsia" w:hAnsi="宋体"/>
          <w:color w:val="000000" w:themeColor="text1"/>
          <w:sz w:val="24"/>
          <w:szCs w:val="22"/>
        </w:rPr>
      </w:pPr>
      <w:r>
        <w:rPr>
          <w:rFonts w:hint="eastAsia" w:hAnsi="宋体"/>
          <w:color w:val="000000" w:themeColor="text1"/>
          <w:sz w:val="24"/>
          <w:szCs w:val="22"/>
          <w:lang w:val="en-US" w:eastAsia="zh-CN"/>
        </w:rPr>
        <w:t>6</w:t>
      </w:r>
      <w:r>
        <w:rPr>
          <w:rFonts w:hint="eastAsia" w:hAnsi="宋体"/>
          <w:color w:val="000000" w:themeColor="text1"/>
          <w:sz w:val="24"/>
          <w:szCs w:val="22"/>
        </w:rPr>
        <w:t>.5根据采购代理机构在“文字互动”对话框的通知，投标人选择功能栏“解密环节”按钮进行电子投标文件解密（投标人解密应自采购代理机构点击“开标开始”按钮后60分钟内完成）。投标人未解密或因投标人原因解密失败的，其投标将被拒绝。</w:t>
      </w:r>
    </w:p>
    <w:p>
      <w:pPr>
        <w:spacing w:line="360" w:lineRule="auto"/>
        <w:ind w:firstLine="480" w:firstLineChars="200"/>
        <w:rPr>
          <w:rFonts w:hint="eastAsia" w:hAnsi="宋体"/>
          <w:color w:val="000000" w:themeColor="text1"/>
          <w:sz w:val="24"/>
          <w:szCs w:val="22"/>
        </w:rPr>
      </w:pPr>
      <w:r>
        <w:rPr>
          <w:rFonts w:hint="eastAsia" w:hAnsi="宋体"/>
          <w:color w:val="000000" w:themeColor="text1"/>
          <w:sz w:val="24"/>
          <w:szCs w:val="22"/>
          <w:lang w:val="en-US" w:eastAsia="zh-CN"/>
        </w:rPr>
        <w:t>6</w:t>
      </w:r>
      <w:r>
        <w:rPr>
          <w:rFonts w:hint="eastAsia" w:hAnsi="宋体"/>
          <w:color w:val="000000" w:themeColor="text1"/>
          <w:sz w:val="24"/>
          <w:szCs w:val="22"/>
        </w:rPr>
        <w:t>.6项目远程不见面开标活动结束时，投标人应在《开标记录表》上进行电子签章。投标人未签章的，视同认可开标结果。</w:t>
      </w:r>
    </w:p>
    <w:p>
      <w:pPr>
        <w:tabs>
          <w:tab w:val="left" w:pos="7095"/>
        </w:tabs>
        <w:spacing w:after="160" w:line="360" w:lineRule="auto"/>
        <w:ind w:firstLine="480"/>
        <w:contextualSpacing/>
        <w:rPr>
          <w:rFonts w:hAnsi="宋体" w:eastAsia="宋体"/>
          <w:color w:val="000000" w:themeColor="text1"/>
        </w:rPr>
      </w:pPr>
      <w:r>
        <w:rPr>
          <w:rFonts w:hint="eastAsia" w:hAnsi="宋体"/>
          <w:color w:val="000000" w:themeColor="text1"/>
          <w:sz w:val="24"/>
          <w:szCs w:val="22"/>
          <w:lang w:val="en-US" w:eastAsia="zh-CN"/>
        </w:rPr>
        <w:t>7.</w:t>
      </w:r>
      <w:r>
        <w:rPr>
          <w:rFonts w:hint="eastAsia" w:hAnsi="宋体"/>
          <w:color w:val="000000" w:themeColor="text1"/>
          <w:sz w:val="24"/>
          <w:szCs w:val="22"/>
        </w:rPr>
        <w:t>全流程电子化交易（远程不见面开标）项目，评标委员会以成功上传、解密的电子投标文件为</w:t>
      </w:r>
      <w:r>
        <w:rPr>
          <w:rFonts w:hint="eastAsia" w:hAnsi="宋体"/>
          <w:color w:val="000000" w:themeColor="text1"/>
          <w:sz w:val="24"/>
          <w:szCs w:val="22"/>
          <w:lang w:val="en-US" w:eastAsia="zh-CN"/>
        </w:rPr>
        <w:t>评标依据</w:t>
      </w:r>
      <w:r>
        <w:rPr>
          <w:rFonts w:hint="eastAsia" w:hAnsi="宋体"/>
          <w:color w:val="000000" w:themeColor="text1"/>
          <w:sz w:val="24"/>
          <w:szCs w:val="22"/>
        </w:rPr>
        <w:t>。</w:t>
      </w:r>
    </w:p>
    <w:p>
      <w:pPr>
        <w:pStyle w:val="2"/>
        <w:spacing w:before="320" w:after="200"/>
        <w:rPr>
          <w:rFonts w:eastAsia="宋体"/>
          <w:color w:val="000000" w:themeColor="text1"/>
        </w:rPr>
      </w:pPr>
      <w:r>
        <w:rPr>
          <w:color w:val="000000" w:themeColor="text1"/>
        </w:rPr>
        <w:br w:type="page"/>
      </w:r>
      <w:bookmarkStart w:id="13" w:name="_Toc15731"/>
      <w:r>
        <w:rPr>
          <w:rFonts w:eastAsia="宋体"/>
          <w:color w:val="000000" w:themeColor="text1"/>
        </w:rPr>
        <w:t>第二章  投标人须知</w:t>
      </w:r>
      <w:bookmarkEnd w:id="6"/>
      <w:bookmarkEnd w:id="7"/>
      <w:bookmarkEnd w:id="13"/>
      <w:bookmarkStart w:id="14" w:name="_Toc152042304"/>
      <w:bookmarkStart w:id="15" w:name="_Toc247527552"/>
      <w:bookmarkStart w:id="16" w:name="_Toc247513951"/>
      <w:bookmarkStart w:id="17" w:name="_Toc144974496"/>
      <w:bookmarkStart w:id="18" w:name="_Toc152045528"/>
    </w:p>
    <w:p>
      <w:pPr>
        <w:pStyle w:val="46"/>
        <w:spacing w:after="160"/>
        <w:ind w:firstLine="0"/>
        <w:jc w:val="center"/>
        <w:rPr>
          <w:rFonts w:hAnsi="Times New Roman"/>
          <w:b/>
          <w:color w:val="000000" w:themeColor="text1"/>
        </w:rPr>
      </w:pPr>
      <w:bookmarkStart w:id="19" w:name="_Toc24104"/>
      <w:bookmarkStart w:id="20" w:name="_Toc18129"/>
      <w:bookmarkStart w:id="21" w:name="_Toc18094"/>
      <w:bookmarkStart w:id="22" w:name="_Toc25600"/>
      <w:bookmarkStart w:id="23" w:name="_Toc8862"/>
      <w:r>
        <w:rPr>
          <w:rFonts w:hAnsi="Times New Roman"/>
          <w:b/>
          <w:color w:val="000000" w:themeColor="text1"/>
        </w:rPr>
        <w:t>投标人须知前附表</w:t>
      </w:r>
      <w:bookmarkEnd w:id="14"/>
      <w:bookmarkEnd w:id="15"/>
      <w:bookmarkEnd w:id="16"/>
      <w:bookmarkEnd w:id="17"/>
      <w:bookmarkEnd w:id="18"/>
      <w:bookmarkEnd w:id="19"/>
      <w:bookmarkEnd w:id="20"/>
      <w:bookmarkEnd w:id="21"/>
      <w:bookmarkEnd w:id="22"/>
      <w:bookmarkEnd w:id="23"/>
    </w:p>
    <w:tbl>
      <w:tblPr>
        <w:tblStyle w:val="30"/>
        <w:tblW w:w="0" w:type="auto"/>
        <w:jc w:val="center"/>
        <w:tblLayout w:type="autofit"/>
        <w:tblCellMar>
          <w:top w:w="0" w:type="dxa"/>
          <w:left w:w="108" w:type="dxa"/>
          <w:bottom w:w="0" w:type="dxa"/>
          <w:right w:w="108" w:type="dxa"/>
        </w:tblCellMar>
      </w:tblPr>
      <w:tblGrid>
        <w:gridCol w:w="500"/>
        <w:gridCol w:w="36"/>
        <w:gridCol w:w="189"/>
        <w:gridCol w:w="241"/>
        <w:gridCol w:w="90"/>
        <w:gridCol w:w="10"/>
        <w:gridCol w:w="2163"/>
        <w:gridCol w:w="148"/>
        <w:gridCol w:w="5580"/>
      </w:tblGrid>
      <w:tr>
        <w:tblPrEx>
          <w:tblCellMar>
            <w:top w:w="0" w:type="dxa"/>
            <w:left w:w="108" w:type="dxa"/>
            <w:bottom w:w="0" w:type="dxa"/>
            <w:right w:w="108" w:type="dxa"/>
          </w:tblCellMar>
        </w:tblPrEx>
        <w:trPr>
          <w:tblHeader/>
          <w:jc w:val="center"/>
        </w:trPr>
        <w:tc>
          <w:tcPr>
            <w:tcW w:w="1066" w:type="dxa"/>
            <w:gridSpan w:val="6"/>
            <w:tcBorders>
              <w:top w:val="single" w:color="auto" w:sz="4" w:space="0"/>
              <w:left w:val="single" w:color="auto" w:sz="4" w:space="0"/>
              <w:bottom w:val="single" w:color="auto" w:sz="4" w:space="0"/>
              <w:right w:val="single" w:color="auto" w:sz="4" w:space="0"/>
            </w:tcBorders>
            <w:vAlign w:val="center"/>
          </w:tcPr>
          <w:p>
            <w:pPr>
              <w:spacing w:after="160" w:line="360" w:lineRule="auto"/>
              <w:jc w:val="center"/>
              <w:rPr>
                <w:rFonts w:ascii="宋体" w:hAnsi="宋体" w:eastAsia="宋体"/>
                <w:b/>
                <w:color w:val="000000" w:themeColor="text1"/>
              </w:rPr>
            </w:pPr>
            <w:r>
              <w:rPr>
                <w:rFonts w:ascii="宋体" w:hAnsi="宋体" w:eastAsia="宋体"/>
                <w:b/>
                <w:color w:val="000000" w:themeColor="text1"/>
              </w:rPr>
              <w:t>条款号</w:t>
            </w:r>
          </w:p>
        </w:tc>
        <w:tc>
          <w:tcPr>
            <w:tcW w:w="2311" w:type="dxa"/>
            <w:gridSpan w:val="2"/>
            <w:tcBorders>
              <w:top w:val="single" w:color="auto" w:sz="4" w:space="0"/>
              <w:left w:val="single" w:color="auto" w:sz="4" w:space="0"/>
              <w:bottom w:val="single" w:color="auto" w:sz="4" w:space="0"/>
              <w:right w:val="single" w:color="auto" w:sz="4" w:space="0"/>
            </w:tcBorders>
            <w:vAlign w:val="center"/>
          </w:tcPr>
          <w:p>
            <w:pPr>
              <w:spacing w:after="160" w:line="360" w:lineRule="auto"/>
              <w:jc w:val="center"/>
              <w:rPr>
                <w:rFonts w:ascii="宋体" w:hAnsi="宋体" w:eastAsia="宋体"/>
                <w:b/>
                <w:color w:val="000000" w:themeColor="text1"/>
              </w:rPr>
            </w:pPr>
            <w:r>
              <w:rPr>
                <w:rFonts w:ascii="宋体" w:hAnsi="宋体" w:eastAsia="宋体"/>
                <w:b/>
                <w:color w:val="000000" w:themeColor="text1"/>
              </w:rPr>
              <w:t>条 款 名 称</w:t>
            </w:r>
          </w:p>
        </w:tc>
        <w:tc>
          <w:tcPr>
            <w:tcW w:w="5580" w:type="dxa"/>
            <w:tcBorders>
              <w:top w:val="single" w:color="auto" w:sz="4" w:space="0"/>
              <w:left w:val="single" w:color="auto" w:sz="4" w:space="0"/>
              <w:bottom w:val="single" w:color="auto" w:sz="4" w:space="0"/>
              <w:right w:val="single" w:color="auto" w:sz="4" w:space="0"/>
            </w:tcBorders>
            <w:vAlign w:val="center"/>
          </w:tcPr>
          <w:p>
            <w:pPr>
              <w:spacing w:after="160" w:line="360" w:lineRule="auto"/>
              <w:jc w:val="center"/>
              <w:rPr>
                <w:rFonts w:ascii="宋体" w:hAnsi="宋体" w:eastAsia="宋体"/>
                <w:b/>
                <w:color w:val="000000" w:themeColor="text1"/>
              </w:rPr>
            </w:pPr>
            <w:r>
              <w:rPr>
                <w:rFonts w:ascii="宋体" w:hAnsi="宋体" w:eastAsia="宋体"/>
                <w:b/>
                <w:color w:val="000000" w:themeColor="text1"/>
              </w:rPr>
              <w:t>编 列 内 容</w:t>
            </w:r>
          </w:p>
        </w:tc>
      </w:tr>
      <w:tr>
        <w:tblPrEx>
          <w:tblCellMar>
            <w:top w:w="0" w:type="dxa"/>
            <w:left w:w="108" w:type="dxa"/>
            <w:bottom w:w="0" w:type="dxa"/>
            <w:right w:w="108" w:type="dxa"/>
          </w:tblCellMar>
        </w:tblPrEx>
        <w:trPr>
          <w:jc w:val="center"/>
        </w:trPr>
        <w:tc>
          <w:tcPr>
            <w:tcW w:w="1066"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center"/>
              <w:rPr>
                <w:rFonts w:ascii="宋体" w:hAnsi="宋体" w:eastAsia="宋体"/>
                <w:color w:val="000000" w:themeColor="text1"/>
              </w:rPr>
            </w:pPr>
            <w:r>
              <w:rPr>
                <w:rFonts w:ascii="宋体" w:hAnsi="宋体" w:eastAsia="宋体"/>
                <w:color w:val="000000" w:themeColor="text1"/>
              </w:rPr>
              <w:t>1.1.1</w:t>
            </w:r>
          </w:p>
        </w:tc>
        <w:tc>
          <w:tcPr>
            <w:tcW w:w="2311"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center"/>
              <w:rPr>
                <w:rFonts w:ascii="宋体" w:hAnsi="宋体" w:eastAsia="宋体"/>
                <w:color w:val="000000" w:themeColor="text1"/>
              </w:rPr>
            </w:pPr>
            <w:r>
              <w:rPr>
                <w:rFonts w:ascii="宋体" w:hAnsi="宋体" w:eastAsia="宋体"/>
                <w:color w:val="000000" w:themeColor="text1"/>
              </w:rPr>
              <w:t>项目编号</w:t>
            </w:r>
          </w:p>
        </w:tc>
        <w:tc>
          <w:tcPr>
            <w:tcW w:w="5580" w:type="dxa"/>
            <w:tcBorders>
              <w:top w:val="single" w:color="auto" w:sz="4" w:space="0"/>
              <w:left w:val="single" w:color="auto" w:sz="4" w:space="0"/>
              <w:bottom w:val="single" w:color="auto" w:sz="4" w:space="0"/>
              <w:right w:val="single" w:color="auto" w:sz="4" w:space="0"/>
            </w:tcBorders>
            <w:vAlign w:val="center"/>
          </w:tcPr>
          <w:p>
            <w:pPr>
              <w:pStyle w:val="26"/>
              <w:spacing w:line="300" w:lineRule="auto"/>
              <w:jc w:val="left"/>
              <w:rPr>
                <w:color w:val="000000" w:themeColor="text1"/>
                <w:sz w:val="24"/>
                <w:szCs w:val="24"/>
              </w:rPr>
            </w:pPr>
            <w:r>
              <w:rPr>
                <w:rFonts w:hAnsi="Times New Roman" w:eastAsia="Times New Roman"/>
                <w:color w:val="000000" w:themeColor="text1"/>
                <w:sz w:val="24"/>
                <w:szCs w:val="24"/>
              </w:rPr>
              <w:t>Y2019FZ266号</w:t>
            </w:r>
          </w:p>
        </w:tc>
      </w:tr>
      <w:tr>
        <w:tblPrEx>
          <w:tblCellMar>
            <w:top w:w="0" w:type="dxa"/>
            <w:left w:w="108" w:type="dxa"/>
            <w:bottom w:w="0" w:type="dxa"/>
            <w:right w:w="108" w:type="dxa"/>
          </w:tblCellMar>
        </w:tblPrEx>
        <w:trPr>
          <w:jc w:val="center"/>
        </w:trPr>
        <w:tc>
          <w:tcPr>
            <w:tcW w:w="1066"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center"/>
              <w:rPr>
                <w:rFonts w:ascii="宋体" w:hAnsi="宋体" w:eastAsia="宋体"/>
                <w:color w:val="000000" w:themeColor="text1"/>
              </w:rPr>
            </w:pPr>
            <w:r>
              <w:rPr>
                <w:rFonts w:ascii="宋体" w:hAnsi="宋体" w:eastAsia="宋体"/>
                <w:color w:val="000000" w:themeColor="text1"/>
              </w:rPr>
              <w:t>1.1.2</w:t>
            </w:r>
          </w:p>
        </w:tc>
        <w:tc>
          <w:tcPr>
            <w:tcW w:w="2311"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360" w:lineRule="auto"/>
              <w:jc w:val="center"/>
              <w:rPr>
                <w:rFonts w:ascii="宋体" w:hAnsi="宋体" w:eastAsia="宋体"/>
                <w:color w:val="000000" w:themeColor="text1"/>
              </w:rPr>
            </w:pPr>
            <w:r>
              <w:rPr>
                <w:rFonts w:ascii="宋体" w:hAnsi="宋体" w:eastAsia="宋体"/>
                <w:color w:val="000000" w:themeColor="text1"/>
              </w:rPr>
              <w:t>招标人</w:t>
            </w:r>
          </w:p>
        </w:tc>
        <w:tc>
          <w:tcPr>
            <w:tcW w:w="558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360" w:lineRule="auto"/>
              <w:jc w:val="left"/>
              <w:rPr>
                <w:rFonts w:ascii="宋体" w:hAnsi="宋体" w:eastAsia="宋体"/>
                <w:color w:val="000000" w:themeColor="text1"/>
              </w:rPr>
            </w:pPr>
            <w:r>
              <w:rPr>
                <w:rFonts w:ascii="宋体" w:hAnsi="宋体" w:eastAsia="宋体"/>
                <w:color w:val="000000" w:themeColor="text1"/>
              </w:rPr>
              <w:t>招 标 人：鄢陵县畜牧局</w:t>
            </w:r>
          </w:p>
          <w:p>
            <w:pPr>
              <w:autoSpaceDE w:val="0"/>
              <w:autoSpaceDN w:val="0"/>
              <w:spacing w:after="160" w:line="360" w:lineRule="auto"/>
              <w:jc w:val="left"/>
              <w:rPr>
                <w:rFonts w:ascii="宋体" w:hAnsi="宋体" w:eastAsia="宋体"/>
                <w:color w:val="000000" w:themeColor="text1"/>
              </w:rPr>
            </w:pPr>
            <w:r>
              <w:rPr>
                <w:rFonts w:ascii="宋体" w:hAnsi="宋体" w:eastAsia="宋体"/>
                <w:color w:val="000000" w:themeColor="text1"/>
              </w:rPr>
              <w:t>地    址：许昌市鄢陵县南大街</w:t>
            </w:r>
          </w:p>
          <w:p>
            <w:pPr>
              <w:autoSpaceDE w:val="0"/>
              <w:autoSpaceDN w:val="0"/>
              <w:spacing w:after="160" w:line="360" w:lineRule="auto"/>
              <w:jc w:val="left"/>
              <w:rPr>
                <w:rFonts w:ascii="宋体" w:hAnsi="宋体" w:eastAsia="宋体"/>
                <w:color w:val="000000" w:themeColor="text1"/>
              </w:rPr>
            </w:pPr>
            <w:r>
              <w:rPr>
                <w:rFonts w:ascii="宋体" w:hAnsi="宋体" w:eastAsia="宋体"/>
                <w:color w:val="000000" w:themeColor="text1"/>
              </w:rPr>
              <w:t>联 系 人： 汪先生</w:t>
            </w:r>
          </w:p>
          <w:p>
            <w:pPr>
              <w:autoSpaceDE w:val="0"/>
              <w:autoSpaceDN w:val="0"/>
              <w:spacing w:after="160" w:line="360" w:lineRule="auto"/>
              <w:jc w:val="left"/>
              <w:rPr>
                <w:rFonts w:ascii="宋体" w:hAnsi="宋体" w:eastAsia="宋体"/>
                <w:color w:val="000000" w:themeColor="text1"/>
              </w:rPr>
            </w:pPr>
            <w:r>
              <w:rPr>
                <w:rFonts w:ascii="宋体" w:hAnsi="宋体" w:eastAsia="宋体"/>
                <w:color w:val="000000" w:themeColor="text1"/>
              </w:rPr>
              <w:t>电    话：13849886335</w:t>
            </w:r>
          </w:p>
        </w:tc>
      </w:tr>
      <w:tr>
        <w:tblPrEx>
          <w:tblCellMar>
            <w:top w:w="0" w:type="dxa"/>
            <w:left w:w="108" w:type="dxa"/>
            <w:bottom w:w="0" w:type="dxa"/>
            <w:right w:w="108" w:type="dxa"/>
          </w:tblCellMar>
        </w:tblPrEx>
        <w:trPr>
          <w:jc w:val="center"/>
        </w:trPr>
        <w:tc>
          <w:tcPr>
            <w:tcW w:w="1066"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center"/>
              <w:rPr>
                <w:rFonts w:ascii="宋体" w:hAnsi="宋体" w:eastAsia="宋体"/>
                <w:color w:val="000000" w:themeColor="text1"/>
              </w:rPr>
            </w:pPr>
            <w:r>
              <w:rPr>
                <w:rFonts w:ascii="宋体" w:hAnsi="宋体" w:eastAsia="宋体"/>
                <w:color w:val="000000" w:themeColor="text1"/>
              </w:rPr>
              <w:t>1.1.3</w:t>
            </w:r>
          </w:p>
        </w:tc>
        <w:tc>
          <w:tcPr>
            <w:tcW w:w="2311"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center"/>
              <w:rPr>
                <w:rFonts w:ascii="宋体" w:hAnsi="宋体" w:eastAsia="宋体"/>
                <w:color w:val="000000" w:themeColor="text1"/>
              </w:rPr>
            </w:pPr>
            <w:r>
              <w:rPr>
                <w:rFonts w:ascii="宋体" w:hAnsi="宋体" w:eastAsia="宋体"/>
                <w:color w:val="000000" w:themeColor="text1"/>
              </w:rPr>
              <w:t>招标代理机构</w:t>
            </w:r>
          </w:p>
        </w:tc>
        <w:tc>
          <w:tcPr>
            <w:tcW w:w="5580" w:type="dxa"/>
            <w:tcBorders>
              <w:top w:val="single" w:color="auto" w:sz="4" w:space="0"/>
              <w:left w:val="single" w:color="auto" w:sz="4" w:space="0"/>
              <w:bottom w:val="single" w:color="auto" w:sz="4" w:space="0"/>
              <w:right w:val="single" w:color="auto" w:sz="4" w:space="0"/>
            </w:tcBorders>
          </w:tcPr>
          <w:p>
            <w:pPr>
              <w:autoSpaceDE w:val="0"/>
              <w:autoSpaceDN w:val="0"/>
              <w:spacing w:after="160" w:line="360" w:lineRule="auto"/>
              <w:jc w:val="left"/>
              <w:rPr>
                <w:rFonts w:ascii="宋体" w:hAnsi="宋体" w:eastAsia="宋体"/>
                <w:color w:val="000000" w:themeColor="text1"/>
              </w:rPr>
            </w:pPr>
            <w:r>
              <w:rPr>
                <w:rFonts w:ascii="宋体" w:hAnsi="宋体" w:eastAsia="宋体"/>
                <w:color w:val="000000" w:themeColor="text1"/>
              </w:rPr>
              <w:t>招标代理机构：河南永安工程管理有限公司</w:t>
            </w:r>
          </w:p>
          <w:p>
            <w:pPr>
              <w:pStyle w:val="28"/>
              <w:autoSpaceDE w:val="0"/>
              <w:autoSpaceDN w:val="0"/>
              <w:spacing w:after="120"/>
              <w:ind w:firstLine="0"/>
              <w:jc w:val="both"/>
              <w:rPr>
                <w:rFonts w:ascii="宋体" w:hAnsi="宋体" w:eastAsia="宋体"/>
                <w:color w:val="000000" w:themeColor="text1"/>
                <w:sz w:val="24"/>
                <w:szCs w:val="24"/>
              </w:rPr>
            </w:pPr>
            <w:r>
              <w:rPr>
                <w:rFonts w:ascii="宋体" w:hAnsi="宋体" w:eastAsia="宋体"/>
                <w:color w:val="000000" w:themeColor="text1"/>
                <w:sz w:val="24"/>
                <w:szCs w:val="24"/>
              </w:rPr>
              <w:t>地    址：许昌市城乡一体化示范区元鼎国际B座1612</w:t>
            </w:r>
          </w:p>
          <w:p>
            <w:pPr>
              <w:autoSpaceDE w:val="0"/>
              <w:autoSpaceDN w:val="0"/>
              <w:spacing w:after="160" w:line="360" w:lineRule="auto"/>
              <w:jc w:val="left"/>
              <w:rPr>
                <w:rFonts w:ascii="宋体" w:hAnsi="宋体" w:eastAsia="宋体"/>
                <w:color w:val="000000" w:themeColor="text1"/>
              </w:rPr>
            </w:pPr>
            <w:r>
              <w:rPr>
                <w:rFonts w:ascii="宋体" w:hAnsi="宋体" w:eastAsia="宋体"/>
                <w:color w:val="000000" w:themeColor="text1"/>
              </w:rPr>
              <w:t>联 系 人：蔡女士</w:t>
            </w:r>
          </w:p>
          <w:p>
            <w:pPr>
              <w:autoSpaceDE w:val="0"/>
              <w:autoSpaceDN w:val="0"/>
              <w:spacing w:after="160" w:line="360" w:lineRule="auto"/>
              <w:jc w:val="left"/>
              <w:rPr>
                <w:rFonts w:ascii="宋体" w:hAnsi="宋体" w:eastAsia="宋体"/>
                <w:color w:val="000000" w:themeColor="text1"/>
              </w:rPr>
            </w:pPr>
            <w:r>
              <w:rPr>
                <w:rFonts w:ascii="宋体" w:hAnsi="宋体" w:eastAsia="宋体"/>
                <w:color w:val="000000" w:themeColor="text1"/>
              </w:rPr>
              <w:t>电    话：0374-8318599</w:t>
            </w:r>
          </w:p>
        </w:tc>
      </w:tr>
      <w:tr>
        <w:tblPrEx>
          <w:tblCellMar>
            <w:top w:w="0" w:type="dxa"/>
            <w:left w:w="108" w:type="dxa"/>
            <w:bottom w:w="0" w:type="dxa"/>
            <w:right w:w="108" w:type="dxa"/>
          </w:tblCellMar>
        </w:tblPrEx>
        <w:trPr>
          <w:jc w:val="center"/>
        </w:trPr>
        <w:tc>
          <w:tcPr>
            <w:tcW w:w="1066"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40" w:lineRule="exact"/>
              <w:jc w:val="center"/>
              <w:rPr>
                <w:rFonts w:ascii="宋体" w:hAnsi="宋体" w:eastAsia="宋体"/>
                <w:color w:val="000000" w:themeColor="text1"/>
              </w:rPr>
            </w:pPr>
            <w:r>
              <w:rPr>
                <w:rFonts w:ascii="宋体" w:hAnsi="宋体" w:eastAsia="宋体"/>
                <w:color w:val="000000" w:themeColor="text1"/>
              </w:rPr>
              <w:t>1.1.4</w:t>
            </w:r>
          </w:p>
        </w:tc>
        <w:tc>
          <w:tcPr>
            <w:tcW w:w="2311"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360" w:lineRule="auto"/>
              <w:jc w:val="center"/>
              <w:rPr>
                <w:rFonts w:ascii="宋体" w:hAnsi="宋体" w:eastAsia="宋体"/>
                <w:color w:val="000000" w:themeColor="text1"/>
              </w:rPr>
            </w:pPr>
            <w:r>
              <w:rPr>
                <w:rFonts w:ascii="宋体" w:hAnsi="宋体" w:eastAsia="宋体"/>
                <w:color w:val="000000" w:themeColor="text1"/>
              </w:rPr>
              <w:t>项目名称</w:t>
            </w:r>
          </w:p>
        </w:tc>
        <w:tc>
          <w:tcPr>
            <w:tcW w:w="558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360" w:lineRule="auto"/>
              <w:jc w:val="left"/>
              <w:rPr>
                <w:rFonts w:ascii="宋体" w:hAnsi="宋体" w:eastAsia="宋体"/>
                <w:color w:val="000000" w:themeColor="text1"/>
              </w:rPr>
            </w:pPr>
            <w:r>
              <w:rPr>
                <w:rFonts w:ascii="宋体" w:hAnsi="宋体" w:eastAsia="宋体"/>
                <w:color w:val="000000" w:themeColor="text1"/>
              </w:rPr>
              <w:t>鄢陵县畜禽粪污资源化利用整县推进特许经营项目</w:t>
            </w:r>
          </w:p>
        </w:tc>
      </w:tr>
      <w:tr>
        <w:tblPrEx>
          <w:tblCellMar>
            <w:top w:w="0" w:type="dxa"/>
            <w:left w:w="108" w:type="dxa"/>
            <w:bottom w:w="0" w:type="dxa"/>
            <w:right w:w="108" w:type="dxa"/>
          </w:tblCellMar>
        </w:tblPrEx>
        <w:trPr>
          <w:jc w:val="center"/>
        </w:trPr>
        <w:tc>
          <w:tcPr>
            <w:tcW w:w="1066"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40" w:lineRule="exact"/>
              <w:jc w:val="center"/>
              <w:rPr>
                <w:rFonts w:ascii="宋体" w:hAnsi="宋体" w:eastAsia="宋体"/>
                <w:color w:val="000000" w:themeColor="text1"/>
              </w:rPr>
            </w:pPr>
            <w:r>
              <w:rPr>
                <w:rFonts w:ascii="宋体" w:hAnsi="宋体" w:eastAsia="宋体"/>
                <w:color w:val="000000" w:themeColor="text1"/>
              </w:rPr>
              <w:t>1.1.5</w:t>
            </w:r>
          </w:p>
        </w:tc>
        <w:tc>
          <w:tcPr>
            <w:tcW w:w="2311"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center"/>
              <w:rPr>
                <w:rFonts w:ascii="宋体" w:hAnsi="宋体" w:eastAsia="宋体"/>
                <w:color w:val="000000" w:themeColor="text1"/>
              </w:rPr>
            </w:pPr>
            <w:r>
              <w:rPr>
                <w:rFonts w:ascii="宋体" w:hAnsi="宋体" w:eastAsia="宋体"/>
                <w:color w:val="000000" w:themeColor="text1"/>
              </w:rPr>
              <w:t>建设地点</w:t>
            </w:r>
          </w:p>
        </w:tc>
        <w:tc>
          <w:tcPr>
            <w:tcW w:w="558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left"/>
              <w:rPr>
                <w:rFonts w:ascii="宋体" w:hAnsi="宋体" w:eastAsia="宋体"/>
                <w:color w:val="000000" w:themeColor="text1"/>
              </w:rPr>
            </w:pPr>
            <w:r>
              <w:rPr>
                <w:rFonts w:hAnsi="Times New Roman"/>
                <w:color w:val="000000" w:themeColor="text1"/>
              </w:rPr>
              <w:t>地点位于鄢陵县、只乐镇、陶城镇，张桥镇，马栏镇，马坊镇，彭店镇。</w:t>
            </w:r>
          </w:p>
        </w:tc>
      </w:tr>
      <w:tr>
        <w:tblPrEx>
          <w:tblCellMar>
            <w:top w:w="0" w:type="dxa"/>
            <w:left w:w="108" w:type="dxa"/>
            <w:bottom w:w="0" w:type="dxa"/>
            <w:right w:w="108" w:type="dxa"/>
          </w:tblCellMar>
        </w:tblPrEx>
        <w:trPr>
          <w:jc w:val="center"/>
        </w:trPr>
        <w:tc>
          <w:tcPr>
            <w:tcW w:w="1066"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40" w:lineRule="exact"/>
              <w:jc w:val="center"/>
              <w:rPr>
                <w:rFonts w:ascii="宋体" w:hAnsi="宋体" w:eastAsia="宋体"/>
                <w:color w:val="000000" w:themeColor="text1"/>
              </w:rPr>
            </w:pPr>
            <w:r>
              <w:rPr>
                <w:rFonts w:ascii="宋体" w:hAnsi="宋体" w:eastAsia="宋体"/>
                <w:color w:val="000000" w:themeColor="text1"/>
              </w:rPr>
              <w:t>1.2.1</w:t>
            </w:r>
          </w:p>
        </w:tc>
        <w:tc>
          <w:tcPr>
            <w:tcW w:w="2311"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center"/>
              <w:rPr>
                <w:rFonts w:ascii="宋体" w:hAnsi="宋体" w:eastAsia="宋体"/>
                <w:color w:val="000000" w:themeColor="text1"/>
              </w:rPr>
            </w:pPr>
            <w:r>
              <w:rPr>
                <w:rFonts w:ascii="宋体" w:hAnsi="宋体" w:eastAsia="宋体"/>
                <w:color w:val="000000" w:themeColor="text1"/>
              </w:rPr>
              <w:t>资金来源</w:t>
            </w:r>
          </w:p>
        </w:tc>
        <w:tc>
          <w:tcPr>
            <w:tcW w:w="5580" w:type="dxa"/>
            <w:tcBorders>
              <w:top w:val="single" w:color="auto" w:sz="4" w:space="0"/>
              <w:left w:val="single" w:color="auto" w:sz="4" w:space="0"/>
              <w:bottom w:val="single" w:color="auto" w:sz="4" w:space="0"/>
              <w:right w:val="single" w:color="auto" w:sz="4" w:space="0"/>
            </w:tcBorders>
          </w:tcPr>
          <w:p>
            <w:pPr>
              <w:autoSpaceDE w:val="0"/>
              <w:autoSpaceDN w:val="0"/>
              <w:spacing w:after="160" w:line="420" w:lineRule="exact"/>
              <w:jc w:val="left"/>
              <w:rPr>
                <w:rFonts w:ascii="宋体" w:hAnsi="宋体" w:eastAsia="宋体"/>
                <w:b/>
                <w:color w:val="000000" w:themeColor="text1"/>
              </w:rPr>
            </w:pPr>
            <w:r>
              <w:rPr>
                <w:rFonts w:ascii="宋体" w:hAnsi="宋体" w:eastAsia="宋体"/>
                <w:b/>
                <w:color w:val="000000" w:themeColor="text1"/>
              </w:rPr>
              <w:t>自筹资金及申请财政补助</w:t>
            </w:r>
          </w:p>
        </w:tc>
      </w:tr>
      <w:tr>
        <w:tblPrEx>
          <w:tblCellMar>
            <w:top w:w="0" w:type="dxa"/>
            <w:left w:w="108" w:type="dxa"/>
            <w:bottom w:w="0" w:type="dxa"/>
            <w:right w:w="108" w:type="dxa"/>
          </w:tblCellMar>
        </w:tblPrEx>
        <w:trPr>
          <w:jc w:val="center"/>
        </w:trPr>
        <w:tc>
          <w:tcPr>
            <w:tcW w:w="1066"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40" w:lineRule="exact"/>
              <w:jc w:val="center"/>
              <w:rPr>
                <w:rFonts w:ascii="宋体" w:hAnsi="宋体" w:eastAsia="宋体"/>
                <w:color w:val="000000" w:themeColor="text1"/>
              </w:rPr>
            </w:pPr>
            <w:r>
              <w:rPr>
                <w:rFonts w:ascii="宋体" w:hAnsi="宋体" w:eastAsia="宋体"/>
                <w:color w:val="000000" w:themeColor="text1"/>
              </w:rPr>
              <w:t>1.2.2</w:t>
            </w:r>
          </w:p>
        </w:tc>
        <w:tc>
          <w:tcPr>
            <w:tcW w:w="2311"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center"/>
              <w:rPr>
                <w:rFonts w:ascii="宋体" w:hAnsi="宋体" w:eastAsia="宋体"/>
                <w:color w:val="000000" w:themeColor="text1"/>
              </w:rPr>
            </w:pPr>
            <w:r>
              <w:rPr>
                <w:rFonts w:ascii="宋体" w:hAnsi="宋体" w:eastAsia="宋体"/>
                <w:color w:val="000000" w:themeColor="text1"/>
              </w:rPr>
              <w:t>资金落实情况</w:t>
            </w:r>
          </w:p>
        </w:tc>
        <w:tc>
          <w:tcPr>
            <w:tcW w:w="5580" w:type="dxa"/>
            <w:tcBorders>
              <w:top w:val="single" w:color="auto" w:sz="4" w:space="0"/>
              <w:left w:val="single" w:color="auto" w:sz="4" w:space="0"/>
              <w:bottom w:val="single" w:color="auto" w:sz="4" w:space="0"/>
              <w:right w:val="single" w:color="auto" w:sz="4" w:space="0"/>
            </w:tcBorders>
          </w:tcPr>
          <w:p>
            <w:pPr>
              <w:autoSpaceDE w:val="0"/>
              <w:autoSpaceDN w:val="0"/>
              <w:spacing w:after="160" w:line="420" w:lineRule="exact"/>
              <w:jc w:val="left"/>
              <w:rPr>
                <w:rFonts w:ascii="宋体" w:hAnsi="宋体" w:eastAsia="宋体"/>
                <w:color w:val="000000" w:themeColor="text1"/>
              </w:rPr>
            </w:pPr>
            <w:r>
              <w:rPr>
                <w:rFonts w:ascii="宋体" w:hAnsi="宋体" w:eastAsia="宋体"/>
                <w:color w:val="000000" w:themeColor="text1"/>
              </w:rPr>
              <w:t>已落实</w:t>
            </w:r>
          </w:p>
        </w:tc>
      </w:tr>
      <w:tr>
        <w:tblPrEx>
          <w:tblCellMar>
            <w:top w:w="0" w:type="dxa"/>
            <w:left w:w="108" w:type="dxa"/>
            <w:bottom w:w="0" w:type="dxa"/>
            <w:right w:w="108" w:type="dxa"/>
          </w:tblCellMar>
        </w:tblPrEx>
        <w:trPr>
          <w:jc w:val="center"/>
        </w:trPr>
        <w:tc>
          <w:tcPr>
            <w:tcW w:w="1066"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40" w:lineRule="exact"/>
              <w:jc w:val="center"/>
              <w:rPr>
                <w:rFonts w:ascii="宋体" w:hAnsi="宋体" w:eastAsia="宋体"/>
                <w:color w:val="000000" w:themeColor="text1"/>
              </w:rPr>
            </w:pPr>
            <w:r>
              <w:rPr>
                <w:rFonts w:ascii="宋体" w:hAnsi="宋体" w:eastAsia="宋体"/>
                <w:color w:val="000000" w:themeColor="text1"/>
              </w:rPr>
              <w:t>1.3.1</w:t>
            </w:r>
          </w:p>
        </w:tc>
        <w:tc>
          <w:tcPr>
            <w:tcW w:w="2311"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center"/>
              <w:rPr>
                <w:rFonts w:ascii="宋体" w:hAnsi="宋体" w:eastAsia="宋体"/>
                <w:color w:val="000000" w:themeColor="text1"/>
              </w:rPr>
            </w:pPr>
            <w:r>
              <w:rPr>
                <w:rFonts w:ascii="宋体" w:hAnsi="宋体" w:eastAsia="宋体"/>
                <w:color w:val="000000" w:themeColor="text1"/>
              </w:rPr>
              <w:t>招标范围</w:t>
            </w:r>
          </w:p>
        </w:tc>
        <w:tc>
          <w:tcPr>
            <w:tcW w:w="5580" w:type="dxa"/>
            <w:tcBorders>
              <w:top w:val="single" w:color="auto" w:sz="4" w:space="0"/>
              <w:left w:val="single" w:color="auto" w:sz="4" w:space="0"/>
              <w:bottom w:val="single" w:color="auto" w:sz="4" w:space="0"/>
              <w:right w:val="single" w:color="auto" w:sz="4" w:space="0"/>
            </w:tcBorders>
          </w:tcPr>
          <w:p>
            <w:pPr>
              <w:autoSpaceDE w:val="0"/>
              <w:autoSpaceDN w:val="0"/>
              <w:spacing w:after="160" w:line="420" w:lineRule="exact"/>
              <w:jc w:val="left"/>
              <w:rPr>
                <w:rFonts w:ascii="宋体" w:hAnsi="宋体" w:eastAsia="宋体"/>
                <w:color w:val="000000" w:themeColor="text1"/>
              </w:rPr>
            </w:pPr>
            <w:r>
              <w:rPr>
                <w:rFonts w:ascii="宋体" w:hAnsi="宋体" w:eastAsia="宋体"/>
                <w:color w:val="000000" w:themeColor="text1"/>
              </w:rPr>
              <w:t>招标文件、答疑纪要范围内的所有工程内容。</w:t>
            </w:r>
          </w:p>
        </w:tc>
      </w:tr>
      <w:tr>
        <w:tblPrEx>
          <w:tblCellMar>
            <w:top w:w="0" w:type="dxa"/>
            <w:left w:w="108" w:type="dxa"/>
            <w:bottom w:w="0" w:type="dxa"/>
            <w:right w:w="108" w:type="dxa"/>
          </w:tblCellMar>
        </w:tblPrEx>
        <w:trPr>
          <w:jc w:val="center"/>
        </w:trPr>
        <w:tc>
          <w:tcPr>
            <w:tcW w:w="1066"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40" w:lineRule="exact"/>
              <w:jc w:val="center"/>
              <w:rPr>
                <w:rFonts w:ascii="宋体" w:hAnsi="宋体" w:eastAsia="宋体"/>
                <w:color w:val="000000" w:themeColor="text1"/>
              </w:rPr>
            </w:pPr>
            <w:r>
              <w:rPr>
                <w:rFonts w:ascii="宋体" w:hAnsi="宋体" w:eastAsia="宋体"/>
                <w:color w:val="000000" w:themeColor="text1"/>
              </w:rPr>
              <w:t>1.3.2</w:t>
            </w:r>
          </w:p>
        </w:tc>
        <w:tc>
          <w:tcPr>
            <w:tcW w:w="2311"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center"/>
              <w:rPr>
                <w:rFonts w:ascii="宋体" w:hAnsi="宋体" w:eastAsia="宋体"/>
                <w:color w:val="000000" w:themeColor="text1"/>
              </w:rPr>
            </w:pPr>
            <w:r>
              <w:rPr>
                <w:rFonts w:ascii="宋体" w:hAnsi="宋体" w:eastAsia="宋体"/>
                <w:color w:val="000000" w:themeColor="text1"/>
              </w:rPr>
              <w:t>特许经营期限</w:t>
            </w:r>
          </w:p>
        </w:tc>
        <w:tc>
          <w:tcPr>
            <w:tcW w:w="558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left"/>
              <w:rPr>
                <w:rFonts w:ascii="宋体" w:hAnsi="宋体" w:eastAsia="宋体"/>
                <w:color w:val="000000" w:themeColor="text1"/>
              </w:rPr>
            </w:pPr>
            <w:r>
              <w:rPr>
                <w:rFonts w:hAnsi="Times New Roman"/>
                <w:color w:val="000000" w:themeColor="text1"/>
              </w:rPr>
              <w:t>30年，包含1年建设期。</w:t>
            </w:r>
          </w:p>
        </w:tc>
      </w:tr>
      <w:tr>
        <w:tblPrEx>
          <w:tblCellMar>
            <w:top w:w="0" w:type="dxa"/>
            <w:left w:w="108" w:type="dxa"/>
            <w:bottom w:w="0" w:type="dxa"/>
            <w:right w:w="108" w:type="dxa"/>
          </w:tblCellMar>
        </w:tblPrEx>
        <w:trPr>
          <w:jc w:val="center"/>
        </w:trPr>
        <w:tc>
          <w:tcPr>
            <w:tcW w:w="1066"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center"/>
              <w:rPr>
                <w:rFonts w:ascii="宋体" w:hAnsi="宋体" w:eastAsia="宋体"/>
                <w:color w:val="000000" w:themeColor="text1"/>
              </w:rPr>
            </w:pPr>
            <w:r>
              <w:rPr>
                <w:rFonts w:ascii="宋体" w:hAnsi="宋体" w:eastAsia="宋体"/>
                <w:color w:val="000000" w:themeColor="text1"/>
              </w:rPr>
              <w:t>1.3.3</w:t>
            </w:r>
          </w:p>
        </w:tc>
        <w:tc>
          <w:tcPr>
            <w:tcW w:w="2311"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center"/>
              <w:rPr>
                <w:rFonts w:ascii="宋体" w:hAnsi="宋体" w:eastAsia="宋体"/>
                <w:color w:val="000000" w:themeColor="text1"/>
              </w:rPr>
            </w:pPr>
            <w:r>
              <w:rPr>
                <w:rFonts w:ascii="宋体" w:hAnsi="宋体" w:eastAsia="宋体"/>
                <w:color w:val="000000" w:themeColor="text1"/>
              </w:rPr>
              <w:t>质量要求</w:t>
            </w:r>
          </w:p>
        </w:tc>
        <w:tc>
          <w:tcPr>
            <w:tcW w:w="558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left"/>
              <w:rPr>
                <w:rFonts w:ascii="宋体" w:hAnsi="宋体" w:eastAsia="宋体"/>
                <w:color w:val="000000" w:themeColor="text1"/>
              </w:rPr>
            </w:pPr>
            <w:r>
              <w:rPr>
                <w:rFonts w:ascii="宋体" w:hAnsi="宋体" w:eastAsia="宋体"/>
                <w:color w:val="000000" w:themeColor="text1"/>
              </w:rPr>
              <w:t>合格（符合国家现行的验收规范和标准）</w:t>
            </w:r>
          </w:p>
        </w:tc>
      </w:tr>
      <w:tr>
        <w:tblPrEx>
          <w:tblCellMar>
            <w:top w:w="0" w:type="dxa"/>
            <w:left w:w="108" w:type="dxa"/>
            <w:bottom w:w="0" w:type="dxa"/>
            <w:right w:w="108" w:type="dxa"/>
          </w:tblCellMar>
        </w:tblPrEx>
        <w:trPr>
          <w:jc w:val="center"/>
        </w:trPr>
        <w:tc>
          <w:tcPr>
            <w:tcW w:w="1066"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center"/>
              <w:rPr>
                <w:rFonts w:ascii="宋体" w:hAnsi="宋体" w:eastAsia="宋体"/>
                <w:color w:val="000000" w:themeColor="text1"/>
              </w:rPr>
            </w:pPr>
            <w:r>
              <w:rPr>
                <w:rFonts w:ascii="宋体" w:hAnsi="宋体" w:eastAsia="宋体"/>
                <w:color w:val="000000" w:themeColor="text1"/>
              </w:rPr>
              <w:t>1.3.4</w:t>
            </w:r>
          </w:p>
        </w:tc>
        <w:tc>
          <w:tcPr>
            <w:tcW w:w="2311"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center"/>
              <w:rPr>
                <w:rFonts w:ascii="宋体" w:hAnsi="宋体" w:eastAsia="宋体"/>
                <w:color w:val="000000" w:themeColor="text1"/>
              </w:rPr>
            </w:pPr>
            <w:r>
              <w:rPr>
                <w:rFonts w:ascii="宋体" w:hAnsi="宋体" w:eastAsia="宋体"/>
                <w:color w:val="000000" w:themeColor="text1"/>
              </w:rPr>
              <w:t>标段划分</w:t>
            </w:r>
          </w:p>
        </w:tc>
        <w:tc>
          <w:tcPr>
            <w:tcW w:w="5580" w:type="dxa"/>
            <w:tcBorders>
              <w:top w:val="single" w:color="auto" w:sz="4" w:space="0"/>
              <w:left w:val="single" w:color="auto" w:sz="4" w:space="0"/>
              <w:bottom w:val="single" w:color="auto" w:sz="4" w:space="0"/>
              <w:right w:val="single" w:color="auto" w:sz="4" w:space="0"/>
            </w:tcBorders>
            <w:vAlign w:val="center"/>
          </w:tcPr>
          <w:p>
            <w:pPr>
              <w:pStyle w:val="47"/>
              <w:spacing w:after="160" w:line="440" w:lineRule="exact"/>
              <w:rPr>
                <w:rFonts w:ascii="宋体" w:hAnsi="宋体" w:eastAsia="宋体"/>
                <w:color w:val="000000" w:themeColor="text1"/>
                <w:sz w:val="24"/>
                <w:szCs w:val="24"/>
              </w:rPr>
            </w:pPr>
            <w:r>
              <w:rPr>
                <w:rFonts w:ascii="宋体" w:hAnsi="宋体" w:eastAsia="宋体"/>
                <w:color w:val="000000" w:themeColor="text1"/>
                <w:sz w:val="24"/>
                <w:szCs w:val="24"/>
              </w:rPr>
              <w:t>2个标段</w:t>
            </w:r>
          </w:p>
        </w:tc>
      </w:tr>
      <w:tr>
        <w:tblPrEx>
          <w:tblCellMar>
            <w:top w:w="0" w:type="dxa"/>
            <w:left w:w="108" w:type="dxa"/>
            <w:bottom w:w="0" w:type="dxa"/>
            <w:right w:w="108" w:type="dxa"/>
          </w:tblCellMar>
        </w:tblPrEx>
        <w:trPr>
          <w:jc w:val="center"/>
        </w:trPr>
        <w:tc>
          <w:tcPr>
            <w:tcW w:w="1066"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center"/>
              <w:rPr>
                <w:rFonts w:ascii="宋体" w:hAnsi="宋体" w:eastAsia="宋体"/>
                <w:color w:val="000000" w:themeColor="text1"/>
              </w:rPr>
            </w:pPr>
            <w:r>
              <w:rPr>
                <w:rFonts w:ascii="宋体" w:hAnsi="宋体" w:eastAsia="宋体"/>
                <w:color w:val="000000" w:themeColor="text1"/>
              </w:rPr>
              <w:t>1.4.1</w:t>
            </w:r>
          </w:p>
        </w:tc>
        <w:tc>
          <w:tcPr>
            <w:tcW w:w="2311"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center"/>
              <w:rPr>
                <w:rFonts w:ascii="宋体" w:hAnsi="宋体" w:eastAsia="宋体"/>
                <w:color w:val="000000" w:themeColor="text1"/>
              </w:rPr>
            </w:pPr>
            <w:r>
              <w:rPr>
                <w:rFonts w:ascii="宋体" w:hAnsi="宋体" w:eastAsia="宋体"/>
                <w:color w:val="000000" w:themeColor="text1"/>
              </w:rPr>
              <w:t>投标人资质条件</w:t>
            </w:r>
          </w:p>
        </w:tc>
        <w:tc>
          <w:tcPr>
            <w:tcW w:w="5580" w:type="dxa"/>
            <w:tcBorders>
              <w:top w:val="single" w:color="auto" w:sz="4" w:space="0"/>
              <w:left w:val="single" w:color="auto" w:sz="4" w:space="0"/>
              <w:bottom w:val="single" w:color="auto" w:sz="4" w:space="0"/>
              <w:right w:val="single" w:color="auto" w:sz="4" w:space="0"/>
            </w:tcBorders>
          </w:tcPr>
          <w:p>
            <w:pPr>
              <w:snapToGrid w:val="0"/>
              <w:spacing w:after="160" w:line="360" w:lineRule="auto"/>
              <w:ind w:firstLine="480"/>
              <w:rPr>
                <w:rFonts w:hAnsi="Times New Roman"/>
                <w:color w:val="000000" w:themeColor="text1"/>
              </w:rPr>
            </w:pPr>
            <w:r>
              <w:rPr>
                <w:rFonts w:hAnsi="Times New Roman"/>
                <w:color w:val="000000" w:themeColor="text1"/>
              </w:rPr>
              <w:t>1在中国境内依法注册的企业法人，具有独立承担民事责任的能力，且合法存续，没有处于被吊销营业执照、责令关闭或者被撤销等不良状态。</w:t>
            </w:r>
          </w:p>
          <w:p>
            <w:pPr>
              <w:snapToGrid w:val="0"/>
              <w:spacing w:after="160" w:line="360" w:lineRule="auto"/>
              <w:ind w:firstLine="480"/>
              <w:rPr>
                <w:rFonts w:hAnsi="Times New Roman"/>
                <w:color w:val="000000" w:themeColor="text1"/>
              </w:rPr>
            </w:pPr>
            <w:r>
              <w:rPr>
                <w:rFonts w:hAnsi="Times New Roman"/>
                <w:color w:val="000000" w:themeColor="text1"/>
              </w:rPr>
              <w:t>2投标人应具备环保工程专业承包壹级资质或市政公用工程施工专业贰级及以上资质要求。</w:t>
            </w:r>
          </w:p>
          <w:p>
            <w:pPr>
              <w:snapToGrid w:val="0"/>
              <w:spacing w:after="160" w:line="360" w:lineRule="auto"/>
              <w:ind w:firstLine="480"/>
              <w:rPr>
                <w:rFonts w:hAnsi="宋体" w:eastAsia="宋体"/>
                <w:color w:val="000000" w:themeColor="text1"/>
              </w:rPr>
            </w:pPr>
            <w:r>
              <w:rPr>
                <w:rFonts w:hAnsi="宋体" w:eastAsia="宋体"/>
                <w:color w:val="000000" w:themeColor="text1"/>
              </w:rPr>
              <w:t>3具有履行合同所必需的设备和专业技术能力。</w:t>
            </w:r>
          </w:p>
          <w:p>
            <w:pPr>
              <w:snapToGrid w:val="0"/>
              <w:spacing w:after="160" w:line="360" w:lineRule="auto"/>
              <w:ind w:firstLine="480"/>
              <w:rPr>
                <w:rFonts w:hAnsi="Times New Roman"/>
                <w:color w:val="000000" w:themeColor="text1"/>
              </w:rPr>
            </w:pPr>
            <w:r>
              <w:rPr>
                <w:rFonts w:hAnsi="Times New Roman"/>
                <w:color w:val="000000" w:themeColor="text1"/>
              </w:rPr>
              <w:t>4投标人企业还应具备有效的安全生产许可证。</w:t>
            </w:r>
          </w:p>
          <w:p>
            <w:pPr>
              <w:snapToGrid w:val="0"/>
              <w:spacing w:after="160" w:line="360" w:lineRule="auto"/>
              <w:ind w:firstLine="480"/>
              <w:rPr>
                <w:rFonts w:hAnsi="Times New Roman"/>
                <w:color w:val="000000" w:themeColor="text1"/>
              </w:rPr>
            </w:pPr>
            <w:r>
              <w:rPr>
                <w:rFonts w:hAnsi="Times New Roman"/>
                <w:color w:val="000000" w:themeColor="text1"/>
              </w:rPr>
              <w:t>5财务状况良好，提供近三年财务审计报告；</w:t>
            </w:r>
          </w:p>
          <w:p>
            <w:pPr>
              <w:snapToGrid w:val="0"/>
              <w:spacing w:after="160" w:line="360" w:lineRule="auto"/>
              <w:rPr>
                <w:rFonts w:hAnsi="Times New Roman"/>
                <w:color w:val="000000" w:themeColor="text1"/>
              </w:rPr>
            </w:pPr>
            <w:r>
              <w:rPr>
                <w:rFonts w:hAnsi="Times New Roman"/>
                <w:color w:val="000000" w:themeColor="text1"/>
              </w:rPr>
              <w:t xml:space="preserve">    6未被列入“信用中国”（www.creditchina.gov.cn）/“信用河南”（http://www.xyhn.gov.cn/）网站信用信息栏黑名单，“国家企业信用信息公示系统” （http://www.gsxt.gov.cn/）经营异常名录或严重失信黑名单。</w:t>
            </w:r>
          </w:p>
          <w:p>
            <w:pPr>
              <w:snapToGrid w:val="0"/>
              <w:spacing w:after="160" w:line="360" w:lineRule="auto"/>
              <w:ind w:firstLine="480"/>
              <w:rPr>
                <w:rFonts w:hAnsi="Times New Roman"/>
                <w:color w:val="000000" w:themeColor="text1"/>
              </w:rPr>
            </w:pPr>
            <w:r>
              <w:rPr>
                <w:rFonts w:hAnsi="Times New Roman"/>
                <w:color w:val="000000" w:themeColor="text1"/>
              </w:rPr>
              <w:t>7本次招标不接受联合体投标。</w:t>
            </w:r>
          </w:p>
          <w:p>
            <w:pPr>
              <w:snapToGrid w:val="0"/>
              <w:spacing w:after="160" w:line="360" w:lineRule="auto"/>
              <w:ind w:firstLine="480"/>
              <w:rPr>
                <w:rFonts w:hAnsi="Times New Roman"/>
                <w:color w:val="000000" w:themeColor="text1"/>
              </w:rPr>
            </w:pPr>
            <w:r>
              <w:rPr>
                <w:rFonts w:hAnsi="Times New Roman"/>
                <w:color w:val="000000" w:themeColor="text1"/>
              </w:rPr>
              <w:t>8与招标人存在利害关系可能影响招标公正性的法人、其他组织或者个人，不得参加投标。单位负责人为同一人或者存在控股、管理关系的不同单位，不得参加本项目投标，否则相关投标均无效。</w:t>
            </w:r>
          </w:p>
          <w:p>
            <w:pPr>
              <w:snapToGrid w:val="0"/>
              <w:spacing w:after="160" w:line="360" w:lineRule="auto"/>
              <w:ind w:firstLine="480"/>
              <w:rPr>
                <w:rFonts w:hAnsi="Times New Roman"/>
                <w:color w:val="000000" w:themeColor="text1"/>
              </w:rPr>
            </w:pPr>
            <w:r>
              <w:rPr>
                <w:rFonts w:hAnsi="Times New Roman"/>
                <w:color w:val="000000" w:themeColor="text1"/>
              </w:rPr>
              <w:t>9投标人具有与拟承担的工作相适应的工程总承包资质的，可直接作为工程总承包方。</w:t>
            </w:r>
          </w:p>
          <w:p>
            <w:pPr>
              <w:spacing w:after="160" w:line="360" w:lineRule="auto"/>
              <w:jc w:val="left"/>
              <w:rPr>
                <w:rFonts w:hAnsi="Times New Roman"/>
                <w:color w:val="000000" w:themeColor="text1"/>
              </w:rPr>
            </w:pPr>
            <w:r>
              <w:rPr>
                <w:rFonts w:hAnsi="Times New Roman"/>
                <w:color w:val="000000" w:themeColor="text1"/>
              </w:rPr>
              <w:t>备注：</w:t>
            </w:r>
          </w:p>
          <w:p>
            <w:pPr>
              <w:spacing w:after="160" w:line="360" w:lineRule="auto"/>
              <w:jc w:val="left"/>
              <w:rPr>
                <w:rFonts w:hAnsi="Times New Roman"/>
                <w:color w:val="000000" w:themeColor="text1"/>
              </w:rPr>
            </w:pPr>
            <w:r>
              <w:rPr>
                <w:rFonts w:hAnsi="Times New Roman"/>
                <w:color w:val="000000" w:themeColor="text1"/>
              </w:rPr>
              <w:t>招标项目开标结束后、评标开始前，招标人（或招标代理机构）对投标人信用记录进行现场查询，并将查询结果随项目开标资料一并送入评标室，由专家进行评判。</w:t>
            </w:r>
          </w:p>
          <w:p>
            <w:pPr>
              <w:spacing w:after="160" w:line="360" w:lineRule="auto"/>
              <w:jc w:val="left"/>
              <w:rPr>
                <w:rFonts w:hAnsi="宋体" w:eastAsia="宋体"/>
                <w:color w:val="000000" w:themeColor="text1"/>
              </w:rPr>
            </w:pPr>
            <w:r>
              <w:rPr>
                <w:rFonts w:hAnsi="Times New Roman"/>
                <w:color w:val="000000" w:themeColor="text1"/>
              </w:rPr>
              <w:t xml:space="preserve">    信用信息查询记录和证据留存具体方式：经评标委员会确认的查询结果网页截图作为查询记录和证据，与其他文件一并存档。</w:t>
            </w:r>
          </w:p>
        </w:tc>
      </w:tr>
      <w:tr>
        <w:tblPrEx>
          <w:tblCellMar>
            <w:top w:w="0" w:type="dxa"/>
            <w:left w:w="108" w:type="dxa"/>
            <w:bottom w:w="0" w:type="dxa"/>
            <w:right w:w="108" w:type="dxa"/>
          </w:tblCellMar>
        </w:tblPrEx>
        <w:trPr>
          <w:jc w:val="center"/>
        </w:trPr>
        <w:tc>
          <w:tcPr>
            <w:tcW w:w="1066"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center"/>
              <w:rPr>
                <w:rFonts w:ascii="宋体" w:hAnsi="宋体" w:eastAsia="宋体"/>
                <w:color w:val="000000" w:themeColor="text1"/>
              </w:rPr>
            </w:pPr>
            <w:r>
              <w:rPr>
                <w:rFonts w:ascii="宋体" w:hAnsi="宋体" w:eastAsia="宋体"/>
                <w:color w:val="000000" w:themeColor="text1"/>
              </w:rPr>
              <w:t>1.4.2</w:t>
            </w:r>
          </w:p>
        </w:tc>
        <w:tc>
          <w:tcPr>
            <w:tcW w:w="2311" w:type="dxa"/>
            <w:gridSpan w:val="2"/>
            <w:tcBorders>
              <w:top w:val="single" w:color="auto" w:sz="4" w:space="0"/>
              <w:left w:val="single" w:color="auto" w:sz="4" w:space="0"/>
              <w:bottom w:val="single" w:color="auto" w:sz="4" w:space="0"/>
              <w:right w:val="single" w:color="auto" w:sz="4" w:space="0"/>
            </w:tcBorders>
            <w:vAlign w:val="center"/>
          </w:tcPr>
          <w:p>
            <w:pPr>
              <w:spacing w:after="160" w:line="360" w:lineRule="auto"/>
              <w:jc w:val="center"/>
              <w:rPr>
                <w:rFonts w:ascii="宋体" w:hAnsi="宋体" w:eastAsia="宋体"/>
                <w:color w:val="000000" w:themeColor="text1"/>
              </w:rPr>
            </w:pPr>
            <w:r>
              <w:rPr>
                <w:rFonts w:ascii="宋体" w:hAnsi="宋体" w:eastAsia="宋体"/>
                <w:color w:val="000000" w:themeColor="text1"/>
              </w:rPr>
              <w:t>是否接受联合体投标</w:t>
            </w:r>
          </w:p>
        </w:tc>
        <w:tc>
          <w:tcPr>
            <w:tcW w:w="5580" w:type="dxa"/>
            <w:tcBorders>
              <w:top w:val="single" w:color="auto" w:sz="4" w:space="0"/>
              <w:left w:val="single" w:color="auto" w:sz="4" w:space="0"/>
              <w:bottom w:val="single" w:color="auto" w:sz="4" w:space="0"/>
              <w:right w:val="single" w:color="auto" w:sz="4" w:space="0"/>
            </w:tcBorders>
            <w:vAlign w:val="center"/>
          </w:tcPr>
          <w:p>
            <w:pPr>
              <w:pStyle w:val="47"/>
              <w:spacing w:after="160" w:line="440" w:lineRule="exact"/>
              <w:rPr>
                <w:rFonts w:ascii="宋体" w:hAnsi="宋体" w:eastAsia="宋体"/>
                <w:color w:val="000000" w:themeColor="text1"/>
                <w:sz w:val="24"/>
                <w:szCs w:val="24"/>
              </w:rPr>
            </w:pPr>
            <w:r>
              <w:rPr>
                <w:rFonts w:ascii="宋体" w:hAnsi="宋体" w:eastAsia="宋体"/>
                <w:color w:val="000000" w:themeColor="text1"/>
                <w:sz w:val="24"/>
                <w:szCs w:val="24"/>
              </w:rPr>
              <w:t>不接受</w:t>
            </w:r>
          </w:p>
        </w:tc>
      </w:tr>
      <w:tr>
        <w:tblPrEx>
          <w:tblCellMar>
            <w:top w:w="0" w:type="dxa"/>
            <w:left w:w="108" w:type="dxa"/>
            <w:bottom w:w="0" w:type="dxa"/>
            <w:right w:w="108" w:type="dxa"/>
          </w:tblCellMar>
        </w:tblPrEx>
        <w:trPr>
          <w:jc w:val="center"/>
        </w:trPr>
        <w:tc>
          <w:tcPr>
            <w:tcW w:w="1066"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center"/>
              <w:rPr>
                <w:rFonts w:ascii="宋体" w:hAnsi="宋体" w:eastAsia="宋体"/>
                <w:color w:val="000000" w:themeColor="text1"/>
              </w:rPr>
            </w:pPr>
            <w:r>
              <w:rPr>
                <w:rFonts w:ascii="宋体" w:hAnsi="宋体" w:eastAsia="宋体"/>
                <w:color w:val="000000" w:themeColor="text1"/>
              </w:rPr>
              <w:t>1.5.1</w:t>
            </w:r>
          </w:p>
        </w:tc>
        <w:tc>
          <w:tcPr>
            <w:tcW w:w="2311"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center"/>
              <w:rPr>
                <w:rFonts w:ascii="宋体" w:hAnsi="宋体" w:eastAsia="宋体"/>
                <w:color w:val="000000" w:themeColor="text1"/>
              </w:rPr>
            </w:pPr>
            <w:r>
              <w:rPr>
                <w:rFonts w:ascii="宋体" w:hAnsi="宋体" w:eastAsia="宋体"/>
                <w:color w:val="000000" w:themeColor="text1"/>
              </w:rPr>
              <w:t>踏勘现场</w:t>
            </w:r>
          </w:p>
        </w:tc>
        <w:tc>
          <w:tcPr>
            <w:tcW w:w="5580" w:type="dxa"/>
            <w:tcBorders>
              <w:top w:val="single" w:color="auto" w:sz="4" w:space="0"/>
              <w:left w:val="single" w:color="auto" w:sz="4" w:space="0"/>
              <w:bottom w:val="single" w:color="auto" w:sz="4" w:space="0"/>
              <w:right w:val="single" w:color="auto" w:sz="4" w:space="0"/>
            </w:tcBorders>
          </w:tcPr>
          <w:p>
            <w:pPr>
              <w:autoSpaceDE w:val="0"/>
              <w:autoSpaceDN w:val="0"/>
              <w:spacing w:after="160" w:line="420" w:lineRule="exact"/>
              <w:jc w:val="left"/>
              <w:rPr>
                <w:rFonts w:ascii="宋体" w:hAnsi="宋体" w:eastAsia="宋体"/>
                <w:color w:val="000000" w:themeColor="text1"/>
              </w:rPr>
            </w:pPr>
            <w:r>
              <w:rPr>
                <w:rFonts w:ascii="宋体" w:hAnsi="宋体" w:eastAsia="宋体"/>
                <w:color w:val="000000" w:themeColor="text1"/>
              </w:rPr>
              <w:t>不组织</w:t>
            </w:r>
          </w:p>
        </w:tc>
      </w:tr>
      <w:tr>
        <w:tblPrEx>
          <w:tblCellMar>
            <w:top w:w="0" w:type="dxa"/>
            <w:left w:w="108" w:type="dxa"/>
            <w:bottom w:w="0" w:type="dxa"/>
            <w:right w:w="108" w:type="dxa"/>
          </w:tblCellMar>
        </w:tblPrEx>
        <w:trPr>
          <w:jc w:val="center"/>
        </w:trPr>
        <w:tc>
          <w:tcPr>
            <w:tcW w:w="1066"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center"/>
              <w:rPr>
                <w:rFonts w:ascii="宋体" w:hAnsi="宋体" w:eastAsia="宋体"/>
                <w:color w:val="000000" w:themeColor="text1"/>
              </w:rPr>
            </w:pPr>
            <w:r>
              <w:rPr>
                <w:rFonts w:ascii="宋体" w:hAnsi="宋体" w:eastAsia="宋体"/>
                <w:color w:val="000000" w:themeColor="text1"/>
              </w:rPr>
              <w:t>1.6.1</w:t>
            </w:r>
          </w:p>
        </w:tc>
        <w:tc>
          <w:tcPr>
            <w:tcW w:w="2311"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center"/>
              <w:rPr>
                <w:rFonts w:ascii="宋体" w:hAnsi="宋体" w:eastAsia="宋体"/>
                <w:color w:val="000000" w:themeColor="text1"/>
              </w:rPr>
            </w:pPr>
            <w:r>
              <w:rPr>
                <w:rFonts w:ascii="宋体" w:hAnsi="宋体" w:eastAsia="宋体"/>
                <w:color w:val="000000" w:themeColor="text1"/>
              </w:rPr>
              <w:t>投标预备会</w:t>
            </w:r>
          </w:p>
        </w:tc>
        <w:tc>
          <w:tcPr>
            <w:tcW w:w="5580" w:type="dxa"/>
            <w:tcBorders>
              <w:top w:val="single" w:color="auto" w:sz="4" w:space="0"/>
              <w:left w:val="single" w:color="auto" w:sz="4" w:space="0"/>
              <w:bottom w:val="single" w:color="auto" w:sz="4" w:space="0"/>
              <w:right w:val="single" w:color="auto" w:sz="4" w:space="0"/>
            </w:tcBorders>
          </w:tcPr>
          <w:p>
            <w:pPr>
              <w:autoSpaceDE w:val="0"/>
              <w:autoSpaceDN w:val="0"/>
              <w:spacing w:after="160" w:line="420" w:lineRule="exact"/>
              <w:jc w:val="left"/>
              <w:rPr>
                <w:rFonts w:ascii="宋体" w:hAnsi="宋体" w:eastAsia="宋体"/>
                <w:color w:val="000000" w:themeColor="text1"/>
              </w:rPr>
            </w:pPr>
            <w:r>
              <w:rPr>
                <w:rFonts w:ascii="宋体" w:hAnsi="宋体" w:eastAsia="宋体"/>
                <w:color w:val="000000" w:themeColor="text1"/>
              </w:rPr>
              <w:t>不召开</w:t>
            </w:r>
          </w:p>
        </w:tc>
      </w:tr>
      <w:tr>
        <w:tblPrEx>
          <w:tblCellMar>
            <w:top w:w="0" w:type="dxa"/>
            <w:left w:w="108" w:type="dxa"/>
            <w:bottom w:w="0" w:type="dxa"/>
            <w:right w:w="108" w:type="dxa"/>
          </w:tblCellMar>
        </w:tblPrEx>
        <w:trPr>
          <w:jc w:val="center"/>
        </w:trPr>
        <w:tc>
          <w:tcPr>
            <w:tcW w:w="1066" w:type="dxa"/>
            <w:gridSpan w:val="6"/>
            <w:tcBorders>
              <w:top w:val="single" w:color="auto" w:sz="4" w:space="0"/>
              <w:left w:val="single" w:color="auto" w:sz="4" w:space="0"/>
              <w:bottom w:val="single" w:color="auto" w:sz="4" w:space="0"/>
              <w:right w:val="single" w:color="auto" w:sz="4" w:space="0"/>
            </w:tcBorders>
            <w:vAlign w:val="center"/>
          </w:tcPr>
          <w:p>
            <w:pPr>
              <w:spacing w:after="160" w:line="360" w:lineRule="auto"/>
              <w:jc w:val="center"/>
              <w:rPr>
                <w:rFonts w:ascii="宋体" w:hAnsi="宋体" w:eastAsia="宋体"/>
                <w:color w:val="000000" w:themeColor="text1"/>
              </w:rPr>
            </w:pPr>
            <w:r>
              <w:rPr>
                <w:rFonts w:ascii="宋体" w:hAnsi="宋体" w:eastAsia="宋体"/>
                <w:color w:val="000000" w:themeColor="text1"/>
              </w:rPr>
              <w:t>1.7.1</w:t>
            </w:r>
          </w:p>
        </w:tc>
        <w:tc>
          <w:tcPr>
            <w:tcW w:w="2311" w:type="dxa"/>
            <w:gridSpan w:val="2"/>
            <w:tcBorders>
              <w:top w:val="single" w:color="auto" w:sz="4" w:space="0"/>
              <w:left w:val="single" w:color="auto" w:sz="4" w:space="0"/>
              <w:bottom w:val="single" w:color="auto" w:sz="4" w:space="0"/>
              <w:right w:val="single" w:color="auto" w:sz="4" w:space="0"/>
            </w:tcBorders>
            <w:vAlign w:val="center"/>
          </w:tcPr>
          <w:p>
            <w:pPr>
              <w:spacing w:after="160" w:line="360" w:lineRule="auto"/>
              <w:jc w:val="center"/>
              <w:rPr>
                <w:rFonts w:ascii="宋体" w:hAnsi="宋体" w:eastAsia="宋体"/>
                <w:color w:val="000000" w:themeColor="text1"/>
              </w:rPr>
            </w:pPr>
            <w:r>
              <w:rPr>
                <w:rFonts w:ascii="宋体" w:hAnsi="宋体" w:eastAsia="宋体"/>
                <w:color w:val="000000" w:themeColor="text1"/>
              </w:rPr>
              <w:t>招标人书面澄清的时间</w:t>
            </w:r>
          </w:p>
        </w:tc>
        <w:tc>
          <w:tcPr>
            <w:tcW w:w="5580" w:type="dxa"/>
            <w:tcBorders>
              <w:top w:val="single" w:color="auto" w:sz="4" w:space="0"/>
              <w:left w:val="single" w:color="auto" w:sz="4" w:space="0"/>
              <w:bottom w:val="single" w:color="auto" w:sz="4" w:space="0"/>
              <w:right w:val="single" w:color="auto" w:sz="4" w:space="0"/>
            </w:tcBorders>
            <w:vAlign w:val="center"/>
          </w:tcPr>
          <w:p>
            <w:pPr>
              <w:spacing w:after="160" w:line="360" w:lineRule="auto"/>
              <w:rPr>
                <w:rFonts w:ascii="宋体" w:hAnsi="宋体" w:eastAsia="宋体"/>
                <w:color w:val="000000" w:themeColor="text1"/>
              </w:rPr>
            </w:pPr>
            <w:r>
              <w:rPr>
                <w:rFonts w:ascii="宋体" w:hAnsi="宋体" w:eastAsia="宋体"/>
                <w:color w:val="000000" w:themeColor="text1"/>
              </w:rPr>
              <w:t>递交投标文件截止之日15日前通过公共资源交易系统电子平台发出</w:t>
            </w:r>
          </w:p>
        </w:tc>
      </w:tr>
      <w:tr>
        <w:tblPrEx>
          <w:tblCellMar>
            <w:top w:w="0" w:type="dxa"/>
            <w:left w:w="108" w:type="dxa"/>
            <w:bottom w:w="0" w:type="dxa"/>
            <w:right w:w="108" w:type="dxa"/>
          </w:tblCellMar>
        </w:tblPrEx>
        <w:trPr>
          <w:jc w:val="center"/>
        </w:trPr>
        <w:tc>
          <w:tcPr>
            <w:tcW w:w="1066"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center"/>
              <w:rPr>
                <w:rFonts w:ascii="宋体" w:hAnsi="宋体" w:eastAsia="宋体"/>
                <w:color w:val="000000" w:themeColor="text1"/>
              </w:rPr>
            </w:pPr>
            <w:r>
              <w:rPr>
                <w:rFonts w:ascii="宋体" w:hAnsi="宋体" w:eastAsia="宋体"/>
                <w:color w:val="000000" w:themeColor="text1"/>
              </w:rPr>
              <w:t>1.8.1</w:t>
            </w:r>
          </w:p>
        </w:tc>
        <w:tc>
          <w:tcPr>
            <w:tcW w:w="2311" w:type="dxa"/>
            <w:gridSpan w:val="2"/>
            <w:tcBorders>
              <w:top w:val="single" w:color="auto" w:sz="4" w:space="0"/>
              <w:left w:val="single" w:color="auto" w:sz="4" w:space="0"/>
              <w:bottom w:val="single" w:color="auto" w:sz="4" w:space="0"/>
              <w:right w:val="single" w:color="auto" w:sz="4" w:space="0"/>
            </w:tcBorders>
            <w:vAlign w:val="center"/>
          </w:tcPr>
          <w:p>
            <w:pPr>
              <w:spacing w:after="160" w:line="440" w:lineRule="exact"/>
              <w:jc w:val="center"/>
              <w:rPr>
                <w:rFonts w:ascii="宋体" w:hAnsi="宋体" w:eastAsia="宋体"/>
                <w:color w:val="000000" w:themeColor="text1"/>
              </w:rPr>
            </w:pPr>
            <w:r>
              <w:rPr>
                <w:rFonts w:ascii="宋体" w:hAnsi="宋体" w:eastAsia="宋体"/>
                <w:color w:val="000000" w:themeColor="text1"/>
              </w:rPr>
              <w:t>投标人拟分包的工作</w:t>
            </w:r>
          </w:p>
        </w:tc>
        <w:tc>
          <w:tcPr>
            <w:tcW w:w="5580" w:type="dxa"/>
            <w:tcBorders>
              <w:top w:val="single" w:color="auto" w:sz="4" w:space="0"/>
              <w:left w:val="single" w:color="auto" w:sz="4" w:space="0"/>
              <w:bottom w:val="single" w:color="auto" w:sz="4" w:space="0"/>
              <w:right w:val="single" w:color="auto" w:sz="4" w:space="0"/>
            </w:tcBorders>
            <w:vAlign w:val="center"/>
          </w:tcPr>
          <w:p>
            <w:pPr>
              <w:spacing w:after="160" w:line="440" w:lineRule="exact"/>
              <w:rPr>
                <w:rFonts w:ascii="宋体" w:hAnsi="宋体" w:eastAsia="宋体"/>
                <w:color w:val="000000" w:themeColor="text1"/>
              </w:rPr>
            </w:pPr>
            <w:r>
              <w:rPr>
                <w:rFonts w:ascii="宋体" w:hAnsi="宋体" w:eastAsia="宋体"/>
                <w:color w:val="000000" w:themeColor="text1"/>
              </w:rPr>
              <w:t>不允许</w:t>
            </w:r>
          </w:p>
        </w:tc>
      </w:tr>
      <w:tr>
        <w:tblPrEx>
          <w:tblCellMar>
            <w:top w:w="0" w:type="dxa"/>
            <w:left w:w="108" w:type="dxa"/>
            <w:bottom w:w="0" w:type="dxa"/>
            <w:right w:w="108" w:type="dxa"/>
          </w:tblCellMar>
        </w:tblPrEx>
        <w:trPr>
          <w:jc w:val="center"/>
        </w:trPr>
        <w:tc>
          <w:tcPr>
            <w:tcW w:w="1066"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center"/>
              <w:rPr>
                <w:rFonts w:ascii="宋体" w:hAnsi="宋体" w:eastAsia="宋体"/>
                <w:color w:val="000000" w:themeColor="text1"/>
              </w:rPr>
            </w:pPr>
            <w:r>
              <w:rPr>
                <w:rFonts w:ascii="宋体" w:hAnsi="宋体" w:eastAsia="宋体"/>
                <w:color w:val="000000" w:themeColor="text1"/>
              </w:rPr>
              <w:t>1.9.1</w:t>
            </w:r>
          </w:p>
        </w:tc>
        <w:tc>
          <w:tcPr>
            <w:tcW w:w="2311"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center"/>
              <w:rPr>
                <w:rFonts w:ascii="宋体" w:hAnsi="宋体" w:eastAsia="宋体"/>
                <w:color w:val="000000" w:themeColor="text1"/>
              </w:rPr>
            </w:pPr>
            <w:r>
              <w:rPr>
                <w:rFonts w:ascii="宋体" w:hAnsi="宋体" w:eastAsia="宋体"/>
                <w:color w:val="000000" w:themeColor="text1"/>
              </w:rPr>
              <w:t>偏离</w:t>
            </w:r>
          </w:p>
        </w:tc>
        <w:tc>
          <w:tcPr>
            <w:tcW w:w="5580" w:type="dxa"/>
            <w:tcBorders>
              <w:top w:val="single" w:color="auto" w:sz="4" w:space="0"/>
              <w:left w:val="single" w:color="auto" w:sz="4" w:space="0"/>
              <w:bottom w:val="single" w:color="auto" w:sz="4" w:space="0"/>
              <w:right w:val="single" w:color="auto" w:sz="4" w:space="0"/>
            </w:tcBorders>
          </w:tcPr>
          <w:p>
            <w:pPr>
              <w:autoSpaceDE w:val="0"/>
              <w:autoSpaceDN w:val="0"/>
              <w:spacing w:after="160" w:line="420" w:lineRule="exact"/>
              <w:jc w:val="left"/>
              <w:rPr>
                <w:rFonts w:ascii="宋体" w:hAnsi="宋体" w:eastAsia="宋体"/>
                <w:color w:val="000000" w:themeColor="text1"/>
              </w:rPr>
            </w:pPr>
            <w:r>
              <w:rPr>
                <w:rFonts w:ascii="宋体" w:hAnsi="宋体" w:eastAsia="宋体"/>
                <w:color w:val="000000" w:themeColor="text1"/>
              </w:rPr>
              <w:t>不允许</w:t>
            </w:r>
          </w:p>
        </w:tc>
      </w:tr>
      <w:tr>
        <w:tblPrEx>
          <w:tblCellMar>
            <w:top w:w="0" w:type="dxa"/>
            <w:left w:w="108" w:type="dxa"/>
            <w:bottom w:w="0" w:type="dxa"/>
            <w:right w:w="108" w:type="dxa"/>
          </w:tblCellMar>
        </w:tblPrEx>
        <w:trPr>
          <w:jc w:val="center"/>
        </w:trPr>
        <w:tc>
          <w:tcPr>
            <w:tcW w:w="1066"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center"/>
              <w:rPr>
                <w:rFonts w:ascii="宋体" w:hAnsi="宋体" w:eastAsia="宋体"/>
                <w:color w:val="000000" w:themeColor="text1"/>
              </w:rPr>
            </w:pPr>
            <w:r>
              <w:rPr>
                <w:rFonts w:ascii="宋体" w:hAnsi="宋体" w:eastAsia="宋体"/>
                <w:color w:val="000000" w:themeColor="text1"/>
              </w:rPr>
              <w:t xml:space="preserve">2.1 </w:t>
            </w:r>
          </w:p>
        </w:tc>
        <w:tc>
          <w:tcPr>
            <w:tcW w:w="2311"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380" w:lineRule="exact"/>
              <w:jc w:val="center"/>
              <w:rPr>
                <w:rFonts w:ascii="宋体" w:hAnsi="宋体" w:eastAsia="宋体"/>
                <w:color w:val="000000" w:themeColor="text1"/>
              </w:rPr>
            </w:pPr>
            <w:r>
              <w:rPr>
                <w:rFonts w:ascii="宋体" w:hAnsi="宋体" w:eastAsia="宋体"/>
                <w:color w:val="000000" w:themeColor="text1"/>
              </w:rPr>
              <w:t>招标文件的获取</w:t>
            </w:r>
          </w:p>
        </w:tc>
        <w:tc>
          <w:tcPr>
            <w:tcW w:w="5580" w:type="dxa"/>
            <w:tcBorders>
              <w:top w:val="single" w:color="auto" w:sz="4" w:space="0"/>
              <w:left w:val="single" w:color="auto" w:sz="4" w:space="0"/>
              <w:bottom w:val="single" w:color="auto" w:sz="4" w:space="0"/>
              <w:right w:val="single" w:color="auto" w:sz="4" w:space="0"/>
            </w:tcBorders>
          </w:tcPr>
          <w:p>
            <w:pPr>
              <w:autoSpaceDE w:val="0"/>
              <w:autoSpaceDN w:val="0"/>
              <w:spacing w:after="160" w:line="300" w:lineRule="exact"/>
              <w:jc w:val="left"/>
              <w:rPr>
                <w:rFonts w:ascii="宋体" w:hAnsi="宋体" w:eastAsia="宋体"/>
                <w:color w:val="000000" w:themeColor="text1"/>
              </w:rPr>
            </w:pPr>
            <w:r>
              <w:rPr>
                <w:rFonts w:ascii="宋体" w:hAnsi="宋体" w:eastAsia="宋体"/>
                <w:color w:val="000000" w:themeColor="text1"/>
              </w:rPr>
              <w:t>在《全国公共资源交易平台（河南省·许昌市）》网上下载招标文件</w:t>
            </w:r>
          </w:p>
        </w:tc>
      </w:tr>
      <w:tr>
        <w:tblPrEx>
          <w:tblCellMar>
            <w:top w:w="0" w:type="dxa"/>
            <w:left w:w="108" w:type="dxa"/>
            <w:bottom w:w="0" w:type="dxa"/>
            <w:right w:w="108" w:type="dxa"/>
          </w:tblCellMar>
        </w:tblPrEx>
        <w:trPr>
          <w:jc w:val="center"/>
        </w:trPr>
        <w:tc>
          <w:tcPr>
            <w:tcW w:w="1066"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center"/>
              <w:rPr>
                <w:rFonts w:ascii="宋体" w:hAnsi="宋体" w:eastAsia="宋体"/>
                <w:color w:val="000000" w:themeColor="text1"/>
              </w:rPr>
            </w:pPr>
            <w:r>
              <w:rPr>
                <w:rFonts w:ascii="宋体" w:hAnsi="宋体" w:eastAsia="宋体"/>
                <w:color w:val="000000" w:themeColor="text1"/>
              </w:rPr>
              <w:t>2.1.1</w:t>
            </w:r>
          </w:p>
        </w:tc>
        <w:tc>
          <w:tcPr>
            <w:tcW w:w="2311"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360" w:lineRule="auto"/>
              <w:jc w:val="center"/>
              <w:rPr>
                <w:rFonts w:ascii="宋体" w:hAnsi="宋体" w:eastAsia="宋体"/>
                <w:color w:val="000000" w:themeColor="text1"/>
              </w:rPr>
            </w:pPr>
            <w:r>
              <w:rPr>
                <w:rFonts w:ascii="宋体" w:hAnsi="宋体" w:eastAsia="宋体"/>
                <w:color w:val="000000" w:themeColor="text1"/>
              </w:rPr>
              <w:t>构成招标文件的其他材料</w:t>
            </w:r>
          </w:p>
        </w:tc>
        <w:tc>
          <w:tcPr>
            <w:tcW w:w="558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360" w:lineRule="auto"/>
              <w:rPr>
                <w:rFonts w:ascii="宋体" w:hAnsi="宋体" w:eastAsia="宋体"/>
                <w:color w:val="000000" w:themeColor="text1"/>
              </w:rPr>
            </w:pPr>
            <w:r>
              <w:rPr>
                <w:rFonts w:ascii="宋体" w:hAnsi="宋体" w:eastAsia="宋体"/>
                <w:color w:val="000000" w:themeColor="text1"/>
              </w:rPr>
              <w:t>经备案的招标文件补充、答疑和修改文件（如有）</w:t>
            </w:r>
          </w:p>
        </w:tc>
      </w:tr>
      <w:tr>
        <w:tblPrEx>
          <w:tblCellMar>
            <w:top w:w="0" w:type="dxa"/>
            <w:left w:w="108" w:type="dxa"/>
            <w:bottom w:w="0" w:type="dxa"/>
            <w:right w:w="108" w:type="dxa"/>
          </w:tblCellMar>
        </w:tblPrEx>
        <w:trPr>
          <w:jc w:val="center"/>
        </w:trPr>
        <w:tc>
          <w:tcPr>
            <w:tcW w:w="1066"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center"/>
              <w:rPr>
                <w:rFonts w:ascii="宋体" w:hAnsi="宋体" w:eastAsia="宋体"/>
                <w:color w:val="000000" w:themeColor="text1"/>
              </w:rPr>
            </w:pPr>
            <w:r>
              <w:rPr>
                <w:rFonts w:ascii="宋体" w:hAnsi="宋体" w:eastAsia="宋体"/>
                <w:color w:val="000000" w:themeColor="text1"/>
              </w:rPr>
              <w:t>2.2.1</w:t>
            </w:r>
          </w:p>
        </w:tc>
        <w:tc>
          <w:tcPr>
            <w:tcW w:w="2311"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300" w:lineRule="exact"/>
              <w:jc w:val="left"/>
              <w:rPr>
                <w:rFonts w:ascii="宋体" w:hAnsi="宋体" w:eastAsia="宋体"/>
                <w:color w:val="000000" w:themeColor="text1"/>
              </w:rPr>
            </w:pPr>
            <w:r>
              <w:rPr>
                <w:rFonts w:ascii="宋体" w:hAnsi="宋体" w:eastAsia="宋体"/>
                <w:color w:val="000000" w:themeColor="text1"/>
              </w:rPr>
              <w:t>投标人要求澄清招标文件的截止时间</w:t>
            </w:r>
          </w:p>
        </w:tc>
        <w:tc>
          <w:tcPr>
            <w:tcW w:w="558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300" w:lineRule="exact"/>
              <w:jc w:val="left"/>
              <w:rPr>
                <w:rFonts w:ascii="宋体" w:hAnsi="宋体" w:eastAsia="宋体"/>
                <w:color w:val="000000" w:themeColor="text1"/>
              </w:rPr>
            </w:pPr>
            <w:r>
              <w:rPr>
                <w:rFonts w:ascii="宋体" w:hAnsi="宋体" w:eastAsia="宋体"/>
                <w:color w:val="000000" w:themeColor="text1"/>
              </w:rPr>
              <w:t>潜在投标人或者其他利害关系人对招标文件有异议的，应当在投标截止时间10日前提出。招标人应当自收到异议之日起3日内作出答复。</w:t>
            </w:r>
          </w:p>
        </w:tc>
      </w:tr>
      <w:tr>
        <w:tblPrEx>
          <w:tblCellMar>
            <w:top w:w="0" w:type="dxa"/>
            <w:left w:w="108" w:type="dxa"/>
            <w:bottom w:w="0" w:type="dxa"/>
            <w:right w:w="108" w:type="dxa"/>
          </w:tblCellMar>
        </w:tblPrEx>
        <w:trPr>
          <w:jc w:val="center"/>
        </w:trPr>
        <w:tc>
          <w:tcPr>
            <w:tcW w:w="1066"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center"/>
              <w:rPr>
                <w:rFonts w:ascii="宋体" w:hAnsi="宋体" w:eastAsia="宋体"/>
                <w:color w:val="000000" w:themeColor="text1"/>
              </w:rPr>
            </w:pPr>
            <w:r>
              <w:rPr>
                <w:rFonts w:ascii="宋体" w:hAnsi="宋体" w:eastAsia="宋体"/>
                <w:color w:val="000000" w:themeColor="text1"/>
              </w:rPr>
              <w:t>2.2.2</w:t>
            </w:r>
          </w:p>
        </w:tc>
        <w:tc>
          <w:tcPr>
            <w:tcW w:w="2311"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center"/>
              <w:rPr>
                <w:rFonts w:ascii="宋体" w:hAnsi="宋体" w:eastAsia="宋体"/>
                <w:color w:val="000000" w:themeColor="text1"/>
              </w:rPr>
            </w:pPr>
            <w:r>
              <w:rPr>
                <w:rFonts w:ascii="宋体" w:hAnsi="宋体" w:eastAsia="宋体"/>
                <w:color w:val="000000" w:themeColor="text1"/>
              </w:rPr>
              <w:t>招标文件澄清发出的时间及形式</w:t>
            </w:r>
          </w:p>
        </w:tc>
        <w:tc>
          <w:tcPr>
            <w:tcW w:w="5580" w:type="dxa"/>
            <w:tcBorders>
              <w:top w:val="single" w:color="auto" w:sz="4" w:space="0"/>
              <w:left w:val="single" w:color="auto" w:sz="4" w:space="0"/>
              <w:bottom w:val="single" w:color="auto" w:sz="4" w:space="0"/>
              <w:right w:val="single" w:color="auto" w:sz="4" w:space="0"/>
            </w:tcBorders>
          </w:tcPr>
          <w:p>
            <w:pPr>
              <w:autoSpaceDE w:val="0"/>
              <w:autoSpaceDN w:val="0"/>
              <w:spacing w:after="160" w:line="420" w:lineRule="exact"/>
              <w:rPr>
                <w:rFonts w:ascii="宋体" w:hAnsi="宋体" w:eastAsia="宋体"/>
                <w:color w:val="000000" w:themeColor="text1"/>
              </w:rPr>
            </w:pPr>
            <w:r>
              <w:rPr>
                <w:rFonts w:ascii="宋体" w:hAnsi="宋体" w:eastAsia="宋体"/>
                <w:color w:val="000000" w:themeColor="text1"/>
              </w:rPr>
              <w:t>递交投标文件截止之日15日前通过公共资源交易系统电子平台发出。</w:t>
            </w:r>
          </w:p>
        </w:tc>
      </w:tr>
      <w:tr>
        <w:tblPrEx>
          <w:tblCellMar>
            <w:top w:w="0" w:type="dxa"/>
            <w:left w:w="108" w:type="dxa"/>
            <w:bottom w:w="0" w:type="dxa"/>
            <w:right w:w="108" w:type="dxa"/>
          </w:tblCellMar>
        </w:tblPrEx>
        <w:trPr>
          <w:jc w:val="center"/>
        </w:trPr>
        <w:tc>
          <w:tcPr>
            <w:tcW w:w="1066"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center"/>
              <w:rPr>
                <w:rFonts w:ascii="宋体" w:hAnsi="宋体" w:eastAsia="宋体"/>
                <w:color w:val="000000" w:themeColor="text1"/>
              </w:rPr>
            </w:pPr>
            <w:r>
              <w:rPr>
                <w:rFonts w:ascii="宋体" w:hAnsi="宋体" w:eastAsia="宋体"/>
                <w:color w:val="000000" w:themeColor="text1"/>
              </w:rPr>
              <w:t>2.2.3</w:t>
            </w:r>
          </w:p>
        </w:tc>
        <w:tc>
          <w:tcPr>
            <w:tcW w:w="2311"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center"/>
              <w:rPr>
                <w:rFonts w:ascii="宋体" w:hAnsi="宋体" w:eastAsia="宋体"/>
                <w:color w:val="000000" w:themeColor="text1"/>
              </w:rPr>
            </w:pPr>
            <w:r>
              <w:rPr>
                <w:rFonts w:ascii="宋体" w:hAnsi="宋体" w:eastAsia="宋体"/>
                <w:color w:val="000000" w:themeColor="text1"/>
              </w:rPr>
              <w:t>投标人确认收到</w:t>
            </w:r>
          </w:p>
          <w:p>
            <w:pPr>
              <w:autoSpaceDE w:val="0"/>
              <w:autoSpaceDN w:val="0"/>
              <w:spacing w:after="160" w:line="420" w:lineRule="exact"/>
              <w:jc w:val="center"/>
              <w:rPr>
                <w:rFonts w:ascii="宋体" w:hAnsi="宋体" w:eastAsia="宋体"/>
                <w:color w:val="000000" w:themeColor="text1"/>
              </w:rPr>
            </w:pPr>
            <w:r>
              <w:rPr>
                <w:rFonts w:ascii="宋体" w:hAnsi="宋体" w:eastAsia="宋体"/>
                <w:color w:val="000000" w:themeColor="text1"/>
              </w:rPr>
              <w:t>招标文件澄清的时间</w:t>
            </w:r>
          </w:p>
        </w:tc>
        <w:tc>
          <w:tcPr>
            <w:tcW w:w="558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rPr>
                <w:rFonts w:ascii="宋体" w:hAnsi="宋体" w:eastAsia="宋体"/>
                <w:color w:val="000000" w:themeColor="text1"/>
              </w:rPr>
            </w:pPr>
            <w:r>
              <w:rPr>
                <w:rFonts w:ascii="宋体" w:hAnsi="宋体" w:eastAsia="宋体"/>
                <w:color w:val="000000" w:themeColor="text1"/>
              </w:rPr>
              <w:t>时间：收到澄清后24小时内（以发出的时间为准）</w:t>
            </w:r>
          </w:p>
        </w:tc>
      </w:tr>
      <w:tr>
        <w:tblPrEx>
          <w:tblCellMar>
            <w:top w:w="0" w:type="dxa"/>
            <w:left w:w="108" w:type="dxa"/>
            <w:bottom w:w="0" w:type="dxa"/>
            <w:right w:w="108" w:type="dxa"/>
          </w:tblCellMar>
        </w:tblPrEx>
        <w:trPr>
          <w:trHeight w:val="647" w:hRule="atLeast"/>
          <w:jc w:val="center"/>
        </w:trPr>
        <w:tc>
          <w:tcPr>
            <w:tcW w:w="1066" w:type="dxa"/>
            <w:gridSpan w:val="6"/>
            <w:tcBorders>
              <w:top w:val="single" w:color="auto" w:sz="4" w:space="0"/>
              <w:left w:val="single" w:color="auto" w:sz="4" w:space="0"/>
              <w:bottom w:val="single" w:color="auto" w:sz="4" w:space="0"/>
              <w:right w:val="single" w:color="auto" w:sz="4" w:space="0"/>
            </w:tcBorders>
            <w:vAlign w:val="center"/>
          </w:tcPr>
          <w:p>
            <w:pPr>
              <w:snapToGrid w:val="0"/>
              <w:spacing w:after="160" w:line="360" w:lineRule="auto"/>
              <w:ind w:left="120" w:right="120"/>
              <w:jc w:val="center"/>
              <w:rPr>
                <w:rFonts w:ascii="宋体" w:hAnsi="宋体" w:eastAsia="宋体"/>
                <w:color w:val="000000" w:themeColor="text1"/>
              </w:rPr>
            </w:pPr>
            <w:r>
              <w:rPr>
                <w:rFonts w:ascii="宋体" w:hAnsi="宋体" w:eastAsia="宋体"/>
                <w:color w:val="000000" w:themeColor="text1"/>
              </w:rPr>
              <w:t>2.3.1</w:t>
            </w:r>
          </w:p>
        </w:tc>
        <w:tc>
          <w:tcPr>
            <w:tcW w:w="2311" w:type="dxa"/>
            <w:gridSpan w:val="2"/>
            <w:tcBorders>
              <w:top w:val="single" w:color="auto" w:sz="4" w:space="0"/>
              <w:left w:val="single" w:color="auto" w:sz="4" w:space="0"/>
              <w:bottom w:val="single" w:color="auto" w:sz="4" w:space="0"/>
              <w:right w:val="single" w:color="auto" w:sz="4" w:space="0"/>
            </w:tcBorders>
            <w:vAlign w:val="center"/>
          </w:tcPr>
          <w:p>
            <w:pPr>
              <w:snapToGrid w:val="0"/>
              <w:spacing w:after="160" w:line="360" w:lineRule="auto"/>
              <w:ind w:left="120" w:right="120"/>
              <w:jc w:val="center"/>
              <w:rPr>
                <w:rFonts w:ascii="宋体" w:hAnsi="宋体" w:eastAsia="宋体"/>
                <w:color w:val="000000" w:themeColor="text1"/>
              </w:rPr>
            </w:pPr>
            <w:r>
              <w:rPr>
                <w:rFonts w:ascii="宋体" w:hAnsi="宋体" w:eastAsia="宋体"/>
                <w:color w:val="000000" w:themeColor="text1"/>
              </w:rPr>
              <w:t>招标文件修改发出的形式</w:t>
            </w:r>
          </w:p>
        </w:tc>
        <w:tc>
          <w:tcPr>
            <w:tcW w:w="5580" w:type="dxa"/>
            <w:tcBorders>
              <w:top w:val="single" w:color="auto" w:sz="4" w:space="0"/>
              <w:left w:val="single" w:color="auto" w:sz="4" w:space="0"/>
              <w:bottom w:val="single" w:color="auto" w:sz="4" w:space="0"/>
              <w:right w:val="single" w:color="auto" w:sz="4" w:space="0"/>
            </w:tcBorders>
            <w:vAlign w:val="center"/>
          </w:tcPr>
          <w:p>
            <w:pPr>
              <w:snapToGrid w:val="0"/>
              <w:spacing w:after="160" w:line="360" w:lineRule="auto"/>
              <w:ind w:right="120"/>
              <w:rPr>
                <w:rFonts w:ascii="宋体" w:hAnsi="宋体" w:eastAsia="宋体"/>
                <w:color w:val="000000" w:themeColor="text1"/>
              </w:rPr>
            </w:pPr>
            <w:r>
              <w:rPr>
                <w:rFonts w:ascii="宋体" w:hAnsi="宋体" w:eastAsia="宋体"/>
                <w:color w:val="000000" w:themeColor="text1"/>
              </w:rPr>
              <w:t>时间：递交投标文件截止之日15天前</w:t>
            </w:r>
          </w:p>
          <w:p>
            <w:pPr>
              <w:snapToGrid w:val="0"/>
              <w:spacing w:after="160" w:line="360" w:lineRule="auto"/>
              <w:ind w:right="120"/>
              <w:rPr>
                <w:rFonts w:ascii="宋体" w:hAnsi="宋体" w:eastAsia="宋体"/>
                <w:color w:val="000000" w:themeColor="text1"/>
              </w:rPr>
            </w:pPr>
            <w:r>
              <w:rPr>
                <w:rFonts w:ascii="宋体" w:hAnsi="宋体" w:eastAsia="宋体"/>
                <w:color w:val="000000" w:themeColor="text1"/>
              </w:rPr>
              <w:t>形式：通过全国公共资源交易平台（河南省•许昌市）发出</w:t>
            </w:r>
          </w:p>
        </w:tc>
      </w:tr>
      <w:tr>
        <w:tblPrEx>
          <w:tblCellMar>
            <w:top w:w="0" w:type="dxa"/>
            <w:left w:w="108" w:type="dxa"/>
            <w:bottom w:w="0" w:type="dxa"/>
            <w:right w:w="108" w:type="dxa"/>
          </w:tblCellMar>
        </w:tblPrEx>
        <w:trPr>
          <w:jc w:val="center"/>
        </w:trPr>
        <w:tc>
          <w:tcPr>
            <w:tcW w:w="1066"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center"/>
              <w:rPr>
                <w:rFonts w:ascii="宋体" w:hAnsi="宋体" w:eastAsia="宋体"/>
                <w:color w:val="000000" w:themeColor="text1"/>
              </w:rPr>
            </w:pPr>
            <w:r>
              <w:rPr>
                <w:rFonts w:ascii="宋体" w:hAnsi="宋体" w:eastAsia="宋体"/>
                <w:color w:val="000000" w:themeColor="text1"/>
              </w:rPr>
              <w:t>2.3.2</w:t>
            </w:r>
          </w:p>
        </w:tc>
        <w:tc>
          <w:tcPr>
            <w:tcW w:w="2311"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360" w:lineRule="auto"/>
              <w:jc w:val="center"/>
              <w:rPr>
                <w:rFonts w:ascii="宋体" w:hAnsi="宋体" w:eastAsia="宋体"/>
                <w:color w:val="000000" w:themeColor="text1"/>
              </w:rPr>
            </w:pPr>
            <w:r>
              <w:rPr>
                <w:rFonts w:ascii="宋体" w:hAnsi="宋体" w:eastAsia="宋体"/>
                <w:color w:val="000000" w:themeColor="text1"/>
              </w:rPr>
              <w:t>投标人确认收到招标文件修改的时间</w:t>
            </w:r>
          </w:p>
        </w:tc>
        <w:tc>
          <w:tcPr>
            <w:tcW w:w="558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rPr>
                <w:rFonts w:ascii="宋体" w:hAnsi="黑体" w:eastAsia="黑体"/>
                <w:color w:val="000000" w:themeColor="text1"/>
              </w:rPr>
            </w:pPr>
            <w:r>
              <w:rPr>
                <w:rFonts w:ascii="宋体" w:hAnsi="黑体" w:eastAsia="黑体"/>
                <w:color w:val="000000" w:themeColor="text1"/>
              </w:rPr>
              <w:t>时间：收到修改后24小时内（以发出的时间为准）</w:t>
            </w:r>
          </w:p>
        </w:tc>
      </w:tr>
      <w:tr>
        <w:tblPrEx>
          <w:tblCellMar>
            <w:top w:w="0" w:type="dxa"/>
            <w:left w:w="108" w:type="dxa"/>
            <w:bottom w:w="0" w:type="dxa"/>
            <w:right w:w="108" w:type="dxa"/>
          </w:tblCellMar>
        </w:tblPrEx>
        <w:trPr>
          <w:jc w:val="center"/>
        </w:trPr>
        <w:tc>
          <w:tcPr>
            <w:tcW w:w="1066"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center"/>
              <w:rPr>
                <w:rFonts w:ascii="宋体" w:hAnsi="宋体" w:eastAsia="宋体"/>
                <w:color w:val="000000" w:themeColor="text1"/>
              </w:rPr>
            </w:pPr>
            <w:r>
              <w:rPr>
                <w:rFonts w:ascii="宋体" w:hAnsi="宋体" w:eastAsia="宋体"/>
                <w:color w:val="000000" w:themeColor="text1"/>
              </w:rPr>
              <w:t>3.1.1</w:t>
            </w:r>
          </w:p>
        </w:tc>
        <w:tc>
          <w:tcPr>
            <w:tcW w:w="2311"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center"/>
              <w:rPr>
                <w:rFonts w:ascii="宋体" w:hAnsi="宋体" w:eastAsia="宋体"/>
                <w:color w:val="000000" w:themeColor="text1"/>
              </w:rPr>
            </w:pPr>
            <w:r>
              <w:rPr>
                <w:rFonts w:ascii="宋体" w:hAnsi="宋体" w:eastAsia="宋体"/>
                <w:color w:val="000000" w:themeColor="text1"/>
              </w:rPr>
              <w:t>构成投标文件的其他材料</w:t>
            </w:r>
          </w:p>
        </w:tc>
        <w:tc>
          <w:tcPr>
            <w:tcW w:w="558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center"/>
              <w:rPr>
                <w:rFonts w:ascii="宋体" w:hAnsi="宋体" w:eastAsia="宋体"/>
                <w:color w:val="000000" w:themeColor="text1"/>
              </w:rPr>
            </w:pPr>
            <w:r>
              <w:rPr>
                <w:rFonts w:ascii="宋体" w:hAnsi="宋体" w:eastAsia="宋体"/>
                <w:color w:val="000000" w:themeColor="text1"/>
              </w:rPr>
              <w:t>∕</w:t>
            </w:r>
          </w:p>
        </w:tc>
      </w:tr>
      <w:tr>
        <w:tblPrEx>
          <w:tblCellMar>
            <w:top w:w="0" w:type="dxa"/>
            <w:left w:w="108" w:type="dxa"/>
            <w:bottom w:w="0" w:type="dxa"/>
            <w:right w:w="108" w:type="dxa"/>
          </w:tblCellMar>
        </w:tblPrEx>
        <w:trPr>
          <w:jc w:val="center"/>
        </w:trPr>
        <w:tc>
          <w:tcPr>
            <w:tcW w:w="1066" w:type="dxa"/>
            <w:gridSpan w:val="6"/>
            <w:tcBorders>
              <w:top w:val="single" w:color="auto" w:sz="4" w:space="0"/>
              <w:left w:val="single" w:color="auto" w:sz="4" w:space="0"/>
              <w:bottom w:val="single" w:color="auto" w:sz="4" w:space="0"/>
              <w:right w:val="single" w:color="auto" w:sz="4" w:space="0"/>
            </w:tcBorders>
            <w:vAlign w:val="center"/>
          </w:tcPr>
          <w:p>
            <w:pPr>
              <w:spacing w:after="160" w:line="440" w:lineRule="exact"/>
              <w:jc w:val="center"/>
              <w:rPr>
                <w:rFonts w:ascii="宋体" w:hAnsi="宋体" w:eastAsia="宋体"/>
                <w:color w:val="000000" w:themeColor="text1"/>
              </w:rPr>
            </w:pPr>
            <w:r>
              <w:rPr>
                <w:rFonts w:ascii="宋体" w:hAnsi="宋体" w:eastAsia="宋体"/>
                <w:color w:val="000000" w:themeColor="text1"/>
              </w:rPr>
              <w:t>3.2.1</w:t>
            </w:r>
          </w:p>
        </w:tc>
        <w:tc>
          <w:tcPr>
            <w:tcW w:w="2311" w:type="dxa"/>
            <w:gridSpan w:val="2"/>
            <w:tcBorders>
              <w:top w:val="single" w:color="auto" w:sz="4" w:space="0"/>
              <w:left w:val="single" w:color="auto" w:sz="4" w:space="0"/>
              <w:bottom w:val="single" w:color="auto" w:sz="4" w:space="0"/>
              <w:right w:val="single" w:color="auto" w:sz="4" w:space="0"/>
            </w:tcBorders>
            <w:vAlign w:val="center"/>
          </w:tcPr>
          <w:p>
            <w:pPr>
              <w:spacing w:after="160" w:line="440" w:lineRule="exact"/>
              <w:jc w:val="center"/>
              <w:rPr>
                <w:rFonts w:ascii="宋体" w:hAnsi="宋体" w:eastAsia="宋体"/>
                <w:color w:val="000000" w:themeColor="text1"/>
              </w:rPr>
            </w:pPr>
            <w:r>
              <w:rPr>
                <w:rFonts w:ascii="宋体" w:hAnsi="宋体" w:eastAsia="宋体"/>
                <w:color w:val="000000" w:themeColor="text1"/>
              </w:rPr>
              <w:t>投标报价的其他要求</w:t>
            </w:r>
          </w:p>
        </w:tc>
        <w:tc>
          <w:tcPr>
            <w:tcW w:w="5580" w:type="dxa"/>
            <w:tcBorders>
              <w:top w:val="single" w:color="auto" w:sz="4" w:space="0"/>
              <w:left w:val="single" w:color="auto" w:sz="4" w:space="0"/>
              <w:bottom w:val="single" w:color="auto" w:sz="4" w:space="0"/>
              <w:right w:val="single" w:color="auto" w:sz="4" w:space="0"/>
            </w:tcBorders>
            <w:vAlign w:val="center"/>
          </w:tcPr>
          <w:p>
            <w:pPr>
              <w:spacing w:after="160" w:line="440" w:lineRule="exact"/>
              <w:rPr>
                <w:rFonts w:ascii="宋体" w:hAnsi="宋体" w:eastAsia="宋体"/>
                <w:color w:val="000000" w:themeColor="text1"/>
              </w:rPr>
            </w:pPr>
            <w:r>
              <w:rPr>
                <w:rFonts w:hAnsi="宋体" w:eastAsia="宋体"/>
                <w:color w:val="000000" w:themeColor="text1"/>
              </w:rPr>
              <w:t>投标人按照投资方案中投资金额填写投标报价，投标人投资金额=投标人投资方案中总投资额-财政补助金额</w:t>
            </w:r>
            <w:r>
              <w:rPr>
                <w:rFonts w:ascii="Times New Roman" w:hAnsi="Times New Roman"/>
                <w:color w:val="000000" w:themeColor="text1"/>
              </w:rPr>
              <w:t>3627.43</w:t>
            </w:r>
            <w:r>
              <w:rPr>
                <w:rFonts w:hAnsi="宋体" w:eastAsia="宋体"/>
                <w:color w:val="000000" w:themeColor="text1"/>
              </w:rPr>
              <w:t>万元</w:t>
            </w:r>
          </w:p>
        </w:tc>
      </w:tr>
      <w:tr>
        <w:tblPrEx>
          <w:tblCellMar>
            <w:top w:w="0" w:type="dxa"/>
            <w:left w:w="108" w:type="dxa"/>
            <w:bottom w:w="0" w:type="dxa"/>
            <w:right w:w="108" w:type="dxa"/>
          </w:tblCellMar>
        </w:tblPrEx>
        <w:trPr>
          <w:jc w:val="center"/>
        </w:trPr>
        <w:tc>
          <w:tcPr>
            <w:tcW w:w="1066"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center"/>
              <w:rPr>
                <w:rFonts w:ascii="宋体" w:hAnsi="宋体" w:eastAsia="宋体"/>
                <w:color w:val="000000" w:themeColor="text1"/>
              </w:rPr>
            </w:pPr>
            <w:r>
              <w:rPr>
                <w:rFonts w:ascii="宋体" w:hAnsi="宋体" w:eastAsia="宋体"/>
                <w:color w:val="000000" w:themeColor="text1"/>
              </w:rPr>
              <w:t>3.3.1</w:t>
            </w:r>
          </w:p>
        </w:tc>
        <w:tc>
          <w:tcPr>
            <w:tcW w:w="2311"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center"/>
              <w:rPr>
                <w:rFonts w:ascii="宋体" w:hAnsi="宋体" w:eastAsia="宋体"/>
                <w:color w:val="000000" w:themeColor="text1"/>
              </w:rPr>
            </w:pPr>
            <w:r>
              <w:rPr>
                <w:rFonts w:ascii="宋体" w:hAnsi="宋体" w:eastAsia="宋体"/>
                <w:color w:val="000000" w:themeColor="text1"/>
              </w:rPr>
              <w:t>投标有效期</w:t>
            </w:r>
          </w:p>
        </w:tc>
        <w:tc>
          <w:tcPr>
            <w:tcW w:w="5580" w:type="dxa"/>
            <w:tcBorders>
              <w:top w:val="single" w:color="auto" w:sz="4" w:space="0"/>
              <w:left w:val="single" w:color="auto" w:sz="4" w:space="0"/>
              <w:bottom w:val="single" w:color="auto" w:sz="4" w:space="0"/>
              <w:right w:val="single" w:color="auto" w:sz="4" w:space="0"/>
            </w:tcBorders>
          </w:tcPr>
          <w:p>
            <w:pPr>
              <w:autoSpaceDE w:val="0"/>
              <w:autoSpaceDN w:val="0"/>
              <w:spacing w:after="160" w:line="420" w:lineRule="exact"/>
              <w:jc w:val="left"/>
              <w:rPr>
                <w:rFonts w:ascii="宋体" w:hAnsi="宋体" w:eastAsia="宋体"/>
                <w:color w:val="000000" w:themeColor="text1"/>
              </w:rPr>
            </w:pPr>
            <w:r>
              <w:rPr>
                <w:rFonts w:ascii="宋体" w:hAnsi="宋体" w:eastAsia="宋体"/>
                <w:color w:val="000000" w:themeColor="text1"/>
              </w:rPr>
              <w:t>60日历天（从投标截止之日算起，投标人应当在投标有效期内办理相关事宜）</w:t>
            </w:r>
          </w:p>
        </w:tc>
      </w:tr>
      <w:tr>
        <w:tblPrEx>
          <w:tblCellMar>
            <w:top w:w="0" w:type="dxa"/>
            <w:left w:w="108" w:type="dxa"/>
            <w:bottom w:w="0" w:type="dxa"/>
            <w:right w:w="108" w:type="dxa"/>
          </w:tblCellMar>
        </w:tblPrEx>
        <w:trPr>
          <w:jc w:val="center"/>
        </w:trPr>
        <w:tc>
          <w:tcPr>
            <w:tcW w:w="1066"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center"/>
              <w:rPr>
                <w:rFonts w:ascii="宋体" w:hAnsi="宋体" w:eastAsia="宋体"/>
                <w:color w:val="000000" w:themeColor="text1"/>
              </w:rPr>
            </w:pPr>
            <w:r>
              <w:rPr>
                <w:rFonts w:ascii="宋体" w:hAnsi="宋体" w:eastAsia="宋体"/>
                <w:color w:val="000000" w:themeColor="text1"/>
              </w:rPr>
              <w:t>3.4.1</w:t>
            </w:r>
          </w:p>
        </w:tc>
        <w:tc>
          <w:tcPr>
            <w:tcW w:w="2311"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center"/>
              <w:rPr>
                <w:rFonts w:ascii="宋体" w:hAnsi="宋体" w:eastAsia="宋体"/>
                <w:color w:val="000000" w:themeColor="text1"/>
              </w:rPr>
            </w:pPr>
            <w:r>
              <w:rPr>
                <w:rFonts w:ascii="宋体" w:hAnsi="宋体" w:eastAsia="宋体"/>
                <w:color w:val="000000" w:themeColor="text1"/>
              </w:rPr>
              <w:t>投标保证金</w:t>
            </w:r>
          </w:p>
        </w:tc>
        <w:tc>
          <w:tcPr>
            <w:tcW w:w="558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76" w:lineRule="auto"/>
              <w:jc w:val="left"/>
              <w:rPr>
                <w:rFonts w:hint="eastAsia" w:hAnsi="宋体" w:eastAsia="宋体" w:cs="宋体"/>
                <w:color w:val="000000" w:themeColor="text1"/>
                <w:sz w:val="24"/>
              </w:rPr>
            </w:pPr>
            <w:r>
              <w:rPr>
                <w:rFonts w:hint="eastAsia" w:hAnsi="宋体" w:eastAsia="宋体" w:cs="宋体"/>
                <w:color w:val="000000" w:themeColor="text1"/>
                <w:sz w:val="24"/>
              </w:rPr>
              <w:t>投标保证金递交截止时间：</w:t>
            </w:r>
            <w:r>
              <w:rPr>
                <w:rFonts w:hint="eastAsia" w:hAnsi="宋体" w:eastAsia="宋体" w:cs="宋体"/>
                <w:b/>
                <w:color w:val="000000" w:themeColor="text1"/>
                <w:sz w:val="24"/>
              </w:rPr>
              <w:t>同投标截止时间</w:t>
            </w:r>
            <w:r>
              <w:rPr>
                <w:rFonts w:hint="eastAsia" w:hAnsi="宋体" w:eastAsia="宋体" w:cs="宋体"/>
                <w:color w:val="000000" w:themeColor="text1"/>
                <w:sz w:val="24"/>
              </w:rPr>
              <w:t>。</w:t>
            </w:r>
          </w:p>
          <w:p>
            <w:pPr>
              <w:autoSpaceDE w:val="0"/>
              <w:autoSpaceDN w:val="0"/>
              <w:adjustRightInd w:val="0"/>
              <w:spacing w:line="276" w:lineRule="auto"/>
              <w:jc w:val="left"/>
              <w:rPr>
                <w:b/>
                <w:bCs/>
                <w:color w:val="000000" w:themeColor="text1"/>
              </w:rPr>
            </w:pPr>
            <w:r>
              <w:rPr>
                <w:b/>
                <w:bCs/>
                <w:color w:val="000000" w:themeColor="text1"/>
              </w:rPr>
              <w:t>金额：肆拾万元整（￥400000.00元）</w:t>
            </w:r>
          </w:p>
          <w:p>
            <w:pPr>
              <w:autoSpaceDE w:val="0"/>
              <w:autoSpaceDN w:val="0"/>
              <w:adjustRightInd w:val="0"/>
              <w:spacing w:line="340" w:lineRule="exact"/>
              <w:rPr>
                <w:rFonts w:hAnsi="宋体" w:cs="宋体"/>
                <w:color w:val="000000" w:themeColor="text1"/>
                <w:sz w:val="24"/>
                <w:lang w:val="zh-CN"/>
              </w:rPr>
            </w:pPr>
            <w:r>
              <w:rPr>
                <w:rFonts w:hint="eastAsia" w:hAnsi="宋体" w:cs="宋体"/>
                <w:color w:val="000000" w:themeColor="text1"/>
                <w:sz w:val="24"/>
                <w:lang w:val="zh-CN"/>
              </w:rPr>
              <w:t>1、投标保证金的递交方式：银行转账、银行电汇、银行保函，不接受以现金方式缴纳的投标保证金。凡以现金方式缴纳投标保证金而影响其投标结果的，由投标人自行负责。</w:t>
            </w:r>
          </w:p>
          <w:p>
            <w:pPr>
              <w:autoSpaceDE w:val="0"/>
              <w:autoSpaceDN w:val="0"/>
              <w:adjustRightInd w:val="0"/>
              <w:spacing w:line="340" w:lineRule="exact"/>
              <w:rPr>
                <w:rFonts w:hAnsi="宋体" w:cs="宋体"/>
                <w:color w:val="000000" w:themeColor="text1"/>
                <w:sz w:val="24"/>
                <w:lang w:val="zh-CN"/>
              </w:rPr>
            </w:pPr>
            <w:r>
              <w:rPr>
                <w:rFonts w:hint="eastAsia" w:hAnsi="宋体" w:cs="宋体"/>
                <w:color w:val="000000" w:themeColor="text1"/>
                <w:sz w:val="24"/>
                <w:lang w:val="zh-CN"/>
              </w:rPr>
              <w:t>使用银行转帐、银行电汇</w:t>
            </w:r>
            <w:r>
              <w:rPr>
                <w:rFonts w:hint="eastAsia" w:hAnsi="宋体" w:eastAsia="Times New Roman" w:cs="宋体"/>
                <w:color w:val="000000" w:themeColor="text1"/>
                <w:sz w:val="24"/>
                <w:lang w:val="zh-CN"/>
              </w:rPr>
              <w:t>方式</w:t>
            </w:r>
            <w:r>
              <w:rPr>
                <w:rFonts w:hint="eastAsia" w:hAnsi="宋体" w:cs="宋体"/>
                <w:color w:val="000000" w:themeColor="text1"/>
                <w:sz w:val="24"/>
                <w:lang w:val="zh-CN"/>
              </w:rPr>
              <w:t>的，于截止时间前通过投标人基本账户将款项一次足额递交、成功绑定，以收款人到账时间为准，在途资金无效。同时投标人应承担节假日银行系统不能支付的风险。</w:t>
            </w:r>
          </w:p>
          <w:p>
            <w:pPr>
              <w:autoSpaceDE w:val="0"/>
              <w:autoSpaceDN w:val="0"/>
              <w:adjustRightInd w:val="0"/>
              <w:spacing w:line="340" w:lineRule="exact"/>
              <w:rPr>
                <w:rFonts w:hAnsi="宋体" w:cs="宋体"/>
                <w:color w:val="000000" w:themeColor="text1"/>
                <w:sz w:val="24"/>
                <w:lang w:val="zh-CN"/>
              </w:rPr>
            </w:pPr>
            <w:r>
              <w:rPr>
                <w:rFonts w:hint="eastAsia" w:hAnsi="宋体" w:cs="宋体"/>
                <w:color w:val="000000" w:themeColor="text1"/>
                <w:sz w:val="24"/>
                <w:lang w:val="zh-CN"/>
              </w:rPr>
              <w:t>使用银行保函方式的，</w:t>
            </w:r>
            <w:r>
              <w:rPr>
                <w:rFonts w:hint="eastAsia" w:hAnsi="宋体" w:cs="宋体"/>
                <w:color w:val="000000" w:themeColor="text1"/>
                <w:sz w:val="24"/>
                <w:lang w:val="en-US" w:eastAsia="zh-CN"/>
              </w:rPr>
              <w:t>投标</w:t>
            </w:r>
            <w:r>
              <w:rPr>
                <w:rFonts w:hint="eastAsia" w:hAnsi="宋体" w:cs="宋体"/>
                <w:color w:val="000000" w:themeColor="text1"/>
                <w:sz w:val="24"/>
                <w:lang w:val="zh-CN"/>
              </w:rPr>
              <w:t>银行保函应明确项目名称、项目编号及标段、受益人（招标人）、有效期（不低于本项目投标有效期）、银行保函担保金额（不低于本项目本标段投标保证金数额）。投标人应将</w:t>
            </w:r>
            <w:r>
              <w:rPr>
                <w:rFonts w:hint="eastAsia" w:hAnsi="宋体" w:cs="宋体"/>
                <w:color w:val="000000" w:themeColor="text1"/>
                <w:sz w:val="24"/>
                <w:lang w:val="en-US" w:eastAsia="zh-CN"/>
              </w:rPr>
              <w:t>真实</w:t>
            </w:r>
            <w:r>
              <w:rPr>
                <w:rFonts w:hint="eastAsia" w:hAnsi="宋体" w:cs="宋体"/>
                <w:color w:val="000000" w:themeColor="text1"/>
                <w:sz w:val="24"/>
                <w:lang w:val="zh-CN"/>
              </w:rPr>
              <w:t>合法的银行保函原件扫描件附于投标文件中，否则视为未按</w:t>
            </w:r>
            <w:r>
              <w:rPr>
                <w:rFonts w:hint="eastAsia" w:hAnsi="宋体" w:cs="宋体"/>
                <w:color w:val="000000" w:themeColor="text1"/>
                <w:sz w:val="24"/>
                <w:lang w:val="en-US" w:eastAsia="zh-CN"/>
              </w:rPr>
              <w:t>规定提交</w:t>
            </w:r>
            <w:r>
              <w:rPr>
                <w:rFonts w:hint="eastAsia" w:hAnsi="宋体" w:cs="宋体"/>
                <w:color w:val="000000" w:themeColor="text1"/>
                <w:sz w:val="24"/>
                <w:lang w:val="zh-CN"/>
              </w:rPr>
              <w:t>。</w:t>
            </w:r>
          </w:p>
          <w:p>
            <w:pPr>
              <w:autoSpaceDE w:val="0"/>
              <w:autoSpaceDN w:val="0"/>
              <w:adjustRightInd w:val="0"/>
              <w:spacing w:line="340" w:lineRule="exact"/>
              <w:rPr>
                <w:rFonts w:hAnsi="宋体" w:cs="宋体"/>
                <w:color w:val="000000" w:themeColor="text1"/>
                <w:sz w:val="24"/>
                <w:lang w:val="zh-CN"/>
              </w:rPr>
            </w:pPr>
            <w:r>
              <w:rPr>
                <w:rFonts w:hint="eastAsia" w:hAnsi="宋体" w:cs="宋体"/>
                <w:color w:val="000000" w:themeColor="text1"/>
                <w:sz w:val="24"/>
                <w:lang w:val="zh-CN"/>
              </w:rPr>
              <w:t>2、投标保证金缴纳方式：</w:t>
            </w:r>
          </w:p>
          <w:p>
            <w:pPr>
              <w:autoSpaceDE w:val="0"/>
              <w:autoSpaceDN w:val="0"/>
              <w:adjustRightInd w:val="0"/>
              <w:spacing w:line="340" w:lineRule="exact"/>
              <w:rPr>
                <w:rFonts w:hAnsi="宋体" w:cs="宋体"/>
                <w:color w:val="000000" w:themeColor="text1"/>
                <w:sz w:val="24"/>
              </w:rPr>
            </w:pPr>
            <w:r>
              <w:rPr>
                <w:rFonts w:hint="eastAsia" w:hAnsi="宋体" w:cs="宋体"/>
                <w:color w:val="000000" w:themeColor="text1"/>
                <w:sz w:val="24"/>
                <w:lang w:val="zh-CN"/>
              </w:rPr>
              <w:t>2.</w:t>
            </w:r>
            <w:r>
              <w:rPr>
                <w:rFonts w:hint="eastAsia" w:hAnsi="宋体" w:cs="宋体"/>
                <w:color w:val="000000" w:themeColor="text1"/>
                <w:sz w:val="24"/>
              </w:rPr>
              <w:t>1</w:t>
            </w:r>
            <w:r>
              <w:rPr>
                <w:rFonts w:hint="eastAsia" w:hAnsi="宋体" w:cs="宋体"/>
                <w:color w:val="000000" w:themeColor="text1"/>
                <w:sz w:val="24"/>
                <w:lang w:val="zh-CN"/>
              </w:rPr>
              <w:t>投标人网上下载招标文件后</w:t>
            </w:r>
            <w:r>
              <w:rPr>
                <w:rFonts w:hint="eastAsia" w:hAnsi="宋体" w:cs="宋体"/>
                <w:color w:val="000000" w:themeColor="text1"/>
                <w:sz w:val="24"/>
              </w:rPr>
              <w:t>，</w:t>
            </w:r>
            <w:r>
              <w:rPr>
                <w:rFonts w:hint="eastAsia" w:hAnsi="宋体" w:cs="宋体"/>
                <w:color w:val="000000" w:themeColor="text1"/>
                <w:sz w:val="24"/>
                <w:lang w:val="zh-CN"/>
              </w:rPr>
              <w:t>登录</w:t>
            </w:r>
            <w:r>
              <w:rPr>
                <w:color w:val="000000" w:themeColor="text1"/>
              </w:rPr>
              <w:fldChar w:fldCharType="begin"/>
            </w:r>
            <w:r>
              <w:rPr>
                <w:color w:val="000000" w:themeColor="text1"/>
              </w:rPr>
              <w:instrText xml:space="preserve"> HYPERLINK "http://221.14.6.70:8088/ggzy" </w:instrText>
            </w:r>
            <w:r>
              <w:rPr>
                <w:color w:val="000000" w:themeColor="text1"/>
              </w:rPr>
              <w:fldChar w:fldCharType="separate"/>
            </w:r>
            <w:r>
              <w:rPr>
                <w:rFonts w:hint="eastAsia" w:hAnsi="宋体" w:cs="宋体"/>
                <w:color w:val="000000" w:themeColor="text1"/>
                <w:sz w:val="24"/>
              </w:rPr>
              <w:t>http://221.14.6.70:8088/ggzy</w:t>
            </w:r>
            <w:r>
              <w:rPr>
                <w:rFonts w:hint="eastAsia" w:hAnsi="宋体" w:cs="宋体"/>
                <w:color w:val="000000" w:themeColor="text1"/>
                <w:sz w:val="24"/>
              </w:rPr>
              <w:fldChar w:fldCharType="end"/>
            </w:r>
            <w:r>
              <w:rPr>
                <w:rFonts w:hint="eastAsia" w:hAnsi="宋体" w:cs="宋体"/>
                <w:color w:val="000000" w:themeColor="text1"/>
                <w:sz w:val="24"/>
                <w:lang w:val="zh-CN"/>
              </w:rPr>
              <w:t>系统</w:t>
            </w:r>
            <w:r>
              <w:rPr>
                <w:rFonts w:hint="eastAsia" w:hAnsi="宋体" w:cs="宋体"/>
                <w:color w:val="000000" w:themeColor="text1"/>
                <w:sz w:val="24"/>
              </w:rPr>
              <w:t>，</w:t>
            </w:r>
            <w:r>
              <w:rPr>
                <w:rFonts w:hint="eastAsia" w:hAnsi="宋体" w:cs="宋体"/>
                <w:color w:val="000000" w:themeColor="text1"/>
                <w:sz w:val="24"/>
                <w:lang w:val="zh-CN"/>
              </w:rPr>
              <w:t>依次点击</w:t>
            </w:r>
            <w:r>
              <w:rPr>
                <w:rFonts w:hint="eastAsia" w:hAnsi="宋体" w:cs="宋体"/>
                <w:color w:val="000000" w:themeColor="text1"/>
                <w:sz w:val="24"/>
              </w:rPr>
              <w:t>“</w:t>
            </w:r>
            <w:r>
              <w:rPr>
                <w:rFonts w:hint="eastAsia" w:hAnsi="宋体" w:cs="宋体"/>
                <w:color w:val="000000" w:themeColor="text1"/>
                <w:sz w:val="24"/>
                <w:lang w:val="zh-CN"/>
              </w:rPr>
              <w:t>会员向导</w:t>
            </w:r>
            <w:r>
              <w:rPr>
                <w:rFonts w:hint="eastAsia" w:hAnsi="宋体" w:cs="宋体"/>
                <w:color w:val="000000" w:themeColor="text1"/>
                <w:sz w:val="24"/>
              </w:rPr>
              <w:t>”→“</w:t>
            </w:r>
            <w:r>
              <w:rPr>
                <w:rFonts w:hint="eastAsia" w:hAnsi="宋体" w:cs="宋体"/>
                <w:color w:val="000000" w:themeColor="text1"/>
                <w:sz w:val="24"/>
                <w:lang w:val="zh-CN"/>
              </w:rPr>
              <w:t>参与投标</w:t>
            </w:r>
            <w:r>
              <w:rPr>
                <w:rFonts w:hint="eastAsia" w:hAnsi="宋体" w:cs="宋体"/>
                <w:color w:val="000000" w:themeColor="text1"/>
                <w:sz w:val="24"/>
              </w:rPr>
              <w:t>”→“</w:t>
            </w:r>
            <w:r>
              <w:rPr>
                <w:rFonts w:hint="eastAsia" w:hAnsi="宋体" w:cs="宋体"/>
                <w:color w:val="000000" w:themeColor="text1"/>
                <w:sz w:val="24"/>
                <w:lang w:val="zh-CN"/>
              </w:rPr>
              <w:t>费用缴纳说明</w:t>
            </w:r>
            <w:r>
              <w:rPr>
                <w:rFonts w:hint="eastAsia" w:hAnsi="宋体" w:cs="宋体"/>
                <w:color w:val="000000" w:themeColor="text1"/>
                <w:sz w:val="24"/>
              </w:rPr>
              <w:t>”→“</w:t>
            </w:r>
            <w:r>
              <w:rPr>
                <w:rFonts w:hint="eastAsia" w:hAnsi="宋体" w:cs="宋体"/>
                <w:color w:val="000000" w:themeColor="text1"/>
                <w:sz w:val="24"/>
                <w:lang w:val="zh-CN"/>
              </w:rPr>
              <w:t>保证金缴纳说明单</w:t>
            </w:r>
            <w:r>
              <w:rPr>
                <w:rFonts w:hint="eastAsia" w:hAnsi="宋体" w:cs="宋体"/>
                <w:color w:val="000000" w:themeColor="text1"/>
                <w:sz w:val="24"/>
              </w:rPr>
              <w:t>”，</w:t>
            </w:r>
            <w:r>
              <w:rPr>
                <w:rFonts w:hint="eastAsia" w:hAnsi="宋体" w:cs="宋体"/>
                <w:color w:val="000000" w:themeColor="text1"/>
                <w:sz w:val="24"/>
                <w:lang w:val="zh-CN"/>
              </w:rPr>
              <w:t>获取缴费说明单</w:t>
            </w:r>
            <w:r>
              <w:rPr>
                <w:rFonts w:hint="eastAsia" w:hAnsi="宋体" w:cs="宋体"/>
                <w:color w:val="000000" w:themeColor="text1"/>
                <w:sz w:val="24"/>
              </w:rPr>
              <w:t>，</w:t>
            </w:r>
            <w:r>
              <w:rPr>
                <w:rFonts w:hint="eastAsia" w:hAnsi="宋体" w:cs="宋体"/>
                <w:color w:val="000000" w:themeColor="text1"/>
                <w:sz w:val="24"/>
                <w:lang w:val="zh-CN"/>
              </w:rPr>
              <w:t>根据每个标段的缴纳说明单在缴纳截止时间前缴纳</w:t>
            </w:r>
            <w:r>
              <w:rPr>
                <w:rFonts w:hint="eastAsia" w:hAnsi="宋体" w:cs="宋体"/>
                <w:color w:val="000000" w:themeColor="text1"/>
                <w:sz w:val="24"/>
              </w:rPr>
              <w:t>；</w:t>
            </w:r>
          </w:p>
          <w:p>
            <w:pPr>
              <w:autoSpaceDE w:val="0"/>
              <w:autoSpaceDN w:val="0"/>
              <w:adjustRightInd w:val="0"/>
              <w:spacing w:line="340" w:lineRule="exact"/>
              <w:rPr>
                <w:rFonts w:hAnsi="宋体" w:cs="宋体"/>
                <w:color w:val="000000" w:themeColor="text1"/>
                <w:sz w:val="24"/>
                <w:lang w:val="zh-CN"/>
              </w:rPr>
            </w:pPr>
            <w:r>
              <w:rPr>
                <w:rFonts w:hint="eastAsia" w:hAnsi="宋体" w:cs="宋体"/>
                <w:color w:val="000000" w:themeColor="text1"/>
                <w:sz w:val="24"/>
              </w:rPr>
              <w:t>2.2</w:t>
            </w:r>
            <w:r>
              <w:rPr>
                <w:rFonts w:hint="eastAsia" w:hAnsi="宋体" w:cs="宋体"/>
                <w:color w:val="000000" w:themeColor="text1"/>
                <w:sz w:val="24"/>
                <w:lang w:val="zh-CN"/>
              </w:rPr>
              <w:t>成功缴纳后</w:t>
            </w:r>
            <w:r>
              <w:rPr>
                <w:rFonts w:hint="eastAsia" w:hAnsi="宋体" w:cs="宋体"/>
                <w:color w:val="000000" w:themeColor="text1"/>
                <w:sz w:val="24"/>
                <w:lang w:val="en-US" w:eastAsia="zh-CN"/>
              </w:rPr>
              <w:t>再次</w:t>
            </w:r>
            <w:r>
              <w:rPr>
                <w:rFonts w:hint="eastAsia" w:hAnsi="宋体" w:cs="宋体"/>
                <w:color w:val="000000" w:themeColor="text1"/>
                <w:sz w:val="24"/>
                <w:lang w:val="zh-CN"/>
              </w:rPr>
              <w:t>登录前述系统</w:t>
            </w:r>
            <w:r>
              <w:rPr>
                <w:rFonts w:hint="eastAsia" w:hAnsi="宋体" w:cs="宋体"/>
                <w:color w:val="000000" w:themeColor="text1"/>
                <w:sz w:val="24"/>
              </w:rPr>
              <w:t>，</w:t>
            </w:r>
            <w:r>
              <w:rPr>
                <w:rFonts w:hint="eastAsia" w:hAnsi="宋体" w:cs="宋体"/>
                <w:color w:val="000000" w:themeColor="text1"/>
                <w:sz w:val="24"/>
                <w:lang w:val="zh-CN"/>
              </w:rPr>
              <w:t>依次点击</w:t>
            </w:r>
            <w:r>
              <w:rPr>
                <w:rFonts w:hint="eastAsia" w:hAnsi="宋体" w:cs="宋体"/>
                <w:color w:val="000000" w:themeColor="text1"/>
                <w:sz w:val="24"/>
              </w:rPr>
              <w:t>“</w:t>
            </w:r>
            <w:r>
              <w:rPr>
                <w:rFonts w:hint="eastAsia" w:hAnsi="宋体" w:cs="宋体"/>
                <w:color w:val="000000" w:themeColor="text1"/>
                <w:sz w:val="24"/>
                <w:lang w:val="zh-CN"/>
              </w:rPr>
              <w:t>会员向导</w:t>
            </w:r>
            <w:r>
              <w:rPr>
                <w:rFonts w:hint="eastAsia" w:hAnsi="宋体" w:cs="宋体"/>
                <w:color w:val="000000" w:themeColor="text1"/>
                <w:sz w:val="24"/>
              </w:rPr>
              <w:t>”→“</w:t>
            </w:r>
            <w:r>
              <w:rPr>
                <w:rFonts w:hint="eastAsia" w:hAnsi="宋体" w:cs="宋体"/>
                <w:color w:val="000000" w:themeColor="text1"/>
                <w:sz w:val="24"/>
                <w:lang w:val="zh-CN"/>
              </w:rPr>
              <w:t>参与投标</w:t>
            </w:r>
            <w:r>
              <w:rPr>
                <w:rFonts w:hint="eastAsia" w:hAnsi="宋体" w:cs="宋体"/>
                <w:color w:val="000000" w:themeColor="text1"/>
                <w:sz w:val="24"/>
              </w:rPr>
              <w:t>”→“</w:t>
            </w:r>
            <w:r>
              <w:rPr>
                <w:rFonts w:hint="eastAsia" w:hAnsi="宋体" w:cs="宋体"/>
                <w:color w:val="000000" w:themeColor="text1"/>
                <w:sz w:val="24"/>
                <w:lang w:val="zh-CN"/>
              </w:rPr>
              <w:t>保证金绑定</w:t>
            </w:r>
            <w:r>
              <w:rPr>
                <w:rFonts w:hint="eastAsia" w:hAnsi="宋体" w:cs="宋体"/>
                <w:color w:val="000000" w:themeColor="text1"/>
                <w:sz w:val="24"/>
              </w:rPr>
              <w:t>”→“</w:t>
            </w:r>
            <w:r>
              <w:rPr>
                <w:rFonts w:hint="eastAsia" w:hAnsi="宋体" w:cs="宋体"/>
                <w:color w:val="000000" w:themeColor="text1"/>
                <w:sz w:val="24"/>
                <w:lang w:val="zh-CN"/>
              </w:rPr>
              <w:t>绑定</w:t>
            </w:r>
            <w:r>
              <w:rPr>
                <w:rFonts w:hint="eastAsia" w:hAnsi="宋体" w:cs="宋体"/>
                <w:color w:val="000000" w:themeColor="text1"/>
                <w:sz w:val="24"/>
              </w:rPr>
              <w:t>”</w:t>
            </w:r>
            <w:r>
              <w:rPr>
                <w:rFonts w:hint="eastAsia" w:hAnsi="宋体" w:cs="宋体"/>
                <w:color w:val="000000" w:themeColor="text1"/>
                <w:sz w:val="24"/>
                <w:lang w:val="zh-CN"/>
              </w:rPr>
              <w:t>进行投标保证金绑定。未绑定标段的投标保证金，视为未按</w:t>
            </w:r>
            <w:r>
              <w:rPr>
                <w:rFonts w:hint="eastAsia" w:hAnsi="宋体" w:cs="宋体"/>
                <w:color w:val="000000" w:themeColor="text1"/>
                <w:sz w:val="24"/>
                <w:lang w:val="en-US" w:eastAsia="zh-CN"/>
              </w:rPr>
              <w:t>规定提交</w:t>
            </w:r>
            <w:r>
              <w:rPr>
                <w:rFonts w:hint="eastAsia" w:hAnsi="宋体" w:cs="宋体"/>
                <w:color w:val="000000" w:themeColor="text1"/>
                <w:sz w:val="24"/>
                <w:lang w:val="zh-CN"/>
              </w:rPr>
              <w:t>。</w:t>
            </w:r>
          </w:p>
          <w:p>
            <w:pPr>
              <w:autoSpaceDE w:val="0"/>
              <w:autoSpaceDN w:val="0"/>
              <w:adjustRightInd w:val="0"/>
              <w:spacing w:line="340" w:lineRule="exact"/>
              <w:rPr>
                <w:rFonts w:hAnsi="宋体" w:cs="宋体"/>
                <w:color w:val="000000" w:themeColor="text1"/>
                <w:sz w:val="24"/>
                <w:lang w:val="zh-CN"/>
              </w:rPr>
            </w:pPr>
            <w:r>
              <w:rPr>
                <w:rFonts w:hint="eastAsia" w:hAnsi="宋体" w:cs="宋体"/>
                <w:color w:val="000000" w:themeColor="text1"/>
                <w:sz w:val="24"/>
                <w:lang w:val="zh-CN"/>
              </w:rPr>
              <w:t>2.3投标人成功绑定投标保证金，将缴纳凭证</w:t>
            </w:r>
            <w:r>
              <w:rPr>
                <w:rFonts w:hint="eastAsia" w:hAnsi="宋体" w:cs="宋体"/>
                <w:color w:val="000000" w:themeColor="text1"/>
                <w:sz w:val="24"/>
                <w:lang w:val="en-US" w:eastAsia="zh-CN"/>
              </w:rPr>
              <w:t>即本项目投保保证金</w:t>
            </w:r>
            <w:r>
              <w:rPr>
                <w:rFonts w:hint="eastAsia" w:hAnsi="宋体" w:cs="宋体"/>
                <w:color w:val="000000" w:themeColor="text1"/>
                <w:sz w:val="24"/>
                <w:lang w:val="zh-CN"/>
              </w:rPr>
              <w:t>“许昌公共资源交易中心保证金缴纳回执”附于投标文件中，</w:t>
            </w:r>
            <w:r>
              <w:rPr>
                <w:rFonts w:hint="eastAsia" w:hAnsi="宋体" w:cs="宋体"/>
                <w:color w:val="000000" w:themeColor="text1"/>
                <w:sz w:val="24"/>
                <w:lang w:val="en-US" w:eastAsia="zh-CN"/>
              </w:rPr>
              <w:t>否则视为未按规定提交。</w:t>
            </w:r>
          </w:p>
          <w:p>
            <w:pPr>
              <w:autoSpaceDE w:val="0"/>
              <w:autoSpaceDN w:val="0"/>
              <w:adjustRightInd w:val="0"/>
              <w:spacing w:line="340" w:lineRule="exact"/>
              <w:rPr>
                <w:rFonts w:hAnsi="宋体" w:cs="宋体"/>
                <w:color w:val="000000" w:themeColor="text1"/>
                <w:sz w:val="24"/>
                <w:lang w:val="zh-CN"/>
              </w:rPr>
            </w:pPr>
            <w:r>
              <w:rPr>
                <w:rFonts w:hint="eastAsia" w:hAnsi="宋体" w:cs="宋体"/>
                <w:color w:val="000000" w:themeColor="text1"/>
                <w:sz w:val="24"/>
                <w:lang w:val="zh-CN"/>
              </w:rPr>
              <w:t>2.4每个投标人每个项目每个标段只有唯一缴纳账号，</w:t>
            </w:r>
            <w:r>
              <w:rPr>
                <w:rFonts w:hint="eastAsia" w:hAnsi="宋体" w:cs="宋体"/>
                <w:color w:val="000000" w:themeColor="text1"/>
                <w:sz w:val="24"/>
              </w:rPr>
              <w:t>切勿重复缴纳或错误缴纳。</w:t>
            </w:r>
          </w:p>
          <w:p>
            <w:pPr>
              <w:autoSpaceDE w:val="0"/>
              <w:autoSpaceDN w:val="0"/>
              <w:adjustRightInd w:val="0"/>
              <w:spacing w:line="340" w:lineRule="exact"/>
              <w:rPr>
                <w:rFonts w:hAnsi="宋体" w:cs="宋体"/>
                <w:color w:val="000000" w:themeColor="text1"/>
                <w:sz w:val="24"/>
              </w:rPr>
            </w:pPr>
            <w:r>
              <w:rPr>
                <w:rFonts w:hint="eastAsia" w:hAnsi="宋体" w:cs="宋体"/>
                <w:color w:val="000000" w:themeColor="text1"/>
                <w:sz w:val="24"/>
              </w:rPr>
              <w:t>3、未按上述规定操作引起的无效投标，由投标人自行负责。</w:t>
            </w:r>
          </w:p>
          <w:p>
            <w:pPr>
              <w:autoSpaceDE w:val="0"/>
              <w:autoSpaceDN w:val="0"/>
              <w:adjustRightInd w:val="0"/>
              <w:spacing w:line="340" w:lineRule="exact"/>
              <w:rPr>
                <w:rFonts w:hAnsi="宋体" w:cs="宋体"/>
                <w:color w:val="000000" w:themeColor="text1"/>
                <w:sz w:val="24"/>
                <w:lang w:val="zh-CN"/>
              </w:rPr>
            </w:pPr>
            <w:r>
              <w:rPr>
                <w:rFonts w:hint="eastAsia" w:hAnsi="宋体" w:cs="宋体"/>
                <w:color w:val="000000" w:themeColor="text1"/>
                <w:sz w:val="24"/>
                <w:lang w:val="zh-CN"/>
              </w:rPr>
              <w:t>4、汇款凭证无须备注项目编号和项目名称。</w:t>
            </w:r>
          </w:p>
          <w:p>
            <w:pPr>
              <w:autoSpaceDE w:val="0"/>
              <w:autoSpaceDN w:val="0"/>
              <w:adjustRightInd w:val="0"/>
              <w:spacing w:line="340" w:lineRule="exact"/>
              <w:rPr>
                <w:rFonts w:hAnsi="宋体" w:cs="宋体"/>
                <w:color w:val="000000" w:themeColor="text1"/>
                <w:sz w:val="24"/>
              </w:rPr>
            </w:pPr>
            <w:r>
              <w:rPr>
                <w:rFonts w:hint="eastAsia" w:hAnsi="宋体" w:cs="宋体"/>
                <w:color w:val="000000" w:themeColor="text1"/>
                <w:sz w:val="24"/>
              </w:rPr>
              <w:t>5、出现以下情形造成的投标保证金无效，由投标人自行负责。</w:t>
            </w:r>
          </w:p>
          <w:p>
            <w:pPr>
              <w:autoSpaceDE w:val="0"/>
              <w:autoSpaceDN w:val="0"/>
              <w:adjustRightInd w:val="0"/>
              <w:spacing w:line="340" w:lineRule="exact"/>
              <w:rPr>
                <w:rFonts w:hAnsi="宋体" w:cs="宋体"/>
                <w:color w:val="000000" w:themeColor="text1"/>
                <w:sz w:val="24"/>
              </w:rPr>
            </w:pPr>
            <w:r>
              <w:rPr>
                <w:rFonts w:hint="eastAsia" w:hAnsi="宋体" w:cs="宋体"/>
                <w:color w:val="000000" w:themeColor="text1"/>
                <w:sz w:val="24"/>
              </w:rPr>
              <w:t>(1)投标保证金未从投标人的基本账户转出；</w:t>
            </w:r>
          </w:p>
          <w:p>
            <w:pPr>
              <w:autoSpaceDE w:val="0"/>
              <w:autoSpaceDN w:val="0"/>
              <w:adjustRightInd w:val="0"/>
              <w:spacing w:line="340" w:lineRule="exact"/>
              <w:rPr>
                <w:rFonts w:hAnsi="宋体" w:cs="宋体"/>
                <w:color w:val="000000" w:themeColor="text1"/>
                <w:sz w:val="24"/>
              </w:rPr>
            </w:pPr>
            <w:r>
              <w:rPr>
                <w:rFonts w:hint="eastAsia" w:hAnsi="宋体" w:cs="宋体"/>
                <w:color w:val="000000" w:themeColor="text1"/>
                <w:sz w:val="24"/>
              </w:rPr>
              <w:t>(2)投标保证金未按照招标文件划分的标段转账。</w:t>
            </w:r>
          </w:p>
          <w:p>
            <w:pPr>
              <w:autoSpaceDE w:val="0"/>
              <w:autoSpaceDN w:val="0"/>
              <w:adjustRightInd w:val="0"/>
              <w:spacing w:line="340" w:lineRule="exact"/>
              <w:rPr>
                <w:rFonts w:hAnsi="宋体" w:cs="宋体"/>
                <w:color w:val="000000" w:themeColor="text1"/>
                <w:sz w:val="24"/>
                <w:lang w:val="zh-CN"/>
              </w:rPr>
            </w:pPr>
            <w:r>
              <w:rPr>
                <w:rFonts w:hint="eastAsia" w:hAnsi="宋体" w:cs="宋体"/>
                <w:color w:val="000000" w:themeColor="text1"/>
                <w:sz w:val="24"/>
                <w:lang w:val="zh-CN"/>
              </w:rPr>
              <w:t>6、《保证金缴纳绑定操作指南》获取方法：</w:t>
            </w:r>
          </w:p>
          <w:p>
            <w:pPr>
              <w:autoSpaceDE w:val="0"/>
              <w:autoSpaceDN w:val="0"/>
              <w:adjustRightInd w:val="0"/>
              <w:spacing w:line="420" w:lineRule="exact"/>
              <w:jc w:val="left"/>
              <w:rPr>
                <w:rFonts w:hAnsi="宋体" w:cs="宋体"/>
                <w:color w:val="000000" w:themeColor="text1"/>
                <w:sz w:val="24"/>
                <w:lang w:val="zh-CN"/>
              </w:rPr>
            </w:pPr>
            <w:r>
              <w:rPr>
                <w:rFonts w:hint="eastAsia" w:hAnsi="宋体" w:cs="宋体"/>
                <w:color w:val="000000" w:themeColor="text1"/>
                <w:sz w:val="24"/>
                <w:lang w:val="zh-CN"/>
              </w:rPr>
              <w:t>登录许昌公共资源交易系统-组件下载-《保证金缴纳绑定操作指南》。</w:t>
            </w:r>
          </w:p>
          <w:p>
            <w:pPr>
              <w:pStyle w:val="48"/>
              <w:spacing w:after="160"/>
              <w:rPr>
                <w:color w:val="000000" w:themeColor="text1"/>
              </w:rPr>
            </w:pPr>
            <w:r>
              <w:rPr>
                <w:rFonts w:hint="eastAsia" w:hAnsi="宋体" w:cs="宋体"/>
                <w:color w:val="000000" w:themeColor="text1"/>
                <w:sz w:val="24"/>
              </w:rPr>
              <w:t>7、</w:t>
            </w:r>
            <w:r>
              <w:rPr>
                <w:rFonts w:hint="eastAsia" w:hAnsi="宋体" w:cs="宋体"/>
                <w:color w:val="000000" w:themeColor="text1"/>
                <w:sz w:val="24"/>
                <w:lang w:val="zh-CN"/>
              </w:rPr>
              <w:t>凡投标人投标保证金交纳至同一标段相同子账号的，保证金暂不予退还，并依照《许昌市公共资源交易当事人不良行为管理暂行办法》（许公管委〔2017〕1号）规定，进行调查、认定、记录、公示、公告。对涉嫌串通投标等违规行为的，经调查核实后，记录不良行为，移交有关部门进行查处</w:t>
            </w:r>
            <w:r>
              <w:rPr>
                <w:rFonts w:hint="eastAsia" w:hAnsi="宋体" w:eastAsia="宋体" w:cs="宋体"/>
                <w:color w:val="000000" w:themeColor="text1"/>
                <w:sz w:val="24"/>
                <w:lang w:val="zh-CN"/>
              </w:rPr>
              <w:t>。</w:t>
            </w:r>
            <w:r>
              <w:rPr>
                <w:rFonts w:hint="eastAsia" w:hAnsi="宋体" w:cs="宋体"/>
                <w:color w:val="000000" w:themeColor="text1"/>
                <w:sz w:val="24"/>
                <w:lang w:val="zh-CN"/>
              </w:rPr>
              <w:t>不予退还的保证金上缴国库。</w:t>
            </w:r>
          </w:p>
        </w:tc>
      </w:tr>
      <w:tr>
        <w:tblPrEx>
          <w:tblCellMar>
            <w:top w:w="0" w:type="dxa"/>
            <w:left w:w="108" w:type="dxa"/>
            <w:bottom w:w="0" w:type="dxa"/>
            <w:right w:w="108" w:type="dxa"/>
          </w:tblCellMar>
        </w:tblPrEx>
        <w:trPr>
          <w:jc w:val="center"/>
        </w:trPr>
        <w:tc>
          <w:tcPr>
            <w:tcW w:w="1066" w:type="dxa"/>
            <w:gridSpan w:val="6"/>
            <w:tcBorders>
              <w:top w:val="single" w:color="auto" w:sz="4" w:space="0"/>
              <w:left w:val="single" w:color="auto" w:sz="4" w:space="0"/>
              <w:bottom w:val="single" w:color="auto" w:sz="4" w:space="0"/>
              <w:right w:val="single" w:color="auto" w:sz="4" w:space="0"/>
            </w:tcBorders>
            <w:vAlign w:val="center"/>
          </w:tcPr>
          <w:p>
            <w:pPr>
              <w:spacing w:after="160" w:line="400" w:lineRule="atLeast"/>
              <w:jc w:val="center"/>
              <w:rPr>
                <w:rFonts w:ascii="宋体" w:hAnsi="宋体" w:eastAsia="宋体"/>
                <w:color w:val="000000" w:themeColor="text1"/>
              </w:rPr>
            </w:pPr>
            <w:r>
              <w:rPr>
                <w:rFonts w:ascii="宋体" w:hAnsi="宋体" w:eastAsia="宋体"/>
                <w:color w:val="000000" w:themeColor="text1"/>
              </w:rPr>
              <w:t>3.5.1</w:t>
            </w:r>
          </w:p>
        </w:tc>
        <w:tc>
          <w:tcPr>
            <w:tcW w:w="2311" w:type="dxa"/>
            <w:gridSpan w:val="2"/>
            <w:tcBorders>
              <w:top w:val="single" w:color="auto" w:sz="4" w:space="0"/>
              <w:left w:val="single" w:color="auto" w:sz="4" w:space="0"/>
              <w:bottom w:val="single" w:color="auto" w:sz="4" w:space="0"/>
              <w:right w:val="single" w:color="auto" w:sz="4" w:space="0"/>
            </w:tcBorders>
            <w:vAlign w:val="center"/>
          </w:tcPr>
          <w:p>
            <w:pPr>
              <w:spacing w:after="160" w:line="360" w:lineRule="auto"/>
              <w:jc w:val="center"/>
              <w:rPr>
                <w:rFonts w:ascii="宋体" w:hAnsi="宋体" w:eastAsia="宋体"/>
                <w:color w:val="000000" w:themeColor="text1"/>
              </w:rPr>
            </w:pPr>
            <w:r>
              <w:rPr>
                <w:rFonts w:ascii="宋体" w:hAnsi="宋体" w:eastAsia="宋体"/>
                <w:color w:val="000000" w:themeColor="text1"/>
              </w:rPr>
              <w:t>近年财务状况的年份要求</w:t>
            </w:r>
          </w:p>
        </w:tc>
        <w:tc>
          <w:tcPr>
            <w:tcW w:w="558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360" w:lineRule="auto"/>
              <w:ind w:left="2"/>
              <w:jc w:val="left"/>
              <w:rPr>
                <w:rFonts w:ascii="宋体" w:hAnsi="宋体" w:eastAsia="宋体"/>
                <w:color w:val="000000" w:themeColor="text1"/>
              </w:rPr>
            </w:pPr>
            <w:r>
              <w:rPr>
                <w:rFonts w:ascii="Times New Roman" w:hAnsi="Times New Roman"/>
                <w:color w:val="000000" w:themeColor="text1"/>
              </w:rPr>
              <w:t>提供近三年度财务审计报告（2016、2017、2018）</w:t>
            </w:r>
          </w:p>
        </w:tc>
      </w:tr>
      <w:tr>
        <w:tblPrEx>
          <w:tblCellMar>
            <w:top w:w="0" w:type="dxa"/>
            <w:left w:w="108" w:type="dxa"/>
            <w:bottom w:w="0" w:type="dxa"/>
            <w:right w:w="108" w:type="dxa"/>
          </w:tblCellMar>
        </w:tblPrEx>
        <w:trPr>
          <w:trHeight w:val="90" w:hRule="atLeast"/>
          <w:jc w:val="center"/>
        </w:trPr>
        <w:tc>
          <w:tcPr>
            <w:tcW w:w="1066" w:type="dxa"/>
            <w:gridSpan w:val="6"/>
            <w:tcBorders>
              <w:top w:val="single" w:color="auto" w:sz="4" w:space="0"/>
              <w:left w:val="single" w:color="auto" w:sz="4" w:space="0"/>
              <w:bottom w:val="single" w:color="auto" w:sz="4" w:space="0"/>
              <w:right w:val="single" w:color="auto" w:sz="4" w:space="0"/>
            </w:tcBorders>
            <w:vAlign w:val="center"/>
          </w:tcPr>
          <w:p>
            <w:pPr>
              <w:spacing w:after="160" w:line="400" w:lineRule="atLeast"/>
              <w:jc w:val="center"/>
              <w:rPr>
                <w:rFonts w:ascii="宋体" w:hAnsi="宋体" w:eastAsia="宋体"/>
                <w:color w:val="000000" w:themeColor="text1"/>
              </w:rPr>
            </w:pPr>
            <w:r>
              <w:rPr>
                <w:rFonts w:ascii="宋体" w:hAnsi="宋体" w:eastAsia="宋体"/>
                <w:color w:val="000000" w:themeColor="text1"/>
              </w:rPr>
              <w:t>3.5.2</w:t>
            </w:r>
          </w:p>
        </w:tc>
        <w:tc>
          <w:tcPr>
            <w:tcW w:w="2311"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360" w:lineRule="auto"/>
              <w:jc w:val="center"/>
              <w:rPr>
                <w:rFonts w:ascii="宋体" w:hAnsi="宋体" w:eastAsia="宋体"/>
                <w:color w:val="000000" w:themeColor="text1"/>
              </w:rPr>
            </w:pPr>
            <w:r>
              <w:rPr>
                <w:rFonts w:ascii="宋体" w:hAnsi="宋体" w:eastAsia="宋体"/>
                <w:color w:val="000000" w:themeColor="text1"/>
              </w:rPr>
              <w:t>近年完成的类似项目的年份要求</w:t>
            </w:r>
          </w:p>
        </w:tc>
        <w:tc>
          <w:tcPr>
            <w:tcW w:w="558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360" w:lineRule="auto"/>
              <w:rPr>
                <w:rFonts w:ascii="宋体" w:hAnsi="宋体" w:eastAsia="宋体"/>
                <w:color w:val="000000" w:themeColor="text1"/>
              </w:rPr>
            </w:pPr>
            <w:r>
              <w:rPr>
                <w:rFonts w:ascii="宋体" w:hAnsi="宋体" w:eastAsia="宋体"/>
                <w:color w:val="000000" w:themeColor="text1"/>
              </w:rPr>
              <w:t>近年，指2016年1月1日至今。</w:t>
            </w:r>
          </w:p>
        </w:tc>
      </w:tr>
      <w:tr>
        <w:tblPrEx>
          <w:tblCellMar>
            <w:top w:w="0" w:type="dxa"/>
            <w:left w:w="108" w:type="dxa"/>
            <w:bottom w:w="0" w:type="dxa"/>
            <w:right w:w="108" w:type="dxa"/>
          </w:tblCellMar>
        </w:tblPrEx>
        <w:trPr>
          <w:jc w:val="center"/>
        </w:trPr>
        <w:tc>
          <w:tcPr>
            <w:tcW w:w="1066" w:type="dxa"/>
            <w:gridSpan w:val="6"/>
            <w:tcBorders>
              <w:top w:val="single" w:color="auto" w:sz="4" w:space="0"/>
              <w:left w:val="single" w:color="auto" w:sz="4" w:space="0"/>
              <w:bottom w:val="single" w:color="auto" w:sz="4" w:space="0"/>
              <w:right w:val="single" w:color="auto" w:sz="4" w:space="0"/>
            </w:tcBorders>
            <w:vAlign w:val="center"/>
          </w:tcPr>
          <w:p>
            <w:pPr>
              <w:spacing w:after="160" w:line="400" w:lineRule="atLeast"/>
              <w:jc w:val="center"/>
              <w:rPr>
                <w:rFonts w:ascii="宋体" w:hAnsi="宋体" w:eastAsia="宋体"/>
                <w:color w:val="000000" w:themeColor="text1"/>
              </w:rPr>
            </w:pPr>
            <w:r>
              <w:rPr>
                <w:rFonts w:ascii="宋体" w:hAnsi="宋体" w:eastAsia="宋体"/>
                <w:color w:val="000000" w:themeColor="text1"/>
              </w:rPr>
              <w:t>3.5.3</w:t>
            </w:r>
          </w:p>
        </w:tc>
        <w:tc>
          <w:tcPr>
            <w:tcW w:w="2311" w:type="dxa"/>
            <w:gridSpan w:val="2"/>
            <w:tcBorders>
              <w:top w:val="single" w:color="auto" w:sz="4" w:space="0"/>
              <w:left w:val="single" w:color="auto" w:sz="4" w:space="0"/>
              <w:bottom w:val="single" w:color="auto" w:sz="4" w:space="0"/>
              <w:right w:val="single" w:color="auto" w:sz="4" w:space="0"/>
            </w:tcBorders>
            <w:vAlign w:val="center"/>
          </w:tcPr>
          <w:p>
            <w:pPr>
              <w:spacing w:after="160" w:line="360" w:lineRule="auto"/>
              <w:jc w:val="center"/>
              <w:rPr>
                <w:rFonts w:ascii="宋体" w:hAnsi="宋体" w:eastAsia="宋体"/>
                <w:color w:val="000000" w:themeColor="text1"/>
              </w:rPr>
            </w:pPr>
            <w:r>
              <w:rPr>
                <w:rFonts w:ascii="宋体" w:hAnsi="宋体" w:eastAsia="宋体"/>
                <w:color w:val="000000" w:themeColor="text1"/>
              </w:rPr>
              <w:t>近年发生的诉讼及仲裁情况的年份要求</w:t>
            </w:r>
          </w:p>
        </w:tc>
        <w:tc>
          <w:tcPr>
            <w:tcW w:w="558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360" w:lineRule="auto"/>
              <w:rPr>
                <w:rFonts w:ascii="宋体" w:hAnsi="宋体" w:eastAsia="宋体"/>
                <w:color w:val="000000" w:themeColor="text1"/>
              </w:rPr>
            </w:pPr>
            <w:r>
              <w:rPr>
                <w:rFonts w:ascii="宋体" w:hAnsi="宋体" w:eastAsia="宋体"/>
                <w:color w:val="000000" w:themeColor="text1"/>
              </w:rPr>
              <w:t>近年，指2016年1月1日至今。</w:t>
            </w:r>
          </w:p>
        </w:tc>
      </w:tr>
      <w:tr>
        <w:tblPrEx>
          <w:tblCellMar>
            <w:top w:w="0" w:type="dxa"/>
            <w:left w:w="108" w:type="dxa"/>
            <w:bottom w:w="0" w:type="dxa"/>
            <w:right w:w="108" w:type="dxa"/>
          </w:tblCellMar>
        </w:tblPrEx>
        <w:trPr>
          <w:jc w:val="center"/>
        </w:trPr>
        <w:tc>
          <w:tcPr>
            <w:tcW w:w="1066"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center"/>
              <w:rPr>
                <w:rFonts w:ascii="宋体" w:hAnsi="宋体" w:eastAsia="宋体"/>
                <w:color w:val="000000" w:themeColor="text1"/>
              </w:rPr>
            </w:pPr>
            <w:r>
              <w:rPr>
                <w:rFonts w:ascii="宋体" w:hAnsi="宋体" w:eastAsia="宋体"/>
                <w:color w:val="000000" w:themeColor="text1"/>
              </w:rPr>
              <w:t>3.6.1</w:t>
            </w:r>
          </w:p>
        </w:tc>
        <w:tc>
          <w:tcPr>
            <w:tcW w:w="2311" w:type="dxa"/>
            <w:gridSpan w:val="2"/>
            <w:tcBorders>
              <w:top w:val="single" w:color="auto" w:sz="4" w:space="0"/>
              <w:left w:val="single" w:color="auto" w:sz="4" w:space="0"/>
              <w:bottom w:val="single" w:color="auto" w:sz="4" w:space="0"/>
              <w:right w:val="single" w:color="auto" w:sz="4" w:space="0"/>
            </w:tcBorders>
            <w:vAlign w:val="center"/>
          </w:tcPr>
          <w:p>
            <w:pPr>
              <w:spacing w:after="160" w:line="360" w:lineRule="auto"/>
              <w:jc w:val="center"/>
              <w:rPr>
                <w:rFonts w:ascii="宋体" w:hAnsi="宋体" w:eastAsia="宋体"/>
                <w:color w:val="000000" w:themeColor="text1"/>
              </w:rPr>
            </w:pPr>
            <w:r>
              <w:rPr>
                <w:rFonts w:ascii="宋体" w:hAnsi="宋体" w:eastAsia="宋体"/>
                <w:color w:val="000000" w:themeColor="text1"/>
              </w:rPr>
              <w:t>是否允许递交备选投标方案</w:t>
            </w:r>
          </w:p>
        </w:tc>
        <w:tc>
          <w:tcPr>
            <w:tcW w:w="558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360" w:lineRule="auto"/>
              <w:rPr>
                <w:rFonts w:ascii="宋体" w:hAnsi="宋体" w:eastAsia="宋体"/>
                <w:color w:val="000000" w:themeColor="text1"/>
              </w:rPr>
            </w:pPr>
            <w:r>
              <w:rPr>
                <w:rFonts w:ascii="宋体" w:hAnsi="宋体" w:eastAsia="宋体"/>
                <w:color w:val="000000" w:themeColor="text1"/>
              </w:rPr>
              <w:t>不允许</w:t>
            </w:r>
          </w:p>
        </w:tc>
      </w:tr>
      <w:tr>
        <w:tblPrEx>
          <w:tblCellMar>
            <w:top w:w="0" w:type="dxa"/>
            <w:left w:w="108" w:type="dxa"/>
            <w:bottom w:w="0" w:type="dxa"/>
            <w:right w:w="108" w:type="dxa"/>
          </w:tblCellMar>
        </w:tblPrEx>
        <w:trPr>
          <w:jc w:val="center"/>
        </w:trPr>
        <w:tc>
          <w:tcPr>
            <w:tcW w:w="1066"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center"/>
              <w:rPr>
                <w:rFonts w:ascii="宋体" w:hAnsi="宋体" w:eastAsia="宋体"/>
                <w:color w:val="000000" w:themeColor="text1"/>
              </w:rPr>
            </w:pPr>
            <w:r>
              <w:rPr>
                <w:rFonts w:ascii="宋体" w:hAnsi="宋体" w:eastAsia="宋体"/>
                <w:color w:val="000000" w:themeColor="text1"/>
              </w:rPr>
              <w:t>3.7.1</w:t>
            </w:r>
          </w:p>
        </w:tc>
        <w:tc>
          <w:tcPr>
            <w:tcW w:w="2311" w:type="dxa"/>
            <w:gridSpan w:val="2"/>
            <w:tcBorders>
              <w:top w:val="single" w:color="auto" w:sz="4" w:space="0"/>
              <w:left w:val="single" w:color="auto" w:sz="4" w:space="0"/>
              <w:bottom w:val="single" w:color="auto" w:sz="4" w:space="0"/>
              <w:right w:val="single" w:color="auto" w:sz="4" w:space="0"/>
            </w:tcBorders>
            <w:vAlign w:val="center"/>
          </w:tcPr>
          <w:p>
            <w:pPr>
              <w:spacing w:after="160" w:line="360" w:lineRule="auto"/>
              <w:jc w:val="center"/>
              <w:rPr>
                <w:rFonts w:ascii="宋体" w:hAnsi="宋体" w:eastAsia="宋体"/>
                <w:color w:val="000000" w:themeColor="text1"/>
              </w:rPr>
            </w:pPr>
            <w:r>
              <w:rPr>
                <w:rFonts w:ascii="宋体" w:hAnsi="宋体" w:eastAsia="宋体"/>
                <w:color w:val="000000" w:themeColor="text1"/>
              </w:rPr>
              <w:t>签字或盖章要求</w:t>
            </w:r>
          </w:p>
        </w:tc>
        <w:tc>
          <w:tcPr>
            <w:tcW w:w="558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360" w:lineRule="exact"/>
              <w:rPr>
                <w:rFonts w:ascii="宋体" w:hAnsi="宋体" w:eastAsia="宋体"/>
                <w:color w:val="000000" w:themeColor="text1"/>
              </w:rPr>
            </w:pPr>
            <w:r>
              <w:rPr>
                <w:rFonts w:ascii="宋体" w:hAnsi="宋体" w:eastAsia="宋体"/>
                <w:color w:val="000000" w:themeColor="text1"/>
              </w:rPr>
              <w:t>电子投标文件：按招标文件要求加盖电子印章和法人电子印章。</w:t>
            </w:r>
          </w:p>
        </w:tc>
      </w:tr>
      <w:tr>
        <w:tblPrEx>
          <w:tblCellMar>
            <w:top w:w="0" w:type="dxa"/>
            <w:left w:w="108" w:type="dxa"/>
            <w:bottom w:w="0" w:type="dxa"/>
            <w:right w:w="108" w:type="dxa"/>
          </w:tblCellMar>
        </w:tblPrEx>
        <w:trPr>
          <w:jc w:val="center"/>
        </w:trPr>
        <w:tc>
          <w:tcPr>
            <w:tcW w:w="1066"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center"/>
              <w:rPr>
                <w:rFonts w:ascii="宋体" w:hAnsi="宋体" w:eastAsia="宋体"/>
                <w:color w:val="000000" w:themeColor="text1"/>
              </w:rPr>
            </w:pPr>
            <w:r>
              <w:rPr>
                <w:rFonts w:ascii="宋体" w:hAnsi="宋体" w:eastAsia="宋体"/>
                <w:color w:val="000000" w:themeColor="text1"/>
              </w:rPr>
              <w:t>3.7.2</w:t>
            </w:r>
          </w:p>
        </w:tc>
        <w:tc>
          <w:tcPr>
            <w:tcW w:w="2311" w:type="dxa"/>
            <w:gridSpan w:val="2"/>
            <w:tcBorders>
              <w:top w:val="single" w:color="auto" w:sz="4" w:space="0"/>
              <w:left w:val="single" w:color="auto" w:sz="4" w:space="0"/>
              <w:bottom w:val="single" w:color="auto" w:sz="4" w:space="0"/>
              <w:right w:val="single" w:color="auto" w:sz="4" w:space="0"/>
            </w:tcBorders>
            <w:vAlign w:val="center"/>
          </w:tcPr>
          <w:p>
            <w:pPr>
              <w:spacing w:after="160" w:line="360" w:lineRule="auto"/>
              <w:jc w:val="center"/>
              <w:rPr>
                <w:rFonts w:ascii="宋体" w:hAnsi="宋体" w:eastAsia="宋体"/>
                <w:color w:val="000000" w:themeColor="text1"/>
              </w:rPr>
            </w:pPr>
            <w:r>
              <w:rPr>
                <w:rFonts w:ascii="宋体" w:hAnsi="宋体" w:eastAsia="宋体"/>
                <w:color w:val="000000" w:themeColor="text1"/>
              </w:rPr>
              <w:t>投标文件份数</w:t>
            </w:r>
          </w:p>
        </w:tc>
        <w:tc>
          <w:tcPr>
            <w:tcW w:w="5580" w:type="dxa"/>
            <w:tcBorders>
              <w:top w:val="single" w:color="auto" w:sz="4" w:space="0"/>
              <w:left w:val="single" w:color="auto" w:sz="4" w:space="0"/>
              <w:bottom w:val="single" w:color="auto" w:sz="4" w:space="0"/>
              <w:right w:val="single" w:color="auto" w:sz="4" w:space="0"/>
            </w:tcBorders>
            <w:vAlign w:val="center"/>
          </w:tcPr>
          <w:p>
            <w:pPr>
              <w:spacing w:after="160" w:line="288" w:lineRule="auto"/>
              <w:rPr>
                <w:rFonts w:ascii="宋体" w:hAnsi="宋体" w:eastAsia="宋体"/>
                <w:color w:val="000000" w:themeColor="text1"/>
              </w:rPr>
            </w:pPr>
            <w:r>
              <w:rPr>
                <w:rFonts w:ascii="宋体" w:hAnsi="宋体" w:eastAsia="宋体"/>
                <w:color w:val="000000" w:themeColor="text1"/>
              </w:rPr>
              <w:t>1、电子投标文件</w:t>
            </w:r>
          </w:p>
          <w:p>
            <w:pPr>
              <w:spacing w:after="160" w:line="288" w:lineRule="auto"/>
              <w:rPr>
                <w:rFonts w:ascii="宋体" w:hAnsi="宋体" w:eastAsia="宋体"/>
                <w:color w:val="000000" w:themeColor="text1"/>
              </w:rPr>
            </w:pPr>
            <w:r>
              <w:rPr>
                <w:rFonts w:ascii="宋体" w:hAnsi="宋体" w:eastAsia="宋体"/>
                <w:color w:val="000000" w:themeColor="text1"/>
              </w:rPr>
              <w:t>（1）成功上传至《全国公共资源交易平台（河南省·许昌市）》公共资源交易系统电子投标文件1份（文件格式为：XX公司XXX项目编号.file）。</w:t>
            </w:r>
          </w:p>
          <w:p>
            <w:pPr>
              <w:spacing w:after="160" w:line="288" w:lineRule="auto"/>
              <w:rPr>
                <w:rFonts w:ascii="宋体" w:hAnsi="宋体" w:eastAsia="宋体"/>
                <w:color w:val="000000" w:themeColor="text1"/>
              </w:rPr>
            </w:pPr>
            <w:r>
              <w:rPr>
                <w:rFonts w:ascii="宋体" w:hAnsi="宋体" w:eastAsia="宋体"/>
                <w:color w:val="000000" w:themeColor="text1"/>
              </w:rPr>
              <w:t>（2）使用电子介质存储的投标文件2份文件格式为：xxx公司XXX（项目编号）.bin）。</w:t>
            </w:r>
          </w:p>
          <w:p>
            <w:pPr>
              <w:spacing w:after="160" w:line="288" w:lineRule="auto"/>
              <w:rPr>
                <w:rFonts w:ascii="宋体" w:hAnsi="宋体" w:eastAsia="宋体"/>
                <w:color w:val="000000" w:themeColor="text1"/>
              </w:rPr>
            </w:pPr>
            <w:r>
              <w:rPr>
                <w:rFonts w:ascii="宋体" w:hAnsi="宋体" w:eastAsia="宋体"/>
                <w:color w:val="000000" w:themeColor="text1"/>
              </w:rPr>
              <w:t>2、电子投标文件的内容、格式、水印码、</w:t>
            </w:r>
            <w:r>
              <w:rPr>
                <w:rFonts w:ascii="宋体" w:hAnsi="宋体" w:eastAsia="宋体"/>
                <w:b/>
                <w:color w:val="000000" w:themeColor="text1"/>
              </w:rPr>
              <w:t>电子签章</w:t>
            </w:r>
            <w:r>
              <w:rPr>
                <w:rFonts w:ascii="宋体" w:hAnsi="宋体" w:eastAsia="宋体"/>
                <w:color w:val="000000" w:themeColor="text1"/>
              </w:rPr>
              <w:t>应一致。</w:t>
            </w:r>
          </w:p>
          <w:p>
            <w:pPr>
              <w:pStyle w:val="48"/>
              <w:spacing w:after="160"/>
              <w:rPr>
                <w:color w:val="000000" w:themeColor="text1"/>
              </w:rPr>
            </w:pPr>
            <w:r>
              <w:rPr>
                <w:rFonts w:hAnsi="Times New Roman" w:eastAsia="Times New Roman"/>
                <w:b/>
                <w:color w:val="000000" w:themeColor="text1"/>
              </w:rPr>
              <w:t>注:投标人提交的电子投标文件，必须是通过“许昌投标文件制作系统SEARUNV1.1”制作，并经过签章和加密后生成的电子投标文件。</w:t>
            </w:r>
          </w:p>
        </w:tc>
      </w:tr>
      <w:tr>
        <w:tblPrEx>
          <w:tblCellMar>
            <w:top w:w="0" w:type="dxa"/>
            <w:left w:w="108" w:type="dxa"/>
            <w:bottom w:w="0" w:type="dxa"/>
            <w:right w:w="108" w:type="dxa"/>
          </w:tblCellMar>
        </w:tblPrEx>
        <w:trPr>
          <w:jc w:val="center"/>
        </w:trPr>
        <w:tc>
          <w:tcPr>
            <w:tcW w:w="1066" w:type="dxa"/>
            <w:gridSpan w:val="6"/>
            <w:tcBorders>
              <w:top w:val="single" w:color="auto" w:sz="4" w:space="0"/>
              <w:left w:val="single" w:color="auto" w:sz="4" w:space="0"/>
              <w:bottom w:val="single" w:color="auto" w:sz="4" w:space="0"/>
              <w:right w:val="single" w:color="auto" w:sz="4" w:space="0"/>
            </w:tcBorders>
            <w:vAlign w:val="center"/>
          </w:tcPr>
          <w:p>
            <w:pPr>
              <w:spacing w:after="160" w:line="288" w:lineRule="auto"/>
              <w:jc w:val="center"/>
              <w:rPr>
                <w:rFonts w:ascii="宋体" w:hAnsi="宋体" w:eastAsia="宋体"/>
                <w:color w:val="000000" w:themeColor="text1"/>
              </w:rPr>
            </w:pPr>
            <w:r>
              <w:rPr>
                <w:rFonts w:ascii="宋体" w:hAnsi="宋体" w:eastAsia="宋体"/>
                <w:color w:val="000000" w:themeColor="text1"/>
              </w:rPr>
              <w:t>3.7.4</w:t>
            </w:r>
          </w:p>
        </w:tc>
        <w:tc>
          <w:tcPr>
            <w:tcW w:w="2311" w:type="dxa"/>
            <w:gridSpan w:val="2"/>
            <w:tcBorders>
              <w:top w:val="single" w:color="auto" w:sz="4" w:space="0"/>
              <w:left w:val="single" w:color="auto" w:sz="4" w:space="0"/>
              <w:bottom w:val="single" w:color="auto" w:sz="4" w:space="0"/>
              <w:right w:val="single" w:color="auto" w:sz="4" w:space="0"/>
            </w:tcBorders>
            <w:vAlign w:val="center"/>
          </w:tcPr>
          <w:p>
            <w:pPr>
              <w:spacing w:after="160" w:line="288" w:lineRule="auto"/>
              <w:rPr>
                <w:rFonts w:ascii="宋体" w:hAnsi="宋体" w:eastAsia="宋体"/>
                <w:color w:val="000000" w:themeColor="text1"/>
              </w:rPr>
            </w:pPr>
            <w:r>
              <w:rPr>
                <w:rFonts w:ascii="宋体" w:hAnsi="宋体" w:eastAsia="宋体"/>
                <w:color w:val="000000" w:themeColor="text1"/>
              </w:rPr>
              <w:t>是否使用暗标</w:t>
            </w:r>
          </w:p>
        </w:tc>
        <w:tc>
          <w:tcPr>
            <w:tcW w:w="5580" w:type="dxa"/>
            <w:tcBorders>
              <w:top w:val="single" w:color="auto" w:sz="4" w:space="0"/>
              <w:left w:val="single" w:color="auto" w:sz="4" w:space="0"/>
              <w:bottom w:val="single" w:color="auto" w:sz="4" w:space="0"/>
              <w:right w:val="single" w:color="auto" w:sz="4" w:space="0"/>
            </w:tcBorders>
            <w:vAlign w:val="center"/>
          </w:tcPr>
          <w:p>
            <w:pPr>
              <w:spacing w:after="160" w:line="288" w:lineRule="auto"/>
              <w:rPr>
                <w:rFonts w:ascii="宋体" w:hAnsi="宋体" w:eastAsia="宋体"/>
                <w:color w:val="000000" w:themeColor="text1"/>
              </w:rPr>
            </w:pPr>
            <w:r>
              <w:rPr>
                <w:rFonts w:ascii="宋体" w:hAnsi="宋体" w:eastAsia="宋体"/>
                <w:color w:val="000000" w:themeColor="text1"/>
              </w:rPr>
              <w:t>否</w:t>
            </w:r>
          </w:p>
        </w:tc>
      </w:tr>
      <w:tr>
        <w:tblPrEx>
          <w:tblCellMar>
            <w:top w:w="0" w:type="dxa"/>
            <w:left w:w="108" w:type="dxa"/>
            <w:bottom w:w="0" w:type="dxa"/>
            <w:right w:w="108" w:type="dxa"/>
          </w:tblCellMar>
        </w:tblPrEx>
        <w:trPr>
          <w:jc w:val="center"/>
        </w:trPr>
        <w:tc>
          <w:tcPr>
            <w:tcW w:w="1066"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center"/>
              <w:rPr>
                <w:rFonts w:ascii="宋体" w:hAnsi="宋体" w:eastAsia="宋体"/>
                <w:color w:val="000000" w:themeColor="text1"/>
              </w:rPr>
            </w:pPr>
            <w:r>
              <w:rPr>
                <w:rFonts w:ascii="宋体" w:hAnsi="宋体" w:eastAsia="宋体"/>
                <w:color w:val="000000" w:themeColor="text1"/>
              </w:rPr>
              <w:t>4.2.1</w:t>
            </w:r>
          </w:p>
        </w:tc>
        <w:tc>
          <w:tcPr>
            <w:tcW w:w="2311"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exact"/>
              <w:jc w:val="left"/>
              <w:rPr>
                <w:rFonts w:ascii="宋体" w:hAnsi="宋体" w:eastAsia="宋体"/>
                <w:color w:val="000000" w:themeColor="text1"/>
              </w:rPr>
            </w:pPr>
            <w:r>
              <w:rPr>
                <w:rFonts w:hint="eastAsia" w:hAnsi="宋体" w:eastAsia="宋体" w:cs="宋体"/>
                <w:color w:val="000000" w:themeColor="text1"/>
                <w:sz w:val="24"/>
              </w:rPr>
              <w:t>递交投标文件地点</w:t>
            </w:r>
          </w:p>
        </w:tc>
        <w:tc>
          <w:tcPr>
            <w:tcW w:w="558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420" w:lineRule="exact"/>
              <w:rPr>
                <w:rFonts w:ascii="宋体" w:hAnsi="宋体" w:eastAsia="宋体"/>
                <w:color w:val="000000" w:themeColor="text1"/>
              </w:rPr>
            </w:pPr>
            <w:r>
              <w:rPr>
                <w:rFonts w:hint="eastAsia" w:hAnsi="宋体" w:eastAsia="宋体" w:cs="宋体"/>
                <w:color w:val="000000" w:themeColor="text1"/>
                <w:sz w:val="24"/>
              </w:rPr>
              <w:t>电子投标文件递交地点：电子投标文件应按规定在投标截止时间（开标时间）之前成功提交至【全国公共资源交易平台</w:t>
            </w:r>
            <w:r>
              <w:rPr>
                <w:rFonts w:hAnsi="宋体" w:eastAsia="宋体" w:cs="宋体"/>
                <w:color w:val="000000" w:themeColor="text1"/>
                <w:sz w:val="24"/>
              </w:rPr>
              <w:t>(</w:t>
            </w:r>
            <w:r>
              <w:rPr>
                <w:rFonts w:hint="eastAsia" w:hAnsi="宋体" w:eastAsia="宋体" w:cs="宋体"/>
                <w:color w:val="000000" w:themeColor="text1"/>
                <w:sz w:val="24"/>
              </w:rPr>
              <w:t>河南省</w:t>
            </w:r>
            <w:r>
              <w:rPr>
                <w:rFonts w:hint="eastAsia" w:ascii="MS Mincho" w:hAnsi="MS Mincho" w:eastAsia="MS Mincho" w:cs="MS Mincho"/>
                <w:color w:val="000000" w:themeColor="text1"/>
                <w:sz w:val="24"/>
              </w:rPr>
              <w:t>▪</w:t>
            </w:r>
            <w:r>
              <w:rPr>
                <w:rFonts w:hint="eastAsia" w:hAnsi="宋体" w:eastAsia="宋体" w:cs="宋体"/>
                <w:color w:val="000000" w:themeColor="text1"/>
                <w:sz w:val="24"/>
              </w:rPr>
              <w:t>许昌市</w:t>
            </w:r>
            <w:r>
              <w:rPr>
                <w:rFonts w:hAnsi="宋体" w:eastAsia="宋体" w:cs="宋体"/>
                <w:color w:val="000000" w:themeColor="text1"/>
                <w:sz w:val="24"/>
              </w:rPr>
              <w:t>)</w:t>
            </w:r>
            <w:r>
              <w:rPr>
                <w:rFonts w:hint="eastAsia" w:hAnsi="宋体" w:eastAsia="宋体" w:cs="宋体"/>
                <w:color w:val="000000" w:themeColor="text1"/>
                <w:sz w:val="24"/>
              </w:rPr>
              <w:t>】公共资源交易系统（</w:t>
            </w:r>
            <w:r>
              <w:rPr>
                <w:rFonts w:hAnsi="宋体" w:eastAsia="宋体" w:cs="宋体"/>
                <w:color w:val="000000" w:themeColor="text1"/>
                <w:sz w:val="24"/>
              </w:rPr>
              <w:t>http://221.14.6.70:8088/ggzy/</w:t>
            </w:r>
            <w:r>
              <w:rPr>
                <w:rFonts w:hint="eastAsia" w:hAnsi="宋体" w:eastAsia="宋体" w:cs="宋体"/>
                <w:color w:val="000000" w:themeColor="text1"/>
                <w:sz w:val="24"/>
              </w:rPr>
              <w:t>）。</w:t>
            </w:r>
          </w:p>
        </w:tc>
      </w:tr>
      <w:tr>
        <w:tblPrEx>
          <w:tblCellMar>
            <w:top w:w="0" w:type="dxa"/>
            <w:left w:w="108" w:type="dxa"/>
            <w:bottom w:w="0" w:type="dxa"/>
            <w:right w:w="108" w:type="dxa"/>
          </w:tblCellMar>
        </w:tblPrEx>
        <w:trPr>
          <w:jc w:val="center"/>
        </w:trPr>
        <w:tc>
          <w:tcPr>
            <w:tcW w:w="1066"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center"/>
              <w:rPr>
                <w:rFonts w:ascii="宋体" w:hAnsi="宋体" w:eastAsia="宋体"/>
                <w:color w:val="000000" w:themeColor="text1"/>
              </w:rPr>
            </w:pPr>
            <w:r>
              <w:rPr>
                <w:rFonts w:ascii="宋体" w:hAnsi="宋体" w:eastAsia="宋体"/>
                <w:color w:val="000000" w:themeColor="text1"/>
              </w:rPr>
              <w:t>4.2.2</w:t>
            </w:r>
          </w:p>
        </w:tc>
        <w:tc>
          <w:tcPr>
            <w:tcW w:w="2311" w:type="dxa"/>
            <w:gridSpan w:val="2"/>
            <w:tcBorders>
              <w:top w:val="single" w:color="auto" w:sz="4" w:space="0"/>
              <w:left w:val="single" w:color="auto" w:sz="4" w:space="0"/>
              <w:bottom w:val="single" w:color="auto" w:sz="4" w:space="0"/>
              <w:right w:val="single" w:color="auto" w:sz="4" w:space="0"/>
            </w:tcBorders>
            <w:vAlign w:val="center"/>
          </w:tcPr>
          <w:p>
            <w:pPr>
              <w:spacing w:after="160" w:line="360" w:lineRule="exact"/>
              <w:jc w:val="center"/>
              <w:rPr>
                <w:rFonts w:ascii="宋体" w:hAnsi="宋体" w:eastAsia="宋体"/>
                <w:color w:val="000000" w:themeColor="text1"/>
              </w:rPr>
            </w:pPr>
            <w:r>
              <w:rPr>
                <w:rFonts w:ascii="宋体" w:hAnsi="宋体" w:eastAsia="宋体"/>
                <w:color w:val="000000" w:themeColor="text1"/>
              </w:rPr>
              <w:t>是否退还投标文件</w:t>
            </w:r>
          </w:p>
        </w:tc>
        <w:tc>
          <w:tcPr>
            <w:tcW w:w="558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rPr>
                <w:rFonts w:ascii="宋体" w:hAnsi="宋体" w:eastAsia="宋体"/>
                <w:color w:val="000000" w:themeColor="text1"/>
              </w:rPr>
            </w:pPr>
            <w:r>
              <w:rPr>
                <w:rFonts w:ascii="宋体" w:hAnsi="宋体" w:eastAsia="宋体"/>
                <w:color w:val="000000" w:themeColor="text1"/>
              </w:rPr>
              <w:t xml:space="preserve">否 </w:t>
            </w:r>
          </w:p>
        </w:tc>
      </w:tr>
      <w:tr>
        <w:tblPrEx>
          <w:tblCellMar>
            <w:top w:w="0" w:type="dxa"/>
            <w:left w:w="108" w:type="dxa"/>
            <w:bottom w:w="0" w:type="dxa"/>
            <w:right w:w="108" w:type="dxa"/>
          </w:tblCellMar>
        </w:tblPrEx>
        <w:trPr>
          <w:jc w:val="center"/>
        </w:trPr>
        <w:tc>
          <w:tcPr>
            <w:tcW w:w="1066"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center"/>
              <w:rPr>
                <w:rFonts w:ascii="宋体" w:hAnsi="宋体" w:eastAsia="宋体"/>
                <w:color w:val="000000" w:themeColor="text1"/>
              </w:rPr>
            </w:pPr>
            <w:r>
              <w:rPr>
                <w:rFonts w:ascii="宋体" w:hAnsi="宋体" w:eastAsia="宋体"/>
                <w:color w:val="000000" w:themeColor="text1"/>
              </w:rPr>
              <w:t>5.1</w:t>
            </w:r>
          </w:p>
        </w:tc>
        <w:tc>
          <w:tcPr>
            <w:tcW w:w="2311" w:type="dxa"/>
            <w:gridSpan w:val="2"/>
            <w:tcBorders>
              <w:top w:val="single" w:color="auto" w:sz="4" w:space="0"/>
              <w:left w:val="single" w:color="auto" w:sz="4" w:space="0"/>
              <w:bottom w:val="single" w:color="auto" w:sz="4" w:space="0"/>
              <w:right w:val="single" w:color="auto" w:sz="4" w:space="0"/>
            </w:tcBorders>
            <w:vAlign w:val="center"/>
          </w:tcPr>
          <w:p>
            <w:pPr>
              <w:spacing w:after="160" w:line="360" w:lineRule="exact"/>
              <w:jc w:val="center"/>
              <w:rPr>
                <w:rFonts w:ascii="宋体" w:hAnsi="宋体" w:eastAsia="宋体"/>
                <w:color w:val="000000" w:themeColor="text1"/>
              </w:rPr>
            </w:pPr>
            <w:r>
              <w:rPr>
                <w:rFonts w:ascii="宋体" w:hAnsi="宋体" w:eastAsia="宋体"/>
                <w:color w:val="000000" w:themeColor="text1"/>
              </w:rPr>
              <w:t>开标时间和地点</w:t>
            </w:r>
          </w:p>
        </w:tc>
        <w:tc>
          <w:tcPr>
            <w:tcW w:w="5580" w:type="dxa"/>
            <w:tcBorders>
              <w:top w:val="single" w:color="auto" w:sz="4" w:space="0"/>
              <w:left w:val="single" w:color="auto" w:sz="4" w:space="0"/>
              <w:bottom w:val="single" w:color="auto" w:sz="4" w:space="0"/>
              <w:right w:val="single" w:color="auto" w:sz="4" w:space="0"/>
            </w:tcBorders>
            <w:vAlign w:val="center"/>
          </w:tcPr>
          <w:p>
            <w:pPr>
              <w:pStyle w:val="49"/>
              <w:snapToGrid w:val="0"/>
              <w:spacing w:after="160" w:line="360" w:lineRule="auto"/>
              <w:ind w:right="120"/>
              <w:jc w:val="left"/>
              <w:rPr>
                <w:color w:val="000000" w:themeColor="text1"/>
                <w:sz w:val="24"/>
                <w:szCs w:val="24"/>
              </w:rPr>
            </w:pPr>
            <w:r>
              <w:rPr>
                <w:b/>
                <w:color w:val="000000" w:themeColor="text1"/>
                <w:sz w:val="24"/>
                <w:szCs w:val="24"/>
              </w:rPr>
              <w:t>开标时间：2020年</w:t>
            </w:r>
            <w:r>
              <w:rPr>
                <w:rFonts w:hint="eastAsia"/>
                <w:b/>
                <w:color w:val="000000" w:themeColor="text1"/>
                <w:sz w:val="24"/>
                <w:szCs w:val="24"/>
                <w:lang w:val="en-US" w:eastAsia="zh-CN"/>
              </w:rPr>
              <w:t>3</w:t>
            </w:r>
            <w:r>
              <w:rPr>
                <w:b/>
                <w:color w:val="000000" w:themeColor="text1"/>
                <w:sz w:val="24"/>
                <w:szCs w:val="24"/>
              </w:rPr>
              <w:t>月 1</w:t>
            </w:r>
            <w:r>
              <w:rPr>
                <w:rFonts w:hint="eastAsia"/>
                <w:b/>
                <w:color w:val="000000" w:themeColor="text1"/>
                <w:sz w:val="24"/>
                <w:szCs w:val="24"/>
                <w:lang w:val="en-US" w:eastAsia="zh-CN"/>
              </w:rPr>
              <w:t>8</w:t>
            </w:r>
            <w:r>
              <w:rPr>
                <w:b/>
                <w:color w:val="000000" w:themeColor="text1"/>
                <w:sz w:val="24"/>
                <w:szCs w:val="24"/>
              </w:rPr>
              <w:t xml:space="preserve"> 日 09 时 00 分</w:t>
            </w:r>
          </w:p>
          <w:p>
            <w:pPr>
              <w:tabs>
                <w:tab w:val="left" w:pos="0"/>
              </w:tabs>
              <w:spacing w:after="160" w:line="288" w:lineRule="auto"/>
              <w:rPr>
                <w:rFonts w:ascii="宋体" w:hAnsi="宋体" w:eastAsia="宋体"/>
                <w:color w:val="000000" w:themeColor="text1"/>
              </w:rPr>
            </w:pPr>
            <w:r>
              <w:rPr>
                <w:rFonts w:ascii="宋体" w:hAnsi="Arial" w:eastAsia="Arial"/>
                <w:color w:val="000000" w:themeColor="text1"/>
              </w:rPr>
              <w:t>开标地点：鄢陵县公共资源交易中心（S219（鄢陶路）与未来大道交叉口鄢陵创客园院内南楼四楼开标一室）</w:t>
            </w:r>
          </w:p>
        </w:tc>
      </w:tr>
      <w:tr>
        <w:tblPrEx>
          <w:tblCellMar>
            <w:top w:w="0" w:type="dxa"/>
            <w:left w:w="108" w:type="dxa"/>
            <w:bottom w:w="0" w:type="dxa"/>
            <w:right w:w="108" w:type="dxa"/>
          </w:tblCellMar>
        </w:tblPrEx>
        <w:trPr>
          <w:jc w:val="center"/>
        </w:trPr>
        <w:tc>
          <w:tcPr>
            <w:tcW w:w="1066"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center"/>
              <w:rPr>
                <w:rFonts w:ascii="宋体" w:hAnsi="宋体" w:eastAsia="宋体"/>
                <w:color w:val="000000" w:themeColor="text1"/>
              </w:rPr>
            </w:pPr>
            <w:r>
              <w:rPr>
                <w:rFonts w:ascii="宋体" w:hAnsi="宋体" w:eastAsia="宋体"/>
                <w:color w:val="000000" w:themeColor="text1"/>
              </w:rPr>
              <w:t xml:space="preserve">5.2 </w:t>
            </w:r>
          </w:p>
        </w:tc>
        <w:tc>
          <w:tcPr>
            <w:tcW w:w="2311"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420" w:lineRule="exact"/>
              <w:jc w:val="center"/>
              <w:rPr>
                <w:rFonts w:ascii="宋体" w:hAnsi="宋体" w:eastAsia="宋体"/>
                <w:color w:val="000000" w:themeColor="text1"/>
              </w:rPr>
            </w:pPr>
            <w:r>
              <w:rPr>
                <w:rFonts w:hint="eastAsia" w:hAnsi="宋体" w:eastAsia="宋体" w:cs="宋体"/>
                <w:color w:val="000000" w:themeColor="text1"/>
                <w:sz w:val="24"/>
              </w:rPr>
              <w:t>开标程序</w:t>
            </w:r>
          </w:p>
        </w:tc>
        <w:tc>
          <w:tcPr>
            <w:tcW w:w="5580" w:type="dxa"/>
            <w:tcBorders>
              <w:top w:val="single" w:color="auto" w:sz="4" w:space="0"/>
              <w:left w:val="single" w:color="auto" w:sz="4" w:space="0"/>
              <w:bottom w:val="single" w:color="auto" w:sz="4" w:space="0"/>
              <w:right w:val="single" w:color="auto" w:sz="4" w:space="0"/>
            </w:tcBorders>
            <w:vAlign w:val="top"/>
          </w:tcPr>
          <w:p>
            <w:pPr>
              <w:spacing w:line="360" w:lineRule="auto"/>
              <w:jc w:val="left"/>
              <w:rPr>
                <w:rFonts w:hint="default" w:hAnsi="宋体" w:eastAsia="宋体" w:cs="宋体"/>
                <w:color w:val="000000" w:themeColor="text1"/>
                <w:sz w:val="24"/>
                <w:lang w:val="en-US" w:eastAsia="zh-CN"/>
              </w:rPr>
            </w:pPr>
            <w:r>
              <w:rPr>
                <w:rFonts w:hint="eastAsia" w:hAnsi="宋体" w:eastAsia="宋体" w:cs="宋体"/>
                <w:color w:val="000000" w:themeColor="text1"/>
                <w:sz w:val="24"/>
              </w:rPr>
              <w:t>(1)</w:t>
            </w:r>
            <w:r>
              <w:rPr>
                <w:rFonts w:hint="eastAsia" w:ascii="仿宋" w:hAnsi="仿宋" w:eastAsia="仿宋" w:cs="宋体"/>
                <w:b/>
                <w:color w:val="000000" w:themeColor="text1"/>
                <w:sz w:val="28"/>
                <w:szCs w:val="28"/>
              </w:rPr>
              <w:t xml:space="preserve"> </w:t>
            </w:r>
            <w:r>
              <w:rPr>
                <w:rFonts w:hint="eastAsia" w:hAnsi="宋体" w:eastAsia="宋体" w:cs="宋体"/>
                <w:color w:val="000000" w:themeColor="text1"/>
                <w:sz w:val="24"/>
              </w:rPr>
              <w:t>本项目采用“远程不见面”开标方式,投标人应当在开标时间前</w:t>
            </w:r>
            <w:r>
              <w:rPr>
                <w:rFonts w:hint="eastAsia" w:hAnsi="宋体" w:eastAsia="宋体" w:cs="宋体"/>
                <w:color w:val="000000" w:themeColor="text1"/>
                <w:sz w:val="24"/>
                <w:lang w:val="en-US" w:eastAsia="zh-CN"/>
              </w:rPr>
              <w:t>使用</w:t>
            </w:r>
            <w:r>
              <w:rPr>
                <w:rFonts w:hint="eastAsia" w:hAnsi="宋体" w:eastAsia="宋体" w:cs="宋体"/>
                <w:color w:val="000000" w:themeColor="text1"/>
                <w:sz w:val="24"/>
              </w:rPr>
              <w:t>CA数字证书登录交易系统远程开标大厅在线准时参加开标活动并进行投标文件远程解密、在线提异议（质疑）及电子签章等；</w:t>
            </w:r>
            <w:r>
              <w:rPr>
                <w:rFonts w:hint="eastAsia" w:hAnsi="宋体" w:eastAsia="宋体" w:cs="宋体"/>
                <w:color w:val="000000" w:themeColor="text1"/>
                <w:sz w:val="24"/>
                <w:lang w:val="en-US" w:eastAsia="zh-CN"/>
              </w:rPr>
              <w:t>招标代理机构</w:t>
            </w:r>
            <w:r>
              <w:rPr>
                <w:rFonts w:hint="eastAsia" w:hAnsi="宋体" w:eastAsia="宋体" w:cs="宋体"/>
                <w:color w:val="000000" w:themeColor="text1"/>
                <w:sz w:val="24"/>
              </w:rPr>
              <w:t>在开标时间前</w:t>
            </w:r>
            <w:r>
              <w:rPr>
                <w:rFonts w:hint="eastAsia" w:hAnsi="宋体" w:eastAsia="宋体" w:cs="宋体"/>
                <w:color w:val="000000" w:themeColor="text1"/>
                <w:sz w:val="24"/>
                <w:lang w:val="en-US" w:eastAsia="zh-CN"/>
              </w:rPr>
              <w:t>到达指定地点使用</w:t>
            </w:r>
            <w:r>
              <w:rPr>
                <w:rFonts w:hint="eastAsia" w:hAnsi="宋体" w:eastAsia="宋体" w:cs="宋体"/>
                <w:color w:val="000000" w:themeColor="text1"/>
                <w:sz w:val="24"/>
              </w:rPr>
              <w:t>CA数字证书登录交易系统远程开标大厅</w:t>
            </w:r>
            <w:r>
              <w:rPr>
                <w:rFonts w:hint="eastAsia" w:hAnsi="宋体" w:eastAsia="宋体" w:cs="宋体"/>
                <w:color w:val="000000" w:themeColor="text1"/>
                <w:sz w:val="24"/>
                <w:lang w:eastAsia="zh-CN"/>
              </w:rPr>
              <w:t>，</w:t>
            </w:r>
            <w:r>
              <w:rPr>
                <w:rFonts w:hint="eastAsia" w:hAnsi="宋体" w:eastAsia="宋体" w:cs="宋体"/>
                <w:color w:val="000000" w:themeColor="text1"/>
                <w:sz w:val="24"/>
                <w:lang w:val="en-US" w:eastAsia="zh-CN"/>
              </w:rPr>
              <w:t>做好开标前各项准备。</w:t>
            </w:r>
          </w:p>
          <w:p>
            <w:pPr>
              <w:spacing w:line="360" w:lineRule="auto"/>
              <w:jc w:val="left"/>
              <w:rPr>
                <w:rFonts w:hint="eastAsia" w:hAnsi="宋体" w:eastAsia="宋体" w:cs="宋体"/>
                <w:color w:val="000000" w:themeColor="text1"/>
                <w:sz w:val="24"/>
                <w:lang w:eastAsia="zh-CN"/>
              </w:rPr>
            </w:pPr>
            <w:r>
              <w:rPr>
                <w:rFonts w:hint="eastAsia" w:hAnsi="宋体" w:eastAsia="宋体" w:cs="宋体"/>
                <w:color w:val="000000" w:themeColor="text1"/>
                <w:sz w:val="24"/>
              </w:rPr>
              <w:t>(2)</w:t>
            </w:r>
            <w:r>
              <w:rPr>
                <w:rFonts w:hint="eastAsia" w:hAnsi="宋体" w:eastAsia="宋体" w:cs="宋体"/>
                <w:color w:val="000000" w:themeColor="text1"/>
                <w:sz w:val="24"/>
                <w:lang w:val="en-US" w:eastAsia="zh-CN"/>
              </w:rPr>
              <w:t>投标截止时间到达时，招标代理机构点击“</w:t>
            </w:r>
            <w:r>
              <w:rPr>
                <w:rFonts w:hint="eastAsia" w:hAnsi="宋体" w:eastAsia="宋体" w:cs="宋体"/>
                <w:color w:val="000000" w:themeColor="text1"/>
                <w:sz w:val="24"/>
              </w:rPr>
              <w:t>开标开始</w:t>
            </w:r>
            <w:r>
              <w:rPr>
                <w:rFonts w:hint="eastAsia" w:hAnsi="宋体" w:eastAsia="宋体" w:cs="宋体"/>
                <w:color w:val="000000" w:themeColor="text1"/>
                <w:sz w:val="24"/>
                <w:lang w:val="en-US" w:eastAsia="zh-CN"/>
              </w:rPr>
              <w:t>”按钮，开始不见面开标；点击</w:t>
            </w:r>
            <w:r>
              <w:rPr>
                <w:rFonts w:hint="eastAsia" w:hAnsi="宋体" w:eastAsia="宋体" w:cs="宋体"/>
                <w:color w:val="000000" w:themeColor="text1"/>
                <w:sz w:val="24"/>
              </w:rPr>
              <w:t>“解密环节”按钮</w:t>
            </w:r>
            <w:r>
              <w:rPr>
                <w:rFonts w:hint="eastAsia" w:hAnsi="宋体" w:eastAsia="宋体" w:cs="宋体"/>
                <w:color w:val="000000" w:themeColor="text1"/>
                <w:sz w:val="24"/>
                <w:lang w:val="en-US" w:eastAsia="zh-CN"/>
              </w:rPr>
              <w:t>开始解密60分钟倒计时，各投标人可以远程进行解密投标文件。</w:t>
            </w:r>
            <w:r>
              <w:rPr>
                <w:rFonts w:hint="eastAsia" w:hAnsi="宋体" w:eastAsia="宋体" w:cs="宋体"/>
                <w:color w:val="000000" w:themeColor="text1"/>
                <w:sz w:val="24"/>
              </w:rPr>
              <w:t>投标人未</w:t>
            </w:r>
            <w:r>
              <w:rPr>
                <w:rFonts w:hint="eastAsia" w:hAnsi="宋体" w:eastAsia="宋体" w:cs="宋体"/>
                <w:color w:val="000000" w:themeColor="text1"/>
                <w:sz w:val="24"/>
                <w:lang w:val="en-US" w:eastAsia="zh-CN"/>
              </w:rPr>
              <w:t>进行</w:t>
            </w:r>
            <w:r>
              <w:rPr>
                <w:rFonts w:hint="eastAsia" w:hAnsi="宋体" w:eastAsia="宋体" w:cs="宋体"/>
                <w:color w:val="000000" w:themeColor="text1"/>
                <w:sz w:val="24"/>
              </w:rPr>
              <w:t>解密或未按规定进行解密的，视为放弃投标</w:t>
            </w:r>
            <w:r>
              <w:rPr>
                <w:rFonts w:hint="eastAsia" w:hAnsi="宋体" w:eastAsia="宋体" w:cs="宋体"/>
                <w:color w:val="000000" w:themeColor="text1"/>
                <w:sz w:val="24"/>
                <w:lang w:eastAsia="zh-CN"/>
              </w:rPr>
              <w:t>。</w:t>
            </w:r>
          </w:p>
          <w:p>
            <w:pPr>
              <w:spacing w:line="360" w:lineRule="auto"/>
              <w:jc w:val="left"/>
              <w:rPr>
                <w:rFonts w:hAnsi="宋体" w:eastAsia="宋体" w:cs="宋体"/>
                <w:color w:val="000000" w:themeColor="text1"/>
                <w:sz w:val="24"/>
              </w:rPr>
            </w:pPr>
            <w:r>
              <w:rPr>
                <w:rFonts w:hint="eastAsia" w:hAnsi="宋体" w:eastAsia="宋体" w:cs="宋体"/>
                <w:color w:val="000000" w:themeColor="text1"/>
                <w:sz w:val="24"/>
              </w:rPr>
              <w:t>(3)</w:t>
            </w:r>
            <w:r>
              <w:rPr>
                <w:rFonts w:hint="eastAsia" w:hAnsi="宋体" w:eastAsia="宋体" w:cs="宋体"/>
                <w:color w:val="000000" w:themeColor="text1"/>
                <w:sz w:val="24"/>
                <w:lang w:val="en-US" w:eastAsia="zh-CN"/>
              </w:rPr>
              <w:t>解密完成后，</w:t>
            </w:r>
            <w:r>
              <w:rPr>
                <w:rFonts w:hint="eastAsia" w:hAnsi="宋体" w:eastAsia="宋体" w:cs="宋体"/>
                <w:color w:val="000000" w:themeColor="text1"/>
                <w:sz w:val="24"/>
              </w:rPr>
              <w:t>投标</w:t>
            </w:r>
            <w:r>
              <w:rPr>
                <w:rFonts w:hint="eastAsia" w:hAnsi="宋体" w:eastAsia="宋体" w:cs="宋体"/>
                <w:color w:val="000000" w:themeColor="text1"/>
                <w:sz w:val="24"/>
                <w:lang w:val="en-US" w:eastAsia="zh-CN"/>
              </w:rPr>
              <w:t>人可点击“开标记录”查看各投标人投标报价等信息，</w:t>
            </w:r>
            <w:r>
              <w:rPr>
                <w:rFonts w:hint="eastAsia" w:hAnsi="宋体" w:eastAsia="宋体" w:cs="宋体"/>
                <w:color w:val="000000" w:themeColor="text1"/>
                <w:sz w:val="24"/>
              </w:rPr>
              <w:t>对开标过程或有关内容有异议（质疑）的，按照《许昌市不见面</w:t>
            </w:r>
            <w:r>
              <w:rPr>
                <w:rFonts w:hint="eastAsia" w:hAnsi="宋体" w:eastAsia="宋体" w:cs="宋体"/>
                <w:color w:val="000000" w:themeColor="text1"/>
                <w:sz w:val="24"/>
                <w:lang w:eastAsia="zh-CN"/>
              </w:rPr>
              <w:t>开标</w:t>
            </w:r>
            <w:r>
              <w:rPr>
                <w:rFonts w:hint="eastAsia" w:hAnsi="宋体" w:eastAsia="宋体" w:cs="宋体"/>
                <w:color w:val="000000" w:themeColor="text1"/>
                <w:sz w:val="24"/>
              </w:rPr>
              <w:t>操作手册》在本项目不见面开标大厅“文字互动”对话框或“新增质疑”处在线询问和发起异议（质疑），招标</w:t>
            </w:r>
            <w:r>
              <w:rPr>
                <w:rFonts w:hint="eastAsia" w:hAnsi="宋体" w:eastAsia="宋体" w:cs="宋体"/>
                <w:color w:val="000000" w:themeColor="text1"/>
                <w:sz w:val="24"/>
                <w:lang w:val="en-US" w:eastAsia="zh-CN"/>
              </w:rPr>
              <w:t>代理机构</w:t>
            </w:r>
            <w:r>
              <w:rPr>
                <w:rFonts w:hint="eastAsia" w:hAnsi="宋体" w:eastAsia="宋体" w:cs="宋体"/>
                <w:color w:val="000000" w:themeColor="text1"/>
                <w:sz w:val="24"/>
              </w:rPr>
              <w:t xml:space="preserve">在线进行回复。 </w:t>
            </w:r>
          </w:p>
          <w:p>
            <w:pPr>
              <w:autoSpaceDE w:val="0"/>
              <w:autoSpaceDN w:val="0"/>
              <w:adjustRightInd w:val="0"/>
              <w:spacing w:line="420" w:lineRule="exact"/>
              <w:jc w:val="left"/>
              <w:rPr>
                <w:rFonts w:hAnsi="宋体" w:eastAsia="宋体" w:cs="宋体"/>
                <w:color w:val="000000" w:themeColor="text1"/>
                <w:sz w:val="24"/>
              </w:rPr>
            </w:pPr>
            <w:r>
              <w:rPr>
                <w:rFonts w:hint="eastAsia" w:hAnsi="宋体" w:eastAsia="宋体" w:cs="宋体"/>
                <w:color w:val="000000" w:themeColor="text1"/>
                <w:sz w:val="24"/>
              </w:rPr>
              <w:t>(4)</w:t>
            </w:r>
            <w:r>
              <w:rPr>
                <w:rFonts w:hint="eastAsia" w:hAnsi="宋体" w:eastAsia="宋体" w:cs="宋体"/>
                <w:color w:val="000000" w:themeColor="text1"/>
                <w:sz w:val="24"/>
                <w:lang w:val="en-US" w:eastAsia="zh-CN"/>
              </w:rPr>
              <w:t>再</w:t>
            </w:r>
            <w:r>
              <w:rPr>
                <w:rFonts w:hint="eastAsia" w:hAnsi="宋体" w:eastAsia="宋体" w:cs="宋体"/>
                <w:color w:val="000000" w:themeColor="text1"/>
                <w:sz w:val="24"/>
              </w:rPr>
              <w:t>无投标人提出异议，</w:t>
            </w:r>
            <w:r>
              <w:rPr>
                <w:rFonts w:hint="eastAsia" w:hAnsi="宋体" w:eastAsia="宋体" w:cs="宋体"/>
                <w:color w:val="000000" w:themeColor="text1"/>
                <w:sz w:val="24"/>
                <w:lang w:val="en-US" w:eastAsia="zh-CN"/>
              </w:rPr>
              <w:t>招标代理机构通过“文字互动”对话框通知各投标人进行电子签章。</w:t>
            </w:r>
            <w:r>
              <w:rPr>
                <w:rFonts w:hint="eastAsia" w:hAnsi="宋体" w:eastAsia="宋体" w:cs="宋体"/>
                <w:color w:val="000000" w:themeColor="text1"/>
                <w:sz w:val="24"/>
              </w:rPr>
              <w:t>投标人应在《开标记录表》上进行电子签章，未进行电子签章的视为对开标结果无异议。</w:t>
            </w:r>
          </w:p>
          <w:p>
            <w:pPr>
              <w:autoSpaceDE w:val="0"/>
              <w:autoSpaceDN w:val="0"/>
              <w:adjustRightInd w:val="0"/>
              <w:spacing w:line="420" w:lineRule="exact"/>
              <w:jc w:val="left"/>
              <w:rPr>
                <w:rFonts w:ascii="宋体" w:hAnsi="宋体" w:eastAsia="宋体"/>
                <w:color w:val="000000" w:themeColor="text1"/>
              </w:rPr>
            </w:pPr>
            <w:r>
              <w:rPr>
                <w:rFonts w:hint="eastAsia" w:hAnsi="宋体" w:eastAsia="宋体" w:cs="宋体"/>
                <w:color w:val="000000" w:themeColor="text1"/>
                <w:sz w:val="24"/>
              </w:rPr>
              <w:t>（5）</w:t>
            </w:r>
            <w:r>
              <w:rPr>
                <w:rFonts w:hint="eastAsia" w:hAnsi="宋体" w:eastAsia="宋体" w:cs="宋体"/>
                <w:color w:val="000000" w:themeColor="text1"/>
                <w:sz w:val="24"/>
                <w:lang w:val="en-US" w:eastAsia="zh-CN"/>
              </w:rPr>
              <w:t>招标代理机构保存最终</w:t>
            </w:r>
            <w:r>
              <w:rPr>
                <w:rFonts w:hint="eastAsia" w:hAnsi="宋体" w:eastAsia="宋体" w:cs="宋体"/>
                <w:color w:val="000000" w:themeColor="text1"/>
                <w:sz w:val="24"/>
              </w:rPr>
              <w:t>《开标记录表》，</w:t>
            </w:r>
            <w:r>
              <w:rPr>
                <w:rFonts w:hint="eastAsia" w:hAnsi="宋体" w:eastAsia="宋体" w:cs="宋体"/>
                <w:color w:val="000000" w:themeColor="text1"/>
                <w:sz w:val="24"/>
                <w:lang w:val="en-US" w:eastAsia="zh-CN"/>
              </w:rPr>
              <w:t>不见面</w:t>
            </w:r>
            <w:r>
              <w:rPr>
                <w:rFonts w:hint="eastAsia" w:hAnsi="宋体" w:eastAsia="宋体" w:cs="宋体"/>
                <w:color w:val="000000" w:themeColor="text1"/>
                <w:sz w:val="24"/>
              </w:rPr>
              <w:t>开标</w:t>
            </w:r>
            <w:r>
              <w:rPr>
                <w:rFonts w:hint="eastAsia" w:hAnsi="宋体" w:eastAsia="宋体" w:cs="宋体"/>
                <w:color w:val="000000" w:themeColor="text1"/>
                <w:sz w:val="24"/>
                <w:lang w:val="en-US" w:eastAsia="zh-CN"/>
              </w:rPr>
              <w:t>活动</w:t>
            </w:r>
            <w:r>
              <w:rPr>
                <w:rFonts w:hint="eastAsia" w:hAnsi="宋体" w:eastAsia="宋体" w:cs="宋体"/>
                <w:color w:val="000000" w:themeColor="text1"/>
                <w:sz w:val="24"/>
              </w:rPr>
              <w:t>结束。</w:t>
            </w:r>
          </w:p>
        </w:tc>
      </w:tr>
      <w:tr>
        <w:tblPrEx>
          <w:tblCellMar>
            <w:top w:w="0" w:type="dxa"/>
            <w:left w:w="108" w:type="dxa"/>
            <w:bottom w:w="0" w:type="dxa"/>
            <w:right w:w="108" w:type="dxa"/>
          </w:tblCellMar>
        </w:tblPrEx>
        <w:trPr>
          <w:jc w:val="center"/>
        </w:trPr>
        <w:tc>
          <w:tcPr>
            <w:tcW w:w="1066"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center"/>
              <w:rPr>
                <w:rFonts w:ascii="宋体" w:hAnsi="宋体" w:eastAsia="宋体"/>
                <w:color w:val="000000" w:themeColor="text1"/>
              </w:rPr>
            </w:pPr>
            <w:r>
              <w:rPr>
                <w:rFonts w:ascii="宋体" w:hAnsi="宋体" w:eastAsia="宋体"/>
                <w:color w:val="000000" w:themeColor="text1"/>
              </w:rPr>
              <w:t>6.1</w:t>
            </w:r>
          </w:p>
        </w:tc>
        <w:tc>
          <w:tcPr>
            <w:tcW w:w="2311"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360" w:lineRule="exact"/>
              <w:jc w:val="center"/>
              <w:rPr>
                <w:rFonts w:ascii="宋体" w:hAnsi="宋体" w:eastAsia="宋体"/>
                <w:color w:val="000000" w:themeColor="text1"/>
              </w:rPr>
            </w:pPr>
            <w:r>
              <w:rPr>
                <w:rFonts w:ascii="宋体" w:hAnsi="宋体" w:eastAsia="宋体"/>
                <w:color w:val="000000" w:themeColor="text1"/>
              </w:rPr>
              <w:t>评标委员会的组建</w:t>
            </w:r>
          </w:p>
        </w:tc>
        <w:tc>
          <w:tcPr>
            <w:tcW w:w="5580" w:type="dxa"/>
            <w:tcBorders>
              <w:top w:val="single" w:color="auto" w:sz="4" w:space="0"/>
              <w:left w:val="single" w:color="auto" w:sz="4" w:space="0"/>
              <w:bottom w:val="single" w:color="auto" w:sz="4" w:space="0"/>
              <w:right w:val="single" w:color="auto" w:sz="4" w:space="0"/>
            </w:tcBorders>
            <w:vAlign w:val="center"/>
          </w:tcPr>
          <w:p>
            <w:pPr>
              <w:spacing w:after="160" w:line="288" w:lineRule="auto"/>
              <w:rPr>
                <w:rFonts w:ascii="宋体" w:hAnsi="宋体" w:eastAsia="宋体"/>
                <w:color w:val="000000" w:themeColor="text1"/>
              </w:rPr>
            </w:pPr>
            <w:r>
              <w:rPr>
                <w:rFonts w:hAnsi="Times New Roman"/>
                <w:color w:val="000000" w:themeColor="text1"/>
              </w:rPr>
              <w:t>评标委员会构成：9人，从河南省综合评标专家库中随机抽7人和招标人代表2人。</w:t>
            </w:r>
          </w:p>
        </w:tc>
      </w:tr>
      <w:tr>
        <w:tblPrEx>
          <w:tblCellMar>
            <w:top w:w="0" w:type="dxa"/>
            <w:left w:w="108" w:type="dxa"/>
            <w:bottom w:w="0" w:type="dxa"/>
            <w:right w:w="108" w:type="dxa"/>
          </w:tblCellMar>
        </w:tblPrEx>
        <w:trPr>
          <w:jc w:val="center"/>
        </w:trPr>
        <w:tc>
          <w:tcPr>
            <w:tcW w:w="1066"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center"/>
              <w:rPr>
                <w:rFonts w:ascii="宋体" w:hAnsi="宋体" w:eastAsia="宋体"/>
                <w:color w:val="000000" w:themeColor="text1"/>
              </w:rPr>
            </w:pPr>
            <w:r>
              <w:rPr>
                <w:rFonts w:ascii="宋体" w:hAnsi="宋体" w:eastAsia="宋体"/>
                <w:color w:val="000000" w:themeColor="text1"/>
              </w:rPr>
              <w:t>7.1</w:t>
            </w:r>
          </w:p>
        </w:tc>
        <w:tc>
          <w:tcPr>
            <w:tcW w:w="2311"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360" w:lineRule="exact"/>
              <w:jc w:val="center"/>
              <w:rPr>
                <w:rFonts w:ascii="宋体" w:hAnsi="宋体" w:eastAsia="宋体"/>
                <w:color w:val="000000" w:themeColor="text1"/>
              </w:rPr>
            </w:pPr>
            <w:r>
              <w:rPr>
                <w:rFonts w:ascii="宋体" w:hAnsi="宋体" w:eastAsia="宋体"/>
                <w:color w:val="000000" w:themeColor="text1"/>
              </w:rPr>
              <w:t>是否授权评标委员会确定中标人</w:t>
            </w:r>
          </w:p>
        </w:tc>
        <w:tc>
          <w:tcPr>
            <w:tcW w:w="558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360" w:lineRule="exact"/>
              <w:rPr>
                <w:rFonts w:ascii="宋体" w:hAnsi="宋体" w:eastAsia="宋体"/>
                <w:color w:val="000000" w:themeColor="text1"/>
              </w:rPr>
            </w:pPr>
            <w:r>
              <w:rPr>
                <w:rFonts w:ascii="宋体" w:hAnsi="宋体" w:eastAsia="宋体"/>
                <w:color w:val="000000" w:themeColor="text1"/>
              </w:rPr>
              <w:t>否，推荐的中标候选人数：1-3名</w:t>
            </w:r>
          </w:p>
        </w:tc>
      </w:tr>
      <w:tr>
        <w:tblPrEx>
          <w:tblCellMar>
            <w:top w:w="0" w:type="dxa"/>
            <w:left w:w="108" w:type="dxa"/>
            <w:bottom w:w="0" w:type="dxa"/>
            <w:right w:w="108" w:type="dxa"/>
          </w:tblCellMar>
        </w:tblPrEx>
        <w:trPr>
          <w:trHeight w:val="661" w:hRule="atLeast"/>
          <w:jc w:val="center"/>
        </w:trPr>
        <w:tc>
          <w:tcPr>
            <w:tcW w:w="1066" w:type="dxa"/>
            <w:gridSpan w:val="6"/>
            <w:tcBorders>
              <w:top w:val="single" w:color="auto" w:sz="4" w:space="0"/>
              <w:left w:val="single" w:color="auto" w:sz="4" w:space="0"/>
              <w:right w:val="single" w:color="auto" w:sz="4" w:space="0"/>
            </w:tcBorders>
            <w:vAlign w:val="center"/>
          </w:tcPr>
          <w:p>
            <w:pPr>
              <w:spacing w:after="160" w:line="360" w:lineRule="auto"/>
              <w:jc w:val="center"/>
              <w:rPr>
                <w:rFonts w:ascii="宋体" w:hAnsi="宋体" w:eastAsia="宋体"/>
                <w:color w:val="000000" w:themeColor="text1"/>
              </w:rPr>
            </w:pPr>
            <w:r>
              <w:rPr>
                <w:rFonts w:ascii="宋体" w:hAnsi="宋体" w:eastAsia="宋体"/>
                <w:color w:val="000000" w:themeColor="text1"/>
              </w:rPr>
              <w:t>7.2</w:t>
            </w:r>
          </w:p>
        </w:tc>
        <w:tc>
          <w:tcPr>
            <w:tcW w:w="2311" w:type="dxa"/>
            <w:gridSpan w:val="2"/>
            <w:tcBorders>
              <w:top w:val="single" w:color="auto" w:sz="4" w:space="0"/>
              <w:left w:val="single" w:color="auto" w:sz="4" w:space="0"/>
              <w:right w:val="single" w:color="auto" w:sz="4" w:space="0"/>
            </w:tcBorders>
            <w:vAlign w:val="center"/>
          </w:tcPr>
          <w:p>
            <w:pPr>
              <w:autoSpaceDE w:val="0"/>
              <w:autoSpaceDN w:val="0"/>
              <w:spacing w:after="160" w:line="360" w:lineRule="exact"/>
              <w:jc w:val="center"/>
              <w:rPr>
                <w:rFonts w:ascii="宋体" w:hAnsi="宋体" w:eastAsia="宋体"/>
                <w:color w:val="000000" w:themeColor="text1"/>
              </w:rPr>
            </w:pPr>
            <w:r>
              <w:rPr>
                <w:rFonts w:ascii="宋体" w:hAnsi="宋体" w:eastAsia="宋体"/>
                <w:color w:val="000000" w:themeColor="text1"/>
              </w:rPr>
              <w:t>履约保证金</w:t>
            </w:r>
          </w:p>
        </w:tc>
        <w:tc>
          <w:tcPr>
            <w:tcW w:w="558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360" w:lineRule="auto"/>
              <w:rPr>
                <w:rFonts w:ascii="宋体" w:hAnsi="宋体" w:eastAsia="宋体"/>
                <w:color w:val="000000" w:themeColor="text1"/>
              </w:rPr>
            </w:pPr>
            <w:r>
              <w:rPr>
                <w:rFonts w:ascii="宋体" w:hAnsi="宋体" w:eastAsia="宋体"/>
                <w:color w:val="000000" w:themeColor="text1"/>
              </w:rPr>
              <w:t>履约保证金（中标后缴纳）：200万</w:t>
            </w:r>
          </w:p>
          <w:p>
            <w:pPr>
              <w:autoSpaceDE w:val="0"/>
              <w:autoSpaceDN w:val="0"/>
              <w:spacing w:after="160" w:line="360" w:lineRule="auto"/>
              <w:rPr>
                <w:rFonts w:ascii="宋体" w:hAnsi="宋体" w:eastAsia="宋体"/>
                <w:color w:val="000000" w:themeColor="text1"/>
              </w:rPr>
            </w:pPr>
            <w:r>
              <w:rPr>
                <w:rFonts w:ascii="宋体" w:hAnsi="宋体" w:eastAsia="宋体"/>
                <w:color w:val="000000" w:themeColor="text1"/>
              </w:rPr>
              <w:t>中标人须在与招标人合同签订前向招标人交纳履约保证金；中标人以支票、汇票、本票或者金融机构、担保机构出具的保函等形式向招标人提交；如中标人在规定时间内未缴纳履约保证金的视为自动放弃中标，投标保证金不予退还。</w:t>
            </w:r>
          </w:p>
        </w:tc>
      </w:tr>
      <w:tr>
        <w:tblPrEx>
          <w:tblCellMar>
            <w:top w:w="0" w:type="dxa"/>
            <w:left w:w="108" w:type="dxa"/>
            <w:bottom w:w="0" w:type="dxa"/>
            <w:right w:w="108" w:type="dxa"/>
          </w:tblCellMar>
        </w:tblPrEx>
        <w:trPr>
          <w:trHeight w:val="602" w:hRule="atLeast"/>
          <w:jc w:val="center"/>
        </w:trPr>
        <w:tc>
          <w:tcPr>
            <w:tcW w:w="8957" w:type="dxa"/>
            <w:gridSpan w:val="9"/>
            <w:tcBorders>
              <w:top w:val="single" w:color="auto" w:sz="4" w:space="0"/>
              <w:left w:val="single" w:color="auto" w:sz="4" w:space="0"/>
              <w:bottom w:val="single" w:color="auto" w:sz="4" w:space="0"/>
              <w:right w:val="single" w:color="auto" w:sz="4" w:space="0"/>
            </w:tcBorders>
            <w:vAlign w:val="center"/>
          </w:tcPr>
          <w:p>
            <w:pPr>
              <w:spacing w:after="160" w:line="440" w:lineRule="exact"/>
              <w:rPr>
                <w:rFonts w:ascii="宋体" w:hAnsi="宋体" w:eastAsia="宋体"/>
                <w:color w:val="000000" w:themeColor="text1"/>
              </w:rPr>
            </w:pPr>
            <w:r>
              <w:rPr>
                <w:rFonts w:ascii="宋体" w:hAnsi="宋体" w:eastAsia="宋体"/>
                <w:color w:val="000000" w:themeColor="text1"/>
              </w:rPr>
              <w:t>7.3招标人及监督人员出席开标会议（授权函）</w:t>
            </w:r>
          </w:p>
        </w:tc>
      </w:tr>
      <w:tr>
        <w:tblPrEx>
          <w:tblCellMar>
            <w:top w:w="0" w:type="dxa"/>
            <w:left w:w="108" w:type="dxa"/>
            <w:bottom w:w="0" w:type="dxa"/>
            <w:right w:w="108" w:type="dxa"/>
          </w:tblCellMar>
        </w:tblPrEx>
        <w:trPr>
          <w:trHeight w:val="602" w:hRule="atLeast"/>
          <w:jc w:val="center"/>
        </w:trPr>
        <w:tc>
          <w:tcPr>
            <w:tcW w:w="8957" w:type="dxa"/>
            <w:gridSpan w:val="9"/>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left"/>
              <w:rPr>
                <w:rFonts w:ascii="宋体" w:hAnsi="宋体" w:eastAsia="宋体"/>
                <w:color w:val="000000" w:themeColor="text1"/>
              </w:rPr>
            </w:pPr>
            <w:r>
              <w:rPr>
                <w:rFonts w:ascii="宋体" w:hAnsi="宋体" w:eastAsia="宋体"/>
                <w:color w:val="000000" w:themeColor="text1"/>
              </w:rPr>
              <w:t>招标人单位委派代表参加开标会议，或者作为招标人代表进入评标委员会的，须向招标代理机构出具由招标人法定代表人签字并加盖单位公章的有明确授权事项的授权函。</w:t>
            </w:r>
            <w:r>
              <w:rPr>
                <w:rFonts w:ascii="宋体" w:hAnsi="宋体" w:eastAsia="宋体"/>
                <w:color w:val="000000" w:themeColor="text1"/>
              </w:rPr>
              <w:br w:type="textWrapping" w:clear="all"/>
            </w:r>
            <w:r>
              <w:rPr>
                <w:rFonts w:ascii="宋体" w:hAnsi="宋体" w:eastAsia="宋体"/>
                <w:color w:val="000000" w:themeColor="text1"/>
              </w:rPr>
              <w:t>除授权代表外，招标人单位委派纪检监察人员对评标过程实施监督的，须进入鄢陵县公共资源交易中心监控大厅，并向招标代理机构出具授权函，且不得超过2人。纪检监察人员对评审工作实施监督，并签字登记备案、备查，监督人员应切实履行监督责任。</w:t>
            </w:r>
          </w:p>
        </w:tc>
      </w:tr>
      <w:tr>
        <w:tblPrEx>
          <w:tblCellMar>
            <w:top w:w="0" w:type="dxa"/>
            <w:left w:w="108" w:type="dxa"/>
            <w:bottom w:w="0" w:type="dxa"/>
            <w:right w:w="108" w:type="dxa"/>
          </w:tblCellMar>
        </w:tblPrEx>
        <w:trPr>
          <w:trHeight w:val="602" w:hRule="atLeast"/>
          <w:jc w:val="center"/>
        </w:trPr>
        <w:tc>
          <w:tcPr>
            <w:tcW w:w="8957" w:type="dxa"/>
            <w:gridSpan w:val="9"/>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left"/>
              <w:rPr>
                <w:rFonts w:ascii="宋体" w:hAnsi="宋体" w:eastAsia="宋体"/>
                <w:color w:val="000000" w:themeColor="text1"/>
              </w:rPr>
            </w:pPr>
            <w:r>
              <w:rPr>
                <w:rFonts w:ascii="宋体" w:hAnsi="宋体" w:eastAsia="宋体"/>
                <w:color w:val="000000" w:themeColor="text1"/>
              </w:rPr>
              <w:t>8.1需要补充的其他内容</w:t>
            </w:r>
          </w:p>
        </w:tc>
      </w:tr>
      <w:tr>
        <w:tblPrEx>
          <w:tblCellMar>
            <w:top w:w="0" w:type="dxa"/>
            <w:left w:w="108" w:type="dxa"/>
            <w:bottom w:w="0" w:type="dxa"/>
            <w:right w:w="108" w:type="dxa"/>
          </w:tblCellMar>
        </w:tblPrEx>
        <w:trPr>
          <w:trHeight w:val="567" w:hRule="atLeast"/>
          <w:jc w:val="center"/>
        </w:trPr>
        <w:tc>
          <w:tcPr>
            <w:tcW w:w="8957" w:type="dxa"/>
            <w:gridSpan w:val="9"/>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left"/>
              <w:rPr>
                <w:rFonts w:ascii="宋体" w:hAnsi="宋体" w:eastAsia="宋体"/>
                <w:color w:val="000000" w:themeColor="text1"/>
              </w:rPr>
            </w:pPr>
            <w:r>
              <w:rPr>
                <w:rFonts w:ascii="宋体" w:hAnsi="宋体" w:eastAsia="宋体"/>
                <w:color w:val="000000" w:themeColor="text1"/>
              </w:rPr>
              <w:t>8.1.1词语定义</w:t>
            </w:r>
          </w:p>
        </w:tc>
      </w:tr>
      <w:tr>
        <w:tblPrEx>
          <w:tblCellMar>
            <w:top w:w="0" w:type="dxa"/>
            <w:left w:w="108" w:type="dxa"/>
            <w:bottom w:w="0" w:type="dxa"/>
            <w:right w:w="108" w:type="dxa"/>
          </w:tblCellMar>
        </w:tblPrEx>
        <w:trPr>
          <w:trHeight w:val="381" w:hRule="atLeast"/>
          <w:jc w:val="center"/>
        </w:trPr>
        <w:tc>
          <w:tcPr>
            <w:tcW w:w="1056"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center"/>
              <w:rPr>
                <w:rFonts w:ascii="宋体" w:hAnsi="宋体" w:eastAsia="宋体"/>
                <w:color w:val="000000" w:themeColor="text1"/>
              </w:rPr>
            </w:pPr>
            <w:r>
              <w:rPr>
                <w:rFonts w:ascii="宋体" w:hAnsi="宋体" w:eastAsia="宋体"/>
                <w:color w:val="000000" w:themeColor="text1"/>
              </w:rPr>
              <w:t>8.1.1.1</w:t>
            </w:r>
          </w:p>
        </w:tc>
        <w:tc>
          <w:tcPr>
            <w:tcW w:w="2173"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center"/>
              <w:rPr>
                <w:rFonts w:ascii="宋体" w:hAnsi="宋体" w:eastAsia="宋体"/>
                <w:color w:val="000000" w:themeColor="text1"/>
              </w:rPr>
            </w:pPr>
            <w:r>
              <w:rPr>
                <w:rFonts w:ascii="宋体" w:hAnsi="宋体" w:eastAsia="宋体"/>
                <w:color w:val="000000" w:themeColor="text1"/>
              </w:rPr>
              <w:t>类似业绩</w:t>
            </w:r>
          </w:p>
        </w:tc>
        <w:tc>
          <w:tcPr>
            <w:tcW w:w="5728" w:type="dxa"/>
            <w:gridSpan w:val="2"/>
            <w:tcBorders>
              <w:top w:val="single" w:color="auto" w:sz="4" w:space="0"/>
              <w:left w:val="single" w:color="auto" w:sz="4" w:space="0"/>
              <w:bottom w:val="single" w:color="auto" w:sz="4" w:space="0"/>
              <w:right w:val="single" w:color="auto" w:sz="4" w:space="0"/>
            </w:tcBorders>
            <w:vAlign w:val="center"/>
          </w:tcPr>
          <w:p>
            <w:pPr>
              <w:spacing w:after="160" w:line="360" w:lineRule="auto"/>
              <w:rPr>
                <w:rFonts w:ascii="宋体" w:hAnsi="宋体" w:eastAsia="宋体"/>
                <w:b/>
                <w:color w:val="000000" w:themeColor="text1"/>
              </w:rPr>
            </w:pPr>
            <w:r>
              <w:rPr>
                <w:rFonts w:ascii="宋体" w:hAnsi="宋体" w:eastAsia="宋体"/>
                <w:color w:val="000000" w:themeColor="text1"/>
              </w:rPr>
              <w:t>2016年1月1日至今的</w:t>
            </w:r>
            <w:r>
              <w:rPr>
                <w:rFonts w:hAnsi="Times New Roman"/>
                <w:color w:val="000000" w:themeColor="text1"/>
              </w:rPr>
              <w:t>如生物质气、环境治理等</w:t>
            </w:r>
            <w:r>
              <w:rPr>
                <w:rFonts w:ascii="宋体" w:hAnsi="宋体" w:eastAsia="宋体"/>
                <w:color w:val="000000" w:themeColor="text1"/>
              </w:rPr>
              <w:t>环保类项目业绩（以合同签订日期为准），业绩包含投资类、设计类、总包类项目，</w:t>
            </w:r>
            <w:r>
              <w:rPr>
                <w:rFonts w:hAnsi="Times New Roman"/>
                <w:color w:val="000000" w:themeColor="text1"/>
              </w:rPr>
              <w:t>项目业绩以投标人提供的中标通知书或合同协议书为准。</w:t>
            </w:r>
          </w:p>
        </w:tc>
      </w:tr>
      <w:tr>
        <w:tblPrEx>
          <w:tblCellMar>
            <w:top w:w="0" w:type="dxa"/>
            <w:left w:w="108" w:type="dxa"/>
            <w:bottom w:w="0" w:type="dxa"/>
            <w:right w:w="108" w:type="dxa"/>
          </w:tblCellMar>
        </w:tblPrEx>
        <w:trPr>
          <w:trHeight w:val="381" w:hRule="atLeast"/>
          <w:jc w:val="center"/>
        </w:trPr>
        <w:tc>
          <w:tcPr>
            <w:tcW w:w="1056"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center"/>
              <w:rPr>
                <w:rFonts w:ascii="宋体" w:hAnsi="宋体" w:eastAsia="宋体"/>
                <w:color w:val="000000" w:themeColor="text1"/>
              </w:rPr>
            </w:pPr>
            <w:r>
              <w:rPr>
                <w:rFonts w:ascii="宋体" w:hAnsi="宋体" w:eastAsia="宋体"/>
                <w:color w:val="000000" w:themeColor="text1"/>
              </w:rPr>
              <w:t>8.1.1.2</w:t>
            </w:r>
          </w:p>
        </w:tc>
        <w:tc>
          <w:tcPr>
            <w:tcW w:w="2173" w:type="dxa"/>
            <w:gridSpan w:val="2"/>
            <w:tcBorders>
              <w:top w:val="single" w:color="auto" w:sz="4" w:space="0"/>
              <w:left w:val="single" w:color="auto" w:sz="4" w:space="0"/>
              <w:bottom w:val="single" w:color="auto" w:sz="4" w:space="0"/>
              <w:right w:val="single" w:color="auto" w:sz="4" w:space="0"/>
            </w:tcBorders>
            <w:vAlign w:val="center"/>
          </w:tcPr>
          <w:p>
            <w:pPr>
              <w:spacing w:after="160" w:line="312" w:lineRule="auto"/>
              <w:ind w:firstLine="480"/>
              <w:rPr>
                <w:rFonts w:ascii="宋体" w:hAnsi="宋体" w:eastAsia="宋体"/>
                <w:color w:val="000000" w:themeColor="text1"/>
              </w:rPr>
            </w:pPr>
            <w:r>
              <w:rPr>
                <w:rFonts w:ascii="宋体" w:hAnsi="宋体" w:eastAsia="宋体"/>
                <w:color w:val="000000" w:themeColor="text1"/>
              </w:rPr>
              <w:t>不良行为记录</w:t>
            </w:r>
          </w:p>
        </w:tc>
        <w:tc>
          <w:tcPr>
            <w:tcW w:w="5728" w:type="dxa"/>
            <w:gridSpan w:val="2"/>
            <w:tcBorders>
              <w:top w:val="single" w:color="auto" w:sz="4" w:space="0"/>
              <w:left w:val="single" w:color="auto" w:sz="4" w:space="0"/>
              <w:bottom w:val="single" w:color="auto" w:sz="4" w:space="0"/>
              <w:right w:val="single" w:color="auto" w:sz="4" w:space="0"/>
            </w:tcBorders>
            <w:vAlign w:val="center"/>
          </w:tcPr>
          <w:p>
            <w:pPr>
              <w:spacing w:after="160" w:line="360" w:lineRule="auto"/>
              <w:rPr>
                <w:rFonts w:ascii="宋体" w:hAnsi="宋体" w:eastAsia="宋体"/>
                <w:color w:val="000000" w:themeColor="text1"/>
              </w:rPr>
            </w:pPr>
            <w:r>
              <w:rPr>
                <w:rFonts w:ascii="宋体" w:hAnsi="宋体" w:eastAsia="宋体"/>
                <w:color w:val="000000" w:themeColor="text1"/>
              </w:rPr>
              <w:t>投标人因质量、安全事故、拖欠农民工工资及招标投标中出具虚假资料等受到省级以上建设行政主管部门的处罚，形成的不良记录。</w:t>
            </w:r>
          </w:p>
        </w:tc>
      </w:tr>
      <w:tr>
        <w:tblPrEx>
          <w:tblCellMar>
            <w:top w:w="0" w:type="dxa"/>
            <w:left w:w="108" w:type="dxa"/>
            <w:bottom w:w="0" w:type="dxa"/>
            <w:right w:w="108" w:type="dxa"/>
          </w:tblCellMar>
        </w:tblPrEx>
        <w:trPr>
          <w:trHeight w:val="340" w:hRule="atLeast"/>
          <w:jc w:val="center"/>
        </w:trPr>
        <w:tc>
          <w:tcPr>
            <w:tcW w:w="8957" w:type="dxa"/>
            <w:gridSpan w:val="9"/>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rPr>
                <w:rFonts w:ascii="宋体" w:hAnsi="宋体" w:eastAsia="宋体"/>
                <w:color w:val="000000" w:themeColor="text1"/>
              </w:rPr>
            </w:pPr>
            <w:r>
              <w:rPr>
                <w:rFonts w:ascii="宋体" w:hAnsi="宋体" w:eastAsia="宋体"/>
                <w:color w:val="000000" w:themeColor="text1"/>
              </w:rPr>
              <w:t>8.1.2招标控制价</w:t>
            </w:r>
          </w:p>
        </w:tc>
      </w:tr>
      <w:tr>
        <w:tblPrEx>
          <w:tblCellMar>
            <w:top w:w="0" w:type="dxa"/>
            <w:left w:w="108" w:type="dxa"/>
            <w:bottom w:w="0" w:type="dxa"/>
            <w:right w:w="108" w:type="dxa"/>
          </w:tblCellMar>
        </w:tblPrEx>
        <w:trPr>
          <w:trHeight w:val="476" w:hRule="atLeast"/>
          <w:jc w:val="center"/>
        </w:trPr>
        <w:tc>
          <w:tcPr>
            <w:tcW w:w="1066"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center"/>
              <w:rPr>
                <w:rFonts w:ascii="宋体" w:hAnsi="宋体" w:eastAsia="宋体"/>
                <w:color w:val="000000" w:themeColor="text1"/>
              </w:rPr>
            </w:pPr>
            <w:r>
              <w:rPr>
                <w:rFonts w:ascii="宋体" w:hAnsi="宋体" w:eastAsia="宋体"/>
                <w:color w:val="000000" w:themeColor="text1"/>
              </w:rPr>
              <w:t>8.1.2.1</w:t>
            </w:r>
          </w:p>
        </w:tc>
        <w:tc>
          <w:tcPr>
            <w:tcW w:w="2163" w:type="dxa"/>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jc w:val="center"/>
              <w:rPr>
                <w:rFonts w:ascii="宋体" w:hAnsi="宋体" w:eastAsia="宋体"/>
                <w:b/>
                <w:color w:val="000000" w:themeColor="text1"/>
              </w:rPr>
            </w:pPr>
            <w:r>
              <w:rPr>
                <w:rFonts w:ascii="宋体" w:hAnsi="宋体" w:eastAsia="宋体"/>
                <w:b/>
                <w:color w:val="000000" w:themeColor="text1"/>
              </w:rPr>
              <w:t>招标控制价</w:t>
            </w:r>
          </w:p>
        </w:tc>
        <w:tc>
          <w:tcPr>
            <w:tcW w:w="5728"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360" w:lineRule="exact"/>
              <w:rPr>
                <w:rFonts w:ascii="宋体" w:hAnsi="宋体" w:eastAsia="宋体"/>
                <w:b/>
                <w:color w:val="000000" w:themeColor="text1"/>
              </w:rPr>
            </w:pPr>
            <w:r>
              <w:rPr>
                <w:rFonts w:hAnsi="宋体" w:eastAsia="宋体"/>
                <w:color w:val="000000" w:themeColor="text1"/>
              </w:rPr>
              <w:t>依据《鄢陵县2019年畜禽粪污资源化利用整县推进项目实施方案》，投标人投资方案中的投资金额不低于6</w:t>
            </w:r>
            <w:r>
              <w:rPr>
                <w:rFonts w:hAnsi="Times New Roman"/>
                <w:color w:val="000000" w:themeColor="text1"/>
              </w:rPr>
              <w:t>163.52</w:t>
            </w:r>
            <w:r>
              <w:rPr>
                <w:rFonts w:hAnsi="宋体" w:eastAsia="宋体"/>
                <w:color w:val="000000" w:themeColor="text1"/>
              </w:rPr>
              <w:t>万元，否则为无效投标。(投标人投资金额=投标人投资方案中总投资额-财政补助金额</w:t>
            </w:r>
            <w:r>
              <w:rPr>
                <w:rFonts w:ascii="Times New Roman" w:hAnsi="Times New Roman"/>
                <w:color w:val="000000" w:themeColor="text1"/>
              </w:rPr>
              <w:t>3627.43</w:t>
            </w:r>
            <w:r>
              <w:rPr>
                <w:rFonts w:hAnsi="宋体" w:eastAsia="宋体"/>
                <w:color w:val="000000" w:themeColor="text1"/>
              </w:rPr>
              <w:t>万元）</w:t>
            </w:r>
          </w:p>
        </w:tc>
      </w:tr>
      <w:tr>
        <w:tblPrEx>
          <w:tblCellMar>
            <w:top w:w="0" w:type="dxa"/>
            <w:left w:w="108" w:type="dxa"/>
            <w:bottom w:w="0" w:type="dxa"/>
            <w:right w:w="108" w:type="dxa"/>
          </w:tblCellMar>
        </w:tblPrEx>
        <w:trPr>
          <w:trHeight w:val="307" w:hRule="atLeast"/>
          <w:jc w:val="center"/>
        </w:trPr>
        <w:tc>
          <w:tcPr>
            <w:tcW w:w="8957" w:type="dxa"/>
            <w:gridSpan w:val="9"/>
            <w:tcBorders>
              <w:top w:val="single" w:color="auto" w:sz="4" w:space="0"/>
              <w:left w:val="single" w:color="auto" w:sz="4" w:space="0"/>
              <w:bottom w:val="single" w:color="auto" w:sz="4" w:space="0"/>
              <w:right w:val="single" w:color="auto" w:sz="4" w:space="0"/>
            </w:tcBorders>
            <w:vAlign w:val="center"/>
          </w:tcPr>
          <w:p>
            <w:pPr>
              <w:spacing w:after="160" w:line="360" w:lineRule="exact"/>
              <w:rPr>
                <w:rFonts w:ascii="宋体" w:hAnsi="宋体" w:eastAsia="宋体"/>
                <w:color w:val="000000" w:themeColor="text1"/>
              </w:rPr>
            </w:pPr>
            <w:r>
              <w:rPr>
                <w:rFonts w:ascii="宋体" w:hAnsi="宋体" w:eastAsia="宋体"/>
                <w:color w:val="000000" w:themeColor="text1"/>
              </w:rPr>
              <w:t>8.1.3投标人代表出席开标会</w:t>
            </w:r>
          </w:p>
        </w:tc>
      </w:tr>
      <w:tr>
        <w:tblPrEx>
          <w:tblCellMar>
            <w:top w:w="0" w:type="dxa"/>
            <w:left w:w="108" w:type="dxa"/>
            <w:bottom w:w="0" w:type="dxa"/>
            <w:right w:w="108" w:type="dxa"/>
          </w:tblCellMar>
        </w:tblPrEx>
        <w:trPr>
          <w:trHeight w:val="90" w:hRule="atLeast"/>
          <w:jc w:val="center"/>
        </w:trPr>
        <w:tc>
          <w:tcPr>
            <w:tcW w:w="500" w:type="dxa"/>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360" w:lineRule="exact"/>
              <w:jc w:val="left"/>
              <w:rPr>
                <w:rFonts w:ascii="宋体" w:hAnsi="宋体" w:eastAsia="宋体"/>
                <w:color w:val="000000" w:themeColor="text1"/>
              </w:rPr>
            </w:pPr>
          </w:p>
        </w:tc>
        <w:tc>
          <w:tcPr>
            <w:tcW w:w="8457" w:type="dxa"/>
            <w:gridSpan w:val="8"/>
            <w:tcBorders>
              <w:top w:val="single" w:color="auto" w:sz="4" w:space="0"/>
              <w:left w:val="single" w:color="auto" w:sz="4" w:space="0"/>
              <w:bottom w:val="single" w:color="auto" w:sz="4" w:space="0"/>
              <w:right w:val="single" w:color="auto" w:sz="4" w:space="0"/>
            </w:tcBorders>
            <w:vAlign w:val="center"/>
          </w:tcPr>
          <w:p>
            <w:pPr>
              <w:spacing w:after="160" w:line="360" w:lineRule="exact"/>
              <w:rPr>
                <w:rFonts w:ascii="宋体" w:hAnsi="宋体" w:eastAsia="宋体"/>
                <w:color w:val="000000" w:themeColor="text1"/>
              </w:rPr>
            </w:pPr>
            <w:r>
              <w:rPr>
                <w:rFonts w:hint="eastAsia" w:hAnsi="宋体" w:cs="宋体"/>
                <w:color w:val="000000" w:themeColor="text1"/>
                <w:sz w:val="24"/>
              </w:rPr>
              <w:t>投标人准时在网上参加投标、开标活动。</w:t>
            </w:r>
          </w:p>
        </w:tc>
      </w:tr>
      <w:tr>
        <w:tblPrEx>
          <w:tblCellMar>
            <w:top w:w="0" w:type="dxa"/>
            <w:left w:w="108" w:type="dxa"/>
            <w:bottom w:w="0" w:type="dxa"/>
            <w:right w:w="108" w:type="dxa"/>
          </w:tblCellMar>
        </w:tblPrEx>
        <w:trPr>
          <w:trHeight w:val="332" w:hRule="atLeast"/>
          <w:jc w:val="center"/>
        </w:trPr>
        <w:tc>
          <w:tcPr>
            <w:tcW w:w="8957" w:type="dxa"/>
            <w:gridSpan w:val="9"/>
            <w:tcBorders>
              <w:top w:val="single" w:color="auto" w:sz="4" w:space="0"/>
              <w:left w:val="single" w:color="auto" w:sz="4" w:space="0"/>
              <w:bottom w:val="single" w:color="auto" w:sz="4" w:space="0"/>
              <w:right w:val="single" w:color="auto" w:sz="4" w:space="0"/>
            </w:tcBorders>
            <w:vAlign w:val="center"/>
          </w:tcPr>
          <w:p>
            <w:pPr>
              <w:spacing w:after="160" w:line="360" w:lineRule="auto"/>
              <w:rPr>
                <w:rFonts w:ascii="宋体" w:hAnsi="宋体" w:eastAsia="宋体"/>
                <w:b/>
                <w:color w:val="000000" w:themeColor="text1"/>
                <w:u w:val="dotted"/>
              </w:rPr>
            </w:pPr>
            <w:r>
              <w:rPr>
                <w:rFonts w:ascii="宋体" w:hAnsi="宋体" w:eastAsia="宋体"/>
                <w:color w:val="000000" w:themeColor="text1"/>
              </w:rPr>
              <w:t>8.1.4中标公示</w:t>
            </w:r>
          </w:p>
        </w:tc>
      </w:tr>
      <w:tr>
        <w:tblPrEx>
          <w:tblCellMar>
            <w:top w:w="0" w:type="dxa"/>
            <w:left w:w="108" w:type="dxa"/>
            <w:bottom w:w="0" w:type="dxa"/>
            <w:right w:w="108" w:type="dxa"/>
          </w:tblCellMar>
        </w:tblPrEx>
        <w:trPr>
          <w:trHeight w:val="628" w:hRule="atLeast"/>
          <w:jc w:val="center"/>
        </w:trPr>
        <w:tc>
          <w:tcPr>
            <w:tcW w:w="500" w:type="dxa"/>
            <w:tcBorders>
              <w:top w:val="single" w:color="auto" w:sz="4" w:space="0"/>
              <w:left w:val="single" w:color="auto" w:sz="4" w:space="0"/>
              <w:bottom w:val="nil"/>
              <w:right w:val="single" w:color="auto" w:sz="4" w:space="0"/>
            </w:tcBorders>
            <w:vAlign w:val="center"/>
          </w:tcPr>
          <w:p>
            <w:pPr>
              <w:spacing w:after="160" w:line="312" w:lineRule="auto"/>
              <w:rPr>
                <w:rFonts w:ascii="宋体" w:hAnsi="宋体" w:eastAsia="宋体"/>
                <w:color w:val="000000" w:themeColor="text1"/>
              </w:rPr>
            </w:pPr>
          </w:p>
          <w:p>
            <w:pPr>
              <w:pStyle w:val="48"/>
              <w:spacing w:after="160"/>
              <w:rPr>
                <w:color w:val="000000" w:themeColor="text1"/>
              </w:rPr>
            </w:pPr>
          </w:p>
        </w:tc>
        <w:tc>
          <w:tcPr>
            <w:tcW w:w="8457" w:type="dxa"/>
            <w:gridSpan w:val="8"/>
            <w:tcBorders>
              <w:top w:val="single" w:color="auto" w:sz="4" w:space="0"/>
              <w:left w:val="single" w:color="auto" w:sz="4" w:space="0"/>
              <w:bottom w:val="nil"/>
              <w:right w:val="single" w:color="auto" w:sz="4" w:space="0"/>
            </w:tcBorders>
            <w:vAlign w:val="center"/>
          </w:tcPr>
          <w:p>
            <w:pPr>
              <w:spacing w:after="160" w:line="312" w:lineRule="auto"/>
              <w:rPr>
                <w:rFonts w:ascii="宋体" w:hAnsi="宋体" w:eastAsia="宋体"/>
                <w:color w:val="000000" w:themeColor="text1"/>
              </w:rPr>
            </w:pPr>
            <w:r>
              <w:rPr>
                <w:rFonts w:ascii="宋体" w:hAnsi="宋体" w:eastAsia="宋体"/>
                <w:color w:val="000000" w:themeColor="text1"/>
              </w:rPr>
              <w:t>在中标通知书发出前，招标人将中标候选人的情况在本招标项目招标公告发布的同一媒介予以公示，公示期不少于3个工作日。</w:t>
            </w:r>
          </w:p>
        </w:tc>
      </w:tr>
      <w:tr>
        <w:tblPrEx>
          <w:tblCellMar>
            <w:top w:w="0" w:type="dxa"/>
            <w:left w:w="108" w:type="dxa"/>
            <w:bottom w:w="0" w:type="dxa"/>
            <w:right w:w="108" w:type="dxa"/>
          </w:tblCellMar>
        </w:tblPrEx>
        <w:trPr>
          <w:trHeight w:val="342" w:hRule="atLeast"/>
          <w:jc w:val="center"/>
        </w:trPr>
        <w:tc>
          <w:tcPr>
            <w:tcW w:w="8957" w:type="dxa"/>
            <w:gridSpan w:val="9"/>
            <w:tcBorders>
              <w:top w:val="single" w:color="auto" w:sz="4" w:space="0"/>
              <w:left w:val="single" w:color="auto" w:sz="4" w:space="0"/>
              <w:bottom w:val="single" w:color="auto" w:sz="4" w:space="0"/>
              <w:right w:val="single" w:color="auto" w:sz="4" w:space="0"/>
            </w:tcBorders>
            <w:vAlign w:val="center"/>
          </w:tcPr>
          <w:p>
            <w:pPr>
              <w:spacing w:after="160" w:line="312" w:lineRule="auto"/>
              <w:ind w:left="240" w:hanging="240"/>
              <w:rPr>
                <w:rFonts w:ascii="宋体" w:hAnsi="宋体" w:eastAsia="宋体"/>
                <w:color w:val="000000" w:themeColor="text1"/>
              </w:rPr>
            </w:pPr>
            <w:r>
              <w:rPr>
                <w:rFonts w:ascii="宋体" w:hAnsi="宋体" w:eastAsia="宋体"/>
                <w:color w:val="000000" w:themeColor="text1"/>
              </w:rPr>
              <w:t>8.1.5知识产权</w:t>
            </w:r>
          </w:p>
        </w:tc>
      </w:tr>
      <w:tr>
        <w:tblPrEx>
          <w:tblCellMar>
            <w:top w:w="0" w:type="dxa"/>
            <w:left w:w="108" w:type="dxa"/>
            <w:bottom w:w="0" w:type="dxa"/>
            <w:right w:w="108" w:type="dxa"/>
          </w:tblCellMar>
        </w:tblPrEx>
        <w:trPr>
          <w:trHeight w:val="1333" w:hRule="atLeast"/>
          <w:jc w:val="center"/>
        </w:trPr>
        <w:tc>
          <w:tcPr>
            <w:tcW w:w="500" w:type="dxa"/>
            <w:tcBorders>
              <w:top w:val="single" w:color="auto" w:sz="4" w:space="0"/>
              <w:left w:val="single" w:color="auto" w:sz="4" w:space="0"/>
              <w:bottom w:val="single" w:color="auto" w:sz="4" w:space="0"/>
              <w:right w:val="single" w:color="auto" w:sz="4" w:space="0"/>
            </w:tcBorders>
            <w:vAlign w:val="center"/>
          </w:tcPr>
          <w:p>
            <w:pPr>
              <w:spacing w:after="160" w:line="312" w:lineRule="auto"/>
              <w:rPr>
                <w:rFonts w:ascii="宋体" w:hAnsi="宋体" w:eastAsia="宋体"/>
                <w:color w:val="000000" w:themeColor="text1"/>
              </w:rPr>
            </w:pPr>
          </w:p>
        </w:tc>
        <w:tc>
          <w:tcPr>
            <w:tcW w:w="8457" w:type="dxa"/>
            <w:gridSpan w:val="8"/>
            <w:tcBorders>
              <w:top w:val="single" w:color="auto" w:sz="4" w:space="0"/>
              <w:left w:val="single" w:color="auto" w:sz="4" w:space="0"/>
              <w:bottom w:val="single" w:color="auto" w:sz="4" w:space="0"/>
              <w:right w:val="single" w:color="auto" w:sz="4" w:space="0"/>
            </w:tcBorders>
            <w:vAlign w:val="center"/>
          </w:tcPr>
          <w:p>
            <w:pPr>
              <w:spacing w:after="160" w:line="312" w:lineRule="auto"/>
              <w:rPr>
                <w:rFonts w:ascii="宋体" w:hAnsi="宋体" w:eastAsia="宋体"/>
                <w:color w:val="000000" w:themeColor="text1"/>
              </w:rPr>
            </w:pPr>
            <w:r>
              <w:rPr>
                <w:rFonts w:ascii="宋体" w:hAnsi="宋体" w:eastAsia="宋体"/>
                <w:color w:val="000000" w:themeColor="text1"/>
              </w:rPr>
              <w:t>构成本招标文件各个组成部分的文件，未经招标人书面同意，投标人不得擅自复印和用于非本招标项目所需的其他目的。招标人全部或者部分使用未中标人投标文件中的技术成果或技术方案时，需征得其书面同意，并不得擅自复印或提供给第三人。</w:t>
            </w:r>
          </w:p>
        </w:tc>
      </w:tr>
      <w:tr>
        <w:tblPrEx>
          <w:tblCellMar>
            <w:top w:w="0" w:type="dxa"/>
            <w:left w:w="108" w:type="dxa"/>
            <w:bottom w:w="0" w:type="dxa"/>
            <w:right w:w="108" w:type="dxa"/>
          </w:tblCellMar>
        </w:tblPrEx>
        <w:trPr>
          <w:trHeight w:val="567" w:hRule="atLeast"/>
          <w:jc w:val="center"/>
        </w:trPr>
        <w:tc>
          <w:tcPr>
            <w:tcW w:w="8957" w:type="dxa"/>
            <w:gridSpan w:val="9"/>
            <w:tcBorders>
              <w:top w:val="single" w:color="auto" w:sz="4" w:space="0"/>
              <w:left w:val="single" w:color="auto" w:sz="4" w:space="0"/>
              <w:bottom w:val="nil"/>
              <w:right w:val="single" w:color="auto" w:sz="4" w:space="0"/>
            </w:tcBorders>
            <w:vAlign w:val="center"/>
          </w:tcPr>
          <w:p>
            <w:pPr>
              <w:spacing w:after="160" w:line="360" w:lineRule="auto"/>
              <w:rPr>
                <w:rFonts w:ascii="宋体" w:hAnsi="宋体" w:eastAsia="宋体"/>
                <w:color w:val="000000" w:themeColor="text1"/>
              </w:rPr>
            </w:pPr>
            <w:r>
              <w:rPr>
                <w:rFonts w:ascii="宋体" w:hAnsi="宋体" w:eastAsia="宋体"/>
                <w:color w:val="000000" w:themeColor="text1"/>
              </w:rPr>
              <w:t>8.1.6重新招标的其他情形</w:t>
            </w:r>
          </w:p>
        </w:tc>
      </w:tr>
      <w:tr>
        <w:tblPrEx>
          <w:tblCellMar>
            <w:top w:w="0" w:type="dxa"/>
            <w:left w:w="108" w:type="dxa"/>
            <w:bottom w:w="0" w:type="dxa"/>
            <w:right w:w="108" w:type="dxa"/>
          </w:tblCellMar>
        </w:tblPrEx>
        <w:trPr>
          <w:trHeight w:val="567" w:hRule="atLeast"/>
          <w:jc w:val="center"/>
        </w:trPr>
        <w:tc>
          <w:tcPr>
            <w:tcW w:w="500" w:type="dxa"/>
            <w:tcBorders>
              <w:top w:val="single" w:color="auto" w:sz="4" w:space="0"/>
              <w:left w:val="single" w:color="auto" w:sz="4" w:space="0"/>
              <w:bottom w:val="nil"/>
              <w:right w:val="single" w:color="auto" w:sz="4" w:space="0"/>
            </w:tcBorders>
            <w:vAlign w:val="center"/>
          </w:tcPr>
          <w:p>
            <w:pPr>
              <w:spacing w:after="160" w:line="360" w:lineRule="auto"/>
              <w:rPr>
                <w:rFonts w:ascii="宋体" w:hAnsi="宋体" w:eastAsia="宋体"/>
                <w:color w:val="000000" w:themeColor="text1"/>
              </w:rPr>
            </w:pPr>
          </w:p>
        </w:tc>
        <w:tc>
          <w:tcPr>
            <w:tcW w:w="8457" w:type="dxa"/>
            <w:gridSpan w:val="8"/>
            <w:tcBorders>
              <w:top w:val="single" w:color="auto" w:sz="4" w:space="0"/>
              <w:left w:val="single" w:color="auto" w:sz="4" w:space="0"/>
              <w:bottom w:val="nil"/>
              <w:right w:val="single" w:color="auto" w:sz="4" w:space="0"/>
            </w:tcBorders>
            <w:vAlign w:val="center"/>
          </w:tcPr>
          <w:p>
            <w:pPr>
              <w:spacing w:after="160" w:line="360" w:lineRule="auto"/>
              <w:rPr>
                <w:rFonts w:ascii="宋体" w:hAnsi="宋体" w:eastAsia="宋体"/>
                <w:color w:val="000000" w:themeColor="text1"/>
              </w:rPr>
            </w:pPr>
            <w:r>
              <w:rPr>
                <w:rFonts w:ascii="宋体" w:hAnsi="宋体" w:eastAsia="宋体"/>
                <w:color w:val="000000" w:themeColor="text1"/>
              </w:rPr>
              <w:t>除投标人须知正文第8条规定的情形外，除非已经产生中标候选人，在投标有效期内同意延长投标有效期的投标人少于三个的， 招标人应当依法重新招标。</w:t>
            </w:r>
          </w:p>
        </w:tc>
      </w:tr>
      <w:tr>
        <w:tblPrEx>
          <w:tblCellMar>
            <w:top w:w="0" w:type="dxa"/>
            <w:left w:w="108" w:type="dxa"/>
            <w:bottom w:w="0" w:type="dxa"/>
            <w:right w:w="108" w:type="dxa"/>
          </w:tblCellMar>
        </w:tblPrEx>
        <w:trPr>
          <w:trHeight w:val="567" w:hRule="atLeast"/>
          <w:jc w:val="center"/>
        </w:trPr>
        <w:tc>
          <w:tcPr>
            <w:tcW w:w="8957" w:type="dxa"/>
            <w:gridSpan w:val="9"/>
            <w:tcBorders>
              <w:top w:val="single" w:color="auto" w:sz="4" w:space="0"/>
              <w:left w:val="single" w:color="auto" w:sz="4" w:space="0"/>
              <w:bottom w:val="nil"/>
              <w:right w:val="single" w:color="auto" w:sz="4" w:space="0"/>
            </w:tcBorders>
            <w:vAlign w:val="center"/>
          </w:tcPr>
          <w:p>
            <w:pPr>
              <w:spacing w:after="160" w:line="312" w:lineRule="auto"/>
              <w:ind w:left="240" w:hanging="240"/>
              <w:rPr>
                <w:rFonts w:ascii="宋体" w:hAnsi="宋体" w:eastAsia="宋体"/>
                <w:color w:val="000000" w:themeColor="text1"/>
              </w:rPr>
            </w:pPr>
            <w:r>
              <w:rPr>
                <w:rFonts w:ascii="宋体" w:hAnsi="宋体" w:eastAsia="宋体"/>
                <w:color w:val="000000" w:themeColor="text1"/>
              </w:rPr>
              <w:t>8.1.7同义词语</w:t>
            </w:r>
          </w:p>
        </w:tc>
      </w:tr>
      <w:tr>
        <w:tblPrEx>
          <w:tblCellMar>
            <w:top w:w="0" w:type="dxa"/>
            <w:left w:w="108" w:type="dxa"/>
            <w:bottom w:w="0" w:type="dxa"/>
            <w:right w:w="108" w:type="dxa"/>
          </w:tblCellMar>
        </w:tblPrEx>
        <w:trPr>
          <w:trHeight w:val="567" w:hRule="atLeast"/>
          <w:jc w:val="center"/>
        </w:trPr>
        <w:tc>
          <w:tcPr>
            <w:tcW w:w="500" w:type="dxa"/>
            <w:tcBorders>
              <w:top w:val="single" w:color="auto" w:sz="4" w:space="0"/>
              <w:left w:val="single" w:color="auto" w:sz="4" w:space="0"/>
              <w:bottom w:val="nil"/>
              <w:right w:val="single" w:color="auto" w:sz="4" w:space="0"/>
            </w:tcBorders>
            <w:vAlign w:val="center"/>
          </w:tcPr>
          <w:p>
            <w:pPr>
              <w:spacing w:after="160" w:line="360" w:lineRule="auto"/>
              <w:rPr>
                <w:rFonts w:ascii="宋体" w:hAnsi="宋体" w:eastAsia="宋体"/>
                <w:color w:val="000000" w:themeColor="text1"/>
              </w:rPr>
            </w:pPr>
          </w:p>
        </w:tc>
        <w:tc>
          <w:tcPr>
            <w:tcW w:w="8457" w:type="dxa"/>
            <w:gridSpan w:val="8"/>
            <w:tcBorders>
              <w:top w:val="single" w:color="auto" w:sz="4" w:space="0"/>
              <w:left w:val="single" w:color="auto" w:sz="4" w:space="0"/>
              <w:bottom w:val="nil"/>
              <w:right w:val="single" w:color="auto" w:sz="4" w:space="0"/>
            </w:tcBorders>
            <w:vAlign w:val="center"/>
          </w:tcPr>
          <w:p>
            <w:pPr>
              <w:spacing w:after="160" w:line="360" w:lineRule="auto"/>
              <w:rPr>
                <w:rFonts w:ascii="宋体" w:hAnsi="宋体" w:eastAsia="宋体"/>
                <w:color w:val="000000" w:themeColor="text1"/>
              </w:rPr>
            </w:pPr>
            <w:r>
              <w:rPr>
                <w:rFonts w:ascii="宋体" w:hAnsi="宋体" w:eastAsia="宋体"/>
                <w:color w:val="000000" w:themeColor="text1"/>
              </w:rPr>
              <w:t>构成招标文件组成部分的“通用合同条款”、“专用合同条款”、“技术标准和要求”等章节中出现的措辞“发包人”和“承包人”，在招标投标阶段应当分别按“招标人”和“投标人”进行理解。</w:t>
            </w:r>
          </w:p>
        </w:tc>
      </w:tr>
      <w:tr>
        <w:tblPrEx>
          <w:tblCellMar>
            <w:top w:w="0" w:type="dxa"/>
            <w:left w:w="108" w:type="dxa"/>
            <w:bottom w:w="0" w:type="dxa"/>
            <w:right w:w="108" w:type="dxa"/>
          </w:tblCellMar>
        </w:tblPrEx>
        <w:trPr>
          <w:trHeight w:val="567" w:hRule="atLeast"/>
          <w:jc w:val="center"/>
        </w:trPr>
        <w:tc>
          <w:tcPr>
            <w:tcW w:w="8957" w:type="dxa"/>
            <w:gridSpan w:val="9"/>
            <w:tcBorders>
              <w:top w:val="single" w:color="auto" w:sz="4" w:space="0"/>
              <w:left w:val="single" w:color="auto" w:sz="4" w:space="0"/>
              <w:bottom w:val="nil"/>
              <w:right w:val="single" w:color="auto" w:sz="4" w:space="0"/>
            </w:tcBorders>
            <w:vAlign w:val="center"/>
          </w:tcPr>
          <w:p>
            <w:pPr>
              <w:spacing w:after="160" w:line="312" w:lineRule="auto"/>
              <w:ind w:left="240" w:hanging="240"/>
              <w:rPr>
                <w:rFonts w:ascii="宋体" w:hAnsi="宋体" w:eastAsia="宋体"/>
                <w:color w:val="000000" w:themeColor="text1"/>
              </w:rPr>
            </w:pPr>
            <w:r>
              <w:rPr>
                <w:rFonts w:ascii="宋体" w:hAnsi="宋体" w:eastAsia="宋体"/>
                <w:color w:val="000000" w:themeColor="text1"/>
              </w:rPr>
              <w:t>8.1.8监  督</w:t>
            </w:r>
          </w:p>
        </w:tc>
      </w:tr>
      <w:tr>
        <w:tblPrEx>
          <w:tblCellMar>
            <w:top w:w="0" w:type="dxa"/>
            <w:left w:w="108" w:type="dxa"/>
            <w:bottom w:w="0" w:type="dxa"/>
            <w:right w:w="108" w:type="dxa"/>
          </w:tblCellMar>
        </w:tblPrEx>
        <w:trPr>
          <w:trHeight w:val="567" w:hRule="atLeast"/>
          <w:jc w:val="center"/>
        </w:trPr>
        <w:tc>
          <w:tcPr>
            <w:tcW w:w="500" w:type="dxa"/>
            <w:tcBorders>
              <w:top w:val="single" w:color="auto" w:sz="4" w:space="0"/>
              <w:left w:val="single" w:color="auto" w:sz="4" w:space="0"/>
              <w:bottom w:val="nil"/>
              <w:right w:val="single" w:color="auto" w:sz="4" w:space="0"/>
            </w:tcBorders>
            <w:vAlign w:val="center"/>
          </w:tcPr>
          <w:p>
            <w:pPr>
              <w:spacing w:after="160" w:line="312" w:lineRule="auto"/>
              <w:ind w:left="240" w:hanging="240"/>
              <w:rPr>
                <w:rFonts w:ascii="宋体" w:hAnsi="宋体" w:eastAsia="宋体"/>
                <w:color w:val="000000" w:themeColor="text1"/>
              </w:rPr>
            </w:pPr>
          </w:p>
        </w:tc>
        <w:tc>
          <w:tcPr>
            <w:tcW w:w="8457" w:type="dxa"/>
            <w:gridSpan w:val="8"/>
            <w:tcBorders>
              <w:top w:val="single" w:color="auto" w:sz="4" w:space="0"/>
              <w:left w:val="single" w:color="auto" w:sz="4" w:space="0"/>
              <w:bottom w:val="nil"/>
              <w:right w:val="single" w:color="auto" w:sz="4" w:space="0"/>
            </w:tcBorders>
            <w:vAlign w:val="center"/>
          </w:tcPr>
          <w:p>
            <w:pPr>
              <w:spacing w:after="160" w:line="312" w:lineRule="auto"/>
              <w:ind w:left="82"/>
              <w:rPr>
                <w:rFonts w:ascii="宋体" w:hAnsi="宋体" w:eastAsia="宋体"/>
                <w:color w:val="000000" w:themeColor="text1"/>
              </w:rPr>
            </w:pPr>
            <w:r>
              <w:rPr>
                <w:rFonts w:ascii="宋体" w:hAnsi="宋体" w:eastAsia="宋体"/>
                <w:color w:val="000000" w:themeColor="text1"/>
              </w:rPr>
              <w:t>本项目的招标投标活动及其相关当事人应当接受有管辖权的招标投标行政监督部门依法实施的监督。</w:t>
            </w:r>
          </w:p>
        </w:tc>
      </w:tr>
      <w:tr>
        <w:tblPrEx>
          <w:tblCellMar>
            <w:top w:w="0" w:type="dxa"/>
            <w:left w:w="108" w:type="dxa"/>
            <w:bottom w:w="0" w:type="dxa"/>
            <w:right w:w="108" w:type="dxa"/>
          </w:tblCellMar>
        </w:tblPrEx>
        <w:trPr>
          <w:trHeight w:val="567" w:hRule="atLeast"/>
          <w:jc w:val="center"/>
        </w:trPr>
        <w:tc>
          <w:tcPr>
            <w:tcW w:w="8957" w:type="dxa"/>
            <w:gridSpan w:val="9"/>
            <w:tcBorders>
              <w:top w:val="single" w:color="auto" w:sz="4" w:space="0"/>
              <w:left w:val="single" w:color="auto" w:sz="4" w:space="0"/>
              <w:bottom w:val="nil"/>
              <w:right w:val="single" w:color="auto" w:sz="4" w:space="0"/>
            </w:tcBorders>
            <w:vAlign w:val="center"/>
          </w:tcPr>
          <w:p>
            <w:pPr>
              <w:spacing w:after="160" w:line="312" w:lineRule="auto"/>
              <w:ind w:left="240" w:hanging="240"/>
              <w:rPr>
                <w:rFonts w:ascii="宋体" w:hAnsi="宋体" w:eastAsia="宋体"/>
                <w:color w:val="000000" w:themeColor="text1"/>
              </w:rPr>
            </w:pPr>
            <w:r>
              <w:rPr>
                <w:rFonts w:ascii="宋体" w:hAnsi="宋体" w:eastAsia="宋体"/>
                <w:color w:val="000000" w:themeColor="text1"/>
              </w:rPr>
              <w:t>8.1.9解释权</w:t>
            </w:r>
          </w:p>
        </w:tc>
      </w:tr>
      <w:tr>
        <w:tblPrEx>
          <w:tblCellMar>
            <w:top w:w="0" w:type="dxa"/>
            <w:left w:w="108" w:type="dxa"/>
            <w:bottom w:w="0" w:type="dxa"/>
            <w:right w:w="108" w:type="dxa"/>
          </w:tblCellMar>
        </w:tblPrEx>
        <w:trPr>
          <w:trHeight w:val="567" w:hRule="atLeast"/>
          <w:jc w:val="center"/>
        </w:trPr>
        <w:tc>
          <w:tcPr>
            <w:tcW w:w="500" w:type="dxa"/>
            <w:tcBorders>
              <w:top w:val="single" w:color="auto" w:sz="4" w:space="0"/>
              <w:left w:val="single" w:color="auto" w:sz="4" w:space="0"/>
              <w:bottom w:val="nil"/>
              <w:right w:val="single" w:color="auto" w:sz="4" w:space="0"/>
            </w:tcBorders>
            <w:vAlign w:val="center"/>
          </w:tcPr>
          <w:p>
            <w:pPr>
              <w:spacing w:after="160" w:line="312" w:lineRule="auto"/>
              <w:rPr>
                <w:rFonts w:ascii="宋体" w:hAnsi="宋体" w:eastAsia="宋体"/>
                <w:color w:val="000000" w:themeColor="text1"/>
              </w:rPr>
            </w:pPr>
          </w:p>
        </w:tc>
        <w:tc>
          <w:tcPr>
            <w:tcW w:w="8457" w:type="dxa"/>
            <w:gridSpan w:val="8"/>
            <w:tcBorders>
              <w:top w:val="single" w:color="auto" w:sz="4" w:space="0"/>
              <w:left w:val="single" w:color="auto" w:sz="4" w:space="0"/>
              <w:bottom w:val="nil"/>
              <w:right w:val="single" w:color="auto" w:sz="4" w:space="0"/>
            </w:tcBorders>
            <w:vAlign w:val="center"/>
          </w:tcPr>
          <w:p>
            <w:pPr>
              <w:spacing w:after="160" w:line="312" w:lineRule="auto"/>
              <w:rPr>
                <w:rFonts w:ascii="宋体" w:hAnsi="宋体" w:eastAsia="宋体"/>
                <w:color w:val="000000" w:themeColor="text1"/>
              </w:rPr>
            </w:pPr>
            <w:r>
              <w:rPr>
                <w:rFonts w:ascii="宋体" w:hAnsi="宋体" w:eastAsia="宋体"/>
                <w:color w:val="000000" w:themeColor="text1"/>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招标人负责解释。</w:t>
            </w:r>
          </w:p>
        </w:tc>
      </w:tr>
      <w:tr>
        <w:tblPrEx>
          <w:tblCellMar>
            <w:top w:w="0" w:type="dxa"/>
            <w:left w:w="108" w:type="dxa"/>
            <w:bottom w:w="0" w:type="dxa"/>
            <w:right w:w="108" w:type="dxa"/>
          </w:tblCellMar>
        </w:tblPrEx>
        <w:trPr>
          <w:trHeight w:val="567" w:hRule="atLeast"/>
          <w:jc w:val="center"/>
        </w:trPr>
        <w:tc>
          <w:tcPr>
            <w:tcW w:w="8957" w:type="dxa"/>
            <w:gridSpan w:val="9"/>
            <w:tcBorders>
              <w:top w:val="single" w:color="auto" w:sz="4" w:space="0"/>
              <w:left w:val="single" w:color="auto" w:sz="4" w:space="0"/>
              <w:bottom w:val="nil"/>
              <w:right w:val="single" w:color="auto" w:sz="4" w:space="0"/>
            </w:tcBorders>
            <w:vAlign w:val="center"/>
          </w:tcPr>
          <w:p>
            <w:pPr>
              <w:autoSpaceDE w:val="0"/>
              <w:autoSpaceDN w:val="0"/>
              <w:spacing w:after="160" w:line="360" w:lineRule="exact"/>
              <w:jc w:val="left"/>
              <w:rPr>
                <w:rFonts w:ascii="宋体" w:hAnsi="宋体" w:eastAsia="宋体"/>
                <w:color w:val="000000" w:themeColor="text1"/>
              </w:rPr>
            </w:pPr>
            <w:r>
              <w:rPr>
                <w:rFonts w:ascii="宋体" w:hAnsi="宋体" w:eastAsia="宋体"/>
                <w:b/>
                <w:color w:val="000000" w:themeColor="text1"/>
              </w:rPr>
              <w:t>8.1.10投标文件的拒收</w:t>
            </w:r>
          </w:p>
        </w:tc>
      </w:tr>
      <w:tr>
        <w:tblPrEx>
          <w:tblCellMar>
            <w:top w:w="0" w:type="dxa"/>
            <w:left w:w="108" w:type="dxa"/>
            <w:bottom w:w="0" w:type="dxa"/>
            <w:right w:w="108" w:type="dxa"/>
          </w:tblCellMar>
        </w:tblPrEx>
        <w:trPr>
          <w:trHeight w:val="567" w:hRule="atLeast"/>
          <w:jc w:val="center"/>
        </w:trPr>
        <w:tc>
          <w:tcPr>
            <w:tcW w:w="536" w:type="dxa"/>
            <w:gridSpan w:val="2"/>
            <w:tcBorders>
              <w:top w:val="single" w:color="auto" w:sz="4" w:space="0"/>
              <w:left w:val="single" w:color="auto" w:sz="4" w:space="0"/>
              <w:bottom w:val="nil"/>
              <w:right w:val="single" w:color="auto" w:sz="4" w:space="0"/>
            </w:tcBorders>
            <w:vAlign w:val="center"/>
          </w:tcPr>
          <w:p>
            <w:pPr>
              <w:spacing w:after="160" w:line="360" w:lineRule="exact"/>
              <w:rPr>
                <w:rFonts w:ascii="宋体" w:hAnsi="宋体" w:eastAsia="宋体"/>
                <w:color w:val="000000" w:themeColor="text1"/>
              </w:rPr>
            </w:pPr>
          </w:p>
        </w:tc>
        <w:tc>
          <w:tcPr>
            <w:tcW w:w="8421" w:type="dxa"/>
            <w:gridSpan w:val="7"/>
            <w:tcBorders>
              <w:top w:val="single" w:color="auto" w:sz="4" w:space="0"/>
              <w:left w:val="single" w:color="auto" w:sz="4" w:space="0"/>
              <w:bottom w:val="nil"/>
              <w:right w:val="single" w:color="auto" w:sz="4" w:space="0"/>
            </w:tcBorders>
            <w:vAlign w:val="center"/>
          </w:tcPr>
          <w:p>
            <w:pPr>
              <w:autoSpaceDE w:val="0"/>
              <w:autoSpaceDN w:val="0"/>
              <w:spacing w:after="160" w:line="420" w:lineRule="exact"/>
              <w:jc w:val="left"/>
              <w:rPr>
                <w:rFonts w:hint="eastAsia" w:ascii="宋体" w:hAnsi="宋体" w:eastAsia="宋体"/>
                <w:color w:val="000000" w:themeColor="text1"/>
              </w:rPr>
            </w:pPr>
            <w:r>
              <w:rPr>
                <w:rFonts w:hint="eastAsia" w:ascii="宋体" w:hAnsi="宋体" w:eastAsia="宋体"/>
                <w:color w:val="000000" w:themeColor="text1"/>
              </w:rPr>
              <w:t>1、未成功上传的投标文件；</w:t>
            </w:r>
          </w:p>
          <w:p>
            <w:pPr>
              <w:autoSpaceDE w:val="0"/>
              <w:autoSpaceDN w:val="0"/>
              <w:spacing w:after="160" w:line="420" w:lineRule="exact"/>
              <w:jc w:val="left"/>
              <w:rPr>
                <w:rFonts w:ascii="宋体" w:hAnsi="宋体" w:eastAsia="宋体"/>
                <w:color w:val="000000" w:themeColor="text1"/>
              </w:rPr>
            </w:pPr>
            <w:r>
              <w:rPr>
                <w:rFonts w:hint="eastAsia" w:ascii="宋体" w:hAnsi="宋体" w:eastAsia="宋体"/>
                <w:color w:val="000000" w:themeColor="text1"/>
              </w:rPr>
              <w:t>2、未进行解密或未按要求成功解密的投标文件。</w:t>
            </w:r>
          </w:p>
        </w:tc>
      </w:tr>
      <w:tr>
        <w:tblPrEx>
          <w:tblCellMar>
            <w:top w:w="0" w:type="dxa"/>
            <w:left w:w="108" w:type="dxa"/>
            <w:bottom w:w="0" w:type="dxa"/>
            <w:right w:w="108" w:type="dxa"/>
          </w:tblCellMar>
        </w:tblPrEx>
        <w:trPr>
          <w:trHeight w:val="567" w:hRule="atLeast"/>
          <w:jc w:val="center"/>
        </w:trPr>
        <w:tc>
          <w:tcPr>
            <w:tcW w:w="8957" w:type="dxa"/>
            <w:gridSpan w:val="9"/>
            <w:tcBorders>
              <w:top w:val="single" w:color="auto" w:sz="4" w:space="0"/>
              <w:left w:val="single" w:color="auto" w:sz="4" w:space="0"/>
              <w:bottom w:val="nil"/>
              <w:right w:val="single" w:color="auto" w:sz="4" w:space="0"/>
            </w:tcBorders>
          </w:tcPr>
          <w:p>
            <w:pPr>
              <w:autoSpaceDE w:val="0"/>
              <w:autoSpaceDN w:val="0"/>
              <w:spacing w:after="160" w:line="360" w:lineRule="exact"/>
              <w:jc w:val="left"/>
              <w:rPr>
                <w:rFonts w:ascii="宋体" w:hAnsi="宋体" w:eastAsia="宋体"/>
                <w:color w:val="000000" w:themeColor="text1"/>
              </w:rPr>
            </w:pPr>
            <w:r>
              <w:rPr>
                <w:rFonts w:ascii="宋体" w:hAnsi="宋体" w:eastAsia="宋体"/>
                <w:b/>
                <w:color w:val="000000" w:themeColor="text1"/>
              </w:rPr>
              <w:t>8.1.11资料费及获取地点</w:t>
            </w:r>
          </w:p>
        </w:tc>
      </w:tr>
      <w:tr>
        <w:tblPrEx>
          <w:tblCellMar>
            <w:top w:w="0" w:type="dxa"/>
            <w:left w:w="108" w:type="dxa"/>
            <w:bottom w:w="0" w:type="dxa"/>
            <w:right w:w="108" w:type="dxa"/>
          </w:tblCellMar>
        </w:tblPrEx>
        <w:trPr>
          <w:trHeight w:val="567" w:hRule="atLeast"/>
          <w:jc w:val="center"/>
        </w:trPr>
        <w:tc>
          <w:tcPr>
            <w:tcW w:w="536" w:type="dxa"/>
            <w:gridSpan w:val="2"/>
            <w:tcBorders>
              <w:top w:val="single" w:color="auto" w:sz="4" w:space="0"/>
              <w:left w:val="single" w:color="auto" w:sz="4" w:space="0"/>
              <w:bottom w:val="single" w:color="auto" w:sz="4" w:space="0"/>
              <w:right w:val="single" w:color="auto" w:sz="4" w:space="0"/>
            </w:tcBorders>
            <w:vAlign w:val="center"/>
          </w:tcPr>
          <w:p>
            <w:pPr>
              <w:spacing w:after="160" w:line="360" w:lineRule="exact"/>
              <w:rPr>
                <w:rFonts w:ascii="宋体" w:hAnsi="宋体" w:eastAsia="宋体"/>
                <w:color w:val="000000" w:themeColor="text1"/>
              </w:rPr>
            </w:pPr>
          </w:p>
        </w:tc>
        <w:tc>
          <w:tcPr>
            <w:tcW w:w="8421" w:type="dxa"/>
            <w:gridSpan w:val="7"/>
            <w:tcBorders>
              <w:top w:val="single" w:color="auto" w:sz="4" w:space="0"/>
              <w:left w:val="single" w:color="auto" w:sz="4" w:space="0"/>
              <w:bottom w:val="single" w:color="auto" w:sz="4" w:space="0"/>
              <w:right w:val="single" w:color="auto" w:sz="4" w:space="0"/>
            </w:tcBorders>
          </w:tcPr>
          <w:p>
            <w:pPr>
              <w:autoSpaceDE w:val="0"/>
              <w:autoSpaceDN w:val="0"/>
              <w:spacing w:after="160" w:line="360" w:lineRule="exact"/>
              <w:jc w:val="left"/>
              <w:rPr>
                <w:rFonts w:ascii="宋体" w:hAnsi="宋体" w:eastAsia="宋体"/>
                <w:color w:val="000000" w:themeColor="text1"/>
              </w:rPr>
            </w:pPr>
            <w:r>
              <w:rPr>
                <w:rFonts w:ascii="宋体" w:hAnsi="宋体" w:eastAsia="宋体"/>
                <w:color w:val="000000" w:themeColor="text1"/>
              </w:rPr>
              <w:t>招标文件费300元/标段，售后不退。</w:t>
            </w:r>
          </w:p>
        </w:tc>
      </w:tr>
      <w:tr>
        <w:tblPrEx>
          <w:tblCellMar>
            <w:top w:w="0" w:type="dxa"/>
            <w:left w:w="108" w:type="dxa"/>
            <w:bottom w:w="0" w:type="dxa"/>
            <w:right w:w="108" w:type="dxa"/>
          </w:tblCellMar>
        </w:tblPrEx>
        <w:trPr>
          <w:trHeight w:val="567" w:hRule="atLeast"/>
          <w:jc w:val="center"/>
        </w:trPr>
        <w:tc>
          <w:tcPr>
            <w:tcW w:w="8957" w:type="dxa"/>
            <w:gridSpan w:val="9"/>
            <w:tcBorders>
              <w:top w:val="single" w:color="auto" w:sz="4" w:space="0"/>
              <w:left w:val="single" w:color="auto" w:sz="4" w:space="0"/>
              <w:bottom w:val="single" w:color="auto" w:sz="4" w:space="0"/>
              <w:right w:val="single" w:color="auto" w:sz="4" w:space="0"/>
            </w:tcBorders>
            <w:vAlign w:val="center"/>
          </w:tcPr>
          <w:p>
            <w:pPr>
              <w:spacing w:after="160" w:line="360" w:lineRule="exact"/>
              <w:rPr>
                <w:rFonts w:ascii="宋体" w:hAnsi="宋体" w:eastAsia="宋体"/>
                <w:color w:val="000000" w:themeColor="text1"/>
              </w:rPr>
            </w:pPr>
            <w:r>
              <w:rPr>
                <w:rFonts w:ascii="宋体" w:hAnsi="宋体" w:eastAsia="宋体"/>
                <w:b/>
                <w:color w:val="000000" w:themeColor="text1"/>
              </w:rPr>
              <w:t>8.1.12 招标代理费的收取</w:t>
            </w:r>
          </w:p>
        </w:tc>
      </w:tr>
      <w:tr>
        <w:tblPrEx>
          <w:tblCellMar>
            <w:top w:w="0" w:type="dxa"/>
            <w:left w:w="108" w:type="dxa"/>
            <w:bottom w:w="0" w:type="dxa"/>
            <w:right w:w="108" w:type="dxa"/>
          </w:tblCellMar>
        </w:tblPrEx>
        <w:trPr>
          <w:trHeight w:val="567" w:hRule="atLeast"/>
          <w:jc w:val="center"/>
        </w:trPr>
        <w:tc>
          <w:tcPr>
            <w:tcW w:w="725" w:type="dxa"/>
            <w:gridSpan w:val="3"/>
            <w:tcBorders>
              <w:top w:val="single" w:color="auto" w:sz="4" w:space="0"/>
              <w:left w:val="single" w:color="auto" w:sz="4" w:space="0"/>
              <w:bottom w:val="single" w:color="auto" w:sz="4" w:space="0"/>
              <w:right w:val="single" w:color="auto" w:sz="4" w:space="0"/>
            </w:tcBorders>
            <w:vAlign w:val="center"/>
          </w:tcPr>
          <w:p>
            <w:pPr>
              <w:spacing w:after="160" w:line="360" w:lineRule="exact"/>
              <w:rPr>
                <w:rFonts w:ascii="宋体" w:hAnsi="宋体" w:eastAsia="宋体"/>
                <w:color w:val="000000" w:themeColor="text1"/>
              </w:rPr>
            </w:pPr>
          </w:p>
        </w:tc>
        <w:tc>
          <w:tcPr>
            <w:tcW w:w="8232" w:type="dxa"/>
            <w:gridSpan w:val="6"/>
            <w:tcBorders>
              <w:top w:val="single" w:color="auto" w:sz="4" w:space="0"/>
              <w:left w:val="single" w:color="auto" w:sz="4" w:space="0"/>
              <w:bottom w:val="single" w:color="auto" w:sz="4" w:space="0"/>
              <w:right w:val="single" w:color="auto" w:sz="4" w:space="0"/>
            </w:tcBorders>
          </w:tcPr>
          <w:p>
            <w:pPr>
              <w:autoSpaceDE w:val="0"/>
              <w:autoSpaceDN w:val="0"/>
              <w:spacing w:after="160" w:line="360" w:lineRule="exact"/>
              <w:jc w:val="left"/>
              <w:rPr>
                <w:rFonts w:ascii="宋体" w:hAnsi="宋体" w:eastAsia="宋体"/>
                <w:color w:val="000000" w:themeColor="text1"/>
              </w:rPr>
            </w:pPr>
            <w:r>
              <w:rPr>
                <w:rFonts w:ascii="宋体" w:hAnsi="宋体" w:eastAsia="宋体"/>
                <w:color w:val="000000" w:themeColor="text1"/>
              </w:rPr>
              <w:t>招标代理费由中标人在领取中标通知书时按参照</w:t>
            </w:r>
            <w:r>
              <w:rPr>
                <w:rFonts w:ascii="宋体" w:hAnsi="宋体" w:eastAsia="宋体"/>
                <w:color w:val="000000" w:themeColor="text1"/>
                <w:u w:val="single"/>
              </w:rPr>
              <w:t>《招标代理服务收费管理暂行办法》（计价格[2002]1980号）及《国家发展改革委办公厅关于招标代理服务收费有关问题的通知》（发改办价格[2003]857号）</w:t>
            </w:r>
            <w:r>
              <w:rPr>
                <w:rFonts w:ascii="宋体" w:hAnsi="宋体" w:eastAsia="宋体"/>
                <w:color w:val="000000" w:themeColor="text1"/>
              </w:rPr>
              <w:t>向招标代理机构支付</w:t>
            </w:r>
          </w:p>
        </w:tc>
      </w:tr>
      <w:tr>
        <w:tblPrEx>
          <w:tblCellMar>
            <w:top w:w="0" w:type="dxa"/>
            <w:left w:w="108" w:type="dxa"/>
            <w:bottom w:w="0" w:type="dxa"/>
            <w:right w:w="108" w:type="dxa"/>
          </w:tblCellMar>
        </w:tblPrEx>
        <w:trPr>
          <w:trHeight w:val="567" w:hRule="atLeast"/>
          <w:jc w:val="center"/>
        </w:trPr>
        <w:tc>
          <w:tcPr>
            <w:tcW w:w="8957" w:type="dxa"/>
            <w:gridSpan w:val="9"/>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360" w:lineRule="exact"/>
              <w:jc w:val="left"/>
              <w:rPr>
                <w:rFonts w:ascii="宋体" w:hAnsi="宋体" w:eastAsia="宋体"/>
                <w:color w:val="000000" w:themeColor="text1"/>
              </w:rPr>
            </w:pPr>
            <w:r>
              <w:rPr>
                <w:rFonts w:ascii="宋体" w:hAnsi="宋体" w:eastAsia="宋体"/>
                <w:b/>
                <w:color w:val="000000" w:themeColor="text1"/>
              </w:rPr>
              <w:t>8.1.13特别提醒</w:t>
            </w:r>
          </w:p>
        </w:tc>
      </w:tr>
      <w:tr>
        <w:tblPrEx>
          <w:tblCellMar>
            <w:top w:w="0" w:type="dxa"/>
            <w:left w:w="108" w:type="dxa"/>
            <w:bottom w:w="0" w:type="dxa"/>
            <w:right w:w="108" w:type="dxa"/>
          </w:tblCellMar>
        </w:tblPrEx>
        <w:trPr>
          <w:trHeight w:val="567" w:hRule="atLeast"/>
          <w:jc w:val="center"/>
        </w:trPr>
        <w:tc>
          <w:tcPr>
            <w:tcW w:w="725"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360" w:lineRule="exact"/>
              <w:jc w:val="left"/>
              <w:rPr>
                <w:rFonts w:ascii="宋体" w:hAnsi="宋体" w:eastAsia="宋体"/>
                <w:color w:val="000000" w:themeColor="text1"/>
              </w:rPr>
            </w:pPr>
          </w:p>
        </w:tc>
        <w:tc>
          <w:tcPr>
            <w:tcW w:w="8232"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360" w:lineRule="exact"/>
              <w:jc w:val="left"/>
              <w:rPr>
                <w:rFonts w:ascii="宋体" w:hAnsi="宋体" w:eastAsia="宋体"/>
                <w:color w:val="000000" w:themeColor="text1"/>
              </w:rPr>
            </w:pPr>
            <w:r>
              <w:rPr>
                <w:rFonts w:ascii="宋体" w:hAnsi="宋体" w:eastAsia="宋体"/>
                <w:color w:val="000000" w:themeColor="text1"/>
              </w:rPr>
              <w:t>中标人应当按合同约定履行义务，完成中标项目。中标人不得向他人转让中标项目，也不得将中标项目肢解后分别向他人转让。</w:t>
            </w:r>
          </w:p>
          <w:p>
            <w:pPr>
              <w:autoSpaceDE w:val="0"/>
              <w:autoSpaceDN w:val="0"/>
              <w:spacing w:after="160" w:line="360" w:lineRule="exact"/>
              <w:jc w:val="left"/>
              <w:rPr>
                <w:rFonts w:ascii="宋体" w:hAnsi="宋体" w:eastAsia="宋体"/>
                <w:color w:val="000000" w:themeColor="text1"/>
              </w:rPr>
            </w:pPr>
            <w:r>
              <w:rPr>
                <w:rFonts w:ascii="宋体" w:hAnsi="宋体" w:eastAsia="宋体"/>
                <w:color w:val="000000" w:themeColor="text1"/>
              </w:rPr>
              <w:t>投标人应作出“不挂靠、不转包、不违法分包”的专项承诺。</w:t>
            </w:r>
          </w:p>
        </w:tc>
      </w:tr>
      <w:tr>
        <w:tblPrEx>
          <w:tblCellMar>
            <w:top w:w="0" w:type="dxa"/>
            <w:left w:w="108" w:type="dxa"/>
            <w:bottom w:w="0" w:type="dxa"/>
            <w:right w:w="108" w:type="dxa"/>
          </w:tblCellMar>
        </w:tblPrEx>
        <w:trPr>
          <w:trHeight w:val="567" w:hRule="atLeast"/>
          <w:jc w:val="center"/>
        </w:trPr>
        <w:tc>
          <w:tcPr>
            <w:tcW w:w="8957" w:type="dxa"/>
            <w:gridSpan w:val="9"/>
            <w:tcBorders>
              <w:top w:val="single" w:color="auto" w:sz="4" w:space="0"/>
              <w:left w:val="single" w:color="auto" w:sz="4" w:space="0"/>
              <w:bottom w:val="nil"/>
              <w:right w:val="single" w:color="auto" w:sz="4" w:space="0"/>
            </w:tcBorders>
            <w:vAlign w:val="center"/>
          </w:tcPr>
          <w:p>
            <w:pPr>
              <w:autoSpaceDE w:val="0"/>
              <w:autoSpaceDN w:val="0"/>
              <w:spacing w:after="160" w:line="360" w:lineRule="exact"/>
              <w:jc w:val="left"/>
              <w:rPr>
                <w:rFonts w:ascii="宋体" w:hAnsi="宋体" w:eastAsia="宋体"/>
                <w:color w:val="000000" w:themeColor="text1"/>
              </w:rPr>
            </w:pPr>
            <w:r>
              <w:rPr>
                <w:rFonts w:ascii="宋体" w:hAnsi="宋体" w:eastAsia="宋体"/>
                <w:b/>
                <w:color w:val="000000" w:themeColor="text1"/>
              </w:rPr>
              <w:t>8.1.14招标人、投标人不得有以下行为：</w:t>
            </w:r>
          </w:p>
        </w:tc>
      </w:tr>
      <w:tr>
        <w:tblPrEx>
          <w:tblCellMar>
            <w:top w:w="0" w:type="dxa"/>
            <w:left w:w="108" w:type="dxa"/>
            <w:bottom w:w="0" w:type="dxa"/>
            <w:right w:w="108" w:type="dxa"/>
          </w:tblCellMar>
        </w:tblPrEx>
        <w:trPr>
          <w:trHeight w:val="567" w:hRule="atLeast"/>
          <w:jc w:val="center"/>
        </w:trPr>
        <w:tc>
          <w:tcPr>
            <w:tcW w:w="725" w:type="dxa"/>
            <w:gridSpan w:val="3"/>
            <w:tcBorders>
              <w:top w:val="single" w:color="auto" w:sz="4" w:space="0"/>
              <w:left w:val="single" w:color="auto" w:sz="4" w:space="0"/>
              <w:bottom w:val="single" w:color="auto" w:sz="4" w:space="0"/>
              <w:right w:val="single" w:color="auto" w:sz="4" w:space="0"/>
            </w:tcBorders>
            <w:vAlign w:val="center"/>
          </w:tcPr>
          <w:p>
            <w:pPr>
              <w:spacing w:after="160" w:line="360" w:lineRule="exact"/>
              <w:rPr>
                <w:rFonts w:ascii="宋体" w:hAnsi="宋体" w:eastAsia="宋体"/>
                <w:color w:val="000000" w:themeColor="text1"/>
              </w:rPr>
            </w:pPr>
          </w:p>
        </w:tc>
        <w:tc>
          <w:tcPr>
            <w:tcW w:w="8232" w:type="dxa"/>
            <w:gridSpan w:val="6"/>
            <w:tcBorders>
              <w:top w:val="single" w:color="auto" w:sz="4" w:space="0"/>
              <w:left w:val="single" w:color="auto" w:sz="4" w:space="0"/>
              <w:bottom w:val="single" w:color="auto" w:sz="4" w:space="0"/>
              <w:right w:val="single" w:color="auto" w:sz="4" w:space="0"/>
            </w:tcBorders>
          </w:tcPr>
          <w:p>
            <w:pPr>
              <w:autoSpaceDE w:val="0"/>
              <w:autoSpaceDN w:val="0"/>
              <w:spacing w:after="160" w:line="360" w:lineRule="exact"/>
              <w:jc w:val="left"/>
              <w:rPr>
                <w:rFonts w:ascii="宋体" w:hAnsi="宋体" w:eastAsia="宋体"/>
                <w:color w:val="000000" w:themeColor="text1"/>
              </w:rPr>
            </w:pPr>
            <w:r>
              <w:rPr>
                <w:rFonts w:ascii="宋体" w:hAnsi="宋体" w:eastAsia="宋体"/>
                <w:color w:val="000000" w:themeColor="text1"/>
              </w:rPr>
              <w:t xml:space="preserve">《中华人民共和国招标投标法》第三十二条： </w:t>
            </w:r>
          </w:p>
          <w:p>
            <w:pPr>
              <w:autoSpaceDE w:val="0"/>
              <w:autoSpaceDN w:val="0"/>
              <w:spacing w:after="160" w:line="360" w:lineRule="exact"/>
              <w:jc w:val="left"/>
              <w:rPr>
                <w:rFonts w:ascii="宋体" w:hAnsi="宋体" w:eastAsia="宋体"/>
                <w:color w:val="000000" w:themeColor="text1"/>
              </w:rPr>
            </w:pPr>
            <w:r>
              <w:rPr>
                <w:rFonts w:ascii="宋体" w:hAnsi="宋体" w:eastAsia="宋体"/>
                <w:color w:val="000000" w:themeColor="text1"/>
              </w:rPr>
              <w:t>投标人不得相互串通投标报价，不得排挤其他投标人的公平竞争，损害招标人或者其他投标人的合法权益。投标人不得与招标人串通投标，损害国家利益、社会公共利益或者他人的合法权益。禁止投标人以向招标人或者评标委员会成员行贿的手段谋取中标。</w:t>
            </w:r>
          </w:p>
          <w:p>
            <w:pPr>
              <w:autoSpaceDE w:val="0"/>
              <w:autoSpaceDN w:val="0"/>
              <w:spacing w:after="160" w:line="360" w:lineRule="exact"/>
              <w:jc w:val="left"/>
              <w:rPr>
                <w:rFonts w:ascii="宋体" w:hAnsi="宋体" w:eastAsia="宋体"/>
                <w:color w:val="000000" w:themeColor="text1"/>
              </w:rPr>
            </w:pPr>
            <w:r>
              <w:rPr>
                <w:rFonts w:ascii="宋体" w:hAnsi="宋体" w:eastAsia="宋体"/>
                <w:color w:val="000000" w:themeColor="text1"/>
              </w:rPr>
              <w:t>《中华人民共和国招标投标法》第三十三条： 投标人不得以低于成本的报价竞标，也不得以他人名义投标或者以其他方式弄虚作假，骗取中标。</w:t>
            </w:r>
          </w:p>
          <w:p>
            <w:pPr>
              <w:autoSpaceDE w:val="0"/>
              <w:autoSpaceDN w:val="0"/>
              <w:spacing w:after="160" w:line="360" w:lineRule="exact"/>
              <w:jc w:val="left"/>
              <w:rPr>
                <w:rFonts w:ascii="宋体" w:hAnsi="宋体" w:eastAsia="宋体"/>
                <w:color w:val="000000" w:themeColor="text1"/>
              </w:rPr>
            </w:pPr>
            <w:r>
              <w:rPr>
                <w:rFonts w:ascii="宋体" w:hAnsi="宋体" w:eastAsia="宋体"/>
                <w:color w:val="000000" w:themeColor="text1"/>
              </w:rPr>
              <w:t xml:space="preserve">《中华人民共和国招标投标法实施条例》第三十九条： </w:t>
            </w:r>
          </w:p>
          <w:p>
            <w:pPr>
              <w:autoSpaceDE w:val="0"/>
              <w:autoSpaceDN w:val="0"/>
              <w:spacing w:after="160" w:line="360" w:lineRule="exact"/>
              <w:jc w:val="left"/>
              <w:rPr>
                <w:rFonts w:ascii="宋体" w:hAnsi="宋体" w:eastAsia="宋体"/>
                <w:color w:val="000000" w:themeColor="text1"/>
              </w:rPr>
            </w:pPr>
            <w:r>
              <w:rPr>
                <w:rFonts w:ascii="宋体" w:hAnsi="宋体" w:eastAsia="宋体"/>
                <w:color w:val="000000" w:themeColor="text1"/>
              </w:rPr>
              <w:t xml:space="preserve"> 禁止投标人相互串通投标</w:t>
            </w:r>
          </w:p>
          <w:p>
            <w:pPr>
              <w:autoSpaceDE w:val="0"/>
              <w:autoSpaceDN w:val="0"/>
              <w:spacing w:after="160" w:line="360" w:lineRule="exact"/>
              <w:jc w:val="left"/>
              <w:rPr>
                <w:rFonts w:ascii="宋体" w:hAnsi="宋体" w:eastAsia="宋体"/>
                <w:color w:val="000000" w:themeColor="text1"/>
              </w:rPr>
            </w:pPr>
            <w:r>
              <w:rPr>
                <w:rFonts w:ascii="宋体" w:hAnsi="宋体" w:eastAsia="宋体"/>
                <w:color w:val="000000" w:themeColor="text1"/>
              </w:rPr>
              <w:t>有下列情形之一的，属于投标人相互串通投标：</w:t>
            </w:r>
          </w:p>
          <w:p>
            <w:pPr>
              <w:autoSpaceDE w:val="0"/>
              <w:autoSpaceDN w:val="0"/>
              <w:spacing w:after="160" w:line="360" w:lineRule="exact"/>
              <w:jc w:val="left"/>
              <w:rPr>
                <w:rFonts w:ascii="宋体" w:hAnsi="宋体" w:eastAsia="宋体"/>
                <w:color w:val="000000" w:themeColor="text1"/>
              </w:rPr>
            </w:pPr>
            <w:r>
              <w:rPr>
                <w:rFonts w:ascii="宋体" w:hAnsi="宋体" w:eastAsia="宋体"/>
                <w:color w:val="000000" w:themeColor="text1"/>
              </w:rPr>
              <w:t>（一）投标人之间协商投标报价等投标文件的实质性内容；</w:t>
            </w:r>
          </w:p>
          <w:p>
            <w:pPr>
              <w:autoSpaceDE w:val="0"/>
              <w:autoSpaceDN w:val="0"/>
              <w:spacing w:after="160" w:line="360" w:lineRule="exact"/>
              <w:jc w:val="left"/>
              <w:rPr>
                <w:rFonts w:ascii="宋体" w:hAnsi="宋体" w:eastAsia="宋体"/>
                <w:color w:val="000000" w:themeColor="text1"/>
              </w:rPr>
            </w:pPr>
            <w:r>
              <w:rPr>
                <w:rFonts w:ascii="宋体" w:hAnsi="宋体" w:eastAsia="宋体"/>
                <w:color w:val="000000" w:themeColor="text1"/>
              </w:rPr>
              <w:t>（二）投标人之间约定中标人；</w:t>
            </w:r>
          </w:p>
          <w:p>
            <w:pPr>
              <w:autoSpaceDE w:val="0"/>
              <w:autoSpaceDN w:val="0"/>
              <w:spacing w:after="160" w:line="360" w:lineRule="exact"/>
              <w:jc w:val="left"/>
              <w:rPr>
                <w:rFonts w:ascii="宋体" w:hAnsi="宋体" w:eastAsia="宋体"/>
                <w:color w:val="000000" w:themeColor="text1"/>
              </w:rPr>
            </w:pPr>
            <w:r>
              <w:rPr>
                <w:rFonts w:ascii="宋体" w:hAnsi="宋体" w:eastAsia="宋体"/>
                <w:color w:val="000000" w:themeColor="text1"/>
              </w:rPr>
              <w:t>（三）投标人之间约定部分投标人放弃投标或者中标；</w:t>
            </w:r>
          </w:p>
          <w:p>
            <w:pPr>
              <w:autoSpaceDE w:val="0"/>
              <w:autoSpaceDN w:val="0"/>
              <w:spacing w:after="160" w:line="360" w:lineRule="exact"/>
              <w:jc w:val="left"/>
              <w:rPr>
                <w:rFonts w:ascii="宋体" w:hAnsi="宋体" w:eastAsia="宋体"/>
                <w:color w:val="000000" w:themeColor="text1"/>
              </w:rPr>
            </w:pPr>
            <w:r>
              <w:rPr>
                <w:rFonts w:ascii="宋体" w:hAnsi="宋体" w:eastAsia="宋体"/>
                <w:color w:val="000000" w:themeColor="text1"/>
              </w:rPr>
              <w:t>（四）属于同一集团、协会、商会等组织成员的投标人按照该组织要求协同投标；</w:t>
            </w:r>
          </w:p>
          <w:p>
            <w:pPr>
              <w:autoSpaceDE w:val="0"/>
              <w:autoSpaceDN w:val="0"/>
              <w:spacing w:after="160" w:line="360" w:lineRule="exact"/>
              <w:jc w:val="left"/>
              <w:rPr>
                <w:rFonts w:ascii="宋体" w:hAnsi="宋体" w:eastAsia="宋体"/>
                <w:color w:val="000000" w:themeColor="text1"/>
              </w:rPr>
            </w:pPr>
            <w:r>
              <w:rPr>
                <w:rFonts w:ascii="宋体" w:hAnsi="宋体" w:eastAsia="宋体"/>
                <w:color w:val="000000" w:themeColor="text1"/>
              </w:rPr>
              <w:t>（五）投标人之间为谋取中标或者排斥特定投标人而采取的其他联合行动。</w:t>
            </w:r>
          </w:p>
          <w:p>
            <w:pPr>
              <w:autoSpaceDE w:val="0"/>
              <w:autoSpaceDN w:val="0"/>
              <w:spacing w:after="160" w:line="360" w:lineRule="exact"/>
              <w:jc w:val="left"/>
              <w:rPr>
                <w:rFonts w:ascii="宋体" w:hAnsi="宋体" w:eastAsia="宋体"/>
                <w:color w:val="000000" w:themeColor="text1"/>
              </w:rPr>
            </w:pPr>
            <w:r>
              <w:rPr>
                <w:rFonts w:ascii="宋体" w:hAnsi="宋体" w:eastAsia="宋体"/>
                <w:color w:val="000000" w:themeColor="text1"/>
              </w:rPr>
              <w:t xml:space="preserve">《中华人民共和国招标投标法实施条例》第四十条： </w:t>
            </w:r>
          </w:p>
          <w:p>
            <w:pPr>
              <w:autoSpaceDE w:val="0"/>
              <w:autoSpaceDN w:val="0"/>
              <w:spacing w:after="160" w:line="360" w:lineRule="exact"/>
              <w:jc w:val="left"/>
              <w:rPr>
                <w:rFonts w:ascii="宋体" w:hAnsi="宋体" w:eastAsia="宋体"/>
                <w:color w:val="000000" w:themeColor="text1"/>
              </w:rPr>
            </w:pPr>
            <w:r>
              <w:rPr>
                <w:rFonts w:ascii="宋体" w:hAnsi="宋体" w:eastAsia="宋体"/>
                <w:color w:val="000000" w:themeColor="text1"/>
              </w:rPr>
              <w:t xml:space="preserve"> 有下列情形之一的，视为投标人相互串通投标：</w:t>
            </w:r>
          </w:p>
          <w:p>
            <w:pPr>
              <w:autoSpaceDE w:val="0"/>
              <w:autoSpaceDN w:val="0"/>
              <w:spacing w:after="160" w:line="360" w:lineRule="exact"/>
              <w:jc w:val="left"/>
              <w:rPr>
                <w:rFonts w:ascii="宋体" w:hAnsi="宋体" w:eastAsia="宋体"/>
                <w:color w:val="000000" w:themeColor="text1"/>
              </w:rPr>
            </w:pPr>
            <w:r>
              <w:rPr>
                <w:rFonts w:ascii="宋体" w:hAnsi="宋体" w:eastAsia="宋体"/>
                <w:color w:val="000000" w:themeColor="text1"/>
              </w:rPr>
              <w:t>（一）不同投标人的投标文件由同一单位或者个人编制；</w:t>
            </w:r>
          </w:p>
          <w:p>
            <w:pPr>
              <w:autoSpaceDE w:val="0"/>
              <w:autoSpaceDN w:val="0"/>
              <w:spacing w:after="160" w:line="360" w:lineRule="exact"/>
              <w:jc w:val="left"/>
              <w:rPr>
                <w:rFonts w:ascii="宋体" w:hAnsi="宋体" w:eastAsia="宋体"/>
                <w:color w:val="000000" w:themeColor="text1"/>
              </w:rPr>
            </w:pPr>
            <w:r>
              <w:rPr>
                <w:rFonts w:ascii="宋体" w:hAnsi="宋体" w:eastAsia="宋体"/>
                <w:color w:val="000000" w:themeColor="text1"/>
              </w:rPr>
              <w:t>（二）不同投标人委托同一单位或者个人办理投标事宜；</w:t>
            </w:r>
          </w:p>
          <w:p>
            <w:pPr>
              <w:autoSpaceDE w:val="0"/>
              <w:autoSpaceDN w:val="0"/>
              <w:spacing w:after="160" w:line="360" w:lineRule="exact"/>
              <w:jc w:val="left"/>
              <w:rPr>
                <w:rFonts w:ascii="宋体" w:hAnsi="宋体" w:eastAsia="宋体"/>
                <w:color w:val="000000" w:themeColor="text1"/>
              </w:rPr>
            </w:pPr>
            <w:r>
              <w:rPr>
                <w:rFonts w:ascii="宋体" w:hAnsi="宋体" w:eastAsia="宋体"/>
                <w:color w:val="000000" w:themeColor="text1"/>
              </w:rPr>
              <w:t>（三）不同投标人的投标文件载明的项目管理成员为同一人；</w:t>
            </w:r>
          </w:p>
          <w:p>
            <w:pPr>
              <w:autoSpaceDE w:val="0"/>
              <w:autoSpaceDN w:val="0"/>
              <w:spacing w:after="160" w:line="360" w:lineRule="exact"/>
              <w:jc w:val="left"/>
              <w:rPr>
                <w:rFonts w:ascii="宋体" w:hAnsi="宋体" w:eastAsia="宋体"/>
                <w:color w:val="000000" w:themeColor="text1"/>
              </w:rPr>
            </w:pPr>
            <w:r>
              <w:rPr>
                <w:rFonts w:ascii="宋体" w:hAnsi="宋体" w:eastAsia="宋体"/>
                <w:color w:val="000000" w:themeColor="text1"/>
              </w:rPr>
              <w:t>（四）不同投标人的投标文件异常一致或者投标报价呈规律性差异；</w:t>
            </w:r>
          </w:p>
          <w:p>
            <w:pPr>
              <w:autoSpaceDE w:val="0"/>
              <w:autoSpaceDN w:val="0"/>
              <w:spacing w:after="160" w:line="360" w:lineRule="exact"/>
              <w:jc w:val="left"/>
              <w:rPr>
                <w:rFonts w:ascii="宋体" w:hAnsi="宋体" w:eastAsia="宋体"/>
                <w:color w:val="000000" w:themeColor="text1"/>
              </w:rPr>
            </w:pPr>
            <w:r>
              <w:rPr>
                <w:rFonts w:ascii="宋体" w:hAnsi="宋体" w:eastAsia="宋体"/>
                <w:color w:val="000000" w:themeColor="text1"/>
              </w:rPr>
              <w:t>（五）不同投标人的投标文件相互混装；</w:t>
            </w:r>
          </w:p>
          <w:p>
            <w:pPr>
              <w:autoSpaceDE w:val="0"/>
              <w:autoSpaceDN w:val="0"/>
              <w:spacing w:after="160" w:line="360" w:lineRule="exact"/>
              <w:jc w:val="left"/>
              <w:rPr>
                <w:rFonts w:ascii="宋体" w:hAnsi="宋体" w:eastAsia="宋体"/>
                <w:color w:val="000000" w:themeColor="text1"/>
              </w:rPr>
            </w:pPr>
            <w:r>
              <w:rPr>
                <w:rFonts w:ascii="宋体" w:hAnsi="宋体" w:eastAsia="宋体"/>
                <w:color w:val="000000" w:themeColor="text1"/>
              </w:rPr>
              <w:t>（六）不同投标人的投标保证金从同一单位或者个人的账户转出。</w:t>
            </w:r>
          </w:p>
          <w:p>
            <w:pPr>
              <w:autoSpaceDE w:val="0"/>
              <w:autoSpaceDN w:val="0"/>
              <w:spacing w:after="160" w:line="360" w:lineRule="exact"/>
              <w:jc w:val="left"/>
              <w:rPr>
                <w:rFonts w:ascii="宋体" w:hAnsi="宋体" w:eastAsia="宋体"/>
                <w:color w:val="000000" w:themeColor="text1"/>
              </w:rPr>
            </w:pPr>
            <w:r>
              <w:rPr>
                <w:rFonts w:ascii="宋体" w:hAnsi="宋体" w:eastAsia="宋体"/>
                <w:color w:val="000000" w:themeColor="text1"/>
              </w:rPr>
              <w:t xml:space="preserve">《中华人民共和国招标投标法实施条例》第四十一条： </w:t>
            </w:r>
          </w:p>
          <w:p>
            <w:pPr>
              <w:autoSpaceDE w:val="0"/>
              <w:autoSpaceDN w:val="0"/>
              <w:spacing w:after="160" w:line="360" w:lineRule="exact"/>
              <w:jc w:val="left"/>
              <w:rPr>
                <w:rFonts w:ascii="宋体" w:hAnsi="宋体" w:eastAsia="宋体"/>
                <w:color w:val="000000" w:themeColor="text1"/>
              </w:rPr>
            </w:pPr>
            <w:r>
              <w:rPr>
                <w:rFonts w:ascii="宋体" w:hAnsi="宋体" w:eastAsia="宋体"/>
                <w:color w:val="000000" w:themeColor="text1"/>
              </w:rPr>
              <w:t xml:space="preserve"> 禁止招标人与投标人串通投标。</w:t>
            </w:r>
          </w:p>
          <w:p>
            <w:pPr>
              <w:autoSpaceDE w:val="0"/>
              <w:autoSpaceDN w:val="0"/>
              <w:spacing w:after="160" w:line="360" w:lineRule="exact"/>
              <w:ind w:firstLine="120"/>
              <w:jc w:val="left"/>
              <w:rPr>
                <w:rFonts w:ascii="宋体" w:hAnsi="宋体" w:eastAsia="宋体"/>
                <w:color w:val="000000" w:themeColor="text1"/>
              </w:rPr>
            </w:pPr>
            <w:r>
              <w:rPr>
                <w:rFonts w:ascii="宋体" w:hAnsi="宋体" w:eastAsia="宋体"/>
                <w:color w:val="000000" w:themeColor="text1"/>
              </w:rPr>
              <w:t>有下列情形之一的，属于招标人与投标人串通投标：</w:t>
            </w:r>
          </w:p>
          <w:p>
            <w:pPr>
              <w:autoSpaceDE w:val="0"/>
              <w:autoSpaceDN w:val="0"/>
              <w:spacing w:after="160" w:line="360" w:lineRule="exact"/>
              <w:jc w:val="left"/>
              <w:rPr>
                <w:rFonts w:ascii="宋体" w:hAnsi="宋体" w:eastAsia="宋体"/>
                <w:color w:val="000000" w:themeColor="text1"/>
              </w:rPr>
            </w:pPr>
            <w:r>
              <w:rPr>
                <w:rFonts w:ascii="宋体" w:hAnsi="宋体" w:eastAsia="宋体"/>
                <w:color w:val="000000" w:themeColor="text1"/>
              </w:rPr>
              <w:t>（一）招标人在开标前开启投标文件并将有关信息泄露给其他投标人;</w:t>
            </w:r>
          </w:p>
          <w:p>
            <w:pPr>
              <w:autoSpaceDE w:val="0"/>
              <w:autoSpaceDN w:val="0"/>
              <w:spacing w:after="160" w:line="360" w:lineRule="exact"/>
              <w:jc w:val="left"/>
              <w:rPr>
                <w:rFonts w:ascii="宋体" w:hAnsi="宋体" w:eastAsia="宋体"/>
                <w:color w:val="000000" w:themeColor="text1"/>
              </w:rPr>
            </w:pPr>
            <w:r>
              <w:rPr>
                <w:rFonts w:ascii="宋体" w:hAnsi="宋体" w:eastAsia="宋体"/>
                <w:color w:val="000000" w:themeColor="text1"/>
              </w:rPr>
              <w:t>（二）招标人直接或者间接向投标人泄露标底、评标委员会成员等信息；</w:t>
            </w:r>
          </w:p>
          <w:p>
            <w:pPr>
              <w:autoSpaceDE w:val="0"/>
              <w:autoSpaceDN w:val="0"/>
              <w:spacing w:after="160" w:line="360" w:lineRule="exact"/>
              <w:jc w:val="left"/>
              <w:rPr>
                <w:rFonts w:ascii="宋体" w:hAnsi="宋体" w:eastAsia="宋体"/>
                <w:color w:val="000000" w:themeColor="text1"/>
              </w:rPr>
            </w:pPr>
            <w:r>
              <w:rPr>
                <w:rFonts w:ascii="宋体" w:hAnsi="宋体" w:eastAsia="宋体"/>
                <w:color w:val="000000" w:themeColor="text1"/>
              </w:rPr>
              <w:t>（三）招标人明示或者暗示投标人压低或者抬高投标报价；</w:t>
            </w:r>
          </w:p>
          <w:p>
            <w:pPr>
              <w:autoSpaceDE w:val="0"/>
              <w:autoSpaceDN w:val="0"/>
              <w:spacing w:after="160" w:line="360" w:lineRule="exact"/>
              <w:jc w:val="left"/>
              <w:rPr>
                <w:rFonts w:ascii="宋体" w:hAnsi="宋体" w:eastAsia="宋体"/>
                <w:color w:val="000000" w:themeColor="text1"/>
              </w:rPr>
            </w:pPr>
            <w:r>
              <w:rPr>
                <w:rFonts w:ascii="宋体" w:hAnsi="宋体" w:eastAsia="宋体"/>
                <w:color w:val="000000" w:themeColor="text1"/>
              </w:rPr>
              <w:t>（四）招标人授意投标人撤换、修改投标文件；</w:t>
            </w:r>
          </w:p>
          <w:p>
            <w:pPr>
              <w:autoSpaceDE w:val="0"/>
              <w:autoSpaceDN w:val="0"/>
              <w:spacing w:after="160" w:line="360" w:lineRule="exact"/>
              <w:jc w:val="left"/>
              <w:rPr>
                <w:rFonts w:ascii="宋体" w:hAnsi="宋体" w:eastAsia="宋体"/>
                <w:color w:val="000000" w:themeColor="text1"/>
              </w:rPr>
            </w:pPr>
            <w:r>
              <w:rPr>
                <w:rFonts w:ascii="宋体" w:hAnsi="宋体" w:eastAsia="宋体"/>
                <w:color w:val="000000" w:themeColor="text1"/>
              </w:rPr>
              <w:t>（五）招标人明示或者暗示投标人为特定投标人中标提供方便；</w:t>
            </w:r>
          </w:p>
          <w:p>
            <w:pPr>
              <w:autoSpaceDE w:val="0"/>
              <w:autoSpaceDN w:val="0"/>
              <w:spacing w:after="160" w:line="360" w:lineRule="exact"/>
              <w:jc w:val="left"/>
              <w:rPr>
                <w:rFonts w:ascii="宋体" w:hAnsi="宋体" w:eastAsia="宋体"/>
                <w:color w:val="000000" w:themeColor="text1"/>
              </w:rPr>
            </w:pPr>
            <w:r>
              <w:rPr>
                <w:rFonts w:ascii="宋体" w:hAnsi="宋体" w:eastAsia="宋体"/>
                <w:color w:val="000000" w:themeColor="text1"/>
              </w:rPr>
              <w:t>（六）招标人与投标人为谋求特定投标人中标而采取的其他串通行为。</w:t>
            </w:r>
          </w:p>
          <w:p>
            <w:pPr>
              <w:autoSpaceDE w:val="0"/>
              <w:autoSpaceDN w:val="0"/>
              <w:spacing w:after="160" w:line="360" w:lineRule="exact"/>
              <w:jc w:val="left"/>
              <w:rPr>
                <w:rFonts w:ascii="宋体" w:hAnsi="宋体" w:eastAsia="宋体"/>
                <w:color w:val="000000" w:themeColor="text1"/>
              </w:rPr>
            </w:pPr>
            <w:r>
              <w:rPr>
                <w:rFonts w:ascii="宋体" w:hAnsi="宋体" w:eastAsia="宋体"/>
                <w:color w:val="000000" w:themeColor="text1"/>
              </w:rPr>
              <w:t>《中华人民共和国招标投标法实施条例》第四十二条：</w:t>
            </w:r>
          </w:p>
          <w:p>
            <w:pPr>
              <w:autoSpaceDE w:val="0"/>
              <w:autoSpaceDN w:val="0"/>
              <w:spacing w:after="160" w:line="360" w:lineRule="exact"/>
              <w:jc w:val="left"/>
              <w:rPr>
                <w:rFonts w:ascii="宋体" w:hAnsi="宋体" w:eastAsia="宋体"/>
                <w:color w:val="000000" w:themeColor="text1"/>
              </w:rPr>
            </w:pPr>
            <w:r>
              <w:rPr>
                <w:rFonts w:ascii="宋体" w:hAnsi="宋体" w:eastAsia="宋体"/>
                <w:color w:val="000000" w:themeColor="text1"/>
              </w:rPr>
              <w:t xml:space="preserve">  使用通过受让或者租借等方式获取的资格、资质证书投标的，属于招标投标法第三十三条规定的以他人名义投标。</w:t>
            </w:r>
          </w:p>
          <w:p>
            <w:pPr>
              <w:autoSpaceDE w:val="0"/>
              <w:autoSpaceDN w:val="0"/>
              <w:spacing w:after="160" w:line="360" w:lineRule="exact"/>
              <w:jc w:val="left"/>
              <w:rPr>
                <w:rFonts w:ascii="宋体" w:hAnsi="宋体" w:eastAsia="宋体"/>
                <w:color w:val="000000" w:themeColor="text1"/>
              </w:rPr>
            </w:pPr>
            <w:r>
              <w:rPr>
                <w:rFonts w:ascii="宋体" w:hAnsi="宋体" w:eastAsia="宋体"/>
                <w:color w:val="000000" w:themeColor="text1"/>
              </w:rPr>
              <w:t>投标人有下列情形之一的，属于招标投标法第三十三条规定的以其他方式弄虚作假的行为：</w:t>
            </w:r>
          </w:p>
          <w:p>
            <w:pPr>
              <w:autoSpaceDE w:val="0"/>
              <w:autoSpaceDN w:val="0"/>
              <w:spacing w:after="160" w:line="360" w:lineRule="exact"/>
              <w:jc w:val="left"/>
              <w:rPr>
                <w:rFonts w:ascii="宋体" w:hAnsi="宋体" w:eastAsia="宋体"/>
                <w:color w:val="000000" w:themeColor="text1"/>
              </w:rPr>
            </w:pPr>
            <w:r>
              <w:rPr>
                <w:rFonts w:ascii="宋体" w:hAnsi="宋体" w:eastAsia="宋体"/>
                <w:color w:val="000000" w:themeColor="text1"/>
              </w:rPr>
              <w:t>（一）使用伪造、变造的许可证件；</w:t>
            </w:r>
          </w:p>
          <w:p>
            <w:pPr>
              <w:autoSpaceDE w:val="0"/>
              <w:autoSpaceDN w:val="0"/>
              <w:spacing w:after="160" w:line="360" w:lineRule="exact"/>
              <w:jc w:val="left"/>
              <w:rPr>
                <w:rFonts w:ascii="宋体" w:hAnsi="宋体" w:eastAsia="宋体"/>
                <w:color w:val="000000" w:themeColor="text1"/>
              </w:rPr>
            </w:pPr>
            <w:r>
              <w:rPr>
                <w:rFonts w:ascii="宋体" w:hAnsi="宋体" w:eastAsia="宋体"/>
                <w:color w:val="000000" w:themeColor="text1"/>
              </w:rPr>
              <w:t>（二）提供虚假的财务状况或者业绩；</w:t>
            </w:r>
          </w:p>
          <w:p>
            <w:pPr>
              <w:autoSpaceDE w:val="0"/>
              <w:autoSpaceDN w:val="0"/>
              <w:spacing w:after="160" w:line="360" w:lineRule="exact"/>
              <w:jc w:val="left"/>
              <w:rPr>
                <w:rFonts w:ascii="宋体" w:hAnsi="宋体" w:eastAsia="宋体"/>
                <w:color w:val="000000" w:themeColor="text1"/>
              </w:rPr>
            </w:pPr>
            <w:r>
              <w:rPr>
                <w:rFonts w:ascii="宋体" w:hAnsi="宋体" w:eastAsia="宋体"/>
                <w:color w:val="000000" w:themeColor="text1"/>
              </w:rPr>
              <w:t>（三）提供虚假的项目负责人或者主要技术人员简历、劳动关系证明；</w:t>
            </w:r>
          </w:p>
          <w:p>
            <w:pPr>
              <w:autoSpaceDE w:val="0"/>
              <w:autoSpaceDN w:val="0"/>
              <w:spacing w:after="160" w:line="360" w:lineRule="exact"/>
              <w:jc w:val="left"/>
              <w:rPr>
                <w:rFonts w:ascii="宋体" w:hAnsi="宋体" w:eastAsia="宋体"/>
                <w:color w:val="000000" w:themeColor="text1"/>
              </w:rPr>
            </w:pPr>
            <w:r>
              <w:rPr>
                <w:rFonts w:ascii="宋体" w:hAnsi="宋体" w:eastAsia="宋体"/>
                <w:color w:val="000000" w:themeColor="text1"/>
              </w:rPr>
              <w:t>（四）提供虚假的信用状况；</w:t>
            </w:r>
          </w:p>
          <w:p>
            <w:pPr>
              <w:autoSpaceDE w:val="0"/>
              <w:autoSpaceDN w:val="0"/>
              <w:spacing w:after="160" w:line="360" w:lineRule="exact"/>
              <w:jc w:val="left"/>
              <w:rPr>
                <w:rFonts w:ascii="宋体" w:hAnsi="宋体" w:eastAsia="宋体"/>
                <w:color w:val="000000" w:themeColor="text1"/>
              </w:rPr>
            </w:pPr>
            <w:r>
              <w:rPr>
                <w:rFonts w:ascii="宋体" w:hAnsi="宋体" w:eastAsia="宋体"/>
                <w:color w:val="000000" w:themeColor="text1"/>
              </w:rPr>
              <w:t>（五）其他弄虚作假的行为。</w:t>
            </w:r>
          </w:p>
        </w:tc>
      </w:tr>
      <w:tr>
        <w:tblPrEx>
          <w:tblCellMar>
            <w:top w:w="0" w:type="dxa"/>
            <w:left w:w="108" w:type="dxa"/>
            <w:bottom w:w="0" w:type="dxa"/>
            <w:right w:w="108" w:type="dxa"/>
          </w:tblCellMar>
        </w:tblPrEx>
        <w:trPr>
          <w:trHeight w:val="567" w:hRule="atLeast"/>
          <w:jc w:val="center"/>
        </w:trPr>
        <w:tc>
          <w:tcPr>
            <w:tcW w:w="8957" w:type="dxa"/>
            <w:gridSpan w:val="9"/>
            <w:tcBorders>
              <w:top w:val="single" w:color="auto" w:sz="4" w:space="0"/>
              <w:left w:val="single" w:color="auto" w:sz="4" w:space="0"/>
              <w:bottom w:val="single" w:color="auto" w:sz="4" w:space="0"/>
              <w:right w:val="single" w:color="auto" w:sz="4" w:space="0"/>
            </w:tcBorders>
          </w:tcPr>
          <w:p>
            <w:pPr>
              <w:pStyle w:val="46"/>
              <w:spacing w:after="160" w:line="360" w:lineRule="auto"/>
              <w:ind w:firstLine="482"/>
              <w:rPr>
                <w:rFonts w:hAnsi="Times New Roman"/>
                <w:b/>
                <w:color w:val="000000" w:themeColor="text1"/>
                <w:sz w:val="24"/>
                <w:szCs w:val="24"/>
              </w:rPr>
            </w:pPr>
            <w:r>
              <w:rPr>
                <w:rFonts w:hAnsi="Times New Roman"/>
                <w:b/>
                <w:color w:val="000000" w:themeColor="text1"/>
                <w:sz w:val="24"/>
                <w:szCs w:val="24"/>
              </w:rPr>
              <w:t>特别提示</w:t>
            </w:r>
          </w:p>
        </w:tc>
      </w:tr>
      <w:tr>
        <w:tblPrEx>
          <w:tblCellMar>
            <w:top w:w="0" w:type="dxa"/>
            <w:left w:w="108" w:type="dxa"/>
            <w:bottom w:w="0" w:type="dxa"/>
            <w:right w:w="108" w:type="dxa"/>
          </w:tblCellMar>
        </w:tblPrEx>
        <w:trPr>
          <w:trHeight w:val="567" w:hRule="atLeast"/>
          <w:jc w:val="center"/>
        </w:trPr>
        <w:tc>
          <w:tcPr>
            <w:tcW w:w="8957" w:type="dxa"/>
            <w:gridSpan w:val="9"/>
            <w:tcBorders>
              <w:top w:val="single" w:color="auto" w:sz="4" w:space="0"/>
              <w:left w:val="single" w:color="auto" w:sz="4" w:space="0"/>
              <w:bottom w:val="single" w:color="auto" w:sz="4" w:space="0"/>
              <w:right w:val="single" w:color="auto" w:sz="4" w:space="0"/>
            </w:tcBorders>
          </w:tcPr>
          <w:p>
            <w:pPr>
              <w:autoSpaceDE w:val="0"/>
              <w:autoSpaceDN w:val="0"/>
              <w:spacing w:line="360" w:lineRule="auto"/>
              <w:ind w:firstLine="240" w:firstLineChars="100"/>
              <w:jc w:val="left"/>
              <w:outlineLvl w:val="0"/>
              <w:rPr>
                <w:rFonts w:hAnsi="宋体" w:eastAsia="宋体" w:cs="宋体"/>
                <w:color w:val="000000" w:themeColor="text1"/>
                <w:sz w:val="24"/>
              </w:rPr>
            </w:pPr>
            <w:r>
              <w:rPr>
                <w:rFonts w:hint="eastAsia" w:hAnsi="宋体" w:eastAsia="宋体" w:cs="宋体"/>
                <w:color w:val="000000" w:themeColor="text1"/>
                <w:sz w:val="24"/>
              </w:rPr>
              <w:t>1、潜在投标人应仔细阅读招标文件、工程量清单，若发现工程量清单中项目特征描述错误等或工程量清单与图纸存在差异，请在规定时间内在</w:t>
            </w:r>
            <w:r>
              <w:rPr>
                <w:rFonts w:hint="eastAsia" w:hAnsi="宋体" w:cs="宋体"/>
                <w:color w:val="000000" w:themeColor="text1"/>
                <w:sz w:val="24"/>
              </w:rPr>
              <w:t>《全国公共资源交易平台（河南省·许昌市）》</w:t>
            </w:r>
            <w:r>
              <w:rPr>
                <w:rFonts w:hint="eastAsia" w:hAnsi="宋体" w:eastAsia="宋体" w:cs="宋体"/>
                <w:color w:val="000000" w:themeColor="text1"/>
                <w:sz w:val="24"/>
              </w:rPr>
              <w:t>公共资源交易系统中提出。若投标人未提出异议，视为投标总价已经包含了为完成图纸对应工程总量的全部工程价款，即便项目实施过程中发现招标工程量清单存在错项、漏项，竣工结算不再调整。因招标工程量清单错项、漏项导致中标工程竣工工程量与施工图纸不一致的，应由承包人承担相应的价款风险。</w:t>
            </w:r>
          </w:p>
          <w:p>
            <w:pPr>
              <w:autoSpaceDE w:val="0"/>
              <w:autoSpaceDN w:val="0"/>
              <w:spacing w:line="360" w:lineRule="auto"/>
              <w:ind w:firstLine="240" w:firstLineChars="100"/>
              <w:jc w:val="left"/>
              <w:outlineLvl w:val="0"/>
              <w:rPr>
                <w:rFonts w:hAnsi="宋体" w:eastAsia="宋体" w:cs="宋体"/>
                <w:color w:val="000000" w:themeColor="text1"/>
                <w:sz w:val="24"/>
              </w:rPr>
            </w:pPr>
            <w:r>
              <w:rPr>
                <w:rFonts w:hint="eastAsia" w:hAnsi="宋体" w:eastAsia="宋体" w:cs="宋体"/>
                <w:color w:val="000000" w:themeColor="text1"/>
                <w:sz w:val="24"/>
              </w:rPr>
              <w:t>2、潜在投标人如对招标文件有异议，请在规定时间内在</w:t>
            </w:r>
            <w:r>
              <w:rPr>
                <w:rFonts w:hint="eastAsia" w:hAnsi="宋体" w:cs="宋体"/>
                <w:color w:val="000000" w:themeColor="text1"/>
                <w:sz w:val="24"/>
              </w:rPr>
              <w:t>《全国公共资源交易平台（河南省·许昌市）》</w:t>
            </w:r>
            <w:r>
              <w:rPr>
                <w:rFonts w:hint="eastAsia" w:hAnsi="宋体" w:eastAsia="宋体" w:cs="宋体"/>
                <w:color w:val="000000" w:themeColor="text1"/>
                <w:sz w:val="24"/>
              </w:rPr>
              <w:t>公共资源交易系统中提出，以其他方式递交的异议不予接受。</w:t>
            </w:r>
          </w:p>
          <w:p>
            <w:pPr>
              <w:autoSpaceDE w:val="0"/>
              <w:autoSpaceDN w:val="0"/>
              <w:spacing w:line="360" w:lineRule="auto"/>
              <w:ind w:firstLine="240" w:firstLineChars="100"/>
              <w:jc w:val="left"/>
              <w:outlineLvl w:val="0"/>
              <w:rPr>
                <w:rFonts w:hAnsi="宋体" w:eastAsia="宋体" w:cs="宋体"/>
                <w:color w:val="000000" w:themeColor="text1"/>
                <w:sz w:val="24"/>
              </w:rPr>
            </w:pPr>
            <w:r>
              <w:rPr>
                <w:rFonts w:hint="eastAsia" w:hAnsi="宋体" w:eastAsia="宋体" w:cs="宋体"/>
                <w:color w:val="000000" w:themeColor="text1"/>
                <w:sz w:val="24"/>
              </w:rPr>
              <w:t>3、投标人在投标截止时间前应随时关注</w:t>
            </w:r>
            <w:r>
              <w:rPr>
                <w:rFonts w:hint="eastAsia" w:hAnsi="宋体" w:cs="宋体"/>
                <w:color w:val="000000" w:themeColor="text1"/>
                <w:sz w:val="24"/>
              </w:rPr>
              <w:t>《全国公共资源交易平台（河南省·许昌市）》</w:t>
            </w:r>
            <w:r>
              <w:rPr>
                <w:rFonts w:hint="eastAsia" w:hAnsi="宋体" w:eastAsia="宋体" w:cs="宋体"/>
                <w:color w:val="000000" w:themeColor="text1"/>
                <w:sz w:val="24"/>
              </w:rPr>
              <w:t>公共资源交易系统发出的有关本项目的答疑、修改等相关内容。</w:t>
            </w:r>
          </w:p>
          <w:p>
            <w:pPr>
              <w:autoSpaceDE w:val="0"/>
              <w:autoSpaceDN w:val="0"/>
              <w:spacing w:line="360" w:lineRule="auto"/>
              <w:ind w:firstLine="240" w:firstLineChars="100"/>
              <w:jc w:val="left"/>
              <w:outlineLvl w:val="0"/>
              <w:rPr>
                <w:rFonts w:hAnsi="宋体" w:eastAsia="宋体" w:cs="宋体"/>
                <w:color w:val="000000" w:themeColor="text1"/>
                <w:sz w:val="24"/>
              </w:rPr>
            </w:pPr>
            <w:r>
              <w:rPr>
                <w:rFonts w:hint="eastAsia" w:hAnsi="宋体" w:eastAsia="宋体" w:cs="宋体"/>
                <w:color w:val="000000" w:themeColor="text1"/>
                <w:sz w:val="24"/>
              </w:rPr>
              <w:t>4、投标文件依据最终的招标文件进行编制。如果招标文件发生变更，投标人应以招标人最终发出的电子招标文件为准，编制投标文件，务请投标人随时关注项目变更信息。</w:t>
            </w:r>
          </w:p>
          <w:p>
            <w:pPr>
              <w:tabs>
                <w:tab w:val="left" w:pos="7095"/>
              </w:tabs>
              <w:spacing w:line="360" w:lineRule="auto"/>
              <w:ind w:firstLine="240" w:firstLineChars="100"/>
              <w:rPr>
                <w:rFonts w:hAnsi="宋体" w:eastAsia="宋体" w:cs="宋体"/>
                <w:color w:val="000000" w:themeColor="text1"/>
                <w:sz w:val="24"/>
              </w:rPr>
            </w:pPr>
            <w:r>
              <w:rPr>
                <w:rFonts w:hint="eastAsia" w:hAnsi="宋体" w:eastAsia="宋体" w:cs="宋体"/>
                <w:color w:val="000000" w:themeColor="text1"/>
                <w:sz w:val="24"/>
              </w:rPr>
              <w:t>5、招标人及其代理机构需留存项目电子档案时，可在质疑期满后使用</w:t>
            </w:r>
            <w:r>
              <w:rPr>
                <w:rFonts w:hAnsi="宋体" w:eastAsia="宋体" w:cs="宋体"/>
                <w:color w:val="000000" w:themeColor="text1"/>
                <w:sz w:val="24"/>
              </w:rPr>
              <w:t>CA锁从交易平台自行下载。</w:t>
            </w:r>
          </w:p>
          <w:p>
            <w:pPr>
              <w:autoSpaceDE w:val="0"/>
              <w:autoSpaceDN w:val="0"/>
              <w:spacing w:line="360" w:lineRule="auto"/>
              <w:ind w:firstLine="240" w:firstLineChars="100"/>
              <w:jc w:val="left"/>
              <w:outlineLvl w:val="0"/>
              <w:rPr>
                <w:rFonts w:hAnsi="宋体" w:eastAsia="宋体" w:cs="宋体"/>
                <w:color w:val="000000" w:themeColor="text1"/>
                <w:sz w:val="24"/>
              </w:rPr>
            </w:pPr>
            <w:r>
              <w:rPr>
                <w:rFonts w:hint="eastAsia" w:hAnsi="宋体" w:eastAsia="宋体" w:cs="宋体"/>
                <w:color w:val="000000" w:themeColor="text1"/>
                <w:sz w:val="24"/>
              </w:rPr>
              <w:t>6、商务标投标文件制作注意事项：</w:t>
            </w:r>
          </w:p>
          <w:p>
            <w:pPr>
              <w:autoSpaceDE w:val="0"/>
              <w:autoSpaceDN w:val="0"/>
              <w:spacing w:line="360" w:lineRule="auto"/>
              <w:ind w:firstLine="240" w:firstLineChars="100"/>
              <w:jc w:val="left"/>
              <w:outlineLvl w:val="0"/>
              <w:rPr>
                <w:rFonts w:hAnsi="宋体" w:eastAsia="宋体" w:cs="宋体"/>
                <w:color w:val="000000" w:themeColor="text1"/>
                <w:sz w:val="24"/>
              </w:rPr>
            </w:pPr>
            <w:r>
              <w:rPr>
                <w:rFonts w:hint="eastAsia" w:hAnsi="宋体" w:eastAsia="宋体" w:cs="宋体"/>
                <w:color w:val="000000" w:themeColor="text1"/>
                <w:sz w:val="24"/>
              </w:rPr>
              <w:t>6.1 投标人登录</w:t>
            </w:r>
            <w:r>
              <w:rPr>
                <w:rFonts w:hint="eastAsia" w:hAnsi="宋体" w:cs="宋体"/>
                <w:color w:val="000000" w:themeColor="text1"/>
                <w:sz w:val="24"/>
              </w:rPr>
              <w:t>《全国公共资源交易平台（河南省·许昌市）》</w:t>
            </w:r>
            <w:r>
              <w:rPr>
                <w:rFonts w:hint="eastAsia" w:hAnsi="宋体" w:eastAsia="宋体" w:cs="宋体"/>
                <w:color w:val="000000" w:themeColor="text1"/>
                <w:sz w:val="24"/>
              </w:rPr>
              <w:t>公共资源交易系统下载“许昌投标文件制作系统SEARUN V1.1” 和操作手册（工程项目），按招标文件要求制作商务标投标文件。</w:t>
            </w:r>
          </w:p>
          <w:p>
            <w:pPr>
              <w:autoSpaceDE w:val="0"/>
              <w:autoSpaceDN w:val="0"/>
              <w:spacing w:line="360" w:lineRule="auto"/>
              <w:ind w:firstLine="240" w:firstLineChars="100"/>
              <w:jc w:val="left"/>
              <w:outlineLvl w:val="0"/>
              <w:rPr>
                <w:rFonts w:hAnsi="宋体" w:eastAsia="宋体" w:cs="宋体"/>
                <w:color w:val="000000" w:themeColor="text1"/>
                <w:sz w:val="24"/>
              </w:rPr>
            </w:pPr>
            <w:r>
              <w:rPr>
                <w:rFonts w:hint="eastAsia" w:hAnsi="宋体" w:eastAsia="宋体" w:cs="宋体"/>
                <w:color w:val="000000" w:themeColor="text1"/>
                <w:sz w:val="24"/>
              </w:rPr>
              <w:t>6.2 商务标投标文件制作技术咨询：0374-2961598。</w:t>
            </w:r>
          </w:p>
          <w:p>
            <w:pPr>
              <w:autoSpaceDE w:val="0"/>
              <w:autoSpaceDN w:val="0"/>
              <w:spacing w:line="360" w:lineRule="auto"/>
              <w:ind w:firstLine="240" w:firstLineChars="100"/>
              <w:jc w:val="left"/>
              <w:outlineLvl w:val="0"/>
              <w:rPr>
                <w:rFonts w:hAnsi="宋体" w:eastAsia="宋体" w:cs="宋体"/>
                <w:color w:val="000000" w:themeColor="text1"/>
                <w:sz w:val="24"/>
              </w:rPr>
            </w:pPr>
            <w:r>
              <w:rPr>
                <w:rFonts w:hint="eastAsia" w:hAnsi="宋体" w:eastAsia="宋体" w:cs="宋体"/>
                <w:color w:val="000000" w:themeColor="text1"/>
                <w:sz w:val="24"/>
              </w:rPr>
              <w:t>6.3投标人应在投标文件递交的截止时间之前通过【全国公共资源交易平台（河南省·许昌市）】公共资源交易系统（http://www.xcggzy.gov.cn/）递交电子投标文件；</w:t>
            </w:r>
          </w:p>
          <w:p>
            <w:pPr>
              <w:autoSpaceDE w:val="0"/>
              <w:autoSpaceDN w:val="0"/>
              <w:spacing w:line="360" w:lineRule="auto"/>
              <w:ind w:firstLine="240" w:firstLineChars="100"/>
              <w:jc w:val="left"/>
              <w:outlineLvl w:val="0"/>
              <w:rPr>
                <w:rFonts w:hAnsi="宋体" w:eastAsia="宋体" w:cs="宋体"/>
                <w:color w:val="000000" w:themeColor="text1"/>
                <w:sz w:val="24"/>
              </w:rPr>
            </w:pPr>
            <w:r>
              <w:rPr>
                <w:rFonts w:hint="eastAsia" w:hAnsi="宋体" w:eastAsia="宋体" w:cs="宋体"/>
                <w:color w:val="000000" w:themeColor="text1"/>
                <w:sz w:val="24"/>
              </w:rPr>
              <w:t>6.4请投标人在上传电子投标文件时认真检查上传投标文件是否完整、正确。</w:t>
            </w:r>
          </w:p>
          <w:p>
            <w:pPr>
              <w:autoSpaceDE w:val="0"/>
              <w:autoSpaceDN w:val="0"/>
              <w:spacing w:line="360" w:lineRule="auto"/>
              <w:ind w:firstLine="240" w:firstLineChars="100"/>
              <w:jc w:val="left"/>
              <w:outlineLvl w:val="0"/>
              <w:rPr>
                <w:rFonts w:hAnsi="宋体" w:eastAsia="宋体" w:cs="宋体"/>
                <w:color w:val="000000" w:themeColor="text1"/>
                <w:sz w:val="24"/>
              </w:rPr>
            </w:pPr>
            <w:r>
              <w:rPr>
                <w:rFonts w:hint="eastAsia" w:hAnsi="宋体" w:eastAsia="宋体" w:cs="宋体"/>
                <w:color w:val="000000" w:themeColor="text1"/>
                <w:sz w:val="24"/>
              </w:rPr>
              <w:t>6.5加密电子投标文件逾期上传的，招标人不予受理。</w:t>
            </w:r>
          </w:p>
          <w:p>
            <w:pPr>
              <w:autoSpaceDE w:val="0"/>
              <w:autoSpaceDN w:val="0"/>
              <w:spacing w:line="360" w:lineRule="auto"/>
              <w:ind w:firstLine="240" w:firstLineChars="100"/>
              <w:jc w:val="left"/>
              <w:outlineLvl w:val="0"/>
              <w:rPr>
                <w:rFonts w:hAnsi="宋体" w:eastAsia="宋体" w:cs="宋体"/>
                <w:color w:val="000000" w:themeColor="text1"/>
                <w:sz w:val="24"/>
              </w:rPr>
            </w:pPr>
            <w:r>
              <w:rPr>
                <w:rFonts w:hint="eastAsia" w:hAnsi="宋体" w:eastAsia="宋体" w:cs="宋体"/>
                <w:color w:val="000000" w:themeColor="text1"/>
                <w:sz w:val="24"/>
              </w:rPr>
              <w:t>6.6投标人</w:t>
            </w:r>
            <w:r>
              <w:rPr>
                <w:rFonts w:hint="eastAsia" w:hAnsi="宋体" w:eastAsia="宋体" w:cs="宋体"/>
                <w:color w:val="000000" w:themeColor="text1"/>
                <w:sz w:val="24"/>
                <w:lang w:val="en-US" w:eastAsia="zh-CN"/>
              </w:rPr>
              <w:t>采用银行转账方式提交投标保证金的，</w:t>
            </w:r>
            <w:r>
              <w:rPr>
                <w:rFonts w:hint="eastAsia" w:hAnsi="宋体" w:eastAsia="宋体" w:cs="宋体"/>
                <w:color w:val="000000" w:themeColor="text1"/>
                <w:sz w:val="24"/>
              </w:rPr>
              <w:t>应在投标文件递交的截止时间之前按程序完成投标保证金绑定。</w:t>
            </w:r>
          </w:p>
          <w:p>
            <w:pPr>
              <w:autoSpaceDE w:val="0"/>
              <w:autoSpaceDN w:val="0"/>
              <w:spacing w:line="360" w:lineRule="auto"/>
              <w:ind w:firstLine="240" w:firstLineChars="100"/>
              <w:jc w:val="left"/>
              <w:outlineLvl w:val="0"/>
              <w:rPr>
                <w:rFonts w:hAnsi="宋体" w:eastAsia="宋体" w:cs="宋体"/>
                <w:color w:val="000000" w:themeColor="text1"/>
                <w:sz w:val="24"/>
              </w:rPr>
            </w:pPr>
            <w:r>
              <w:rPr>
                <w:rFonts w:hint="eastAsia" w:hAnsi="宋体" w:eastAsia="宋体" w:cs="宋体"/>
                <w:color w:val="000000" w:themeColor="text1"/>
                <w:sz w:val="24"/>
              </w:rPr>
              <w:t>7、投标人需提前熟悉招标文件相关事项及《</w:t>
            </w:r>
            <w:r>
              <w:rPr>
                <w:rFonts w:hint="eastAsia" w:hAnsi="宋体"/>
                <w:color w:val="000000" w:themeColor="text1"/>
                <w:sz w:val="24"/>
                <w:szCs w:val="22"/>
              </w:rPr>
              <w:t>许昌市不见面</w:t>
            </w:r>
            <w:r>
              <w:rPr>
                <w:rFonts w:hint="eastAsia" w:hAnsi="宋体"/>
                <w:color w:val="000000" w:themeColor="text1"/>
                <w:sz w:val="24"/>
                <w:szCs w:val="22"/>
                <w:lang w:eastAsia="zh-CN"/>
              </w:rPr>
              <w:t>开标</w:t>
            </w:r>
            <w:r>
              <w:rPr>
                <w:rFonts w:hint="eastAsia" w:hAnsi="宋体"/>
                <w:color w:val="000000" w:themeColor="text1"/>
                <w:sz w:val="24"/>
                <w:szCs w:val="22"/>
              </w:rPr>
              <w:t>操作手册</w:t>
            </w:r>
            <w:r>
              <w:rPr>
                <w:rFonts w:hint="eastAsia" w:hAnsi="宋体" w:eastAsia="宋体" w:cs="宋体"/>
                <w:color w:val="000000" w:themeColor="text1"/>
                <w:sz w:val="24"/>
              </w:rPr>
              <w:t>》，并设置不见面开标浏览器（设置流程详见《</w:t>
            </w:r>
            <w:r>
              <w:rPr>
                <w:rFonts w:hint="eastAsia" w:hAnsi="宋体"/>
                <w:color w:val="000000" w:themeColor="text1"/>
                <w:sz w:val="24"/>
                <w:szCs w:val="22"/>
              </w:rPr>
              <w:t>许昌市不见面</w:t>
            </w:r>
            <w:r>
              <w:rPr>
                <w:rFonts w:hint="eastAsia" w:hAnsi="宋体"/>
                <w:color w:val="000000" w:themeColor="text1"/>
                <w:sz w:val="24"/>
                <w:szCs w:val="22"/>
                <w:lang w:eastAsia="zh-CN"/>
              </w:rPr>
              <w:t>开标</w:t>
            </w:r>
            <w:r>
              <w:rPr>
                <w:rFonts w:hint="eastAsia" w:hAnsi="宋体"/>
                <w:color w:val="000000" w:themeColor="text1"/>
                <w:sz w:val="24"/>
                <w:szCs w:val="22"/>
              </w:rPr>
              <w:t>操作手册</w:t>
            </w:r>
            <w:r>
              <w:rPr>
                <w:rFonts w:hint="eastAsia" w:hAnsi="宋体" w:eastAsia="宋体" w:cs="宋体"/>
                <w:color w:val="000000" w:themeColor="text1"/>
                <w:sz w:val="24"/>
              </w:rPr>
              <w:t>》）。</w:t>
            </w:r>
          </w:p>
          <w:p>
            <w:pPr>
              <w:autoSpaceDE w:val="0"/>
              <w:autoSpaceDN w:val="0"/>
              <w:spacing w:line="360" w:lineRule="auto"/>
              <w:ind w:firstLine="240" w:firstLineChars="100"/>
              <w:jc w:val="left"/>
              <w:outlineLvl w:val="0"/>
              <w:rPr>
                <w:rFonts w:hAnsi="宋体" w:eastAsia="宋体" w:cs="宋体"/>
                <w:color w:val="000000" w:themeColor="text1"/>
                <w:sz w:val="24"/>
              </w:rPr>
            </w:pPr>
            <w:r>
              <w:rPr>
                <w:rFonts w:hint="eastAsia" w:hAnsi="宋体" w:eastAsia="宋体" w:cs="宋体"/>
                <w:color w:val="000000" w:themeColor="text1"/>
                <w:sz w:val="24"/>
              </w:rPr>
              <w:t>8、投标人上传、解密投标文件需使用同一个CA数字证书，需确保用于解密的CA数字证书在有效期内、可正常使用，并在规定时间内完成电子投标文件解密。评标时仅以成功上传、解密的投标文件为准。</w:t>
            </w:r>
          </w:p>
          <w:p>
            <w:pPr>
              <w:tabs>
                <w:tab w:val="left" w:pos="7095"/>
              </w:tabs>
              <w:spacing w:line="360" w:lineRule="auto"/>
              <w:ind w:firstLine="240" w:firstLineChars="100"/>
              <w:rPr>
                <w:rFonts w:hAnsi="宋体" w:eastAsia="宋体" w:cs="宋体"/>
                <w:color w:val="000000" w:themeColor="text1"/>
                <w:sz w:val="24"/>
              </w:rPr>
            </w:pPr>
            <w:r>
              <w:rPr>
                <w:rFonts w:hint="eastAsia" w:hAnsi="宋体" w:eastAsia="宋体" w:cs="宋体"/>
                <w:color w:val="000000" w:themeColor="text1"/>
                <w:sz w:val="24"/>
              </w:rPr>
              <w:t>9、对开标过程有关内容有异议（质疑）的，投标人可在本项目的不见面开标大厅通过“文字互动”功能或“新增质疑”处提出异议（质疑），招标人（代理机构）及时进行线上答复。</w:t>
            </w:r>
          </w:p>
          <w:p>
            <w:pPr>
              <w:tabs>
                <w:tab w:val="left" w:pos="7095"/>
              </w:tabs>
              <w:spacing w:line="360" w:lineRule="auto"/>
              <w:ind w:firstLine="240" w:firstLineChars="100"/>
              <w:rPr>
                <w:rFonts w:hAnsi="宋体" w:eastAsia="宋体" w:cs="宋体"/>
                <w:color w:val="000000" w:themeColor="text1"/>
                <w:sz w:val="24"/>
              </w:rPr>
            </w:pPr>
            <w:r>
              <w:rPr>
                <w:rFonts w:hint="eastAsia" w:hAnsi="宋体" w:eastAsia="宋体" w:cs="宋体"/>
                <w:color w:val="000000" w:themeColor="text1"/>
                <w:sz w:val="24"/>
              </w:rPr>
              <w:t>不见面开标活动结束时，投标人应在《开标记录表》上进行电子签章，未进行电子签章的视为对开标结果无异议。</w:t>
            </w:r>
          </w:p>
          <w:p>
            <w:pPr>
              <w:autoSpaceDE w:val="0"/>
              <w:autoSpaceDN w:val="0"/>
              <w:spacing w:line="360" w:lineRule="auto"/>
              <w:ind w:firstLine="240" w:firstLineChars="100"/>
              <w:jc w:val="left"/>
              <w:outlineLvl w:val="0"/>
              <w:rPr>
                <w:rFonts w:hAnsi="宋体" w:eastAsia="宋体" w:cs="宋体"/>
                <w:color w:val="000000" w:themeColor="text1"/>
                <w:sz w:val="24"/>
              </w:rPr>
            </w:pPr>
            <w:r>
              <w:rPr>
                <w:rFonts w:hint="eastAsia" w:hAnsi="宋体" w:eastAsia="宋体" w:cs="宋体"/>
                <w:color w:val="000000" w:themeColor="text1"/>
                <w:sz w:val="24"/>
              </w:rPr>
              <w:t>10、从参与项目交易开始至项目交易活动结束止，投标（响应）人应时刻关注电子交易系统中的项目进度和状态，特别在项目评审期间，保持投标文件提供的联系方式畅通，评标委员会随时</w:t>
            </w:r>
            <w:r>
              <w:rPr>
                <w:rFonts w:hint="eastAsia" w:hAnsi="宋体" w:eastAsia="宋体" w:cs="宋体"/>
                <w:color w:val="000000" w:themeColor="text1"/>
                <w:sz w:val="24"/>
                <w:lang w:val="en-US" w:eastAsia="zh-CN"/>
              </w:rPr>
              <w:t>可能对投标文件内容</w:t>
            </w:r>
            <w:r>
              <w:rPr>
                <w:rFonts w:hint="eastAsia" w:hAnsi="宋体" w:eastAsia="宋体" w:cs="宋体"/>
                <w:color w:val="000000" w:themeColor="text1"/>
                <w:sz w:val="24"/>
              </w:rPr>
              <w:t>质询</w:t>
            </w:r>
            <w:r>
              <w:rPr>
                <w:rFonts w:hint="eastAsia" w:hAnsi="宋体" w:eastAsia="宋体" w:cs="宋体"/>
                <w:color w:val="000000" w:themeColor="text1"/>
                <w:sz w:val="24"/>
                <w:lang w:eastAsia="zh-CN"/>
              </w:rPr>
              <w:t>，</w:t>
            </w:r>
            <w:r>
              <w:rPr>
                <w:rFonts w:hint="eastAsia" w:hAnsi="宋体" w:eastAsia="宋体" w:cs="宋体"/>
                <w:color w:val="000000" w:themeColor="text1"/>
                <w:sz w:val="24"/>
                <w:lang w:val="en-US" w:eastAsia="zh-CN"/>
              </w:rPr>
              <w:t>投标人应及时</w:t>
            </w:r>
            <w:r>
              <w:rPr>
                <w:rFonts w:hint="eastAsia" w:hAnsi="宋体" w:eastAsia="宋体" w:cs="宋体"/>
                <w:color w:val="000000" w:themeColor="text1"/>
                <w:sz w:val="24"/>
              </w:rPr>
              <w:t>进行答复（包括但不限于</w:t>
            </w:r>
            <w:r>
              <w:rPr>
                <w:rFonts w:hint="eastAsia" w:hAnsi="宋体" w:eastAsia="宋体" w:cs="宋体"/>
                <w:color w:val="000000" w:themeColor="text1"/>
                <w:sz w:val="24"/>
                <w:lang w:val="en-US" w:eastAsia="zh-CN"/>
              </w:rPr>
              <w:t>电子文档、</w:t>
            </w:r>
            <w:r>
              <w:rPr>
                <w:rFonts w:hint="eastAsia" w:hAnsi="宋体" w:eastAsia="宋体" w:cs="宋体"/>
                <w:color w:val="000000" w:themeColor="text1"/>
                <w:sz w:val="24"/>
              </w:rPr>
              <w:t>电子邮件等）。由于自身原因错过变更通知、文件澄清、报价响应（自系统发起30分钟内做出）等重要信息的，后果由投标（响应）人自行承担。</w:t>
            </w:r>
          </w:p>
          <w:p>
            <w:pPr>
              <w:autoSpaceDE w:val="0"/>
              <w:autoSpaceDN w:val="0"/>
              <w:spacing w:after="160" w:line="360" w:lineRule="exact"/>
              <w:jc w:val="left"/>
              <w:rPr>
                <w:rFonts w:ascii="宋体" w:hAnsi="宋体" w:eastAsia="宋体"/>
                <w:color w:val="000000" w:themeColor="text1"/>
              </w:rPr>
            </w:pPr>
            <w:r>
              <w:rPr>
                <w:rFonts w:hint="eastAsia" w:hAnsi="宋体" w:eastAsia="宋体" w:cs="宋体"/>
                <w:b/>
                <w:color w:val="000000" w:themeColor="text1"/>
                <w:sz w:val="24"/>
              </w:rPr>
              <w:t>11、不同投标人电子投标文件制作硬件特征码（网卡MAC地址、CPU序号、硬盘序列号）均一致时，视为‘不同投标人的投标文件由同一单位或者个人编制’或‘不同投标人委托同一单位或者个人办理投标事宜’，其投标无效”；评标专家应严格按照招标文件要求查看“硬件特征码”相关信息并进行评审，在评标报告中显示“不同投标人电子投标文件制作硬件特征码”是否雷同的分析及判定结果。</w:t>
            </w:r>
            <w:r>
              <w:rPr>
                <w:rFonts w:ascii="宋体" w:hAnsi="宋体" w:eastAsia="宋体"/>
                <w:color w:val="000000" w:themeColor="text1"/>
              </w:rPr>
              <w:t>备查。</w:t>
            </w:r>
          </w:p>
          <w:p>
            <w:pPr>
              <w:autoSpaceDE w:val="0"/>
              <w:autoSpaceDN w:val="0"/>
              <w:spacing w:after="160" w:line="360" w:lineRule="exact"/>
              <w:jc w:val="left"/>
              <w:rPr>
                <w:rFonts w:ascii="宋体" w:hAnsi="宋体" w:eastAsia="宋体"/>
                <w:color w:val="000000" w:themeColor="text1"/>
              </w:rPr>
            </w:pPr>
            <w:r>
              <w:rPr>
                <w:rFonts w:ascii="宋体" w:hAnsi="宋体" w:eastAsia="宋体"/>
                <w:color w:val="000000" w:themeColor="text1"/>
              </w:rPr>
              <w:t>5、招标人及其代理机构需留存项目电子档案时，可在质疑期满后使用CA锁从交易平台自行下载。</w:t>
            </w:r>
          </w:p>
          <w:p>
            <w:pPr>
              <w:autoSpaceDE w:val="0"/>
              <w:autoSpaceDN w:val="0"/>
              <w:spacing w:after="160" w:line="360" w:lineRule="exact"/>
              <w:jc w:val="left"/>
              <w:rPr>
                <w:rFonts w:ascii="宋体" w:hAnsi="宋体" w:eastAsia="宋体"/>
                <w:color w:val="000000" w:themeColor="text1"/>
              </w:rPr>
            </w:pPr>
            <w:r>
              <w:rPr>
                <w:rFonts w:ascii="宋体" w:hAnsi="宋体" w:eastAsia="宋体"/>
                <w:color w:val="000000" w:themeColor="text1"/>
              </w:rPr>
              <w:t>6、商务标投标文件制作注意事项：</w:t>
            </w:r>
          </w:p>
          <w:p>
            <w:pPr>
              <w:autoSpaceDE w:val="0"/>
              <w:autoSpaceDN w:val="0"/>
              <w:spacing w:after="160" w:line="360" w:lineRule="exact"/>
              <w:jc w:val="left"/>
              <w:rPr>
                <w:rFonts w:ascii="宋体" w:hAnsi="宋体" w:eastAsia="宋体"/>
                <w:color w:val="000000" w:themeColor="text1"/>
              </w:rPr>
            </w:pPr>
            <w:r>
              <w:rPr>
                <w:rFonts w:ascii="宋体" w:hAnsi="宋体" w:eastAsia="宋体"/>
                <w:color w:val="000000" w:themeColor="text1"/>
              </w:rPr>
              <w:t>6.1 投标人登录《全国公共资源交易平台（河南省·许昌市）》公共资源交易系统下载“许昌投标文件制作系统SEARUN V1.1” 和操作手册（工程项目），按招标文件要求制作商务标投标文件。</w:t>
            </w:r>
          </w:p>
          <w:p>
            <w:pPr>
              <w:autoSpaceDE w:val="0"/>
              <w:autoSpaceDN w:val="0"/>
              <w:spacing w:after="160" w:line="360" w:lineRule="exact"/>
              <w:jc w:val="left"/>
              <w:rPr>
                <w:rFonts w:ascii="宋体" w:hAnsi="宋体" w:eastAsia="宋体"/>
                <w:color w:val="000000" w:themeColor="text1"/>
              </w:rPr>
            </w:pPr>
            <w:r>
              <w:rPr>
                <w:rFonts w:ascii="宋体" w:hAnsi="宋体" w:eastAsia="宋体"/>
                <w:color w:val="000000" w:themeColor="text1"/>
              </w:rPr>
              <w:t>6.2 商务标投标文件制作技术咨询：0374-2961598。</w:t>
            </w:r>
          </w:p>
          <w:p>
            <w:pPr>
              <w:spacing w:after="160" w:line="360" w:lineRule="exact"/>
              <w:rPr>
                <w:rFonts w:ascii="宋体" w:hAnsi="宋体" w:eastAsia="宋体"/>
                <w:b/>
                <w:color w:val="000000" w:themeColor="text1"/>
              </w:rPr>
            </w:pPr>
            <w:r>
              <w:rPr>
                <w:rFonts w:ascii="宋体" w:hAnsi="宋体" w:eastAsia="宋体"/>
                <w:b/>
                <w:color w:val="000000" w:themeColor="text1"/>
              </w:rPr>
              <w:t>7、不同投标人电子投标文件记录的网卡MAC地址、CPU序号、硬盘序列号等硬件特征码均一致时，视为“不同投标人的投标文件由同一单位或个人编制”或“不同投标人委托同一单位或者个人办理投标事宜”，其投标无效；投标专家应严格按照招标文件要求查看“硬件特征码”相关信息并进行评审，在评标报告中显示“不同投标人电子投标文件制作硬件特征码”是否雷同的分析及判定结果。</w:t>
            </w:r>
          </w:p>
        </w:tc>
      </w:tr>
      <w:tr>
        <w:tblPrEx>
          <w:tblCellMar>
            <w:top w:w="0" w:type="dxa"/>
            <w:left w:w="108" w:type="dxa"/>
            <w:bottom w:w="0" w:type="dxa"/>
            <w:right w:w="108" w:type="dxa"/>
          </w:tblCellMar>
        </w:tblPrEx>
        <w:trPr>
          <w:trHeight w:val="382" w:hRule="atLeast"/>
          <w:jc w:val="center"/>
        </w:trPr>
        <w:tc>
          <w:tcPr>
            <w:tcW w:w="966"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rPr>
                <w:rFonts w:ascii="宋体" w:hAnsi="宋体" w:eastAsia="宋体"/>
                <w:color w:val="000000" w:themeColor="text1"/>
              </w:rPr>
            </w:pPr>
            <w:r>
              <w:rPr>
                <w:rFonts w:ascii="宋体" w:hAnsi="宋体" w:eastAsia="宋体"/>
                <w:color w:val="000000" w:themeColor="text1"/>
              </w:rPr>
              <w:t>8.1.15</w:t>
            </w:r>
          </w:p>
        </w:tc>
        <w:tc>
          <w:tcPr>
            <w:tcW w:w="7991"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rPr>
                <w:rFonts w:ascii="宋体" w:hAnsi="仿宋_GB2312" w:eastAsia="仿宋_GB2312"/>
                <w:color w:val="000000" w:themeColor="text1"/>
              </w:rPr>
            </w:pPr>
            <w:r>
              <w:rPr>
                <w:rFonts w:ascii="宋体" w:hAnsi="仿宋_GB2312" w:eastAsia="仿宋_GB2312"/>
                <w:color w:val="000000" w:themeColor="text1"/>
              </w:rPr>
              <w:t>招标人实质性响应条款：</w:t>
            </w:r>
          </w:p>
        </w:tc>
      </w:tr>
      <w:tr>
        <w:tblPrEx>
          <w:tblCellMar>
            <w:top w:w="0" w:type="dxa"/>
            <w:left w:w="108" w:type="dxa"/>
            <w:bottom w:w="0" w:type="dxa"/>
            <w:right w:w="108" w:type="dxa"/>
          </w:tblCellMar>
        </w:tblPrEx>
        <w:trPr>
          <w:trHeight w:val="567" w:hRule="atLeast"/>
          <w:jc w:val="center"/>
        </w:trPr>
        <w:tc>
          <w:tcPr>
            <w:tcW w:w="8957" w:type="dxa"/>
            <w:gridSpan w:val="9"/>
            <w:tcBorders>
              <w:top w:val="single" w:color="auto" w:sz="4" w:space="0"/>
              <w:left w:val="single" w:color="auto" w:sz="4" w:space="0"/>
              <w:bottom w:val="single" w:color="auto" w:sz="4" w:space="0"/>
              <w:right w:val="single" w:color="auto" w:sz="4" w:space="0"/>
            </w:tcBorders>
            <w:vAlign w:val="center"/>
          </w:tcPr>
          <w:p>
            <w:pPr>
              <w:autoSpaceDE w:val="0"/>
              <w:autoSpaceDN w:val="0"/>
              <w:spacing w:after="160" w:line="420" w:lineRule="exact"/>
              <w:rPr>
                <w:rFonts w:ascii="宋体" w:hAnsi="仿宋_GB2312" w:eastAsia="仿宋_GB2312"/>
                <w:color w:val="000000" w:themeColor="text1"/>
              </w:rPr>
            </w:pPr>
            <w:r>
              <w:rPr>
                <w:rFonts w:ascii="宋体" w:hAnsi="仿宋_GB2312" w:eastAsia="仿宋_GB2312"/>
                <w:color w:val="000000" w:themeColor="text1"/>
              </w:rPr>
              <w:t>未尽事宜，按国家有关规定执行。</w:t>
            </w:r>
          </w:p>
        </w:tc>
      </w:tr>
    </w:tbl>
    <w:p>
      <w:pPr>
        <w:autoSpaceDE w:val="0"/>
        <w:autoSpaceDN w:val="0"/>
        <w:spacing w:after="160" w:line="440" w:lineRule="exact"/>
        <w:jc w:val="left"/>
        <w:rPr>
          <w:rFonts w:ascii="宋体" w:hAnsi="宋体" w:eastAsia="宋体"/>
          <w:b/>
          <w:color w:val="000000" w:themeColor="text1"/>
        </w:rPr>
      </w:pPr>
      <w:r>
        <w:rPr>
          <w:rFonts w:ascii="宋体" w:hAnsi="宋体" w:eastAsia="宋体"/>
          <w:b/>
          <w:color w:val="000000" w:themeColor="text1"/>
        </w:rPr>
        <w:t>1. 总则</w:t>
      </w:r>
    </w:p>
    <w:p>
      <w:pPr>
        <w:autoSpaceDE w:val="0"/>
        <w:autoSpaceDN w:val="0"/>
        <w:spacing w:after="160" w:line="440" w:lineRule="exact"/>
        <w:jc w:val="left"/>
        <w:rPr>
          <w:rFonts w:ascii="宋体" w:hAnsi="宋体" w:eastAsia="宋体"/>
          <w:b/>
          <w:color w:val="000000" w:themeColor="text1"/>
        </w:rPr>
      </w:pPr>
      <w:r>
        <w:rPr>
          <w:rFonts w:ascii="宋体" w:hAnsi="宋体" w:eastAsia="宋体"/>
          <w:b/>
          <w:color w:val="000000" w:themeColor="text1"/>
        </w:rPr>
        <w:t>1.1 项目概况</w:t>
      </w:r>
      <w:r>
        <w:rPr>
          <w:rFonts w:ascii="宋体" w:hAnsi="宋体" w:eastAsia="宋体"/>
          <w:b/>
          <w:color w:val="000000" w:themeColor="text1"/>
        </w:rPr>
        <w:tab/>
      </w:r>
      <w:r>
        <w:rPr>
          <w:rFonts w:ascii="宋体" w:hAnsi="宋体" w:eastAsia="宋体"/>
          <w:b/>
          <w:color w:val="000000" w:themeColor="text1"/>
        </w:rPr>
        <w:t>（详见投标人须知前附表）</w:t>
      </w:r>
    </w:p>
    <w:p>
      <w:pPr>
        <w:autoSpaceDE w:val="0"/>
        <w:autoSpaceDN w:val="0"/>
        <w:spacing w:after="160" w:line="420" w:lineRule="exact"/>
        <w:ind w:firstLine="480"/>
        <w:jc w:val="left"/>
        <w:rPr>
          <w:rFonts w:ascii="宋体" w:hAnsi="宋体" w:eastAsia="宋体"/>
          <w:color w:val="000000" w:themeColor="text1"/>
        </w:rPr>
      </w:pPr>
      <w:r>
        <w:rPr>
          <w:rFonts w:ascii="宋体" w:hAnsi="宋体" w:eastAsia="宋体"/>
          <w:color w:val="000000" w:themeColor="text1"/>
        </w:rPr>
        <w:t>1.1.1根据《中华人民共和国招标投标法》等有关法律、法规和规章的规定，本招标项目已具备招标条件，现对本工程进行施工招标。</w:t>
      </w:r>
    </w:p>
    <w:p>
      <w:pPr>
        <w:autoSpaceDE w:val="0"/>
        <w:autoSpaceDN w:val="0"/>
        <w:spacing w:after="160" w:line="420" w:lineRule="exact"/>
        <w:ind w:firstLine="480"/>
        <w:jc w:val="left"/>
        <w:rPr>
          <w:rFonts w:ascii="宋体" w:hAnsi="宋体" w:eastAsia="宋体"/>
          <w:color w:val="000000" w:themeColor="text1"/>
        </w:rPr>
      </w:pPr>
      <w:r>
        <w:rPr>
          <w:rFonts w:ascii="宋体" w:hAnsi="宋体" w:eastAsia="宋体"/>
          <w:color w:val="000000" w:themeColor="text1"/>
        </w:rPr>
        <w:t>1.1.2 本招标项目招标人：见投标人须知前附表。</w:t>
      </w:r>
    </w:p>
    <w:p>
      <w:pPr>
        <w:autoSpaceDE w:val="0"/>
        <w:autoSpaceDN w:val="0"/>
        <w:spacing w:after="160" w:line="420" w:lineRule="exact"/>
        <w:ind w:firstLine="480"/>
        <w:jc w:val="left"/>
        <w:rPr>
          <w:rFonts w:ascii="宋体" w:hAnsi="宋体" w:eastAsia="宋体"/>
          <w:color w:val="000000" w:themeColor="text1"/>
        </w:rPr>
      </w:pPr>
      <w:r>
        <w:rPr>
          <w:rFonts w:ascii="宋体" w:hAnsi="宋体" w:eastAsia="宋体"/>
          <w:color w:val="000000" w:themeColor="text1"/>
        </w:rPr>
        <w:t>1.1.3本招标项目地点：见投标人须知前附表。</w:t>
      </w:r>
    </w:p>
    <w:p>
      <w:pPr>
        <w:autoSpaceDE w:val="0"/>
        <w:autoSpaceDN w:val="0"/>
        <w:spacing w:after="160" w:line="420" w:lineRule="exact"/>
        <w:ind w:firstLine="480"/>
        <w:jc w:val="left"/>
        <w:rPr>
          <w:rFonts w:ascii="宋体" w:hAnsi="宋体" w:eastAsia="宋体"/>
          <w:color w:val="000000" w:themeColor="text1"/>
        </w:rPr>
      </w:pPr>
      <w:r>
        <w:rPr>
          <w:rFonts w:ascii="宋体" w:hAnsi="宋体" w:eastAsia="宋体"/>
          <w:color w:val="000000" w:themeColor="text1"/>
        </w:rPr>
        <w:t>1.1.4本招标项目名称：见投标人须知前附表。</w:t>
      </w:r>
    </w:p>
    <w:p>
      <w:pPr>
        <w:autoSpaceDE w:val="0"/>
        <w:autoSpaceDN w:val="0"/>
        <w:spacing w:after="160" w:line="420" w:lineRule="exact"/>
        <w:ind w:firstLine="480"/>
        <w:jc w:val="left"/>
        <w:rPr>
          <w:rFonts w:ascii="宋体" w:hAnsi="宋体" w:eastAsia="宋体"/>
          <w:color w:val="000000" w:themeColor="text1"/>
        </w:rPr>
      </w:pPr>
      <w:r>
        <w:rPr>
          <w:rFonts w:ascii="宋体" w:hAnsi="宋体" w:eastAsia="宋体"/>
          <w:color w:val="000000" w:themeColor="text1"/>
        </w:rPr>
        <w:t>1.1.5本招标项目建设地点：见投标人须知前附表。</w:t>
      </w:r>
    </w:p>
    <w:p>
      <w:pPr>
        <w:autoSpaceDE w:val="0"/>
        <w:autoSpaceDN w:val="0"/>
        <w:spacing w:after="160" w:line="440" w:lineRule="exact"/>
        <w:jc w:val="left"/>
        <w:rPr>
          <w:rFonts w:ascii="宋体" w:hAnsi="宋体" w:eastAsia="宋体"/>
          <w:b/>
          <w:color w:val="000000" w:themeColor="text1"/>
        </w:rPr>
      </w:pPr>
      <w:r>
        <w:rPr>
          <w:rFonts w:ascii="宋体" w:hAnsi="宋体" w:eastAsia="宋体"/>
          <w:b/>
          <w:color w:val="000000" w:themeColor="text1"/>
        </w:rPr>
        <w:t>1.2 资金来源和落实情况</w:t>
      </w:r>
      <w:r>
        <w:rPr>
          <w:rFonts w:ascii="宋体" w:hAnsi="宋体" w:eastAsia="宋体"/>
          <w:b/>
          <w:color w:val="000000" w:themeColor="text1"/>
        </w:rPr>
        <w:tab/>
      </w:r>
      <w:r>
        <w:rPr>
          <w:rFonts w:ascii="宋体" w:hAnsi="宋体" w:eastAsia="宋体"/>
          <w:b/>
          <w:color w:val="000000" w:themeColor="text1"/>
        </w:rPr>
        <w:t>（详见投标人须知前附表）</w:t>
      </w:r>
    </w:p>
    <w:p>
      <w:pPr>
        <w:autoSpaceDE w:val="0"/>
        <w:autoSpaceDN w:val="0"/>
        <w:spacing w:after="160" w:line="440" w:lineRule="exact"/>
        <w:jc w:val="left"/>
        <w:rPr>
          <w:rFonts w:ascii="宋体" w:hAnsi="宋体" w:eastAsia="宋体"/>
          <w:color w:val="000000" w:themeColor="text1"/>
        </w:rPr>
      </w:pPr>
      <w:r>
        <w:rPr>
          <w:rFonts w:ascii="宋体" w:hAnsi="宋体" w:eastAsia="宋体"/>
          <w:b/>
          <w:color w:val="000000" w:themeColor="text1"/>
        </w:rPr>
        <w:t>1.3 招标范围、工期和质量要求</w:t>
      </w:r>
      <w:r>
        <w:rPr>
          <w:rFonts w:ascii="宋体" w:hAnsi="宋体" w:eastAsia="宋体"/>
          <w:b/>
          <w:color w:val="000000" w:themeColor="text1"/>
        </w:rPr>
        <w:tab/>
      </w:r>
      <w:r>
        <w:rPr>
          <w:rFonts w:ascii="宋体" w:hAnsi="宋体" w:eastAsia="宋体"/>
          <w:b/>
          <w:color w:val="000000" w:themeColor="text1"/>
        </w:rPr>
        <w:t>（详见投标人须知前附表）</w:t>
      </w:r>
    </w:p>
    <w:p>
      <w:pPr>
        <w:autoSpaceDE w:val="0"/>
        <w:autoSpaceDN w:val="0"/>
        <w:spacing w:after="160" w:line="440" w:lineRule="exact"/>
        <w:jc w:val="left"/>
        <w:rPr>
          <w:rFonts w:ascii="宋体" w:hAnsi="宋体" w:eastAsia="宋体"/>
          <w:b/>
          <w:color w:val="000000" w:themeColor="text1"/>
        </w:rPr>
      </w:pPr>
      <w:r>
        <w:rPr>
          <w:rFonts w:ascii="宋体" w:hAnsi="宋体" w:eastAsia="宋体"/>
          <w:b/>
          <w:color w:val="000000" w:themeColor="text1"/>
        </w:rPr>
        <w:t>1.4 投标人资格要求（详见投标人须知前附表）</w:t>
      </w:r>
    </w:p>
    <w:p>
      <w:pPr>
        <w:autoSpaceDE w:val="0"/>
        <w:autoSpaceDN w:val="0"/>
        <w:spacing w:after="160" w:line="420" w:lineRule="exact"/>
        <w:ind w:firstLine="480"/>
        <w:jc w:val="left"/>
        <w:rPr>
          <w:rFonts w:ascii="宋体" w:hAnsi="宋体" w:eastAsia="宋体"/>
          <w:color w:val="000000" w:themeColor="text1"/>
        </w:rPr>
      </w:pPr>
      <w:r>
        <w:rPr>
          <w:rFonts w:ascii="宋体" w:hAnsi="宋体" w:eastAsia="宋体"/>
          <w:color w:val="000000" w:themeColor="text1"/>
        </w:rPr>
        <w:t>投标人不得存在下列情形之一：</w:t>
      </w:r>
    </w:p>
    <w:p>
      <w:pPr>
        <w:autoSpaceDE w:val="0"/>
        <w:autoSpaceDN w:val="0"/>
        <w:spacing w:after="160" w:line="420" w:lineRule="exact"/>
        <w:ind w:firstLine="480"/>
        <w:jc w:val="left"/>
        <w:rPr>
          <w:rFonts w:ascii="宋体" w:hAnsi="宋体" w:eastAsia="宋体"/>
          <w:color w:val="000000" w:themeColor="text1"/>
        </w:rPr>
      </w:pPr>
      <w:r>
        <w:rPr>
          <w:rFonts w:ascii="宋体" w:hAnsi="宋体" w:eastAsia="宋体"/>
          <w:color w:val="000000" w:themeColor="text1"/>
        </w:rPr>
        <w:t xml:space="preserve">（1）为招标人不具有独立法人资格的附属机构（单位）； </w:t>
      </w:r>
    </w:p>
    <w:p>
      <w:pPr>
        <w:autoSpaceDE w:val="0"/>
        <w:autoSpaceDN w:val="0"/>
        <w:spacing w:after="160" w:line="420" w:lineRule="exact"/>
        <w:ind w:firstLine="480"/>
        <w:jc w:val="left"/>
        <w:rPr>
          <w:rFonts w:ascii="宋体" w:hAnsi="宋体" w:eastAsia="宋体"/>
          <w:color w:val="000000" w:themeColor="text1"/>
        </w:rPr>
      </w:pPr>
      <w:r>
        <w:rPr>
          <w:rFonts w:ascii="宋体" w:hAnsi="宋体" w:eastAsia="宋体"/>
          <w:color w:val="000000" w:themeColor="text1"/>
        </w:rPr>
        <w:t xml:space="preserve">（2）为本标段前期准备提供设计或咨询服务的； </w:t>
      </w:r>
    </w:p>
    <w:p>
      <w:pPr>
        <w:autoSpaceDE w:val="0"/>
        <w:autoSpaceDN w:val="0"/>
        <w:spacing w:after="160" w:line="420" w:lineRule="exact"/>
        <w:ind w:firstLine="480"/>
        <w:jc w:val="left"/>
        <w:rPr>
          <w:rFonts w:ascii="宋体" w:hAnsi="宋体" w:eastAsia="宋体"/>
          <w:color w:val="000000" w:themeColor="text1"/>
        </w:rPr>
      </w:pPr>
      <w:r>
        <w:rPr>
          <w:rFonts w:ascii="宋体" w:hAnsi="宋体" w:eastAsia="宋体"/>
          <w:color w:val="000000" w:themeColor="text1"/>
        </w:rPr>
        <w:t>（3）为本标段的监理人；</w:t>
      </w:r>
    </w:p>
    <w:p>
      <w:pPr>
        <w:autoSpaceDE w:val="0"/>
        <w:autoSpaceDN w:val="0"/>
        <w:spacing w:after="160" w:line="420" w:lineRule="exact"/>
        <w:ind w:firstLine="480"/>
        <w:jc w:val="left"/>
        <w:rPr>
          <w:rFonts w:ascii="宋体" w:hAnsi="宋体" w:eastAsia="宋体"/>
          <w:color w:val="000000" w:themeColor="text1"/>
        </w:rPr>
      </w:pPr>
      <w:r>
        <w:rPr>
          <w:rFonts w:ascii="宋体" w:hAnsi="宋体" w:eastAsia="宋体"/>
          <w:color w:val="000000" w:themeColor="text1"/>
        </w:rPr>
        <w:t xml:space="preserve">（4）为本标段的代建人； </w:t>
      </w:r>
    </w:p>
    <w:p>
      <w:pPr>
        <w:autoSpaceDE w:val="0"/>
        <w:autoSpaceDN w:val="0"/>
        <w:spacing w:after="160" w:line="420" w:lineRule="exact"/>
        <w:ind w:firstLine="480"/>
        <w:jc w:val="left"/>
        <w:rPr>
          <w:rFonts w:ascii="宋体" w:hAnsi="宋体" w:eastAsia="宋体"/>
          <w:color w:val="000000" w:themeColor="text1"/>
        </w:rPr>
      </w:pPr>
      <w:r>
        <w:rPr>
          <w:rFonts w:ascii="宋体" w:hAnsi="宋体" w:eastAsia="宋体"/>
          <w:color w:val="000000" w:themeColor="text1"/>
        </w:rPr>
        <w:t xml:space="preserve">（5）为本标段提供招标代理服务的； </w:t>
      </w:r>
    </w:p>
    <w:p>
      <w:pPr>
        <w:autoSpaceDE w:val="0"/>
        <w:autoSpaceDN w:val="0"/>
        <w:spacing w:after="160" w:line="420" w:lineRule="exact"/>
        <w:ind w:firstLine="480"/>
        <w:jc w:val="left"/>
        <w:rPr>
          <w:rFonts w:ascii="宋体" w:hAnsi="宋体" w:eastAsia="宋体"/>
          <w:color w:val="000000" w:themeColor="text1"/>
        </w:rPr>
      </w:pPr>
      <w:r>
        <w:rPr>
          <w:rFonts w:ascii="宋体" w:hAnsi="宋体" w:eastAsia="宋体"/>
          <w:color w:val="000000" w:themeColor="text1"/>
        </w:rPr>
        <w:t>（6）与本标段的监理人或代建人或招标代理机构同为一个法定代表人的；</w:t>
      </w:r>
    </w:p>
    <w:p>
      <w:pPr>
        <w:autoSpaceDE w:val="0"/>
        <w:autoSpaceDN w:val="0"/>
        <w:spacing w:after="160" w:line="420" w:lineRule="exact"/>
        <w:ind w:firstLine="480"/>
        <w:jc w:val="left"/>
        <w:rPr>
          <w:rFonts w:ascii="宋体" w:hAnsi="宋体" w:eastAsia="宋体"/>
          <w:color w:val="000000" w:themeColor="text1"/>
        </w:rPr>
      </w:pPr>
      <w:r>
        <w:rPr>
          <w:rFonts w:ascii="宋体" w:hAnsi="宋体" w:eastAsia="宋体"/>
          <w:color w:val="000000" w:themeColor="text1"/>
        </w:rPr>
        <w:t>（7）与本标段的监理人或代建人或招标代理机构相互控股或参股的；</w:t>
      </w:r>
    </w:p>
    <w:p>
      <w:pPr>
        <w:autoSpaceDE w:val="0"/>
        <w:autoSpaceDN w:val="0"/>
        <w:spacing w:after="160" w:line="420" w:lineRule="exact"/>
        <w:ind w:firstLine="480"/>
        <w:jc w:val="left"/>
        <w:rPr>
          <w:rFonts w:ascii="宋体" w:hAnsi="宋体" w:eastAsia="宋体"/>
          <w:color w:val="000000" w:themeColor="text1"/>
        </w:rPr>
      </w:pPr>
      <w:r>
        <w:rPr>
          <w:rFonts w:ascii="宋体" w:hAnsi="宋体" w:eastAsia="宋体"/>
          <w:color w:val="000000" w:themeColor="text1"/>
        </w:rPr>
        <w:t>（8）与本标段的监理人或代建人或招标代理机构相互任职或工作的；</w:t>
      </w:r>
    </w:p>
    <w:p>
      <w:pPr>
        <w:autoSpaceDE w:val="0"/>
        <w:autoSpaceDN w:val="0"/>
        <w:spacing w:after="160" w:line="420" w:lineRule="exact"/>
        <w:ind w:firstLine="480"/>
        <w:jc w:val="left"/>
        <w:rPr>
          <w:rFonts w:ascii="宋体" w:hAnsi="宋体" w:eastAsia="宋体"/>
          <w:color w:val="000000" w:themeColor="text1"/>
        </w:rPr>
      </w:pPr>
      <w:r>
        <w:rPr>
          <w:rFonts w:ascii="宋体" w:hAnsi="宋体" w:eastAsia="宋体"/>
          <w:color w:val="000000" w:themeColor="text1"/>
        </w:rPr>
        <w:t xml:space="preserve">（9）被责令停业的； </w:t>
      </w:r>
    </w:p>
    <w:p>
      <w:pPr>
        <w:autoSpaceDE w:val="0"/>
        <w:autoSpaceDN w:val="0"/>
        <w:spacing w:after="160" w:line="420" w:lineRule="exact"/>
        <w:ind w:firstLine="480"/>
        <w:jc w:val="left"/>
        <w:rPr>
          <w:rFonts w:ascii="宋体" w:hAnsi="宋体" w:eastAsia="宋体"/>
          <w:color w:val="000000" w:themeColor="text1"/>
        </w:rPr>
      </w:pPr>
      <w:r>
        <w:rPr>
          <w:rFonts w:ascii="宋体" w:hAnsi="宋体" w:eastAsia="宋体"/>
          <w:color w:val="000000" w:themeColor="text1"/>
        </w:rPr>
        <w:t xml:space="preserve">（10）被暂停或取消投标资格的； </w:t>
      </w:r>
    </w:p>
    <w:p>
      <w:pPr>
        <w:autoSpaceDE w:val="0"/>
        <w:autoSpaceDN w:val="0"/>
        <w:spacing w:after="160" w:line="420" w:lineRule="exact"/>
        <w:ind w:firstLine="480"/>
        <w:jc w:val="left"/>
        <w:rPr>
          <w:rFonts w:ascii="宋体" w:hAnsi="宋体" w:eastAsia="宋体"/>
          <w:color w:val="000000" w:themeColor="text1"/>
        </w:rPr>
      </w:pPr>
      <w:r>
        <w:rPr>
          <w:rFonts w:ascii="宋体" w:hAnsi="宋体" w:eastAsia="宋体"/>
          <w:color w:val="000000" w:themeColor="text1"/>
        </w:rPr>
        <w:t>（11）财产被接管或冻结的；</w:t>
      </w:r>
    </w:p>
    <w:p>
      <w:pPr>
        <w:autoSpaceDE w:val="0"/>
        <w:autoSpaceDN w:val="0"/>
        <w:spacing w:after="160" w:line="420" w:lineRule="exact"/>
        <w:ind w:firstLine="480"/>
        <w:jc w:val="left"/>
        <w:rPr>
          <w:rFonts w:ascii="宋体" w:hAnsi="宋体" w:eastAsia="宋体"/>
          <w:color w:val="000000" w:themeColor="text1"/>
        </w:rPr>
      </w:pPr>
      <w:r>
        <w:rPr>
          <w:rFonts w:ascii="宋体" w:hAnsi="宋体" w:eastAsia="宋体"/>
          <w:color w:val="000000" w:themeColor="text1"/>
        </w:rPr>
        <w:t>（12）在最近三年内有骗取中标或严重违约或重大工程质量问题的。</w:t>
      </w:r>
    </w:p>
    <w:p>
      <w:pPr>
        <w:autoSpaceDE w:val="0"/>
        <w:autoSpaceDN w:val="0"/>
        <w:spacing w:after="160" w:line="440" w:lineRule="exact"/>
        <w:jc w:val="left"/>
        <w:rPr>
          <w:rFonts w:ascii="宋体" w:hAnsi="宋体" w:eastAsia="宋体"/>
          <w:b/>
          <w:color w:val="000000" w:themeColor="text1"/>
        </w:rPr>
      </w:pPr>
      <w:bookmarkStart w:id="24" w:name="_Toc144974503"/>
      <w:bookmarkStart w:id="25" w:name="_Toc152042311"/>
      <w:bookmarkStart w:id="26" w:name="_Toc179632552"/>
      <w:bookmarkStart w:id="27" w:name="_Toc152045535"/>
      <w:r>
        <w:rPr>
          <w:rFonts w:ascii="宋体" w:hAnsi="宋体" w:eastAsia="宋体"/>
          <w:b/>
          <w:color w:val="000000" w:themeColor="text1"/>
        </w:rPr>
        <w:t>1.5 费用承担</w:t>
      </w:r>
      <w:bookmarkEnd w:id="24"/>
      <w:bookmarkEnd w:id="25"/>
      <w:bookmarkEnd w:id="26"/>
      <w:bookmarkEnd w:id="27"/>
    </w:p>
    <w:p>
      <w:pPr>
        <w:autoSpaceDE w:val="0"/>
        <w:autoSpaceDN w:val="0"/>
        <w:spacing w:after="160" w:line="440" w:lineRule="exact"/>
        <w:ind w:firstLine="480"/>
        <w:jc w:val="left"/>
        <w:rPr>
          <w:rFonts w:ascii="宋体" w:hAnsi="宋体" w:eastAsia="宋体"/>
          <w:color w:val="000000" w:themeColor="text1"/>
        </w:rPr>
      </w:pPr>
      <w:r>
        <w:rPr>
          <w:rFonts w:ascii="宋体" w:hAnsi="宋体" w:eastAsia="宋体"/>
          <w:color w:val="000000" w:themeColor="text1"/>
        </w:rPr>
        <w:t>投标人准备和参加投标活动发生的费用自理。</w:t>
      </w:r>
    </w:p>
    <w:p>
      <w:pPr>
        <w:autoSpaceDE w:val="0"/>
        <w:autoSpaceDN w:val="0"/>
        <w:spacing w:after="160" w:line="440" w:lineRule="exact"/>
        <w:jc w:val="left"/>
        <w:rPr>
          <w:rFonts w:ascii="宋体" w:hAnsi="宋体" w:eastAsia="宋体"/>
          <w:b/>
          <w:color w:val="000000" w:themeColor="text1"/>
        </w:rPr>
      </w:pPr>
      <w:bookmarkStart w:id="28" w:name="_Toc152045536"/>
      <w:bookmarkStart w:id="29" w:name="_Toc152042312"/>
      <w:bookmarkStart w:id="30" w:name="_Toc179632553"/>
      <w:bookmarkStart w:id="31" w:name="_Toc144974504"/>
      <w:r>
        <w:rPr>
          <w:rFonts w:ascii="宋体" w:hAnsi="宋体" w:eastAsia="宋体"/>
          <w:b/>
          <w:color w:val="000000" w:themeColor="text1"/>
        </w:rPr>
        <w:t>1.6 保密</w:t>
      </w:r>
      <w:bookmarkEnd w:id="28"/>
      <w:bookmarkEnd w:id="29"/>
      <w:bookmarkEnd w:id="30"/>
      <w:bookmarkEnd w:id="31"/>
    </w:p>
    <w:p>
      <w:pPr>
        <w:autoSpaceDE w:val="0"/>
        <w:autoSpaceDN w:val="0"/>
        <w:spacing w:after="160" w:line="440" w:lineRule="exact"/>
        <w:ind w:firstLine="480"/>
        <w:jc w:val="left"/>
        <w:rPr>
          <w:rFonts w:ascii="宋体" w:hAnsi="宋体" w:eastAsia="宋体"/>
          <w:color w:val="000000" w:themeColor="text1"/>
        </w:rPr>
      </w:pPr>
      <w:r>
        <w:rPr>
          <w:rFonts w:ascii="宋体" w:hAnsi="宋体" w:eastAsia="宋体"/>
          <w:color w:val="000000" w:themeColor="text1"/>
        </w:rPr>
        <w:t xml:space="preserve">参与招标投标活动的各方应对招标文件和投标文件中的商业和技术等秘密保密，违者应对由此造成的后果承担法律责任。 </w:t>
      </w:r>
    </w:p>
    <w:p>
      <w:pPr>
        <w:autoSpaceDE w:val="0"/>
        <w:autoSpaceDN w:val="0"/>
        <w:spacing w:after="160" w:line="440" w:lineRule="exact"/>
        <w:jc w:val="left"/>
        <w:rPr>
          <w:rFonts w:ascii="宋体" w:hAnsi="宋体" w:eastAsia="宋体"/>
          <w:b/>
          <w:color w:val="000000" w:themeColor="text1"/>
        </w:rPr>
      </w:pPr>
      <w:bookmarkStart w:id="32" w:name="_Toc144974505"/>
      <w:bookmarkStart w:id="33" w:name="_Toc179632554"/>
      <w:bookmarkStart w:id="34" w:name="_Toc152042313"/>
      <w:bookmarkStart w:id="35" w:name="_Toc152045537"/>
      <w:r>
        <w:rPr>
          <w:rFonts w:ascii="宋体" w:hAnsi="宋体" w:eastAsia="宋体"/>
          <w:b/>
          <w:color w:val="000000" w:themeColor="text1"/>
        </w:rPr>
        <w:t>1.7 语言</w:t>
      </w:r>
      <w:bookmarkEnd w:id="32"/>
      <w:r>
        <w:rPr>
          <w:rFonts w:ascii="宋体" w:hAnsi="宋体" w:eastAsia="宋体"/>
          <w:b/>
          <w:color w:val="000000" w:themeColor="text1"/>
        </w:rPr>
        <w:t>文字</w:t>
      </w:r>
      <w:bookmarkEnd w:id="33"/>
      <w:bookmarkEnd w:id="34"/>
      <w:bookmarkEnd w:id="35"/>
    </w:p>
    <w:p>
      <w:pPr>
        <w:autoSpaceDE w:val="0"/>
        <w:autoSpaceDN w:val="0"/>
        <w:spacing w:after="160" w:line="440" w:lineRule="exact"/>
        <w:ind w:firstLine="480"/>
        <w:jc w:val="left"/>
        <w:rPr>
          <w:rFonts w:ascii="宋体" w:hAnsi="宋体" w:eastAsia="宋体"/>
          <w:color w:val="000000" w:themeColor="text1"/>
        </w:rPr>
      </w:pPr>
      <w:r>
        <w:rPr>
          <w:rFonts w:ascii="宋体" w:hAnsi="宋体" w:eastAsia="宋体"/>
          <w:color w:val="000000" w:themeColor="text1"/>
        </w:rPr>
        <w:t>除专用术语外，与招标投标有关的语言均使用中文。必要时专用术语应附有中文注释。</w:t>
      </w:r>
    </w:p>
    <w:p>
      <w:pPr>
        <w:autoSpaceDE w:val="0"/>
        <w:autoSpaceDN w:val="0"/>
        <w:spacing w:after="160" w:line="440" w:lineRule="exact"/>
        <w:jc w:val="left"/>
        <w:rPr>
          <w:rFonts w:ascii="宋体" w:hAnsi="宋体" w:eastAsia="宋体"/>
          <w:b/>
          <w:color w:val="000000" w:themeColor="text1"/>
        </w:rPr>
      </w:pPr>
      <w:bookmarkStart w:id="36" w:name="_Toc152045538"/>
      <w:bookmarkStart w:id="37" w:name="_Toc152042314"/>
      <w:bookmarkStart w:id="38" w:name="_Toc179632555"/>
      <w:bookmarkStart w:id="39" w:name="_Toc144974506"/>
      <w:r>
        <w:rPr>
          <w:rFonts w:ascii="宋体" w:hAnsi="宋体" w:eastAsia="宋体"/>
          <w:b/>
          <w:color w:val="000000" w:themeColor="text1"/>
        </w:rPr>
        <w:t>1.8 计量单位</w:t>
      </w:r>
      <w:bookmarkEnd w:id="36"/>
      <w:bookmarkEnd w:id="37"/>
      <w:bookmarkEnd w:id="38"/>
      <w:bookmarkEnd w:id="39"/>
    </w:p>
    <w:p>
      <w:pPr>
        <w:autoSpaceDE w:val="0"/>
        <w:autoSpaceDN w:val="0"/>
        <w:spacing w:after="160" w:line="440" w:lineRule="exact"/>
        <w:ind w:firstLine="480"/>
        <w:jc w:val="left"/>
        <w:rPr>
          <w:rFonts w:ascii="宋体" w:hAnsi="宋体" w:eastAsia="宋体"/>
          <w:color w:val="000000" w:themeColor="text1"/>
        </w:rPr>
      </w:pPr>
      <w:r>
        <w:rPr>
          <w:rFonts w:ascii="宋体" w:hAnsi="宋体" w:eastAsia="宋体"/>
          <w:color w:val="000000" w:themeColor="text1"/>
        </w:rPr>
        <w:t>所有计量均采用中华人民共和国法定计量单位。</w:t>
      </w:r>
    </w:p>
    <w:p>
      <w:pPr>
        <w:autoSpaceDE w:val="0"/>
        <w:autoSpaceDN w:val="0"/>
        <w:spacing w:after="160" w:line="440" w:lineRule="exact"/>
        <w:jc w:val="left"/>
        <w:rPr>
          <w:rFonts w:ascii="宋体" w:hAnsi="宋体" w:eastAsia="宋体"/>
          <w:b/>
          <w:color w:val="000000" w:themeColor="text1"/>
        </w:rPr>
      </w:pPr>
      <w:r>
        <w:rPr>
          <w:rFonts w:ascii="宋体" w:hAnsi="宋体" w:eastAsia="宋体"/>
          <w:b/>
          <w:color w:val="000000" w:themeColor="text1"/>
        </w:rPr>
        <w:t>1.9 踏勘现场</w:t>
      </w:r>
    </w:p>
    <w:p>
      <w:pPr>
        <w:autoSpaceDE w:val="0"/>
        <w:autoSpaceDN w:val="0"/>
        <w:spacing w:after="160" w:line="420" w:lineRule="exact"/>
        <w:jc w:val="left"/>
        <w:rPr>
          <w:rFonts w:ascii="宋体" w:hAnsi="宋体" w:eastAsia="宋体"/>
          <w:color w:val="000000" w:themeColor="text1"/>
        </w:rPr>
      </w:pPr>
      <w:r>
        <w:rPr>
          <w:rFonts w:ascii="宋体" w:hAnsi="宋体" w:eastAsia="宋体"/>
          <w:color w:val="000000" w:themeColor="text1"/>
        </w:rPr>
        <w:t xml:space="preserve">    1.9.1 不组织。            </w:t>
      </w:r>
    </w:p>
    <w:p>
      <w:pPr>
        <w:autoSpaceDE w:val="0"/>
        <w:autoSpaceDN w:val="0"/>
        <w:spacing w:after="160" w:line="440" w:lineRule="exact"/>
        <w:jc w:val="left"/>
        <w:rPr>
          <w:rFonts w:ascii="宋体" w:hAnsi="宋体" w:eastAsia="宋体"/>
          <w:color w:val="000000" w:themeColor="text1"/>
        </w:rPr>
      </w:pPr>
      <w:r>
        <w:rPr>
          <w:rFonts w:ascii="宋体" w:hAnsi="宋体" w:eastAsia="宋体"/>
          <w:color w:val="000000" w:themeColor="text1"/>
        </w:rPr>
        <w:t xml:space="preserve">    1.9.2 投标人踏勘现场发生的费用自理。</w:t>
      </w:r>
    </w:p>
    <w:p>
      <w:pPr>
        <w:autoSpaceDE w:val="0"/>
        <w:autoSpaceDN w:val="0"/>
        <w:spacing w:after="160" w:line="440" w:lineRule="exact"/>
        <w:jc w:val="left"/>
        <w:rPr>
          <w:rFonts w:ascii="宋体" w:hAnsi="宋体" w:eastAsia="宋体"/>
          <w:color w:val="000000" w:themeColor="text1"/>
        </w:rPr>
      </w:pPr>
      <w:r>
        <w:rPr>
          <w:rFonts w:ascii="宋体" w:hAnsi="宋体" w:eastAsia="宋体"/>
          <w:color w:val="000000" w:themeColor="text1"/>
        </w:rPr>
        <w:t xml:space="preserve">    1.9.3 除招标人的原因外，投标人自行负责在踏勘现场中所发生的人员伤亡和财产损失。</w:t>
      </w:r>
    </w:p>
    <w:p>
      <w:pPr>
        <w:autoSpaceDE w:val="0"/>
        <w:autoSpaceDN w:val="0"/>
        <w:spacing w:after="160" w:line="440" w:lineRule="exact"/>
        <w:ind w:firstLine="480"/>
        <w:jc w:val="left"/>
        <w:rPr>
          <w:rFonts w:ascii="宋体" w:hAnsi="宋体" w:eastAsia="宋体"/>
          <w:color w:val="000000" w:themeColor="text1"/>
        </w:rPr>
      </w:pPr>
      <w:r>
        <w:rPr>
          <w:rFonts w:ascii="宋体" w:hAnsi="宋体" w:eastAsia="宋体"/>
          <w:color w:val="000000" w:themeColor="text1"/>
        </w:rPr>
        <w:t>1.9.4 招标人在踏勘现场中介绍的工程场地和相关的周边环境情况，供投标人在编制投标文件时参考，招标人不对投标人据此作出的判断和决策负责。</w:t>
      </w:r>
    </w:p>
    <w:p>
      <w:pPr>
        <w:autoSpaceDE w:val="0"/>
        <w:autoSpaceDN w:val="0"/>
        <w:spacing w:after="160" w:line="440" w:lineRule="exact"/>
        <w:jc w:val="left"/>
        <w:rPr>
          <w:rFonts w:ascii="宋体" w:hAnsi="宋体" w:eastAsia="宋体"/>
          <w:b/>
          <w:color w:val="000000" w:themeColor="text1"/>
        </w:rPr>
      </w:pPr>
      <w:bookmarkStart w:id="40" w:name="_Toc283559948"/>
      <w:r>
        <w:rPr>
          <w:rFonts w:ascii="宋体" w:hAnsi="宋体" w:eastAsia="宋体"/>
          <w:b/>
          <w:color w:val="000000" w:themeColor="text1"/>
        </w:rPr>
        <w:t>1.10 投标预备会</w:t>
      </w:r>
      <w:bookmarkEnd w:id="40"/>
    </w:p>
    <w:p>
      <w:pPr>
        <w:autoSpaceDE w:val="0"/>
        <w:autoSpaceDN w:val="0"/>
        <w:spacing w:after="160" w:line="450" w:lineRule="exact"/>
        <w:ind w:firstLine="470"/>
        <w:jc w:val="left"/>
        <w:rPr>
          <w:rFonts w:ascii="宋体" w:hAnsi="宋体" w:eastAsia="宋体"/>
          <w:b/>
          <w:color w:val="000000" w:themeColor="text1"/>
        </w:rPr>
      </w:pPr>
      <w:r>
        <w:rPr>
          <w:rFonts w:ascii="宋体" w:hAnsi="宋体" w:eastAsia="宋体"/>
          <w:color w:val="000000" w:themeColor="text1"/>
        </w:rPr>
        <w:t>1.10.1 招标人不召开投标预备会。</w:t>
      </w:r>
    </w:p>
    <w:p>
      <w:pPr>
        <w:autoSpaceDE w:val="0"/>
        <w:autoSpaceDN w:val="0"/>
        <w:spacing w:after="160" w:line="450" w:lineRule="exact"/>
        <w:jc w:val="left"/>
        <w:rPr>
          <w:rFonts w:ascii="宋体" w:hAnsi="宋体" w:eastAsia="宋体"/>
          <w:b/>
          <w:color w:val="000000" w:themeColor="text1"/>
        </w:rPr>
      </w:pPr>
      <w:bookmarkStart w:id="41" w:name="_Toc283559949"/>
      <w:r>
        <w:rPr>
          <w:rFonts w:ascii="宋体" w:hAnsi="宋体" w:eastAsia="宋体"/>
          <w:b/>
          <w:color w:val="000000" w:themeColor="text1"/>
        </w:rPr>
        <w:t>1.11 分包</w:t>
      </w:r>
      <w:bookmarkEnd w:id="41"/>
    </w:p>
    <w:p>
      <w:pPr>
        <w:spacing w:after="160" w:line="400" w:lineRule="exact"/>
        <w:ind w:firstLine="567"/>
        <w:rPr>
          <w:rFonts w:ascii="宋体" w:hAnsi="宋体" w:eastAsia="宋体"/>
          <w:color w:val="000000" w:themeColor="text1"/>
        </w:rPr>
      </w:pPr>
      <w:bookmarkStart w:id="42" w:name="_Toc283559950"/>
      <w:r>
        <w:rPr>
          <w:rFonts w:ascii="宋体" w:hAnsi="宋体" w:eastAsia="宋体"/>
          <w:color w:val="000000" w:themeColor="text1"/>
        </w:rPr>
        <w:t>1.11.1 投标人须知前附表规定应当由分包人实施的非主体、非关键性工作，投标人应当按照第五章“发包人要求”的规定提供分包人侯选名单及其相应资料。</w:t>
      </w:r>
    </w:p>
    <w:p>
      <w:pPr>
        <w:spacing w:after="160" w:line="400" w:lineRule="exact"/>
        <w:ind w:firstLine="567"/>
        <w:rPr>
          <w:rFonts w:ascii="宋体" w:hAnsi="宋体" w:eastAsia="宋体"/>
          <w:color w:val="000000" w:themeColor="text1"/>
        </w:rPr>
      </w:pPr>
      <w:r>
        <w:rPr>
          <w:rFonts w:ascii="宋体" w:hAnsi="宋体" w:eastAsia="宋体"/>
          <w:color w:val="000000" w:themeColor="text1"/>
        </w:rPr>
        <w:t>1.11.2 投标人拟在中标后将中标项目的部分非主体、非关键性工作进行分包的，应符合投标人须知前附表规定的分包内容、分包金额和资质要求等限制性条件。</w:t>
      </w:r>
    </w:p>
    <w:p>
      <w:pPr>
        <w:autoSpaceDE w:val="0"/>
        <w:autoSpaceDN w:val="0"/>
        <w:spacing w:after="160" w:line="450" w:lineRule="exact"/>
        <w:jc w:val="left"/>
        <w:rPr>
          <w:rFonts w:ascii="宋体" w:hAnsi="宋体" w:eastAsia="宋体"/>
          <w:b/>
          <w:color w:val="000000" w:themeColor="text1"/>
        </w:rPr>
      </w:pPr>
      <w:r>
        <w:rPr>
          <w:rFonts w:ascii="宋体" w:hAnsi="宋体" w:eastAsia="宋体"/>
          <w:b/>
          <w:color w:val="000000" w:themeColor="text1"/>
        </w:rPr>
        <w:t>1.12 偏离</w:t>
      </w:r>
      <w:bookmarkEnd w:id="42"/>
    </w:p>
    <w:p>
      <w:pPr>
        <w:autoSpaceDE w:val="0"/>
        <w:autoSpaceDN w:val="0"/>
        <w:spacing w:after="160" w:line="450" w:lineRule="exact"/>
        <w:ind w:firstLine="480"/>
        <w:jc w:val="left"/>
        <w:rPr>
          <w:rFonts w:ascii="宋体" w:hAnsi="宋体" w:eastAsia="宋体"/>
          <w:b/>
          <w:color w:val="000000" w:themeColor="text1"/>
        </w:rPr>
      </w:pPr>
      <w:r>
        <w:rPr>
          <w:rFonts w:ascii="宋体" w:hAnsi="宋体" w:eastAsia="宋体"/>
          <w:color w:val="000000" w:themeColor="text1"/>
        </w:rPr>
        <w:t>不允许。</w:t>
      </w:r>
    </w:p>
    <w:p>
      <w:pPr>
        <w:pStyle w:val="48"/>
        <w:spacing w:after="160" w:line="450" w:lineRule="exact"/>
        <w:jc w:val="both"/>
        <w:rPr>
          <w:b/>
          <w:color w:val="000000" w:themeColor="text1"/>
          <w:sz w:val="21"/>
          <w:szCs w:val="21"/>
        </w:rPr>
      </w:pPr>
      <w:bookmarkStart w:id="43" w:name="_Toc283559951"/>
      <w:r>
        <w:rPr>
          <w:b/>
          <w:color w:val="000000" w:themeColor="text1"/>
          <w:sz w:val="21"/>
          <w:szCs w:val="21"/>
        </w:rPr>
        <w:t>2. 招标文件</w:t>
      </w:r>
      <w:bookmarkEnd w:id="43"/>
    </w:p>
    <w:p>
      <w:pPr>
        <w:autoSpaceDE w:val="0"/>
        <w:autoSpaceDN w:val="0"/>
        <w:spacing w:after="160" w:line="450" w:lineRule="exact"/>
        <w:jc w:val="left"/>
        <w:rPr>
          <w:rFonts w:ascii="宋体" w:hAnsi="宋体" w:eastAsia="宋体"/>
          <w:b/>
          <w:color w:val="000000" w:themeColor="text1"/>
        </w:rPr>
      </w:pPr>
      <w:bookmarkStart w:id="44" w:name="_Toc283559952"/>
      <w:r>
        <w:rPr>
          <w:rFonts w:ascii="宋体" w:hAnsi="宋体" w:eastAsia="宋体"/>
          <w:b/>
          <w:color w:val="000000" w:themeColor="text1"/>
        </w:rPr>
        <w:t>2.1 招标文件的组成</w:t>
      </w:r>
      <w:bookmarkEnd w:id="44"/>
    </w:p>
    <w:p>
      <w:pPr>
        <w:autoSpaceDE w:val="0"/>
        <w:autoSpaceDN w:val="0"/>
        <w:spacing w:after="160" w:line="450" w:lineRule="exact"/>
        <w:ind w:firstLine="480"/>
        <w:jc w:val="left"/>
        <w:rPr>
          <w:rFonts w:ascii="宋体" w:hAnsi="宋体" w:eastAsia="宋体"/>
          <w:color w:val="000000" w:themeColor="text1"/>
        </w:rPr>
      </w:pPr>
      <w:r>
        <w:rPr>
          <w:rFonts w:ascii="宋体" w:hAnsi="宋体" w:eastAsia="宋体"/>
          <w:color w:val="000000" w:themeColor="text1"/>
        </w:rPr>
        <w:t>本招标文件包括：</w:t>
      </w:r>
    </w:p>
    <w:p>
      <w:pPr>
        <w:spacing w:after="160" w:line="450" w:lineRule="exact"/>
        <w:ind w:firstLine="410"/>
        <w:rPr>
          <w:rFonts w:ascii="宋体" w:hAnsi="宋体" w:eastAsia="宋体"/>
          <w:color w:val="000000" w:themeColor="text1"/>
        </w:rPr>
      </w:pPr>
      <w:r>
        <w:rPr>
          <w:rFonts w:ascii="宋体" w:hAnsi="宋体" w:eastAsia="宋体"/>
          <w:color w:val="000000" w:themeColor="text1"/>
        </w:rPr>
        <w:t>（1）招标公告；</w:t>
      </w:r>
    </w:p>
    <w:p>
      <w:pPr>
        <w:spacing w:after="160" w:line="450" w:lineRule="exact"/>
        <w:ind w:firstLine="410"/>
        <w:rPr>
          <w:rFonts w:ascii="宋体" w:hAnsi="宋体" w:eastAsia="宋体"/>
          <w:color w:val="000000" w:themeColor="text1"/>
        </w:rPr>
      </w:pPr>
      <w:r>
        <w:rPr>
          <w:rFonts w:ascii="宋体" w:hAnsi="宋体" w:eastAsia="宋体"/>
          <w:color w:val="000000" w:themeColor="text1"/>
        </w:rPr>
        <w:t>（2）投标人须知；</w:t>
      </w:r>
    </w:p>
    <w:p>
      <w:pPr>
        <w:spacing w:after="160" w:line="450" w:lineRule="exact"/>
        <w:ind w:firstLine="410"/>
        <w:rPr>
          <w:rFonts w:ascii="宋体" w:hAnsi="宋体" w:eastAsia="宋体"/>
          <w:color w:val="000000" w:themeColor="text1"/>
        </w:rPr>
      </w:pPr>
      <w:r>
        <w:rPr>
          <w:rFonts w:ascii="宋体" w:hAnsi="宋体" w:eastAsia="宋体"/>
          <w:color w:val="000000" w:themeColor="text1"/>
        </w:rPr>
        <w:t>（3）评标办法；</w:t>
      </w:r>
    </w:p>
    <w:p>
      <w:pPr>
        <w:spacing w:after="160" w:line="420" w:lineRule="exact"/>
        <w:ind w:firstLine="410"/>
        <w:rPr>
          <w:rFonts w:ascii="宋体" w:hAnsi="宋体" w:eastAsia="宋体"/>
          <w:color w:val="000000" w:themeColor="text1"/>
        </w:rPr>
      </w:pPr>
      <w:r>
        <w:rPr>
          <w:rFonts w:ascii="宋体" w:hAnsi="宋体" w:eastAsia="宋体"/>
          <w:color w:val="000000" w:themeColor="text1"/>
        </w:rPr>
        <w:t>（4）合同条款及格式；</w:t>
      </w:r>
    </w:p>
    <w:p>
      <w:pPr>
        <w:spacing w:after="160" w:line="420" w:lineRule="exact"/>
        <w:ind w:firstLine="410"/>
        <w:rPr>
          <w:rFonts w:ascii="宋体" w:hAnsi="宋体" w:eastAsia="宋体"/>
          <w:color w:val="000000" w:themeColor="text1"/>
        </w:rPr>
      </w:pPr>
      <w:r>
        <w:rPr>
          <w:rFonts w:ascii="宋体" w:hAnsi="宋体" w:eastAsia="宋体"/>
          <w:color w:val="000000" w:themeColor="text1"/>
        </w:rPr>
        <w:t>（5）发包人要求；</w:t>
      </w:r>
    </w:p>
    <w:p>
      <w:pPr>
        <w:spacing w:after="160" w:line="420" w:lineRule="exact"/>
        <w:ind w:firstLine="410"/>
        <w:rPr>
          <w:rFonts w:ascii="宋体" w:hAnsi="宋体" w:eastAsia="宋体"/>
          <w:color w:val="000000" w:themeColor="text1"/>
        </w:rPr>
      </w:pPr>
      <w:r>
        <w:rPr>
          <w:rFonts w:ascii="宋体" w:hAnsi="宋体" w:eastAsia="宋体"/>
          <w:color w:val="000000" w:themeColor="text1"/>
        </w:rPr>
        <w:t>（6）发包人提供的资料；</w:t>
      </w:r>
    </w:p>
    <w:p>
      <w:pPr>
        <w:spacing w:after="160" w:line="400" w:lineRule="exact"/>
        <w:ind w:firstLine="410"/>
        <w:rPr>
          <w:rFonts w:ascii="宋体" w:hAnsi="宋体" w:eastAsia="宋体"/>
          <w:color w:val="000000" w:themeColor="text1"/>
        </w:rPr>
      </w:pPr>
      <w:r>
        <w:rPr>
          <w:rFonts w:ascii="宋体" w:hAnsi="宋体" w:eastAsia="宋体"/>
          <w:color w:val="000000" w:themeColor="text1"/>
        </w:rPr>
        <w:t>（7）投标文件格式；</w:t>
      </w:r>
    </w:p>
    <w:p>
      <w:pPr>
        <w:autoSpaceDE w:val="0"/>
        <w:autoSpaceDN w:val="0"/>
        <w:spacing w:after="160" w:line="420" w:lineRule="exact"/>
        <w:ind w:firstLine="480"/>
        <w:jc w:val="left"/>
        <w:rPr>
          <w:rFonts w:ascii="宋体" w:hAnsi="宋体" w:eastAsia="宋体"/>
          <w:color w:val="000000" w:themeColor="text1"/>
        </w:rPr>
      </w:pPr>
      <w:r>
        <w:rPr>
          <w:rFonts w:ascii="宋体" w:hAnsi="宋体" w:eastAsia="宋体"/>
          <w:color w:val="000000" w:themeColor="text1"/>
        </w:rPr>
        <w:t>根据本章第2.2 款和第2.3 款对招标文件所作的澄清、修改，构成招标文件的组成部分。</w:t>
      </w:r>
    </w:p>
    <w:p>
      <w:pPr>
        <w:spacing w:after="160" w:line="360" w:lineRule="auto"/>
        <w:ind w:firstLine="480"/>
        <w:rPr>
          <w:rFonts w:ascii="宋体" w:hAnsi="宋体" w:eastAsia="宋体"/>
          <w:color w:val="000000" w:themeColor="text1"/>
        </w:rPr>
      </w:pPr>
      <w:r>
        <w:rPr>
          <w:rFonts w:ascii="宋体" w:hAnsi="宋体" w:eastAsia="宋体"/>
          <w:color w:val="000000" w:themeColor="text1"/>
        </w:rPr>
        <w:t>当招标文件、招标文件的澄清或修改等在同一内容的表述上不一致时，以最后发出的书面文件为准。</w:t>
      </w:r>
    </w:p>
    <w:p>
      <w:pPr>
        <w:autoSpaceDE w:val="0"/>
        <w:autoSpaceDN w:val="0"/>
        <w:spacing w:after="160" w:line="420" w:lineRule="exact"/>
        <w:jc w:val="left"/>
        <w:rPr>
          <w:rFonts w:ascii="宋体" w:hAnsi="宋体" w:eastAsia="宋体"/>
          <w:b/>
          <w:color w:val="000000" w:themeColor="text1"/>
        </w:rPr>
      </w:pPr>
      <w:bookmarkStart w:id="45" w:name="_Toc283559953"/>
      <w:r>
        <w:rPr>
          <w:rFonts w:ascii="宋体" w:hAnsi="宋体" w:eastAsia="宋体"/>
          <w:b/>
          <w:color w:val="000000" w:themeColor="text1"/>
        </w:rPr>
        <w:t>2.2 招标文件的澄清</w:t>
      </w:r>
      <w:bookmarkEnd w:id="45"/>
    </w:p>
    <w:p>
      <w:pPr>
        <w:autoSpaceDE w:val="0"/>
        <w:autoSpaceDN w:val="0"/>
        <w:spacing w:after="160" w:line="420" w:lineRule="exact"/>
        <w:ind w:firstLine="616"/>
        <w:jc w:val="left"/>
        <w:rPr>
          <w:rFonts w:ascii="宋体" w:hAnsi="宋体" w:eastAsia="宋体"/>
          <w:color w:val="000000" w:themeColor="text1"/>
        </w:rPr>
      </w:pPr>
      <w:bookmarkStart w:id="46" w:name="_Toc283559954"/>
      <w:r>
        <w:rPr>
          <w:rFonts w:ascii="宋体" w:hAnsi="宋体" w:eastAsia="宋体"/>
          <w:color w:val="000000" w:themeColor="text1"/>
        </w:rPr>
        <w:t>2.2.1 投标人应仔细阅读和检查招标文件的全部内容。如发现缺页或附件不全，应及时向招标人提出，以便补齐。如有疑问，应在投标人须知前附表规定的时间要求招标人对招标文件予以澄清。</w:t>
      </w:r>
      <w:r>
        <w:rPr>
          <w:rFonts w:ascii="宋体" w:hAnsi="宋体" w:eastAsia="宋体"/>
          <w:b/>
          <w:color w:val="000000" w:themeColor="text1"/>
        </w:rPr>
        <w:t>如未提出异议，视为全面接受。</w:t>
      </w:r>
    </w:p>
    <w:p>
      <w:pPr>
        <w:autoSpaceDE w:val="0"/>
        <w:autoSpaceDN w:val="0"/>
        <w:spacing w:after="160" w:line="420" w:lineRule="exact"/>
        <w:ind w:firstLine="616"/>
        <w:jc w:val="left"/>
        <w:rPr>
          <w:rFonts w:ascii="宋体" w:hAnsi="宋体" w:eastAsia="宋体"/>
          <w:color w:val="000000" w:themeColor="text1"/>
        </w:rPr>
      </w:pPr>
      <w:r>
        <w:rPr>
          <w:rFonts w:ascii="宋体" w:hAnsi="宋体" w:eastAsia="宋体"/>
          <w:color w:val="000000" w:themeColor="text1"/>
        </w:rPr>
        <w:t>2.2.2 招标文件的澄清将在投标人须知前附表规定的投标截止时间15天前通过公共资源交易系统电子平台发出，但不指明澄清问题的来源。如果澄清发出的时间距投标截止时间不足15天，相应延长投标截止时间。</w:t>
      </w:r>
    </w:p>
    <w:p>
      <w:pPr>
        <w:autoSpaceDE w:val="0"/>
        <w:autoSpaceDN w:val="0"/>
        <w:spacing w:after="160" w:line="420" w:lineRule="exact"/>
        <w:ind w:firstLine="616"/>
        <w:jc w:val="left"/>
        <w:rPr>
          <w:rFonts w:ascii="宋体" w:hAnsi="宋体" w:eastAsia="宋体"/>
          <w:color w:val="000000" w:themeColor="text1"/>
        </w:rPr>
      </w:pPr>
      <w:r>
        <w:rPr>
          <w:rFonts w:ascii="宋体" w:hAnsi="宋体" w:eastAsia="宋体"/>
          <w:color w:val="000000" w:themeColor="text1"/>
        </w:rPr>
        <w:t>2.2.3 所有澄清、答疑全部以公共资源交易系统电子平台发出的为准，不再接受书面形式的递交。</w:t>
      </w:r>
    </w:p>
    <w:p>
      <w:pPr>
        <w:autoSpaceDE w:val="0"/>
        <w:autoSpaceDN w:val="0"/>
        <w:spacing w:after="160" w:line="420" w:lineRule="exact"/>
        <w:jc w:val="left"/>
        <w:rPr>
          <w:rFonts w:ascii="宋体" w:hAnsi="宋体" w:eastAsia="宋体"/>
          <w:b/>
          <w:color w:val="000000" w:themeColor="text1"/>
        </w:rPr>
      </w:pPr>
      <w:r>
        <w:rPr>
          <w:rFonts w:ascii="宋体" w:hAnsi="宋体" w:eastAsia="宋体"/>
          <w:b/>
          <w:color w:val="000000" w:themeColor="text1"/>
        </w:rPr>
        <w:t>2.3 招标文件的修改</w:t>
      </w:r>
      <w:bookmarkEnd w:id="46"/>
    </w:p>
    <w:p>
      <w:pPr>
        <w:autoSpaceDE w:val="0"/>
        <w:autoSpaceDN w:val="0"/>
        <w:spacing w:after="160" w:line="420" w:lineRule="exact"/>
        <w:ind w:firstLine="480"/>
        <w:jc w:val="left"/>
        <w:rPr>
          <w:rFonts w:ascii="宋体" w:hAnsi="宋体" w:eastAsia="宋体"/>
          <w:color w:val="000000" w:themeColor="text1"/>
        </w:rPr>
      </w:pPr>
      <w:r>
        <w:rPr>
          <w:rFonts w:ascii="宋体" w:hAnsi="宋体" w:eastAsia="宋体"/>
          <w:color w:val="000000" w:themeColor="text1"/>
        </w:rPr>
        <w:t>2.3.1 在投标截止时间15天前，招标人可以通过公共资源交易系统电子平台修改招标文件，如果修改招标文件的时间距投标截止时间不足15 天，相应延长投标截止时间。</w:t>
      </w:r>
    </w:p>
    <w:p>
      <w:pPr>
        <w:autoSpaceDE w:val="0"/>
        <w:autoSpaceDN w:val="0"/>
        <w:spacing w:after="160" w:line="440" w:lineRule="exact"/>
        <w:ind w:left="480"/>
        <w:jc w:val="left"/>
        <w:rPr>
          <w:rFonts w:ascii="宋体" w:hAnsi="宋体" w:eastAsia="宋体"/>
          <w:color w:val="000000" w:themeColor="text1"/>
        </w:rPr>
      </w:pPr>
      <w:r>
        <w:rPr>
          <w:rFonts w:ascii="宋体" w:hAnsi="宋体" w:eastAsia="宋体"/>
          <w:color w:val="000000" w:themeColor="text1"/>
        </w:rPr>
        <w:t>2.3.2 当招标文件、补充通知、答疑纪要，内容相互矛盾时，以最后发出的通知或纪要为准。2.3.3当招标文件的澄清、修改、补充等在同一内容的表述上不一致时，以最后发出的文件为准。</w:t>
      </w:r>
    </w:p>
    <w:p>
      <w:pPr>
        <w:autoSpaceDE w:val="0"/>
        <w:autoSpaceDN w:val="0"/>
        <w:spacing w:after="160" w:line="420" w:lineRule="exact"/>
        <w:jc w:val="left"/>
        <w:rPr>
          <w:rFonts w:ascii="宋体" w:hAnsi="宋体" w:eastAsia="宋体"/>
          <w:b/>
          <w:color w:val="000000" w:themeColor="text1"/>
        </w:rPr>
      </w:pPr>
      <w:r>
        <w:rPr>
          <w:rFonts w:ascii="宋体" w:hAnsi="宋体" w:eastAsia="宋体"/>
          <w:b/>
          <w:color w:val="000000" w:themeColor="text1"/>
        </w:rPr>
        <w:t>2.4 招标文件的异议</w:t>
      </w:r>
    </w:p>
    <w:p>
      <w:pPr>
        <w:autoSpaceDE w:val="0"/>
        <w:autoSpaceDN w:val="0"/>
        <w:spacing w:after="160" w:line="420" w:lineRule="exact"/>
        <w:ind w:firstLine="480"/>
        <w:jc w:val="left"/>
        <w:rPr>
          <w:rFonts w:ascii="宋体" w:hAnsi="宋体" w:eastAsia="宋体"/>
          <w:color w:val="000000" w:themeColor="text1"/>
        </w:rPr>
      </w:pPr>
      <w:r>
        <w:rPr>
          <w:rFonts w:ascii="宋体" w:hAnsi="宋体" w:eastAsia="宋体"/>
          <w:color w:val="000000" w:themeColor="text1"/>
        </w:rPr>
        <w:t>2.4.1 投标人应仔细阅读和检查招标文件的全部内容。如有异议，应在投标人须知前附表规定的时间前通过公共资源交易系统电子平台提出。</w:t>
      </w:r>
    </w:p>
    <w:p>
      <w:pPr>
        <w:autoSpaceDE w:val="0"/>
        <w:autoSpaceDN w:val="0"/>
        <w:spacing w:after="160" w:line="420" w:lineRule="exact"/>
        <w:ind w:firstLine="480"/>
        <w:jc w:val="left"/>
        <w:rPr>
          <w:rFonts w:ascii="宋体" w:hAnsi="宋体" w:eastAsia="宋体"/>
          <w:color w:val="000000" w:themeColor="text1"/>
        </w:rPr>
      </w:pPr>
      <w:r>
        <w:rPr>
          <w:rFonts w:ascii="宋体" w:hAnsi="宋体" w:eastAsia="宋体"/>
          <w:color w:val="000000" w:themeColor="text1"/>
        </w:rPr>
        <w:t>2.4.2 招标人自收到异议之日起3日内通过公共资源交易系统电子平台作出答复。招标人在作出答复前，应当暂停招标投标活动。</w:t>
      </w:r>
    </w:p>
    <w:p>
      <w:pPr>
        <w:autoSpaceDE w:val="0"/>
        <w:autoSpaceDN w:val="0"/>
        <w:spacing w:after="160" w:line="420" w:lineRule="exact"/>
        <w:jc w:val="left"/>
        <w:rPr>
          <w:rFonts w:ascii="宋体" w:hAnsi="宋体" w:eastAsia="宋体"/>
          <w:b/>
          <w:color w:val="000000" w:themeColor="text1"/>
        </w:rPr>
      </w:pPr>
      <w:bookmarkStart w:id="47" w:name="_Toc144974514"/>
      <w:bookmarkStart w:id="48" w:name="_Toc179632564"/>
      <w:bookmarkStart w:id="49" w:name="_Toc152042322"/>
      <w:bookmarkStart w:id="50" w:name="_Toc152045546"/>
      <w:r>
        <w:rPr>
          <w:rFonts w:ascii="宋体" w:hAnsi="宋体" w:eastAsia="宋体"/>
          <w:b/>
          <w:color w:val="000000" w:themeColor="text1"/>
        </w:rPr>
        <w:t>3. 投标文件</w:t>
      </w:r>
      <w:bookmarkEnd w:id="47"/>
      <w:bookmarkEnd w:id="48"/>
      <w:bookmarkEnd w:id="49"/>
      <w:bookmarkEnd w:id="50"/>
    </w:p>
    <w:p>
      <w:pPr>
        <w:autoSpaceDE w:val="0"/>
        <w:autoSpaceDN w:val="0"/>
        <w:spacing w:after="160" w:line="420" w:lineRule="exact"/>
        <w:jc w:val="left"/>
        <w:rPr>
          <w:rFonts w:ascii="宋体" w:hAnsi="宋体" w:eastAsia="宋体"/>
          <w:b/>
          <w:color w:val="000000" w:themeColor="text1"/>
        </w:rPr>
      </w:pPr>
      <w:bookmarkStart w:id="51" w:name="_Toc278443453"/>
      <w:r>
        <w:rPr>
          <w:rFonts w:ascii="宋体" w:hAnsi="宋体" w:eastAsia="宋体"/>
          <w:b/>
          <w:color w:val="000000" w:themeColor="text1"/>
        </w:rPr>
        <w:t>3.1投标文件的组成。</w:t>
      </w:r>
    </w:p>
    <w:p>
      <w:pPr>
        <w:autoSpaceDE w:val="0"/>
        <w:autoSpaceDN w:val="0"/>
        <w:spacing w:after="160" w:line="420" w:lineRule="exact"/>
        <w:ind w:firstLine="480"/>
        <w:jc w:val="left"/>
        <w:rPr>
          <w:rFonts w:ascii="宋体" w:hAnsi="宋体" w:eastAsia="宋体"/>
          <w:b/>
          <w:color w:val="000000" w:themeColor="text1"/>
        </w:rPr>
      </w:pPr>
      <w:bookmarkStart w:id="52" w:name="OLE_LINK5"/>
      <w:r>
        <w:rPr>
          <w:rFonts w:ascii="宋体" w:hAnsi="宋体" w:eastAsia="宋体"/>
          <w:color w:val="000000" w:themeColor="text1"/>
        </w:rPr>
        <w:t>3.1.1  投标文件应包括下列内容：</w:t>
      </w:r>
      <w:bookmarkEnd w:id="52"/>
    </w:p>
    <w:p>
      <w:pPr>
        <w:spacing w:after="160" w:line="360" w:lineRule="auto"/>
        <w:jc w:val="center"/>
        <w:rPr>
          <w:rFonts w:ascii="宋体" w:hAnsi="宋体" w:eastAsia="宋体"/>
          <w:b/>
          <w:color w:val="000000" w:themeColor="text1"/>
        </w:rPr>
      </w:pPr>
      <w:r>
        <w:rPr>
          <w:rFonts w:ascii="宋体" w:hAnsi="宋体" w:eastAsia="宋体"/>
          <w:b/>
          <w:color w:val="000000" w:themeColor="text1"/>
          <w:sz w:val="32"/>
          <w:szCs w:val="32"/>
        </w:rPr>
        <w:t>目    录</w:t>
      </w:r>
    </w:p>
    <w:p>
      <w:pPr>
        <w:spacing w:after="160" w:line="540" w:lineRule="exact"/>
        <w:rPr>
          <w:rFonts w:ascii="宋体" w:hAnsi="宋体" w:eastAsia="宋体"/>
          <w:color w:val="000000" w:themeColor="text1"/>
        </w:rPr>
      </w:pPr>
      <w:r>
        <w:rPr>
          <w:rFonts w:hint="eastAsia" w:ascii="宋体" w:hAnsi="宋体" w:eastAsia="宋体"/>
          <w:color w:val="000000" w:themeColor="text1"/>
        </w:rPr>
        <w:t>商务部分</w:t>
      </w:r>
    </w:p>
    <w:p>
      <w:pPr>
        <w:spacing w:after="160" w:line="360" w:lineRule="auto"/>
        <w:ind w:firstLine="480"/>
        <w:rPr>
          <w:rFonts w:ascii="宋体" w:hAnsi="宋体" w:eastAsia="宋体"/>
          <w:color w:val="000000" w:themeColor="text1"/>
        </w:rPr>
      </w:pPr>
      <w:r>
        <w:rPr>
          <w:rFonts w:hint="eastAsia" w:ascii="宋体" w:hAnsi="宋体" w:eastAsia="宋体"/>
          <w:color w:val="000000" w:themeColor="text1"/>
        </w:rPr>
        <w:t>一、</w:t>
      </w:r>
      <w:r>
        <w:rPr>
          <w:rFonts w:ascii="宋体" w:hAnsi="宋体" w:eastAsia="宋体"/>
          <w:color w:val="000000" w:themeColor="text1"/>
        </w:rPr>
        <w:t>投标函</w:t>
      </w:r>
      <w:r>
        <w:rPr>
          <w:rFonts w:hint="eastAsia" w:ascii="宋体" w:hAnsi="宋体" w:eastAsia="宋体"/>
          <w:color w:val="000000" w:themeColor="text1"/>
        </w:rPr>
        <w:t>及投标函附录</w:t>
      </w:r>
    </w:p>
    <w:p>
      <w:pPr>
        <w:spacing w:after="160" w:line="360" w:lineRule="auto"/>
        <w:ind w:firstLine="480"/>
        <w:rPr>
          <w:rFonts w:ascii="宋体" w:hAnsi="宋体" w:eastAsia="宋体"/>
          <w:color w:val="000000" w:themeColor="text1"/>
        </w:rPr>
      </w:pPr>
      <w:r>
        <w:rPr>
          <w:rFonts w:hint="eastAsia" w:ascii="宋体" w:hAnsi="宋体" w:eastAsia="宋体"/>
          <w:color w:val="000000" w:themeColor="text1"/>
        </w:rPr>
        <w:t>二、</w:t>
      </w:r>
      <w:r>
        <w:rPr>
          <w:rFonts w:ascii="宋体" w:hAnsi="宋体" w:eastAsia="宋体"/>
          <w:color w:val="000000" w:themeColor="text1"/>
        </w:rPr>
        <w:t>法定代表人身份证明或法人代表授权书</w:t>
      </w:r>
    </w:p>
    <w:p>
      <w:pPr>
        <w:spacing w:after="160" w:line="360" w:lineRule="auto"/>
        <w:ind w:firstLine="480"/>
        <w:rPr>
          <w:rFonts w:ascii="宋体" w:hAnsi="宋体" w:eastAsia="宋体"/>
          <w:color w:val="000000" w:themeColor="text1"/>
        </w:rPr>
      </w:pPr>
      <w:r>
        <w:rPr>
          <w:rFonts w:hint="eastAsia" w:ascii="宋体" w:hAnsi="宋体" w:eastAsia="宋体"/>
          <w:color w:val="000000" w:themeColor="text1"/>
        </w:rPr>
        <w:t>三、</w:t>
      </w:r>
      <w:r>
        <w:rPr>
          <w:rFonts w:ascii="宋体" w:hAnsi="宋体" w:eastAsia="宋体"/>
          <w:color w:val="000000" w:themeColor="text1"/>
        </w:rPr>
        <w:t>投标保证金</w:t>
      </w:r>
    </w:p>
    <w:p>
      <w:pPr>
        <w:spacing w:after="160" w:line="360" w:lineRule="auto"/>
        <w:ind w:firstLine="480"/>
        <w:rPr>
          <w:rFonts w:ascii="宋体" w:hAnsi="宋体" w:eastAsia="宋体"/>
          <w:color w:val="000000" w:themeColor="text1"/>
        </w:rPr>
      </w:pPr>
      <w:r>
        <w:rPr>
          <w:rFonts w:hint="eastAsia" w:ascii="宋体" w:hAnsi="宋体" w:eastAsia="宋体"/>
          <w:color w:val="000000" w:themeColor="text1"/>
        </w:rPr>
        <w:t>四、</w:t>
      </w:r>
      <w:r>
        <w:rPr>
          <w:rFonts w:ascii="宋体" w:hAnsi="宋体" w:eastAsia="宋体"/>
          <w:color w:val="000000" w:themeColor="text1"/>
        </w:rPr>
        <w:t>《特许经营协议》的响应意见</w:t>
      </w:r>
    </w:p>
    <w:p>
      <w:pPr>
        <w:spacing w:after="160" w:line="360" w:lineRule="auto"/>
        <w:ind w:firstLine="480"/>
        <w:rPr>
          <w:rFonts w:ascii="宋体" w:hAnsi="宋体" w:eastAsia="宋体"/>
          <w:color w:val="000000" w:themeColor="text1"/>
        </w:rPr>
      </w:pPr>
      <w:r>
        <w:rPr>
          <w:rFonts w:hint="eastAsia" w:ascii="宋体" w:hAnsi="宋体" w:eastAsia="宋体"/>
          <w:color w:val="000000" w:themeColor="text1"/>
        </w:rPr>
        <w:t>五、</w:t>
      </w:r>
      <w:r>
        <w:rPr>
          <w:rFonts w:ascii="宋体" w:hAnsi="宋体" w:eastAsia="宋体"/>
          <w:color w:val="000000" w:themeColor="text1"/>
        </w:rPr>
        <w:t>投标人基本情况表</w:t>
      </w:r>
    </w:p>
    <w:p>
      <w:pPr>
        <w:spacing w:after="160" w:line="360" w:lineRule="auto"/>
        <w:ind w:firstLine="480"/>
        <w:rPr>
          <w:rFonts w:ascii="宋体" w:hAnsi="宋体" w:eastAsia="宋体"/>
          <w:color w:val="000000" w:themeColor="text1"/>
        </w:rPr>
      </w:pPr>
      <w:r>
        <w:rPr>
          <w:rFonts w:hint="eastAsia" w:ascii="宋体" w:hAnsi="宋体" w:eastAsia="宋体"/>
          <w:color w:val="000000" w:themeColor="text1"/>
        </w:rPr>
        <w:t>六、</w:t>
      </w:r>
      <w:r>
        <w:rPr>
          <w:rFonts w:ascii="宋体" w:hAnsi="宋体" w:eastAsia="宋体"/>
          <w:color w:val="000000" w:themeColor="text1"/>
        </w:rPr>
        <w:t>财务状况表</w:t>
      </w:r>
    </w:p>
    <w:p>
      <w:pPr>
        <w:spacing w:after="160" w:line="360" w:lineRule="auto"/>
        <w:ind w:firstLine="480"/>
        <w:rPr>
          <w:rFonts w:ascii="宋体" w:hAnsi="宋体" w:eastAsia="宋体"/>
          <w:color w:val="000000" w:themeColor="text1"/>
        </w:rPr>
      </w:pPr>
      <w:r>
        <w:rPr>
          <w:rFonts w:hint="eastAsia" w:ascii="宋体" w:hAnsi="宋体" w:eastAsia="宋体"/>
          <w:color w:val="000000" w:themeColor="text1"/>
        </w:rPr>
        <w:t>七、</w:t>
      </w:r>
      <w:r>
        <w:rPr>
          <w:rFonts w:ascii="宋体" w:hAnsi="宋体" w:eastAsia="宋体"/>
          <w:color w:val="000000" w:themeColor="text1"/>
        </w:rPr>
        <w:t>项目技术人员简介</w:t>
      </w:r>
    </w:p>
    <w:p>
      <w:pPr>
        <w:spacing w:after="160" w:line="360" w:lineRule="auto"/>
        <w:ind w:firstLine="480"/>
        <w:rPr>
          <w:rFonts w:ascii="宋体" w:hAnsi="宋体" w:eastAsia="宋体"/>
          <w:color w:val="000000" w:themeColor="text1"/>
        </w:rPr>
      </w:pPr>
      <w:r>
        <w:rPr>
          <w:rFonts w:hint="eastAsia" w:ascii="宋体" w:hAnsi="宋体" w:eastAsia="宋体"/>
          <w:color w:val="000000" w:themeColor="text1"/>
        </w:rPr>
        <w:t>八、</w:t>
      </w:r>
      <w:r>
        <w:rPr>
          <w:rFonts w:ascii="宋体" w:hAnsi="宋体" w:eastAsia="宋体"/>
          <w:color w:val="000000" w:themeColor="text1"/>
        </w:rPr>
        <w:t>类似项目业绩</w:t>
      </w:r>
    </w:p>
    <w:p>
      <w:pPr>
        <w:spacing w:after="160" w:line="360" w:lineRule="auto"/>
        <w:ind w:firstLine="480"/>
        <w:rPr>
          <w:rFonts w:ascii="宋体" w:hAnsi="宋体" w:eastAsia="宋体"/>
          <w:color w:val="000000" w:themeColor="text1"/>
        </w:rPr>
      </w:pPr>
      <w:r>
        <w:rPr>
          <w:rFonts w:hint="eastAsia" w:ascii="宋体" w:hAnsi="宋体" w:eastAsia="宋体"/>
          <w:color w:val="000000" w:themeColor="text1"/>
        </w:rPr>
        <w:t>九、</w:t>
      </w:r>
      <w:r>
        <w:rPr>
          <w:rFonts w:ascii="宋体" w:hAnsi="宋体" w:eastAsia="宋体"/>
          <w:color w:val="000000" w:themeColor="text1"/>
        </w:rPr>
        <w:t>荣誉证书、体系认证证书</w:t>
      </w:r>
    </w:p>
    <w:p>
      <w:pPr>
        <w:spacing w:after="160" w:line="360" w:lineRule="auto"/>
        <w:ind w:firstLine="480"/>
        <w:rPr>
          <w:rFonts w:ascii="宋体" w:hAnsi="宋体" w:eastAsia="宋体"/>
          <w:color w:val="000000" w:themeColor="text1"/>
        </w:rPr>
      </w:pPr>
      <w:r>
        <w:rPr>
          <w:rFonts w:hint="eastAsia" w:ascii="宋体" w:hAnsi="宋体" w:eastAsia="宋体"/>
          <w:color w:val="000000" w:themeColor="text1"/>
        </w:rPr>
        <w:t>十、</w:t>
      </w:r>
      <w:r>
        <w:rPr>
          <w:rFonts w:ascii="宋体" w:hAnsi="宋体" w:eastAsia="宋体"/>
          <w:color w:val="000000" w:themeColor="text1"/>
        </w:rPr>
        <w:t>其他材料</w:t>
      </w:r>
    </w:p>
    <w:p>
      <w:pPr>
        <w:spacing w:after="160" w:line="360" w:lineRule="auto"/>
        <w:ind w:firstLine="480"/>
        <w:rPr>
          <w:rFonts w:ascii="宋体" w:hAnsi="宋体" w:eastAsia="宋体"/>
          <w:color w:val="000000" w:themeColor="text1"/>
        </w:rPr>
      </w:pPr>
      <w:r>
        <w:rPr>
          <w:rFonts w:ascii="宋体" w:hAnsi="宋体" w:eastAsia="宋体"/>
          <w:color w:val="000000" w:themeColor="text1"/>
        </w:rPr>
        <w:t>十一、投资方案及财务评价</w:t>
      </w:r>
    </w:p>
    <w:p>
      <w:pPr>
        <w:pStyle w:val="27"/>
        <w:spacing w:before="320" w:after="200" w:line="360" w:lineRule="auto"/>
        <w:jc w:val="both"/>
        <w:rPr>
          <w:rFonts w:ascii="宋体" w:hAnsi="宋体" w:eastAsia="宋体"/>
          <w:color w:val="000000" w:themeColor="text1"/>
          <w:sz w:val="24"/>
          <w:szCs w:val="24"/>
        </w:rPr>
      </w:pPr>
      <w:r>
        <w:rPr>
          <w:rFonts w:hint="eastAsia" w:ascii="宋体" w:hAnsi="宋体" w:eastAsia="宋体"/>
          <w:color w:val="000000" w:themeColor="text1"/>
          <w:sz w:val="24"/>
          <w:szCs w:val="24"/>
        </w:rPr>
        <w:t>技术部分</w:t>
      </w:r>
    </w:p>
    <w:p>
      <w:pPr>
        <w:pStyle w:val="27"/>
        <w:spacing w:before="320" w:after="200" w:line="360" w:lineRule="auto"/>
        <w:jc w:val="both"/>
        <w:rPr>
          <w:rFonts w:ascii="宋体" w:hAnsi="宋体" w:eastAsia="宋体"/>
          <w:b w:val="0"/>
          <w:color w:val="000000" w:themeColor="text1"/>
          <w:sz w:val="24"/>
          <w:szCs w:val="24"/>
        </w:rPr>
      </w:pPr>
      <w:r>
        <w:rPr>
          <w:rFonts w:ascii="宋体" w:hAnsi="宋体" w:eastAsia="宋体"/>
          <w:b w:val="0"/>
          <w:color w:val="000000" w:themeColor="text1"/>
          <w:sz w:val="24"/>
          <w:szCs w:val="24"/>
        </w:rPr>
        <w:t>一、技术及建设方案</w:t>
      </w:r>
    </w:p>
    <w:p>
      <w:pPr>
        <w:autoSpaceDE w:val="0"/>
        <w:autoSpaceDN w:val="0"/>
        <w:spacing w:after="160" w:line="410" w:lineRule="exact"/>
        <w:jc w:val="left"/>
        <w:rPr>
          <w:rFonts w:ascii="宋体" w:hAnsi="宋体" w:eastAsia="宋体"/>
          <w:b/>
          <w:color w:val="000000" w:themeColor="text1"/>
        </w:rPr>
      </w:pPr>
      <w:r>
        <w:rPr>
          <w:rFonts w:ascii="宋体" w:hAnsi="宋体" w:eastAsia="宋体"/>
          <w:b/>
          <w:color w:val="000000" w:themeColor="text1"/>
        </w:rPr>
        <w:t>3.2 投标报价</w:t>
      </w:r>
    </w:p>
    <w:p>
      <w:pPr>
        <w:autoSpaceDE w:val="0"/>
        <w:autoSpaceDN w:val="0"/>
        <w:spacing w:after="160" w:line="420" w:lineRule="exact"/>
        <w:jc w:val="left"/>
        <w:rPr>
          <w:rFonts w:ascii="宋体" w:hAnsi="宋体" w:eastAsia="宋体"/>
          <w:color w:val="000000" w:themeColor="text1"/>
        </w:rPr>
      </w:pPr>
      <w:r>
        <w:rPr>
          <w:rFonts w:ascii="宋体" w:hAnsi="宋体" w:eastAsia="宋体"/>
          <w:color w:val="000000" w:themeColor="text1"/>
        </w:rPr>
        <w:t xml:space="preserve">    3.2.1本项目采用优惠率报价，承包人的报价应包含完成本项目所发生的一切费用，除另有约定外，发包人对合同价格不予变动。</w:t>
      </w:r>
    </w:p>
    <w:p>
      <w:pPr>
        <w:autoSpaceDE w:val="0"/>
        <w:autoSpaceDN w:val="0"/>
        <w:spacing w:after="160" w:line="420" w:lineRule="exact"/>
        <w:jc w:val="left"/>
        <w:rPr>
          <w:rFonts w:ascii="宋体" w:hAnsi="宋体" w:eastAsia="宋体"/>
          <w:color w:val="000000" w:themeColor="text1"/>
        </w:rPr>
      </w:pPr>
      <w:r>
        <w:rPr>
          <w:rFonts w:ascii="宋体" w:hAnsi="宋体" w:eastAsia="宋体"/>
          <w:color w:val="000000" w:themeColor="text1"/>
        </w:rPr>
        <w:t xml:space="preserve">    3.2.2 投标人应按第七章“投标文件格式”的要求填写报价。</w:t>
      </w:r>
    </w:p>
    <w:p>
      <w:pPr>
        <w:autoSpaceDE w:val="0"/>
        <w:autoSpaceDN w:val="0"/>
        <w:spacing w:after="160" w:line="420" w:lineRule="exact"/>
        <w:jc w:val="left"/>
        <w:rPr>
          <w:rFonts w:ascii="宋体" w:hAnsi="宋体" w:eastAsia="宋体"/>
          <w:color w:val="000000" w:themeColor="text1"/>
        </w:rPr>
      </w:pPr>
      <w:r>
        <w:rPr>
          <w:rFonts w:ascii="宋体" w:hAnsi="宋体" w:eastAsia="宋体"/>
          <w:color w:val="000000" w:themeColor="text1"/>
        </w:rPr>
        <w:t xml:space="preserve">    3.2.3 投标人应充分了解施工场地的位置、周边环境、道路、装卸、保管、安装限制以及影响投标报价的其他要素。投标人根据投标设计，结合市场情况进行投标报价。</w:t>
      </w:r>
    </w:p>
    <w:p>
      <w:pPr>
        <w:autoSpaceDE w:val="0"/>
        <w:autoSpaceDN w:val="0"/>
        <w:spacing w:after="160" w:line="420" w:lineRule="exact"/>
        <w:jc w:val="left"/>
        <w:rPr>
          <w:rFonts w:ascii="宋体" w:hAnsi="宋体" w:eastAsia="宋体"/>
          <w:color w:val="000000" w:themeColor="text1"/>
        </w:rPr>
      </w:pPr>
      <w:r>
        <w:rPr>
          <w:rFonts w:ascii="宋体" w:hAnsi="宋体" w:eastAsia="宋体"/>
          <w:color w:val="000000" w:themeColor="text1"/>
        </w:rPr>
        <w:t xml:space="preserve">    3.2.4投标报价的其他要求见投标人须知前附表。</w:t>
      </w:r>
    </w:p>
    <w:p>
      <w:pPr>
        <w:autoSpaceDE w:val="0"/>
        <w:autoSpaceDN w:val="0"/>
        <w:spacing w:after="160" w:line="420" w:lineRule="exact"/>
        <w:jc w:val="left"/>
        <w:rPr>
          <w:rFonts w:ascii="宋体" w:hAnsi="宋体" w:eastAsia="宋体"/>
          <w:b/>
          <w:color w:val="000000" w:themeColor="text1"/>
        </w:rPr>
      </w:pPr>
      <w:r>
        <w:rPr>
          <w:rFonts w:ascii="宋体" w:hAnsi="宋体" w:eastAsia="宋体"/>
          <w:color w:val="000000" w:themeColor="text1"/>
        </w:rPr>
        <w:t xml:space="preserve"> </w:t>
      </w:r>
      <w:r>
        <w:rPr>
          <w:rFonts w:ascii="宋体" w:hAnsi="宋体" w:eastAsia="宋体"/>
          <w:b/>
          <w:color w:val="000000" w:themeColor="text1"/>
        </w:rPr>
        <w:t>3.3 投标有效期</w:t>
      </w:r>
      <w:bookmarkEnd w:id="51"/>
    </w:p>
    <w:p>
      <w:pPr>
        <w:tabs>
          <w:tab w:val="left" w:pos="1260"/>
        </w:tabs>
        <w:autoSpaceDE w:val="0"/>
        <w:autoSpaceDN w:val="0"/>
        <w:spacing w:after="160" w:line="460" w:lineRule="exact"/>
        <w:ind w:firstLine="480"/>
        <w:jc w:val="left"/>
        <w:rPr>
          <w:rFonts w:ascii="宋体" w:hAnsi="宋体" w:eastAsia="宋体"/>
          <w:color w:val="000000" w:themeColor="text1"/>
        </w:rPr>
      </w:pPr>
      <w:r>
        <w:rPr>
          <w:rFonts w:ascii="宋体" w:hAnsi="宋体" w:eastAsia="宋体"/>
          <w:color w:val="000000" w:themeColor="text1"/>
        </w:rPr>
        <w:t>3.3.1 在投标人须知前附表规定的投标有效期内，投标人不得要求撤销或修改其投标文件。</w:t>
      </w:r>
    </w:p>
    <w:p>
      <w:pPr>
        <w:tabs>
          <w:tab w:val="left" w:pos="1260"/>
        </w:tabs>
        <w:autoSpaceDE w:val="0"/>
        <w:autoSpaceDN w:val="0"/>
        <w:spacing w:after="160" w:line="460" w:lineRule="exact"/>
        <w:ind w:firstLine="480"/>
        <w:jc w:val="left"/>
        <w:rPr>
          <w:rFonts w:ascii="宋体" w:hAnsi="宋体" w:eastAsia="宋体"/>
          <w:color w:val="000000" w:themeColor="text1"/>
        </w:rPr>
      </w:pPr>
      <w:r>
        <w:rPr>
          <w:rFonts w:ascii="宋体" w:hAnsi="宋体" w:eastAsia="宋体"/>
          <w:color w:val="000000" w:themeColor="text1"/>
        </w:rPr>
        <w:t>3.3.2 出现特殊情况需要延长投标有效期的，招标人在《全国公共资源交易平台（河南省·许昌市）》公共资源交易系统发出延长投标有效期的通知。投标人同意延长的，应相应延长其投标保证金的有效期，但不得要求或被允许修改或撤销其投标文件；投标人拒绝延长的，其投标失效，但投标人有权收回其投标保证金。</w:t>
      </w:r>
    </w:p>
    <w:p>
      <w:pPr>
        <w:autoSpaceDE w:val="0"/>
        <w:autoSpaceDN w:val="0"/>
        <w:spacing w:after="160" w:line="410" w:lineRule="exact"/>
        <w:jc w:val="left"/>
        <w:rPr>
          <w:rFonts w:ascii="宋体" w:hAnsi="宋体" w:eastAsia="宋体"/>
          <w:b/>
          <w:color w:val="000000" w:themeColor="text1"/>
        </w:rPr>
      </w:pPr>
      <w:bookmarkStart w:id="53" w:name="_Toc397508014"/>
      <w:bookmarkStart w:id="54" w:name="_Toc397605883"/>
      <w:bookmarkStart w:id="55" w:name="_Toc283559959"/>
      <w:bookmarkStart w:id="56" w:name="_Toc397507601"/>
      <w:bookmarkStart w:id="57" w:name="_Toc283559960"/>
      <w:r>
        <w:rPr>
          <w:rFonts w:ascii="宋体" w:hAnsi="宋体" w:eastAsia="宋体"/>
          <w:b/>
          <w:color w:val="000000" w:themeColor="text1"/>
        </w:rPr>
        <w:t>3.4 投标保证金</w:t>
      </w:r>
      <w:bookmarkEnd w:id="53"/>
      <w:bookmarkEnd w:id="54"/>
      <w:bookmarkEnd w:id="55"/>
      <w:bookmarkEnd w:id="56"/>
    </w:p>
    <w:p>
      <w:pPr>
        <w:tabs>
          <w:tab w:val="left" w:pos="1260"/>
        </w:tabs>
        <w:autoSpaceDE w:val="0"/>
        <w:autoSpaceDN w:val="0"/>
        <w:adjustRightInd w:val="0"/>
        <w:spacing w:line="460" w:lineRule="exact"/>
        <w:ind w:firstLine="480" w:firstLineChars="200"/>
        <w:jc w:val="left"/>
        <w:rPr>
          <w:rFonts w:ascii="新宋体" w:hAnsi="新宋体" w:eastAsia="新宋体" w:cs="仿宋_GB2312"/>
          <w:color w:val="000000" w:themeColor="text1"/>
          <w:sz w:val="24"/>
        </w:rPr>
      </w:pPr>
      <w:r>
        <w:rPr>
          <w:rFonts w:hint="eastAsia" w:ascii="新宋体" w:hAnsi="新宋体" w:eastAsia="新宋体" w:cs="仿宋_GB2312"/>
          <w:color w:val="000000" w:themeColor="text1"/>
          <w:sz w:val="24"/>
        </w:rPr>
        <w:t>3.4.1 投标保证金的基本户备案：按《投标人须知前附表》第3.4.2条规定。</w:t>
      </w:r>
    </w:p>
    <w:p>
      <w:pPr>
        <w:tabs>
          <w:tab w:val="left" w:pos="1260"/>
        </w:tabs>
        <w:autoSpaceDE w:val="0"/>
        <w:autoSpaceDN w:val="0"/>
        <w:adjustRightInd w:val="0"/>
        <w:spacing w:line="460" w:lineRule="exact"/>
        <w:ind w:firstLine="480" w:firstLineChars="200"/>
        <w:jc w:val="left"/>
        <w:rPr>
          <w:rFonts w:ascii="新宋体" w:hAnsi="新宋体" w:eastAsia="新宋体" w:cs="仿宋_GB2312"/>
          <w:color w:val="000000" w:themeColor="text1"/>
          <w:sz w:val="24"/>
        </w:rPr>
      </w:pPr>
      <w:r>
        <w:rPr>
          <w:rFonts w:hint="eastAsia" w:ascii="新宋体" w:hAnsi="新宋体" w:eastAsia="新宋体" w:cs="仿宋_GB2312"/>
          <w:color w:val="000000" w:themeColor="text1"/>
          <w:sz w:val="24"/>
        </w:rPr>
        <w:t>3.4.1.1 自招标文件发布之日起，投标人需进行基本户备案（建设工程项目），已备案的基本户开户银行、账户发生变化的，须重新办理备案手续。备案后方可提交投标（竞买）保证金</w:t>
      </w:r>
      <w:r>
        <w:rPr>
          <w:rFonts w:hint="eastAsia" w:ascii="新宋体" w:hAnsi="新宋体" w:eastAsia="新宋体" w:cs="仿宋_GB2312"/>
          <w:color w:val="000000" w:themeColor="text1"/>
          <w:sz w:val="24"/>
          <w:lang w:eastAsia="zh-CN"/>
        </w:rPr>
        <w:t>（</w:t>
      </w:r>
      <w:r>
        <w:rPr>
          <w:rFonts w:hint="eastAsia" w:ascii="新宋体" w:hAnsi="新宋体" w:eastAsia="新宋体" w:cs="仿宋_GB2312"/>
          <w:color w:val="000000" w:themeColor="text1"/>
          <w:sz w:val="24"/>
          <w:lang w:val="en-US" w:eastAsia="zh-CN"/>
        </w:rPr>
        <w:t>使用银行保函方式的除外</w:t>
      </w:r>
      <w:r>
        <w:rPr>
          <w:rFonts w:hint="eastAsia" w:ascii="新宋体" w:hAnsi="新宋体" w:eastAsia="新宋体" w:cs="仿宋_GB2312"/>
          <w:color w:val="000000" w:themeColor="text1"/>
          <w:sz w:val="24"/>
          <w:lang w:eastAsia="zh-CN"/>
        </w:rPr>
        <w:t>）</w:t>
      </w:r>
      <w:r>
        <w:rPr>
          <w:rFonts w:hint="eastAsia" w:ascii="新宋体" w:hAnsi="新宋体" w:eastAsia="新宋体" w:cs="仿宋_GB2312"/>
          <w:color w:val="000000" w:themeColor="text1"/>
          <w:sz w:val="24"/>
        </w:rPr>
        <w:t>。</w:t>
      </w:r>
    </w:p>
    <w:p>
      <w:pPr>
        <w:tabs>
          <w:tab w:val="left" w:pos="1260"/>
        </w:tabs>
        <w:autoSpaceDE w:val="0"/>
        <w:autoSpaceDN w:val="0"/>
        <w:adjustRightInd w:val="0"/>
        <w:spacing w:line="460" w:lineRule="exact"/>
        <w:ind w:firstLine="480" w:firstLineChars="200"/>
        <w:jc w:val="left"/>
        <w:rPr>
          <w:rFonts w:ascii="新宋体" w:hAnsi="新宋体" w:eastAsia="新宋体" w:cs="仿宋_GB2312"/>
          <w:color w:val="000000" w:themeColor="text1"/>
          <w:sz w:val="24"/>
        </w:rPr>
      </w:pPr>
      <w:r>
        <w:rPr>
          <w:rFonts w:hint="eastAsia" w:ascii="新宋体" w:hAnsi="新宋体" w:eastAsia="新宋体" w:cs="仿宋_GB2312"/>
          <w:color w:val="000000" w:themeColor="text1"/>
          <w:sz w:val="24"/>
        </w:rPr>
        <w:t xml:space="preserve">3.4.1.2 基本户备案流程： </w:t>
      </w:r>
    </w:p>
    <w:p>
      <w:pPr>
        <w:tabs>
          <w:tab w:val="left" w:pos="1260"/>
        </w:tabs>
        <w:autoSpaceDE w:val="0"/>
        <w:autoSpaceDN w:val="0"/>
        <w:adjustRightInd w:val="0"/>
        <w:spacing w:line="460" w:lineRule="exact"/>
        <w:ind w:firstLine="480" w:firstLineChars="200"/>
        <w:jc w:val="left"/>
        <w:rPr>
          <w:rFonts w:ascii="新宋体" w:hAnsi="新宋体" w:eastAsia="新宋体" w:cs="仿宋_GB2312"/>
          <w:color w:val="000000" w:themeColor="text1"/>
          <w:sz w:val="24"/>
        </w:rPr>
      </w:pPr>
      <w:r>
        <w:rPr>
          <w:rFonts w:hint="eastAsia" w:ascii="新宋体" w:hAnsi="新宋体" w:eastAsia="新宋体" w:cs="仿宋_GB2312"/>
          <w:color w:val="000000" w:themeColor="text1"/>
          <w:sz w:val="24"/>
        </w:rPr>
        <w:t>工程建设项目的投标人登录注册网址：http://221.14.6.70:8088/ggzy/，进行系统用户注册，在注册流程中“银行账户”环节，增加“账户类别-基本账户”，填写投标人基本账户信息，扫描上传基本户开户许可证（两者信息必须相符），保存备案信息，提交并绑定CA后可缴纳、绑定投标保证金。</w:t>
      </w:r>
    </w:p>
    <w:p>
      <w:pPr>
        <w:autoSpaceDE w:val="0"/>
        <w:autoSpaceDN w:val="0"/>
        <w:adjustRightInd w:val="0"/>
        <w:spacing w:line="276" w:lineRule="auto"/>
        <w:ind w:firstLine="480" w:firstLineChars="200"/>
        <w:jc w:val="left"/>
        <w:rPr>
          <w:rFonts w:ascii="新宋体" w:hAnsi="新宋体" w:eastAsia="新宋体" w:cs="仿宋_GB2312"/>
          <w:color w:val="000000" w:themeColor="text1"/>
          <w:sz w:val="24"/>
        </w:rPr>
      </w:pPr>
      <w:r>
        <w:rPr>
          <w:rFonts w:hint="eastAsia" w:ascii="新宋体" w:hAnsi="新宋体" w:eastAsia="新宋体" w:cs="仿宋_GB2312"/>
          <w:color w:val="000000" w:themeColor="text1"/>
          <w:sz w:val="24"/>
        </w:rPr>
        <w:t>3.4.2 投标保证金</w:t>
      </w:r>
      <w:r>
        <w:rPr>
          <w:rFonts w:hint="eastAsia" w:ascii="新宋体" w:hAnsi="新宋体" w:eastAsia="新宋体" w:cs="仿宋_GB2312"/>
          <w:color w:val="000000" w:themeColor="text1"/>
          <w:sz w:val="24"/>
          <w:lang w:val="en-US" w:eastAsia="zh-CN"/>
        </w:rPr>
        <w:t>提交</w:t>
      </w:r>
      <w:r>
        <w:rPr>
          <w:rFonts w:hint="eastAsia" w:ascii="新宋体" w:hAnsi="新宋体" w:eastAsia="新宋体" w:cs="仿宋_GB2312"/>
          <w:color w:val="000000" w:themeColor="text1"/>
          <w:sz w:val="24"/>
        </w:rPr>
        <w:t>：按《投标人须知前附表》3.4.2条规定。</w:t>
      </w:r>
    </w:p>
    <w:p>
      <w:pPr>
        <w:autoSpaceDE w:val="0"/>
        <w:autoSpaceDN w:val="0"/>
        <w:adjustRightInd w:val="0"/>
        <w:spacing w:line="276" w:lineRule="auto"/>
        <w:ind w:firstLine="480" w:firstLineChars="200"/>
        <w:jc w:val="left"/>
        <w:rPr>
          <w:rFonts w:hAnsi="宋体" w:eastAsia="宋体" w:cs="宋体"/>
          <w:b/>
          <w:bCs/>
          <w:color w:val="000000" w:themeColor="text1"/>
          <w:sz w:val="24"/>
        </w:rPr>
      </w:pPr>
      <w:r>
        <w:rPr>
          <w:rFonts w:hint="eastAsia" w:ascii="新宋体" w:hAnsi="新宋体" w:eastAsia="新宋体" w:cs="仿宋_GB2312"/>
          <w:color w:val="000000" w:themeColor="text1"/>
          <w:sz w:val="24"/>
          <w:lang w:val="zh-CN"/>
        </w:rPr>
        <w:t>3.4.2.1 投标保证金的</w:t>
      </w:r>
      <w:r>
        <w:rPr>
          <w:rFonts w:hint="eastAsia" w:ascii="新宋体" w:hAnsi="新宋体" w:eastAsia="新宋体" w:cs="仿宋_GB2312"/>
          <w:color w:val="000000" w:themeColor="text1"/>
          <w:sz w:val="24"/>
          <w:lang w:val="en-US" w:eastAsia="zh-CN"/>
        </w:rPr>
        <w:t>提交</w:t>
      </w:r>
      <w:r>
        <w:rPr>
          <w:rFonts w:hint="eastAsia" w:ascii="新宋体" w:hAnsi="新宋体" w:eastAsia="新宋体" w:cs="仿宋_GB2312"/>
          <w:color w:val="000000" w:themeColor="text1"/>
          <w:sz w:val="24"/>
          <w:lang w:val="zh-CN"/>
        </w:rPr>
        <w:t>方式：</w:t>
      </w:r>
      <w:r>
        <w:rPr>
          <w:rFonts w:hAnsi="宋体" w:eastAsia="宋体" w:cs="宋体"/>
          <w:b/>
          <w:bCs/>
          <w:color w:val="000000" w:themeColor="text1"/>
          <w:sz w:val="24"/>
        </w:rPr>
        <w:t xml:space="preserve"> </w:t>
      </w:r>
    </w:p>
    <w:p>
      <w:pPr>
        <w:autoSpaceDE w:val="0"/>
        <w:autoSpaceDN w:val="0"/>
        <w:adjustRightInd w:val="0"/>
        <w:spacing w:line="340" w:lineRule="exact"/>
        <w:ind w:firstLine="480" w:firstLineChars="200"/>
        <w:rPr>
          <w:rFonts w:hAnsi="宋体" w:cs="宋体"/>
          <w:color w:val="000000" w:themeColor="text1"/>
          <w:sz w:val="24"/>
          <w:lang w:val="zh-CN"/>
        </w:rPr>
      </w:pPr>
      <w:r>
        <w:rPr>
          <w:rFonts w:hint="eastAsia" w:hAnsi="宋体" w:cs="宋体"/>
          <w:color w:val="000000" w:themeColor="text1"/>
          <w:sz w:val="24"/>
          <w:lang w:val="zh-CN"/>
        </w:rPr>
        <w:t>投标保证金的</w:t>
      </w:r>
      <w:r>
        <w:rPr>
          <w:rFonts w:hint="eastAsia" w:hAnsi="宋体" w:cs="宋体"/>
          <w:color w:val="000000" w:themeColor="text1"/>
          <w:sz w:val="24"/>
          <w:lang w:val="en-US" w:eastAsia="zh-CN"/>
        </w:rPr>
        <w:t>提交</w:t>
      </w:r>
      <w:r>
        <w:rPr>
          <w:rFonts w:hint="eastAsia" w:hAnsi="宋体" w:cs="宋体"/>
          <w:color w:val="000000" w:themeColor="text1"/>
          <w:sz w:val="24"/>
          <w:lang w:val="zh-CN"/>
        </w:rPr>
        <w:t>方式：银行转账、银行电汇、银行保函，不接受以现金方式缴纳的投标保证金。凡以现金方式缴纳投标保证金而影响其投标结果的，由投标人自行负责。</w:t>
      </w:r>
    </w:p>
    <w:p>
      <w:pPr>
        <w:autoSpaceDE w:val="0"/>
        <w:autoSpaceDN w:val="0"/>
        <w:adjustRightInd w:val="0"/>
        <w:spacing w:line="340" w:lineRule="exact"/>
        <w:rPr>
          <w:rFonts w:hAnsi="宋体" w:cs="宋体"/>
          <w:color w:val="000000" w:themeColor="text1"/>
          <w:sz w:val="24"/>
          <w:lang w:val="zh-CN"/>
        </w:rPr>
      </w:pPr>
      <w:r>
        <w:rPr>
          <w:rFonts w:hint="eastAsia" w:hAnsi="宋体" w:cs="宋体"/>
          <w:color w:val="000000" w:themeColor="text1"/>
          <w:sz w:val="24"/>
          <w:lang w:val="zh-CN"/>
        </w:rPr>
        <w:t>使用银行转帐、银行电汇</w:t>
      </w:r>
      <w:r>
        <w:rPr>
          <w:rFonts w:hint="eastAsia" w:hAnsi="宋体" w:eastAsia="Times New Roman" w:cs="宋体"/>
          <w:color w:val="000000" w:themeColor="text1"/>
          <w:sz w:val="24"/>
          <w:lang w:val="zh-CN"/>
        </w:rPr>
        <w:t>方式</w:t>
      </w:r>
      <w:r>
        <w:rPr>
          <w:rFonts w:hint="eastAsia" w:hAnsi="宋体" w:cs="宋体"/>
          <w:color w:val="000000" w:themeColor="text1"/>
          <w:sz w:val="24"/>
          <w:lang w:val="zh-CN"/>
        </w:rPr>
        <w:t>的，于截止时间前通过投标人基本账户将款项一次足额递交、成功绑定，以收款人到账时间为准，在途资金无效。同时投标人应承担节假日银行系统不能支付的风险。</w:t>
      </w:r>
    </w:p>
    <w:p>
      <w:pPr>
        <w:autoSpaceDE w:val="0"/>
        <w:autoSpaceDN w:val="0"/>
        <w:adjustRightInd w:val="0"/>
        <w:spacing w:line="340" w:lineRule="exact"/>
        <w:ind w:firstLine="480" w:firstLineChars="200"/>
        <w:rPr>
          <w:rFonts w:hint="default" w:hAnsi="宋体" w:cs="宋体" w:eastAsiaTheme="minorEastAsia"/>
          <w:color w:val="000000" w:themeColor="text1"/>
          <w:sz w:val="24"/>
          <w:lang w:val="en-US" w:eastAsia="zh-CN"/>
        </w:rPr>
      </w:pPr>
      <w:r>
        <w:rPr>
          <w:rFonts w:hint="eastAsia" w:hAnsi="宋体" w:cs="宋体"/>
          <w:color w:val="000000" w:themeColor="text1"/>
          <w:sz w:val="24"/>
          <w:lang w:val="zh-CN"/>
        </w:rPr>
        <w:t>使用银行保函方式的，银行保函应明确项目名称、项目编号及标段、受益人（招标人）、有效期（不低于本项目投标有效期）、银行保函担保金额（不低于本项目本标段投标保证金数额）。投标人应将</w:t>
      </w:r>
      <w:r>
        <w:rPr>
          <w:rFonts w:hint="eastAsia" w:hAnsi="宋体" w:cs="宋体"/>
          <w:color w:val="000000" w:themeColor="text1"/>
          <w:sz w:val="24"/>
          <w:lang w:val="en-US" w:eastAsia="zh-CN"/>
        </w:rPr>
        <w:t>真实</w:t>
      </w:r>
      <w:r>
        <w:rPr>
          <w:rFonts w:hint="eastAsia" w:hAnsi="宋体" w:cs="宋体"/>
          <w:color w:val="000000" w:themeColor="text1"/>
          <w:sz w:val="24"/>
          <w:lang w:val="zh-CN"/>
        </w:rPr>
        <w:t>合法的</w:t>
      </w:r>
      <w:r>
        <w:rPr>
          <w:rFonts w:hint="eastAsia" w:hAnsi="宋体" w:cs="宋体"/>
          <w:color w:val="000000" w:themeColor="text1"/>
          <w:sz w:val="24"/>
          <w:lang w:val="en-US" w:eastAsia="zh-CN"/>
        </w:rPr>
        <w:t>投标</w:t>
      </w:r>
      <w:r>
        <w:rPr>
          <w:rFonts w:hint="eastAsia" w:hAnsi="宋体" w:cs="宋体"/>
          <w:color w:val="000000" w:themeColor="text1"/>
          <w:sz w:val="24"/>
          <w:lang w:val="zh-CN"/>
        </w:rPr>
        <w:t>银行保函原件扫描件附于投标文件中，否则视为未按</w:t>
      </w:r>
      <w:r>
        <w:rPr>
          <w:rFonts w:hint="eastAsia" w:hAnsi="宋体" w:cs="宋体"/>
          <w:color w:val="000000" w:themeColor="text1"/>
          <w:sz w:val="24"/>
          <w:lang w:val="en-US" w:eastAsia="zh-CN"/>
        </w:rPr>
        <w:t>规定提交</w:t>
      </w:r>
      <w:r>
        <w:rPr>
          <w:rFonts w:hint="eastAsia" w:hAnsi="宋体" w:cs="宋体"/>
          <w:color w:val="000000" w:themeColor="text1"/>
          <w:sz w:val="24"/>
          <w:lang w:val="zh-CN"/>
        </w:rPr>
        <w:t>。</w:t>
      </w:r>
      <w:r>
        <w:rPr>
          <w:rFonts w:hint="eastAsia" w:hAnsi="宋体" w:cs="宋体"/>
          <w:b w:val="0"/>
          <w:bCs w:val="0"/>
          <w:color w:val="000000" w:themeColor="text1"/>
          <w:sz w:val="24"/>
          <w:lang w:val="en-US" w:eastAsia="zh-CN"/>
        </w:rPr>
        <w:t>针对银行保函，投标时扫描件不再退还；其追偿按照有关规定执行。</w:t>
      </w:r>
    </w:p>
    <w:p>
      <w:pPr>
        <w:tabs>
          <w:tab w:val="left" w:pos="1260"/>
        </w:tabs>
        <w:autoSpaceDE w:val="0"/>
        <w:autoSpaceDN w:val="0"/>
        <w:adjustRightInd w:val="0"/>
        <w:spacing w:line="460" w:lineRule="exact"/>
        <w:ind w:firstLine="480" w:firstLineChars="200"/>
        <w:jc w:val="left"/>
        <w:rPr>
          <w:rFonts w:ascii="新宋体" w:hAnsi="新宋体" w:eastAsia="新宋体" w:cs="仿宋_GB2312"/>
          <w:color w:val="000000" w:themeColor="text1"/>
          <w:sz w:val="24"/>
        </w:rPr>
      </w:pPr>
      <w:r>
        <w:rPr>
          <w:rFonts w:hint="eastAsia" w:hAnsi="宋体" w:cs="宋体"/>
          <w:color w:val="000000" w:themeColor="text1"/>
          <w:sz w:val="24"/>
          <w:lang w:val="zh-CN"/>
        </w:rPr>
        <w:t>银行转账、银行电汇、银行保函，不接受以现金方式缴纳的投标保证金。凡以现金方式缴纳投标保证金而影响其投标结果的，由投标人自行负责。</w:t>
      </w:r>
      <w:r>
        <w:rPr>
          <w:rFonts w:hint="eastAsia" w:ascii="新宋体" w:hAnsi="新宋体" w:eastAsia="新宋体" w:cs="仿宋_GB2312"/>
          <w:color w:val="000000" w:themeColor="text1"/>
          <w:sz w:val="24"/>
          <w:lang w:val="zh-CN"/>
        </w:rPr>
        <w:t xml:space="preserve"> </w:t>
      </w:r>
    </w:p>
    <w:p>
      <w:pPr>
        <w:tabs>
          <w:tab w:val="left" w:pos="1260"/>
        </w:tabs>
        <w:autoSpaceDE w:val="0"/>
        <w:autoSpaceDN w:val="0"/>
        <w:adjustRightInd w:val="0"/>
        <w:spacing w:line="460" w:lineRule="exact"/>
        <w:ind w:firstLine="480" w:firstLineChars="200"/>
        <w:jc w:val="left"/>
        <w:rPr>
          <w:rFonts w:ascii="新宋体" w:hAnsi="新宋体" w:eastAsia="新宋体" w:cs="仿宋_GB2312"/>
          <w:color w:val="000000" w:themeColor="text1"/>
          <w:sz w:val="24"/>
        </w:rPr>
      </w:pPr>
      <w:r>
        <w:rPr>
          <w:rFonts w:hint="eastAsia" w:ascii="新宋体" w:hAnsi="新宋体" w:eastAsia="新宋体" w:cs="仿宋_GB2312"/>
          <w:color w:val="000000" w:themeColor="text1"/>
          <w:sz w:val="24"/>
        </w:rPr>
        <w:t xml:space="preserve">3.4.2.2 </w:t>
      </w:r>
      <w:r>
        <w:rPr>
          <w:rFonts w:hint="eastAsia" w:ascii="新宋体" w:hAnsi="新宋体" w:eastAsia="新宋体" w:cs="仿宋_GB2312"/>
          <w:color w:val="000000" w:themeColor="text1"/>
          <w:sz w:val="24"/>
          <w:lang w:val="zh-CN"/>
        </w:rPr>
        <w:t>投标保证金</w:t>
      </w:r>
      <w:r>
        <w:rPr>
          <w:rFonts w:hint="eastAsia" w:ascii="新宋体" w:hAnsi="新宋体" w:eastAsia="新宋体" w:cs="仿宋_GB2312"/>
          <w:color w:val="000000" w:themeColor="text1"/>
          <w:sz w:val="24"/>
          <w:lang w:val="en-US" w:eastAsia="zh-CN"/>
        </w:rPr>
        <w:t>提交方式</w:t>
      </w:r>
      <w:r>
        <w:rPr>
          <w:rFonts w:hint="eastAsia" w:ascii="新宋体" w:hAnsi="新宋体" w:eastAsia="新宋体" w:cs="仿宋_GB2312"/>
          <w:color w:val="000000" w:themeColor="text1"/>
          <w:sz w:val="24"/>
        </w:rPr>
        <w:t>：</w:t>
      </w:r>
    </w:p>
    <w:p>
      <w:pPr>
        <w:tabs>
          <w:tab w:val="left" w:pos="1260"/>
        </w:tabs>
        <w:autoSpaceDE w:val="0"/>
        <w:autoSpaceDN w:val="0"/>
        <w:adjustRightInd w:val="0"/>
        <w:spacing w:line="460" w:lineRule="exact"/>
        <w:ind w:firstLine="480" w:firstLineChars="200"/>
        <w:jc w:val="left"/>
        <w:rPr>
          <w:rFonts w:ascii="新宋体" w:hAnsi="新宋体" w:eastAsia="新宋体" w:cs="仿宋_GB2312"/>
          <w:color w:val="000000" w:themeColor="text1"/>
          <w:sz w:val="24"/>
        </w:rPr>
      </w:pPr>
      <w:r>
        <w:rPr>
          <w:rFonts w:hint="eastAsia" w:ascii="新宋体" w:hAnsi="新宋体" w:eastAsia="新宋体" w:cs="仿宋_GB2312"/>
          <w:color w:val="000000" w:themeColor="text1"/>
          <w:sz w:val="24"/>
          <w:lang w:val="zh-CN"/>
        </w:rPr>
        <w:t>投标人网上下载招标文件后</w:t>
      </w:r>
      <w:r>
        <w:rPr>
          <w:rFonts w:hint="eastAsia" w:ascii="新宋体" w:hAnsi="新宋体" w:eastAsia="新宋体" w:cs="仿宋_GB2312"/>
          <w:color w:val="000000" w:themeColor="text1"/>
          <w:sz w:val="24"/>
        </w:rPr>
        <w:t>，</w:t>
      </w:r>
      <w:r>
        <w:rPr>
          <w:rFonts w:hint="eastAsia" w:ascii="新宋体" w:hAnsi="新宋体" w:eastAsia="新宋体" w:cs="仿宋_GB2312"/>
          <w:color w:val="000000" w:themeColor="text1"/>
          <w:sz w:val="24"/>
          <w:lang w:val="zh-CN"/>
        </w:rPr>
        <w:t>登录</w:t>
      </w:r>
      <w:r>
        <w:rPr>
          <w:color w:val="000000" w:themeColor="text1"/>
        </w:rPr>
        <w:fldChar w:fldCharType="begin"/>
      </w:r>
      <w:r>
        <w:rPr>
          <w:color w:val="000000" w:themeColor="text1"/>
        </w:rPr>
        <w:instrText xml:space="preserve"> HYPERLINK "http://221.14.6.70:8088/ggzy" </w:instrText>
      </w:r>
      <w:r>
        <w:rPr>
          <w:color w:val="000000" w:themeColor="text1"/>
        </w:rPr>
        <w:fldChar w:fldCharType="separate"/>
      </w:r>
      <w:r>
        <w:rPr>
          <w:rFonts w:hint="eastAsia" w:ascii="新宋体" w:hAnsi="新宋体" w:eastAsia="新宋体" w:cs="仿宋_GB2312"/>
          <w:color w:val="000000" w:themeColor="text1"/>
          <w:sz w:val="24"/>
        </w:rPr>
        <w:t>http://221.14.6.70:8088/ggzy</w:t>
      </w:r>
      <w:r>
        <w:rPr>
          <w:rFonts w:hint="eastAsia" w:ascii="新宋体" w:hAnsi="新宋体" w:eastAsia="新宋体" w:cs="仿宋_GB2312"/>
          <w:color w:val="000000" w:themeColor="text1"/>
          <w:sz w:val="24"/>
        </w:rPr>
        <w:fldChar w:fldCharType="end"/>
      </w:r>
      <w:r>
        <w:rPr>
          <w:rFonts w:hint="eastAsia" w:ascii="新宋体" w:hAnsi="新宋体" w:eastAsia="新宋体" w:cs="仿宋_GB2312"/>
          <w:color w:val="000000" w:themeColor="text1"/>
          <w:sz w:val="24"/>
          <w:lang w:val="zh-CN"/>
        </w:rPr>
        <w:t>系统</w:t>
      </w:r>
      <w:r>
        <w:rPr>
          <w:rFonts w:hint="eastAsia" w:ascii="新宋体" w:hAnsi="新宋体" w:eastAsia="新宋体" w:cs="仿宋_GB2312"/>
          <w:color w:val="000000" w:themeColor="text1"/>
          <w:sz w:val="24"/>
        </w:rPr>
        <w:t>，</w:t>
      </w:r>
      <w:r>
        <w:rPr>
          <w:rFonts w:hint="eastAsia" w:ascii="新宋体" w:hAnsi="新宋体" w:eastAsia="新宋体" w:cs="仿宋_GB2312"/>
          <w:color w:val="000000" w:themeColor="text1"/>
          <w:sz w:val="24"/>
          <w:lang w:val="zh-CN"/>
        </w:rPr>
        <w:t>依次点击</w:t>
      </w:r>
      <w:r>
        <w:rPr>
          <w:rFonts w:hint="eastAsia" w:ascii="新宋体" w:hAnsi="新宋体" w:eastAsia="新宋体" w:cs="仿宋_GB2312"/>
          <w:color w:val="000000" w:themeColor="text1"/>
          <w:sz w:val="24"/>
        </w:rPr>
        <w:t>“</w:t>
      </w:r>
      <w:r>
        <w:rPr>
          <w:rFonts w:hint="eastAsia" w:ascii="新宋体" w:hAnsi="新宋体" w:eastAsia="新宋体" w:cs="仿宋_GB2312"/>
          <w:color w:val="000000" w:themeColor="text1"/>
          <w:sz w:val="24"/>
          <w:lang w:val="zh-CN"/>
        </w:rPr>
        <w:t>会员向导</w:t>
      </w:r>
      <w:r>
        <w:rPr>
          <w:rFonts w:hint="eastAsia" w:ascii="新宋体" w:hAnsi="新宋体" w:eastAsia="新宋体" w:cs="仿宋_GB2312"/>
          <w:color w:val="000000" w:themeColor="text1"/>
          <w:sz w:val="24"/>
        </w:rPr>
        <w:t>”→“</w:t>
      </w:r>
      <w:r>
        <w:rPr>
          <w:rFonts w:hint="eastAsia" w:ascii="新宋体" w:hAnsi="新宋体" w:eastAsia="新宋体" w:cs="仿宋_GB2312"/>
          <w:color w:val="000000" w:themeColor="text1"/>
          <w:sz w:val="24"/>
          <w:lang w:val="zh-CN"/>
        </w:rPr>
        <w:t>参与投标</w:t>
      </w:r>
      <w:r>
        <w:rPr>
          <w:rFonts w:hint="eastAsia" w:ascii="新宋体" w:hAnsi="新宋体" w:eastAsia="新宋体" w:cs="仿宋_GB2312"/>
          <w:color w:val="000000" w:themeColor="text1"/>
          <w:sz w:val="24"/>
        </w:rPr>
        <w:t>”→“</w:t>
      </w:r>
      <w:r>
        <w:rPr>
          <w:rFonts w:hint="eastAsia" w:ascii="新宋体" w:hAnsi="新宋体" w:eastAsia="新宋体" w:cs="仿宋_GB2312"/>
          <w:color w:val="000000" w:themeColor="text1"/>
          <w:sz w:val="24"/>
          <w:lang w:val="zh-CN"/>
        </w:rPr>
        <w:t>费用缴纳说明</w:t>
      </w:r>
      <w:r>
        <w:rPr>
          <w:rFonts w:hint="eastAsia" w:ascii="新宋体" w:hAnsi="新宋体" w:eastAsia="新宋体" w:cs="仿宋_GB2312"/>
          <w:color w:val="000000" w:themeColor="text1"/>
          <w:sz w:val="24"/>
        </w:rPr>
        <w:t>”→“</w:t>
      </w:r>
      <w:r>
        <w:rPr>
          <w:rFonts w:hint="eastAsia" w:ascii="新宋体" w:hAnsi="新宋体" w:eastAsia="新宋体" w:cs="仿宋_GB2312"/>
          <w:color w:val="000000" w:themeColor="text1"/>
          <w:sz w:val="24"/>
          <w:lang w:val="zh-CN"/>
        </w:rPr>
        <w:t>保证金缴纳说明单</w:t>
      </w:r>
      <w:r>
        <w:rPr>
          <w:rFonts w:hint="eastAsia" w:ascii="新宋体" w:hAnsi="新宋体" w:eastAsia="新宋体" w:cs="仿宋_GB2312"/>
          <w:color w:val="000000" w:themeColor="text1"/>
          <w:sz w:val="24"/>
        </w:rPr>
        <w:t>”，</w:t>
      </w:r>
      <w:r>
        <w:rPr>
          <w:rFonts w:hint="eastAsia" w:ascii="新宋体" w:hAnsi="新宋体" w:eastAsia="新宋体" w:cs="仿宋_GB2312"/>
          <w:color w:val="000000" w:themeColor="text1"/>
          <w:sz w:val="24"/>
          <w:lang w:val="zh-CN"/>
        </w:rPr>
        <w:t>获取缴费说明单</w:t>
      </w:r>
      <w:r>
        <w:rPr>
          <w:rFonts w:hint="eastAsia" w:ascii="新宋体" w:hAnsi="新宋体" w:eastAsia="新宋体" w:cs="仿宋_GB2312"/>
          <w:color w:val="000000" w:themeColor="text1"/>
          <w:sz w:val="24"/>
        </w:rPr>
        <w:t>，</w:t>
      </w:r>
      <w:r>
        <w:rPr>
          <w:rFonts w:hint="eastAsia" w:ascii="新宋体" w:hAnsi="新宋体" w:eastAsia="新宋体" w:cs="仿宋_GB2312"/>
          <w:color w:val="000000" w:themeColor="text1"/>
          <w:sz w:val="24"/>
          <w:lang w:val="zh-CN"/>
        </w:rPr>
        <w:t>根据每个标段的缴纳说明单在缴纳截止时间前缴纳</w:t>
      </w:r>
      <w:r>
        <w:rPr>
          <w:rFonts w:hint="eastAsia" w:ascii="新宋体" w:hAnsi="新宋体" w:eastAsia="新宋体" w:cs="仿宋_GB2312"/>
          <w:color w:val="000000" w:themeColor="text1"/>
          <w:sz w:val="24"/>
        </w:rPr>
        <w:t>；</w:t>
      </w:r>
    </w:p>
    <w:p>
      <w:pPr>
        <w:tabs>
          <w:tab w:val="left" w:pos="1260"/>
        </w:tabs>
        <w:autoSpaceDE w:val="0"/>
        <w:autoSpaceDN w:val="0"/>
        <w:adjustRightInd w:val="0"/>
        <w:spacing w:line="460" w:lineRule="exact"/>
        <w:ind w:firstLine="480" w:firstLineChars="200"/>
        <w:jc w:val="left"/>
        <w:rPr>
          <w:rFonts w:ascii="新宋体" w:hAnsi="新宋体" w:eastAsia="新宋体" w:cs="仿宋_GB2312"/>
          <w:color w:val="000000" w:themeColor="text1"/>
          <w:sz w:val="24"/>
        </w:rPr>
      </w:pPr>
      <w:r>
        <w:rPr>
          <w:rFonts w:hint="eastAsia" w:ascii="新宋体" w:hAnsi="新宋体" w:eastAsia="新宋体" w:cs="仿宋_GB2312"/>
          <w:color w:val="000000" w:themeColor="text1"/>
          <w:sz w:val="24"/>
          <w:lang w:val="zh-CN"/>
        </w:rPr>
        <w:t>成功缴纳后</w:t>
      </w:r>
      <w:r>
        <w:rPr>
          <w:rFonts w:hint="eastAsia" w:ascii="新宋体" w:hAnsi="新宋体" w:eastAsia="新宋体" w:cs="仿宋_GB2312"/>
          <w:color w:val="000000" w:themeColor="text1"/>
          <w:sz w:val="24"/>
          <w:lang w:val="en-US" w:eastAsia="zh-CN"/>
        </w:rPr>
        <w:t>再次</w:t>
      </w:r>
      <w:r>
        <w:rPr>
          <w:rFonts w:hint="eastAsia" w:ascii="新宋体" w:hAnsi="新宋体" w:eastAsia="新宋体" w:cs="仿宋_GB2312"/>
          <w:color w:val="000000" w:themeColor="text1"/>
          <w:sz w:val="24"/>
          <w:lang w:val="zh-CN"/>
        </w:rPr>
        <w:t>登录前述系统</w:t>
      </w:r>
      <w:r>
        <w:rPr>
          <w:rFonts w:hint="eastAsia" w:ascii="新宋体" w:hAnsi="新宋体" w:eastAsia="新宋体" w:cs="仿宋_GB2312"/>
          <w:color w:val="000000" w:themeColor="text1"/>
          <w:sz w:val="24"/>
        </w:rPr>
        <w:t>，</w:t>
      </w:r>
      <w:r>
        <w:rPr>
          <w:rFonts w:hint="eastAsia" w:ascii="新宋体" w:hAnsi="新宋体" w:eastAsia="新宋体" w:cs="仿宋_GB2312"/>
          <w:color w:val="000000" w:themeColor="text1"/>
          <w:sz w:val="24"/>
          <w:lang w:val="zh-CN"/>
        </w:rPr>
        <w:t>依次点击</w:t>
      </w:r>
      <w:r>
        <w:rPr>
          <w:rFonts w:hint="eastAsia" w:ascii="新宋体" w:hAnsi="新宋体" w:eastAsia="新宋体" w:cs="仿宋_GB2312"/>
          <w:color w:val="000000" w:themeColor="text1"/>
          <w:sz w:val="24"/>
        </w:rPr>
        <w:t>“</w:t>
      </w:r>
      <w:r>
        <w:rPr>
          <w:rFonts w:hint="eastAsia" w:ascii="新宋体" w:hAnsi="新宋体" w:eastAsia="新宋体" w:cs="仿宋_GB2312"/>
          <w:color w:val="000000" w:themeColor="text1"/>
          <w:sz w:val="24"/>
          <w:lang w:val="zh-CN"/>
        </w:rPr>
        <w:t>会员向导</w:t>
      </w:r>
      <w:r>
        <w:rPr>
          <w:rFonts w:hint="eastAsia" w:ascii="新宋体" w:hAnsi="新宋体" w:eastAsia="新宋体" w:cs="仿宋_GB2312"/>
          <w:color w:val="000000" w:themeColor="text1"/>
          <w:sz w:val="24"/>
        </w:rPr>
        <w:t>”→“</w:t>
      </w:r>
      <w:r>
        <w:rPr>
          <w:rFonts w:hint="eastAsia" w:ascii="新宋体" w:hAnsi="新宋体" w:eastAsia="新宋体" w:cs="仿宋_GB2312"/>
          <w:color w:val="000000" w:themeColor="text1"/>
          <w:sz w:val="24"/>
          <w:lang w:val="zh-CN"/>
        </w:rPr>
        <w:t>参与投标</w:t>
      </w:r>
      <w:r>
        <w:rPr>
          <w:rFonts w:hint="eastAsia" w:ascii="新宋体" w:hAnsi="新宋体" w:eastAsia="新宋体" w:cs="仿宋_GB2312"/>
          <w:color w:val="000000" w:themeColor="text1"/>
          <w:sz w:val="24"/>
        </w:rPr>
        <w:t>”→“</w:t>
      </w:r>
      <w:r>
        <w:rPr>
          <w:rFonts w:hint="eastAsia" w:ascii="新宋体" w:hAnsi="新宋体" w:eastAsia="新宋体" w:cs="仿宋_GB2312"/>
          <w:color w:val="000000" w:themeColor="text1"/>
          <w:sz w:val="24"/>
          <w:lang w:val="zh-CN"/>
        </w:rPr>
        <w:t>保证金绑定</w:t>
      </w:r>
      <w:r>
        <w:rPr>
          <w:rFonts w:hint="eastAsia" w:ascii="新宋体" w:hAnsi="新宋体" w:eastAsia="新宋体" w:cs="仿宋_GB2312"/>
          <w:color w:val="000000" w:themeColor="text1"/>
          <w:sz w:val="24"/>
        </w:rPr>
        <w:t>”→“</w:t>
      </w:r>
      <w:r>
        <w:rPr>
          <w:rFonts w:hint="eastAsia" w:ascii="新宋体" w:hAnsi="新宋体" w:eastAsia="新宋体" w:cs="仿宋_GB2312"/>
          <w:color w:val="000000" w:themeColor="text1"/>
          <w:sz w:val="24"/>
          <w:lang w:val="zh-CN"/>
        </w:rPr>
        <w:t>绑定</w:t>
      </w:r>
      <w:r>
        <w:rPr>
          <w:rFonts w:hint="eastAsia" w:ascii="新宋体" w:hAnsi="新宋体" w:eastAsia="新宋体" w:cs="仿宋_GB2312"/>
          <w:color w:val="000000" w:themeColor="text1"/>
          <w:sz w:val="24"/>
        </w:rPr>
        <w:t>”</w:t>
      </w:r>
      <w:r>
        <w:rPr>
          <w:rFonts w:hint="eastAsia" w:ascii="新宋体" w:hAnsi="新宋体" w:eastAsia="新宋体" w:cs="仿宋_GB2312"/>
          <w:color w:val="000000" w:themeColor="text1"/>
          <w:sz w:val="24"/>
          <w:lang w:val="zh-CN"/>
        </w:rPr>
        <w:t>进行投标保证金绑定。</w:t>
      </w:r>
    </w:p>
    <w:p>
      <w:pPr>
        <w:autoSpaceDE w:val="0"/>
        <w:autoSpaceDN w:val="0"/>
        <w:adjustRightInd w:val="0"/>
        <w:spacing w:line="340" w:lineRule="exact"/>
        <w:ind w:firstLine="480" w:firstLineChars="200"/>
        <w:rPr>
          <w:rFonts w:hAnsi="宋体" w:cs="宋体"/>
          <w:color w:val="000000" w:themeColor="text1"/>
          <w:sz w:val="24"/>
          <w:lang w:val="zh-CN"/>
        </w:rPr>
      </w:pPr>
      <w:r>
        <w:rPr>
          <w:rFonts w:hint="eastAsia" w:hAnsi="宋体" w:cs="宋体"/>
          <w:color w:val="000000" w:themeColor="text1"/>
          <w:sz w:val="24"/>
          <w:lang w:val="zh-CN"/>
        </w:rPr>
        <w:t>投标人成功绑定投标保证金，将缴纳凭证“许昌公共资源交易中心保证金缴纳回执”附于投标文件中；未绑定标段的投标保证金，视为未按</w:t>
      </w:r>
      <w:r>
        <w:rPr>
          <w:rFonts w:hint="eastAsia" w:hAnsi="宋体" w:cs="宋体"/>
          <w:color w:val="000000" w:themeColor="text1"/>
          <w:sz w:val="24"/>
          <w:lang w:val="en-US" w:eastAsia="zh-CN"/>
        </w:rPr>
        <w:t>规定</w:t>
      </w:r>
      <w:r>
        <w:rPr>
          <w:rFonts w:hint="eastAsia" w:hAnsi="宋体" w:cs="宋体"/>
          <w:color w:val="000000" w:themeColor="text1"/>
          <w:sz w:val="24"/>
          <w:lang w:val="zh-CN"/>
        </w:rPr>
        <w:t>交纳。</w:t>
      </w:r>
      <w:r>
        <w:rPr>
          <w:rFonts w:hint="eastAsia" w:hAnsi="宋体" w:eastAsia="宋体" w:cs="宋体"/>
          <w:color w:val="000000" w:themeColor="text1"/>
          <w:sz w:val="24"/>
        </w:rPr>
        <w:t xml:space="preserve"> </w:t>
      </w:r>
    </w:p>
    <w:p>
      <w:pPr>
        <w:tabs>
          <w:tab w:val="left" w:pos="1260"/>
        </w:tabs>
        <w:autoSpaceDE w:val="0"/>
        <w:autoSpaceDN w:val="0"/>
        <w:adjustRightInd w:val="0"/>
        <w:spacing w:line="460" w:lineRule="exact"/>
        <w:ind w:firstLine="480" w:firstLineChars="200"/>
        <w:jc w:val="left"/>
        <w:rPr>
          <w:rFonts w:ascii="新宋体" w:hAnsi="新宋体" w:eastAsia="新宋体" w:cs="仿宋_GB2312"/>
          <w:color w:val="000000" w:themeColor="text1"/>
          <w:sz w:val="24"/>
          <w:lang w:val="zh-CN"/>
        </w:rPr>
      </w:pPr>
      <w:r>
        <w:rPr>
          <w:rFonts w:hint="eastAsia" w:ascii="新宋体" w:hAnsi="新宋体" w:eastAsia="新宋体" w:cs="仿宋_GB2312"/>
          <w:color w:val="000000" w:themeColor="text1"/>
          <w:sz w:val="24"/>
          <w:lang w:val="zh-CN"/>
        </w:rPr>
        <w:t>3.4.2.3 每个投标人每个项目每个标段只有唯一缴纳账号，</w:t>
      </w:r>
      <w:r>
        <w:rPr>
          <w:rFonts w:hint="eastAsia" w:ascii="新宋体" w:hAnsi="新宋体" w:eastAsia="新宋体" w:cs="仿宋_GB2312"/>
          <w:color w:val="000000" w:themeColor="text1"/>
          <w:sz w:val="24"/>
        </w:rPr>
        <w:t>切勿重复缴纳或错误缴纳。</w:t>
      </w:r>
    </w:p>
    <w:p>
      <w:pPr>
        <w:tabs>
          <w:tab w:val="left" w:pos="1260"/>
        </w:tabs>
        <w:autoSpaceDE w:val="0"/>
        <w:autoSpaceDN w:val="0"/>
        <w:adjustRightInd w:val="0"/>
        <w:spacing w:line="460" w:lineRule="exact"/>
        <w:ind w:firstLine="480" w:firstLineChars="200"/>
        <w:jc w:val="left"/>
        <w:rPr>
          <w:rFonts w:ascii="新宋体" w:hAnsi="新宋体" w:eastAsia="新宋体" w:cs="仿宋_GB2312"/>
          <w:color w:val="000000" w:themeColor="text1"/>
          <w:sz w:val="24"/>
        </w:rPr>
      </w:pPr>
      <w:r>
        <w:rPr>
          <w:rFonts w:hint="eastAsia" w:ascii="新宋体" w:hAnsi="新宋体" w:eastAsia="新宋体" w:cs="仿宋_GB2312"/>
          <w:color w:val="000000" w:themeColor="text1"/>
          <w:sz w:val="24"/>
          <w:lang w:val="zh-CN"/>
        </w:rPr>
        <w:t>3.4.2.4</w:t>
      </w:r>
      <w:r>
        <w:rPr>
          <w:rFonts w:hint="eastAsia" w:ascii="新宋体" w:hAnsi="新宋体" w:eastAsia="新宋体" w:cs="仿宋_GB2312"/>
          <w:color w:val="000000" w:themeColor="text1"/>
          <w:sz w:val="24"/>
        </w:rPr>
        <w:t>未按上述规定操作引起的无效投标，由投标人自行负责。</w:t>
      </w:r>
    </w:p>
    <w:p>
      <w:pPr>
        <w:tabs>
          <w:tab w:val="left" w:pos="1260"/>
        </w:tabs>
        <w:autoSpaceDE w:val="0"/>
        <w:autoSpaceDN w:val="0"/>
        <w:adjustRightInd w:val="0"/>
        <w:spacing w:line="460" w:lineRule="exact"/>
        <w:ind w:firstLine="480" w:firstLineChars="200"/>
        <w:jc w:val="left"/>
        <w:rPr>
          <w:rFonts w:ascii="新宋体" w:hAnsi="新宋体" w:eastAsia="新宋体" w:cs="仿宋_GB2312"/>
          <w:color w:val="000000" w:themeColor="text1"/>
          <w:sz w:val="24"/>
          <w:lang w:val="zh-CN"/>
        </w:rPr>
      </w:pPr>
      <w:r>
        <w:rPr>
          <w:rFonts w:hint="eastAsia" w:ascii="新宋体" w:hAnsi="新宋体" w:eastAsia="新宋体" w:cs="仿宋_GB2312"/>
          <w:color w:val="000000" w:themeColor="text1"/>
          <w:sz w:val="24"/>
          <w:lang w:val="zh-CN"/>
        </w:rPr>
        <w:t>3.4.2.5汇款凭证无须备注项目编号和项目名称。</w:t>
      </w:r>
    </w:p>
    <w:p>
      <w:pPr>
        <w:tabs>
          <w:tab w:val="left" w:pos="1260"/>
        </w:tabs>
        <w:autoSpaceDE w:val="0"/>
        <w:autoSpaceDN w:val="0"/>
        <w:adjustRightInd w:val="0"/>
        <w:spacing w:line="460" w:lineRule="exact"/>
        <w:ind w:firstLine="480" w:firstLineChars="200"/>
        <w:jc w:val="left"/>
        <w:rPr>
          <w:rFonts w:ascii="新宋体" w:hAnsi="新宋体" w:eastAsia="新宋体" w:cs="仿宋_GB2312"/>
          <w:color w:val="000000" w:themeColor="text1"/>
          <w:sz w:val="24"/>
        </w:rPr>
      </w:pPr>
      <w:r>
        <w:rPr>
          <w:rFonts w:hint="eastAsia" w:ascii="新宋体" w:hAnsi="新宋体" w:eastAsia="新宋体" w:cs="仿宋_GB2312"/>
          <w:color w:val="000000" w:themeColor="text1"/>
          <w:sz w:val="24"/>
          <w:lang w:val="zh-CN"/>
        </w:rPr>
        <w:t xml:space="preserve">3.4.2.6 </w:t>
      </w:r>
      <w:r>
        <w:rPr>
          <w:rFonts w:hint="eastAsia" w:ascii="新宋体" w:hAnsi="新宋体" w:eastAsia="新宋体" w:cs="仿宋_GB2312"/>
          <w:color w:val="000000" w:themeColor="text1"/>
          <w:sz w:val="24"/>
        </w:rPr>
        <w:t>出现以下情形造成的投标保证金无效，由投标人自行负责。</w:t>
      </w:r>
    </w:p>
    <w:p>
      <w:pPr>
        <w:tabs>
          <w:tab w:val="left" w:pos="1260"/>
        </w:tabs>
        <w:autoSpaceDE w:val="0"/>
        <w:autoSpaceDN w:val="0"/>
        <w:adjustRightInd w:val="0"/>
        <w:spacing w:line="460" w:lineRule="exact"/>
        <w:ind w:firstLine="480" w:firstLineChars="200"/>
        <w:jc w:val="left"/>
        <w:rPr>
          <w:rFonts w:ascii="新宋体" w:hAnsi="新宋体" w:eastAsia="新宋体" w:cs="仿宋_GB2312"/>
          <w:color w:val="000000" w:themeColor="text1"/>
          <w:sz w:val="24"/>
        </w:rPr>
      </w:pPr>
      <w:r>
        <w:rPr>
          <w:rFonts w:hint="eastAsia" w:ascii="新宋体" w:hAnsi="新宋体" w:eastAsia="新宋体" w:cs="仿宋_GB2312"/>
          <w:color w:val="000000" w:themeColor="text1"/>
          <w:sz w:val="24"/>
        </w:rPr>
        <w:t>(1)投标保证金未从投标人的基本账户转出；</w:t>
      </w:r>
    </w:p>
    <w:p>
      <w:pPr>
        <w:tabs>
          <w:tab w:val="left" w:pos="1260"/>
        </w:tabs>
        <w:autoSpaceDE w:val="0"/>
        <w:autoSpaceDN w:val="0"/>
        <w:adjustRightInd w:val="0"/>
        <w:spacing w:line="460" w:lineRule="exact"/>
        <w:ind w:firstLine="480" w:firstLineChars="200"/>
        <w:jc w:val="left"/>
        <w:rPr>
          <w:rFonts w:ascii="新宋体" w:hAnsi="新宋体" w:eastAsia="新宋体" w:cs="仿宋_GB2312"/>
          <w:color w:val="000000" w:themeColor="text1"/>
          <w:sz w:val="24"/>
        </w:rPr>
      </w:pPr>
      <w:r>
        <w:rPr>
          <w:rFonts w:hint="eastAsia" w:ascii="新宋体" w:hAnsi="新宋体" w:eastAsia="新宋体" w:cs="仿宋_GB2312"/>
          <w:color w:val="000000" w:themeColor="text1"/>
          <w:sz w:val="24"/>
        </w:rPr>
        <w:t>(2)投标保证金未按照招标文件划分的标段转账。</w:t>
      </w:r>
    </w:p>
    <w:p>
      <w:pPr>
        <w:tabs>
          <w:tab w:val="left" w:pos="1260"/>
        </w:tabs>
        <w:autoSpaceDE w:val="0"/>
        <w:autoSpaceDN w:val="0"/>
        <w:adjustRightInd w:val="0"/>
        <w:spacing w:line="460" w:lineRule="exact"/>
        <w:ind w:firstLine="480" w:firstLineChars="200"/>
        <w:jc w:val="left"/>
        <w:rPr>
          <w:rFonts w:ascii="新宋体" w:hAnsi="新宋体" w:eastAsia="新宋体" w:cs="仿宋_GB2312"/>
          <w:color w:val="000000" w:themeColor="text1"/>
          <w:sz w:val="24"/>
          <w:lang w:val="zh-CN"/>
        </w:rPr>
      </w:pPr>
      <w:r>
        <w:rPr>
          <w:rFonts w:hint="eastAsia" w:ascii="新宋体" w:hAnsi="新宋体" w:eastAsia="新宋体" w:cs="仿宋_GB2312"/>
          <w:color w:val="000000" w:themeColor="text1"/>
          <w:sz w:val="24"/>
          <w:lang w:val="zh-CN"/>
        </w:rPr>
        <w:t>3.4.2.7 《保证金缴纳绑定操作指南》获取方法：</w:t>
      </w:r>
    </w:p>
    <w:p>
      <w:pPr>
        <w:tabs>
          <w:tab w:val="left" w:pos="1260"/>
        </w:tabs>
        <w:autoSpaceDE w:val="0"/>
        <w:autoSpaceDN w:val="0"/>
        <w:adjustRightInd w:val="0"/>
        <w:spacing w:line="460" w:lineRule="exact"/>
        <w:ind w:firstLine="480" w:firstLineChars="200"/>
        <w:jc w:val="left"/>
        <w:rPr>
          <w:rFonts w:ascii="新宋体" w:hAnsi="新宋体" w:eastAsia="新宋体" w:cs="仿宋_GB2312"/>
          <w:color w:val="000000" w:themeColor="text1"/>
          <w:sz w:val="24"/>
          <w:lang w:val="zh-CN"/>
        </w:rPr>
      </w:pPr>
      <w:r>
        <w:rPr>
          <w:rFonts w:hint="eastAsia" w:ascii="新宋体" w:hAnsi="新宋体" w:eastAsia="新宋体" w:cs="仿宋_GB2312"/>
          <w:color w:val="000000" w:themeColor="text1"/>
          <w:sz w:val="24"/>
          <w:lang w:val="zh-CN"/>
        </w:rPr>
        <w:t>登录许昌公共资源交易系统-组件下载-《保证金缴纳绑定操作指南》</w:t>
      </w:r>
    </w:p>
    <w:p>
      <w:pPr>
        <w:tabs>
          <w:tab w:val="left" w:pos="1260"/>
        </w:tabs>
        <w:autoSpaceDE w:val="0"/>
        <w:autoSpaceDN w:val="0"/>
        <w:adjustRightInd w:val="0"/>
        <w:spacing w:line="460" w:lineRule="exact"/>
        <w:ind w:firstLine="480" w:firstLineChars="200"/>
        <w:jc w:val="left"/>
        <w:rPr>
          <w:rFonts w:ascii="新宋体" w:hAnsi="新宋体" w:eastAsia="新宋体" w:cs="仿宋_GB2312"/>
          <w:color w:val="000000" w:themeColor="text1"/>
          <w:sz w:val="24"/>
        </w:rPr>
      </w:pPr>
      <w:r>
        <w:rPr>
          <w:rFonts w:hint="eastAsia" w:ascii="新宋体" w:hAnsi="新宋体" w:eastAsia="新宋体" w:cs="仿宋_GB2312"/>
          <w:color w:val="000000" w:themeColor="text1"/>
          <w:sz w:val="24"/>
        </w:rPr>
        <w:t>3.4.3 投标人未按规定提交投标保证金的，由评标委员会否决其投标。</w:t>
      </w:r>
    </w:p>
    <w:p>
      <w:pPr>
        <w:tabs>
          <w:tab w:val="left" w:pos="1260"/>
        </w:tabs>
        <w:autoSpaceDE w:val="0"/>
        <w:autoSpaceDN w:val="0"/>
        <w:adjustRightInd w:val="0"/>
        <w:spacing w:line="460" w:lineRule="exact"/>
        <w:ind w:firstLine="480" w:firstLineChars="200"/>
        <w:jc w:val="left"/>
        <w:rPr>
          <w:rFonts w:ascii="新宋体" w:hAnsi="新宋体" w:eastAsia="新宋体" w:cs="仿宋_GB2312"/>
          <w:color w:val="000000" w:themeColor="text1"/>
          <w:sz w:val="24"/>
        </w:rPr>
      </w:pPr>
      <w:r>
        <w:rPr>
          <w:rFonts w:hint="eastAsia" w:ascii="新宋体" w:hAnsi="新宋体" w:eastAsia="新宋体" w:cs="仿宋_GB2312"/>
          <w:color w:val="000000" w:themeColor="text1"/>
          <w:sz w:val="24"/>
        </w:rPr>
        <w:t>3.4.4 投标保证金的退还：</w:t>
      </w:r>
    </w:p>
    <w:p>
      <w:pPr>
        <w:tabs>
          <w:tab w:val="left" w:pos="1260"/>
        </w:tabs>
        <w:autoSpaceDE w:val="0"/>
        <w:autoSpaceDN w:val="0"/>
        <w:adjustRightInd w:val="0"/>
        <w:spacing w:line="460" w:lineRule="exact"/>
        <w:ind w:firstLine="480" w:firstLineChars="200"/>
        <w:jc w:val="left"/>
        <w:rPr>
          <w:rFonts w:ascii="新宋体" w:hAnsi="新宋体" w:eastAsia="新宋体" w:cs="仿宋_GB2312"/>
          <w:color w:val="000000" w:themeColor="text1"/>
          <w:sz w:val="24"/>
        </w:rPr>
      </w:pPr>
      <w:r>
        <w:rPr>
          <w:rFonts w:hint="eastAsia" w:ascii="新宋体" w:hAnsi="新宋体" w:eastAsia="新宋体" w:cs="仿宋_GB2312"/>
          <w:color w:val="000000" w:themeColor="text1"/>
          <w:sz w:val="24"/>
        </w:rPr>
        <w:t>（1）中标候选人公示期满后没有质疑或投诉的，退还非中标候选人投标保证金及银行同期存款利息；在书面合同签订后5日内向中标人和其他中标候选人退还投标保证金及银行同期存款利息。</w:t>
      </w:r>
    </w:p>
    <w:p>
      <w:pPr>
        <w:tabs>
          <w:tab w:val="left" w:pos="1260"/>
        </w:tabs>
        <w:autoSpaceDE w:val="0"/>
        <w:autoSpaceDN w:val="0"/>
        <w:adjustRightInd w:val="0"/>
        <w:spacing w:line="460" w:lineRule="exact"/>
        <w:ind w:firstLine="480" w:firstLineChars="200"/>
        <w:jc w:val="left"/>
        <w:rPr>
          <w:rFonts w:ascii="新宋体" w:hAnsi="新宋体" w:eastAsia="新宋体" w:cs="仿宋_GB2312"/>
          <w:color w:val="000000" w:themeColor="text1"/>
          <w:sz w:val="24"/>
        </w:rPr>
      </w:pPr>
      <w:r>
        <w:rPr>
          <w:rFonts w:hint="eastAsia" w:ascii="新宋体" w:hAnsi="新宋体" w:eastAsia="新宋体" w:cs="仿宋_GB2312"/>
          <w:color w:val="000000" w:themeColor="text1"/>
          <w:sz w:val="24"/>
        </w:rPr>
        <w:t>（2）法定期限内未签订书面合同的，按照有关规定向中标人和其他中标候选人退还投标保证金及银行同期活期存款利息。</w:t>
      </w:r>
    </w:p>
    <w:p>
      <w:pPr>
        <w:tabs>
          <w:tab w:val="left" w:pos="1260"/>
        </w:tabs>
        <w:autoSpaceDE w:val="0"/>
        <w:autoSpaceDN w:val="0"/>
        <w:adjustRightInd w:val="0"/>
        <w:spacing w:line="460" w:lineRule="exact"/>
        <w:ind w:firstLine="480" w:firstLineChars="200"/>
        <w:jc w:val="left"/>
        <w:rPr>
          <w:rFonts w:ascii="新宋体" w:hAnsi="新宋体" w:eastAsia="新宋体" w:cs="仿宋_GB2312"/>
          <w:color w:val="000000" w:themeColor="text1"/>
          <w:sz w:val="24"/>
        </w:rPr>
      </w:pPr>
      <w:r>
        <w:rPr>
          <w:rFonts w:hint="eastAsia" w:ascii="新宋体" w:hAnsi="新宋体" w:eastAsia="新宋体" w:cs="仿宋_GB2312"/>
          <w:color w:val="000000" w:themeColor="text1"/>
          <w:sz w:val="24"/>
        </w:rPr>
        <w:t>（3）项目废标或招标人终止招标的，在此后5个工作日内退还投标保证金及银行同期活期存利息。</w:t>
      </w:r>
      <w:r>
        <w:rPr>
          <w:rFonts w:hint="eastAsia" w:ascii="新宋体" w:hAnsi="新宋体" w:eastAsia="新宋体" w:cs="仿宋_GB2312"/>
          <w:color w:val="000000" w:themeColor="text1"/>
          <w:sz w:val="24"/>
        </w:rPr>
        <w:br w:type="textWrapping"/>
      </w:r>
      <w:r>
        <w:rPr>
          <w:rFonts w:hint="eastAsia" w:ascii="新宋体" w:hAnsi="新宋体" w:eastAsia="新宋体" w:cs="仿宋_GB2312"/>
          <w:color w:val="000000" w:themeColor="text1"/>
          <w:sz w:val="24"/>
        </w:rPr>
        <w:t xml:space="preserve">    （4）投标活动中出现质疑、投诉的，中标候选人、质疑人和被质疑人、投诉人和被投诉人的投标保证金暂停退还。</w:t>
      </w:r>
    </w:p>
    <w:p>
      <w:pPr>
        <w:tabs>
          <w:tab w:val="left" w:pos="1260"/>
        </w:tabs>
        <w:autoSpaceDE w:val="0"/>
        <w:autoSpaceDN w:val="0"/>
        <w:adjustRightInd w:val="0"/>
        <w:spacing w:line="460" w:lineRule="exact"/>
        <w:ind w:firstLine="480" w:firstLineChars="200"/>
        <w:jc w:val="left"/>
        <w:rPr>
          <w:rFonts w:hAnsi="宋体"/>
          <w:color w:val="000000" w:themeColor="text1"/>
          <w:sz w:val="24"/>
        </w:rPr>
      </w:pPr>
      <w:r>
        <w:rPr>
          <w:rFonts w:hint="eastAsia" w:ascii="新宋体" w:hAnsi="新宋体" w:eastAsia="新宋体" w:cs="仿宋_GB2312"/>
          <w:color w:val="000000" w:themeColor="text1"/>
          <w:sz w:val="24"/>
        </w:rPr>
        <w:t>（5）相关投标人有违法违规行为的项目，其投标保证金暂不退还，待行政监督部</w:t>
      </w:r>
      <w:r>
        <w:rPr>
          <w:rFonts w:hint="eastAsia" w:hAnsi="宋体"/>
          <w:color w:val="000000" w:themeColor="text1"/>
          <w:sz w:val="24"/>
        </w:rPr>
        <w:t>门对相关情况处置后，按照有关规定办理。</w:t>
      </w:r>
    </w:p>
    <w:p>
      <w:pPr>
        <w:tabs>
          <w:tab w:val="left" w:pos="1260"/>
        </w:tabs>
        <w:autoSpaceDE w:val="0"/>
        <w:autoSpaceDN w:val="0"/>
        <w:adjustRightInd w:val="0"/>
        <w:spacing w:line="460" w:lineRule="exact"/>
        <w:ind w:firstLine="360" w:firstLineChars="150"/>
        <w:jc w:val="left"/>
        <w:rPr>
          <w:rFonts w:ascii="新宋体" w:hAnsi="新宋体" w:eastAsia="新宋体" w:cs="仿宋_GB2312"/>
          <w:color w:val="000000" w:themeColor="text1"/>
          <w:sz w:val="24"/>
        </w:rPr>
      </w:pPr>
      <w:r>
        <w:rPr>
          <w:rFonts w:hint="eastAsia" w:ascii="新宋体" w:hAnsi="新宋体" w:eastAsia="新宋体" w:cs="仿宋_GB2312"/>
          <w:color w:val="000000" w:themeColor="text1"/>
          <w:sz w:val="24"/>
        </w:rPr>
        <w:t>（6）因投标人的原因无法及时退还投标（竞买）保证金、滞留三年以上的，投标（竞买）保证金上缴同级国库。</w:t>
      </w:r>
    </w:p>
    <w:p>
      <w:pPr>
        <w:tabs>
          <w:tab w:val="left" w:pos="1260"/>
        </w:tabs>
        <w:autoSpaceDE w:val="0"/>
        <w:autoSpaceDN w:val="0"/>
        <w:adjustRightInd w:val="0"/>
        <w:spacing w:line="460" w:lineRule="exact"/>
        <w:ind w:firstLine="480" w:firstLineChars="200"/>
        <w:jc w:val="left"/>
        <w:rPr>
          <w:rFonts w:hAnsi="宋体" w:cs="宋体"/>
          <w:color w:val="000000" w:themeColor="text1"/>
          <w:sz w:val="24"/>
        </w:rPr>
      </w:pPr>
      <w:r>
        <w:rPr>
          <w:rFonts w:hint="eastAsia" w:hAnsi="宋体"/>
          <w:color w:val="000000" w:themeColor="text1"/>
          <w:sz w:val="24"/>
        </w:rPr>
        <w:t>（7）退还投标保证金，除另有规定外，一般以转账方式一次性退还至投标保证金的原提交账户。</w:t>
      </w:r>
    </w:p>
    <w:p>
      <w:pPr>
        <w:tabs>
          <w:tab w:val="left" w:pos="1260"/>
        </w:tabs>
        <w:autoSpaceDE w:val="0"/>
        <w:autoSpaceDN w:val="0"/>
        <w:adjustRightInd w:val="0"/>
        <w:spacing w:line="460" w:lineRule="exact"/>
        <w:ind w:firstLine="480" w:firstLineChars="200"/>
        <w:jc w:val="left"/>
        <w:rPr>
          <w:rFonts w:ascii="新宋体" w:hAnsi="新宋体" w:eastAsia="新宋体" w:cs="仿宋_GB2312"/>
          <w:color w:val="000000" w:themeColor="text1"/>
          <w:sz w:val="24"/>
        </w:rPr>
      </w:pPr>
      <w:r>
        <w:rPr>
          <w:rFonts w:hint="eastAsia" w:ascii="新宋体" w:hAnsi="新宋体" w:eastAsia="新宋体" w:cs="仿宋_GB2312"/>
          <w:color w:val="000000" w:themeColor="text1"/>
          <w:sz w:val="24"/>
        </w:rPr>
        <w:t>（8）特殊情况处理</w:t>
      </w:r>
    </w:p>
    <w:p>
      <w:pPr>
        <w:tabs>
          <w:tab w:val="left" w:pos="1260"/>
        </w:tabs>
        <w:autoSpaceDE w:val="0"/>
        <w:autoSpaceDN w:val="0"/>
        <w:adjustRightInd w:val="0"/>
        <w:spacing w:line="460" w:lineRule="exact"/>
        <w:ind w:firstLine="480" w:firstLineChars="200"/>
        <w:jc w:val="left"/>
        <w:rPr>
          <w:rFonts w:ascii="新宋体" w:hAnsi="新宋体" w:eastAsia="新宋体" w:cs="仿宋_GB2312"/>
          <w:color w:val="000000" w:themeColor="text1"/>
          <w:sz w:val="24"/>
        </w:rPr>
      </w:pPr>
      <w:r>
        <w:rPr>
          <w:rFonts w:hint="eastAsia" w:ascii="新宋体" w:hAnsi="新宋体" w:eastAsia="新宋体" w:cs="仿宋_GB2312"/>
          <w:color w:val="000000" w:themeColor="text1"/>
          <w:sz w:val="24"/>
        </w:rPr>
        <w:t>投标人投标过程中因账户开户银行、银行账号发生变化，不能按照来款途径原路返还投标保证金的，投标人须提供原账户开户银行相关证明及新开账户开户许可证，</w:t>
      </w:r>
      <w:r>
        <w:rPr>
          <w:rFonts w:hint="eastAsia" w:ascii="新宋体" w:hAnsi="新宋体" w:eastAsia="新宋体" w:cs="仿宋_GB2312"/>
          <w:color w:val="000000" w:themeColor="text1"/>
          <w:sz w:val="24"/>
          <w:lang w:eastAsia="zh-CN"/>
        </w:rPr>
        <w:t>到</w:t>
      </w:r>
      <w:r>
        <w:rPr>
          <w:rFonts w:hint="eastAsia" w:ascii="新宋体" w:hAnsi="新宋体" w:eastAsia="新宋体" w:cs="仿宋_GB2312"/>
          <w:color w:val="000000" w:themeColor="text1"/>
          <w:sz w:val="24"/>
        </w:rPr>
        <w:t>鄢陵县公共资源交易管理中心四楼业务四部，联系电话：0374—7607771。</w:t>
      </w:r>
    </w:p>
    <w:p>
      <w:pPr>
        <w:tabs>
          <w:tab w:val="left" w:pos="1260"/>
        </w:tabs>
        <w:autoSpaceDE w:val="0"/>
        <w:autoSpaceDN w:val="0"/>
        <w:adjustRightInd w:val="0"/>
        <w:spacing w:line="460" w:lineRule="exact"/>
        <w:ind w:firstLine="480" w:firstLineChars="200"/>
        <w:jc w:val="left"/>
        <w:rPr>
          <w:rFonts w:hAnsi="宋体" w:cs="宋体"/>
          <w:color w:val="000000" w:themeColor="text1"/>
          <w:sz w:val="24"/>
        </w:rPr>
      </w:pPr>
      <w:r>
        <w:rPr>
          <w:rFonts w:hint="eastAsia" w:hAnsi="宋体" w:cs="宋体"/>
          <w:color w:val="000000" w:themeColor="text1"/>
          <w:sz w:val="24"/>
        </w:rPr>
        <w:t>3.4.5投标人有下列情形之一的，不予退还投标保证金：</w:t>
      </w:r>
    </w:p>
    <w:p>
      <w:pPr>
        <w:tabs>
          <w:tab w:val="left" w:pos="1260"/>
        </w:tabs>
        <w:autoSpaceDE w:val="0"/>
        <w:autoSpaceDN w:val="0"/>
        <w:adjustRightInd w:val="0"/>
        <w:spacing w:line="460" w:lineRule="exact"/>
        <w:ind w:firstLine="480" w:firstLineChars="200"/>
        <w:jc w:val="left"/>
        <w:rPr>
          <w:rFonts w:hAnsi="宋体" w:cs="宋体"/>
          <w:color w:val="000000" w:themeColor="text1"/>
          <w:sz w:val="24"/>
        </w:rPr>
      </w:pPr>
      <w:r>
        <w:rPr>
          <w:rFonts w:hint="eastAsia" w:hAnsi="宋体" w:cs="宋体"/>
          <w:color w:val="000000" w:themeColor="text1"/>
          <w:sz w:val="24"/>
        </w:rPr>
        <w:t xml:space="preserve">（1）在招标文件要求提交投标文件的截止时间后至投标文件有效期满前撤回投标的； </w:t>
      </w:r>
    </w:p>
    <w:p>
      <w:pPr>
        <w:tabs>
          <w:tab w:val="left" w:pos="1260"/>
        </w:tabs>
        <w:autoSpaceDE w:val="0"/>
        <w:autoSpaceDN w:val="0"/>
        <w:adjustRightInd w:val="0"/>
        <w:spacing w:line="460" w:lineRule="exact"/>
        <w:ind w:firstLine="360" w:firstLineChars="150"/>
        <w:jc w:val="left"/>
        <w:rPr>
          <w:rFonts w:hAnsi="宋体" w:cs="宋体"/>
          <w:color w:val="000000" w:themeColor="text1"/>
          <w:sz w:val="24"/>
        </w:rPr>
      </w:pPr>
      <w:r>
        <w:rPr>
          <w:rFonts w:hint="eastAsia" w:hAnsi="宋体" w:cs="宋体"/>
          <w:color w:val="000000" w:themeColor="text1"/>
          <w:sz w:val="24"/>
        </w:rPr>
        <w:t xml:space="preserve"> （2）中标通知书发出后，中标人无故放弃中标项目或无正当理由在规定时间内不与招标人签订合同或未按招标文件规定提交履约担保的； </w:t>
      </w:r>
    </w:p>
    <w:p>
      <w:pPr>
        <w:tabs>
          <w:tab w:val="left" w:pos="1260"/>
        </w:tabs>
        <w:autoSpaceDE w:val="0"/>
        <w:autoSpaceDN w:val="0"/>
        <w:adjustRightInd w:val="0"/>
        <w:spacing w:line="460" w:lineRule="exact"/>
        <w:ind w:firstLine="360" w:firstLineChars="150"/>
        <w:jc w:val="left"/>
        <w:rPr>
          <w:rFonts w:hAnsi="宋体" w:cs="宋体"/>
          <w:color w:val="000000" w:themeColor="text1"/>
          <w:sz w:val="24"/>
        </w:rPr>
      </w:pPr>
      <w:r>
        <w:rPr>
          <w:rFonts w:hint="eastAsia" w:hAnsi="宋体" w:cs="宋体"/>
          <w:color w:val="000000" w:themeColor="text1"/>
          <w:sz w:val="24"/>
        </w:rPr>
        <w:t xml:space="preserve"> （3）将中标项目转让给他人，或者在投标文件中未说明，且未经招标人同意，将中标项目分包给他人的； </w:t>
      </w:r>
    </w:p>
    <w:p>
      <w:pPr>
        <w:tabs>
          <w:tab w:val="left" w:pos="1260"/>
        </w:tabs>
        <w:autoSpaceDE w:val="0"/>
        <w:autoSpaceDN w:val="0"/>
        <w:adjustRightInd w:val="0"/>
        <w:spacing w:line="460" w:lineRule="exact"/>
        <w:ind w:firstLine="360" w:firstLineChars="150"/>
        <w:jc w:val="left"/>
        <w:rPr>
          <w:rFonts w:hAnsi="宋体" w:cs="宋体"/>
          <w:color w:val="000000" w:themeColor="text1"/>
          <w:sz w:val="24"/>
        </w:rPr>
      </w:pPr>
      <w:r>
        <w:rPr>
          <w:rFonts w:hint="eastAsia" w:hAnsi="宋体" w:cs="宋体"/>
          <w:color w:val="000000" w:themeColor="text1"/>
          <w:sz w:val="24"/>
        </w:rPr>
        <w:t xml:space="preserve"> （4）投标人在招投标活动中弄虚作假、围标串标、骗取中标等，并经招投标行政监督部门调查核实的； </w:t>
      </w:r>
    </w:p>
    <w:p>
      <w:pPr>
        <w:tabs>
          <w:tab w:val="left" w:pos="1260"/>
        </w:tabs>
        <w:autoSpaceDE w:val="0"/>
        <w:autoSpaceDN w:val="0"/>
        <w:adjustRightInd w:val="0"/>
        <w:spacing w:line="460" w:lineRule="exact"/>
        <w:ind w:firstLine="360" w:firstLineChars="150"/>
        <w:jc w:val="left"/>
        <w:rPr>
          <w:rFonts w:hAnsi="宋体" w:cs="宋体"/>
          <w:color w:val="000000" w:themeColor="text1"/>
          <w:sz w:val="24"/>
        </w:rPr>
      </w:pPr>
      <w:r>
        <w:rPr>
          <w:rFonts w:hint="eastAsia" w:hAnsi="宋体" w:cs="宋体"/>
          <w:color w:val="000000" w:themeColor="text1"/>
          <w:sz w:val="24"/>
        </w:rPr>
        <w:t xml:space="preserve"> （5）拒绝履行合同义务的；</w:t>
      </w:r>
    </w:p>
    <w:p>
      <w:pPr>
        <w:tabs>
          <w:tab w:val="left" w:pos="1260"/>
        </w:tabs>
        <w:autoSpaceDE w:val="0"/>
        <w:autoSpaceDN w:val="0"/>
        <w:adjustRightInd w:val="0"/>
        <w:spacing w:line="460" w:lineRule="exact"/>
        <w:ind w:firstLine="480" w:firstLineChars="200"/>
        <w:jc w:val="left"/>
        <w:rPr>
          <w:rFonts w:hAnsi="宋体" w:cs="宋体"/>
          <w:color w:val="000000" w:themeColor="text1"/>
          <w:sz w:val="24"/>
          <w:lang w:val="zh-CN"/>
        </w:rPr>
      </w:pPr>
      <w:r>
        <w:rPr>
          <w:rFonts w:hint="eastAsia" w:ascii="新宋体" w:hAnsi="新宋体" w:eastAsia="新宋体" w:cs="仿宋_GB2312"/>
          <w:color w:val="000000" w:themeColor="text1"/>
          <w:sz w:val="24"/>
        </w:rPr>
        <w:t>（6）</w:t>
      </w:r>
      <w:r>
        <w:rPr>
          <w:rFonts w:hint="eastAsia" w:hAnsi="宋体" w:cs="宋体"/>
          <w:color w:val="000000" w:themeColor="text1"/>
          <w:sz w:val="24"/>
          <w:lang w:val="zh-CN"/>
        </w:rPr>
        <w:t>凡投标人投标保证金交纳至同一标段相同子账号的，保证金暂不予退还，</w:t>
      </w:r>
      <w:r>
        <w:rPr>
          <w:rFonts w:hint="eastAsia" w:hAnsi="宋体" w:eastAsia="Times New Roman" w:cs="宋体"/>
          <w:color w:val="000000" w:themeColor="text1"/>
          <w:sz w:val="24"/>
          <w:lang w:val="zh-CN"/>
        </w:rPr>
        <w:t>并</w:t>
      </w:r>
      <w:r>
        <w:rPr>
          <w:rFonts w:hint="eastAsia" w:hAnsi="宋体" w:cs="宋体"/>
          <w:color w:val="000000" w:themeColor="text1"/>
          <w:sz w:val="24"/>
          <w:lang w:val="zh-CN"/>
        </w:rPr>
        <w:t>依照《许昌市公共资源交易当事人不良行为管理暂行办法》（许公管委〔2017〕1号）规定，进行调查、认定、记录、公示</w:t>
      </w:r>
      <w:r>
        <w:rPr>
          <w:rFonts w:hint="eastAsia" w:hAnsi="宋体" w:eastAsia="Times New Roman" w:cs="宋体"/>
          <w:color w:val="000000" w:themeColor="text1"/>
          <w:sz w:val="24"/>
          <w:lang w:val="zh-CN"/>
        </w:rPr>
        <w:t>、</w:t>
      </w:r>
      <w:r>
        <w:rPr>
          <w:rFonts w:hint="eastAsia" w:hAnsi="宋体" w:cs="宋体"/>
          <w:color w:val="000000" w:themeColor="text1"/>
          <w:sz w:val="24"/>
          <w:lang w:val="zh-CN"/>
        </w:rPr>
        <w:t>公告。对涉嫌串通投标</w:t>
      </w:r>
      <w:r>
        <w:rPr>
          <w:rFonts w:hint="eastAsia" w:hAnsi="宋体" w:eastAsia="Times New Roman" w:cs="宋体"/>
          <w:color w:val="000000" w:themeColor="text1"/>
          <w:sz w:val="24"/>
          <w:lang w:val="zh-CN"/>
        </w:rPr>
        <w:t>等违规行为的</w:t>
      </w:r>
      <w:r>
        <w:rPr>
          <w:rFonts w:hint="eastAsia" w:hAnsi="宋体" w:cs="宋体"/>
          <w:color w:val="000000" w:themeColor="text1"/>
          <w:sz w:val="24"/>
          <w:lang w:val="zh-CN"/>
        </w:rPr>
        <w:t>，经调查核实后，记录不良行为，移交有关部门进行查处。不予退还的保证金上缴国库。</w:t>
      </w:r>
    </w:p>
    <w:p>
      <w:pPr>
        <w:tabs>
          <w:tab w:val="left" w:pos="1260"/>
        </w:tabs>
        <w:autoSpaceDE w:val="0"/>
        <w:autoSpaceDN w:val="0"/>
        <w:adjustRightInd w:val="0"/>
        <w:spacing w:line="460" w:lineRule="exact"/>
        <w:ind w:firstLine="480" w:firstLineChars="200"/>
        <w:jc w:val="left"/>
        <w:rPr>
          <w:rFonts w:hAnsi="宋体" w:cs="宋体"/>
          <w:color w:val="000000" w:themeColor="text1"/>
          <w:sz w:val="24"/>
        </w:rPr>
      </w:pPr>
      <w:r>
        <w:rPr>
          <w:rFonts w:hint="eastAsia" w:hAnsi="宋体" w:cs="宋体"/>
          <w:color w:val="000000" w:themeColor="text1"/>
          <w:sz w:val="24"/>
        </w:rPr>
        <w:t xml:space="preserve">（7）相关法律、法规规定不予退还的其它情形。 </w:t>
      </w:r>
    </w:p>
    <w:p>
      <w:pPr>
        <w:autoSpaceDE w:val="0"/>
        <w:autoSpaceDN w:val="0"/>
        <w:spacing w:after="160" w:line="410" w:lineRule="exact"/>
        <w:jc w:val="left"/>
        <w:rPr>
          <w:rFonts w:ascii="宋体" w:hAnsi="宋体" w:eastAsia="宋体"/>
          <w:b/>
          <w:color w:val="000000" w:themeColor="text1"/>
        </w:rPr>
      </w:pPr>
      <w:r>
        <w:rPr>
          <w:rFonts w:ascii="宋体" w:hAnsi="宋体" w:eastAsia="宋体"/>
          <w:b/>
          <w:color w:val="000000" w:themeColor="text1"/>
        </w:rPr>
        <w:t>3.5 资格审查资料</w:t>
      </w:r>
    </w:p>
    <w:p>
      <w:pPr>
        <w:tabs>
          <w:tab w:val="left" w:pos="1260"/>
        </w:tabs>
        <w:autoSpaceDE w:val="0"/>
        <w:autoSpaceDN w:val="0"/>
        <w:spacing w:after="160" w:line="460" w:lineRule="exact"/>
        <w:ind w:firstLine="480"/>
        <w:jc w:val="left"/>
        <w:rPr>
          <w:rFonts w:ascii="宋体" w:hAnsi="宋体" w:eastAsia="宋体"/>
          <w:color w:val="000000" w:themeColor="text1"/>
        </w:rPr>
      </w:pPr>
      <w:r>
        <w:rPr>
          <w:rFonts w:ascii="宋体" w:hAnsi="宋体" w:eastAsia="宋体"/>
          <w:color w:val="000000" w:themeColor="text1"/>
        </w:rPr>
        <w:t>3.5.1 “投标人基本情况表”后应附投标人营业执照副本、资质证书副本、安全生产许可证、项目经理证等材料的扫描件。联合体各方均需提供，安全生产许可证由联合体施工方提供即可。</w:t>
      </w:r>
    </w:p>
    <w:p>
      <w:pPr>
        <w:tabs>
          <w:tab w:val="left" w:pos="1260"/>
        </w:tabs>
        <w:autoSpaceDE w:val="0"/>
        <w:autoSpaceDN w:val="0"/>
        <w:spacing w:after="160" w:line="460" w:lineRule="exact"/>
        <w:ind w:firstLine="480"/>
        <w:jc w:val="left"/>
        <w:rPr>
          <w:rFonts w:ascii="宋体" w:hAnsi="宋体" w:eastAsia="宋体"/>
          <w:color w:val="000000" w:themeColor="text1"/>
        </w:rPr>
      </w:pPr>
      <w:r>
        <w:rPr>
          <w:rFonts w:ascii="宋体" w:hAnsi="宋体" w:eastAsia="宋体"/>
          <w:color w:val="000000" w:themeColor="text1"/>
        </w:rPr>
        <w:t>3.5.2 “近年财务状况表”应附经会计师事务所或审计机构审计的财务会计报表，包括资产负债表、现金流量表、利润表和财务情况说明书（附注）的扫描件，具体年份要求见投标人须知前附表。以联合体单位投标的，由联合体牵头人提供。</w:t>
      </w:r>
    </w:p>
    <w:p>
      <w:pPr>
        <w:tabs>
          <w:tab w:val="left" w:pos="1260"/>
        </w:tabs>
        <w:autoSpaceDE w:val="0"/>
        <w:autoSpaceDN w:val="0"/>
        <w:spacing w:after="160" w:line="460" w:lineRule="exact"/>
        <w:ind w:firstLine="480"/>
        <w:jc w:val="left"/>
        <w:rPr>
          <w:rFonts w:ascii="宋体" w:hAnsi="宋体" w:eastAsia="宋体"/>
          <w:color w:val="000000" w:themeColor="text1"/>
        </w:rPr>
      </w:pPr>
      <w:r>
        <w:rPr>
          <w:rFonts w:ascii="宋体" w:hAnsi="宋体" w:eastAsia="宋体"/>
          <w:color w:val="000000" w:themeColor="text1"/>
        </w:rPr>
        <w:t>3.5.3 “近年完成的类似项目情况表”需附中标通知书和合同协议书或合同协议书的扫描件（以招标公告中所注明的提供要求为准），具体年份要求见投标人须知前附表。每张表格只填写一个项目，并标明序号。如若中标，须在公示环节备查，不实者将取消中标资格且上报列入失信名单。</w:t>
      </w:r>
    </w:p>
    <w:p>
      <w:pPr>
        <w:tabs>
          <w:tab w:val="left" w:pos="1260"/>
        </w:tabs>
        <w:autoSpaceDE w:val="0"/>
        <w:autoSpaceDN w:val="0"/>
        <w:spacing w:after="160" w:line="460" w:lineRule="exact"/>
        <w:ind w:firstLine="480"/>
        <w:jc w:val="left"/>
        <w:rPr>
          <w:rFonts w:ascii="宋体" w:hAnsi="宋体" w:eastAsia="宋体"/>
          <w:color w:val="000000" w:themeColor="text1"/>
        </w:rPr>
      </w:pPr>
      <w:r>
        <w:rPr>
          <w:rFonts w:ascii="宋体" w:hAnsi="宋体" w:eastAsia="宋体"/>
          <w:color w:val="000000" w:themeColor="text1"/>
        </w:rPr>
        <w:t>3.5.4 “正在施工和新承接的项目情况表”应附中标通知书和合同协议书或合同协议书扫描件（以招标公告中所注明的提供要求为准）。每张表格只填写一个项目，并标明序号。</w:t>
      </w:r>
    </w:p>
    <w:p>
      <w:pPr>
        <w:tabs>
          <w:tab w:val="left" w:pos="1260"/>
        </w:tabs>
        <w:autoSpaceDE w:val="0"/>
        <w:autoSpaceDN w:val="0"/>
        <w:spacing w:after="160" w:line="460" w:lineRule="exact"/>
        <w:ind w:firstLine="480"/>
        <w:jc w:val="left"/>
        <w:rPr>
          <w:rFonts w:ascii="宋体" w:hAnsi="宋体" w:eastAsia="宋体"/>
          <w:color w:val="000000" w:themeColor="text1"/>
        </w:rPr>
      </w:pPr>
      <w:r>
        <w:rPr>
          <w:rFonts w:ascii="宋体" w:hAnsi="宋体" w:eastAsia="宋体"/>
          <w:color w:val="000000" w:themeColor="text1"/>
        </w:rPr>
        <w:t>3.5.5“近年发生的诉讼及仲裁情况”应说明相关情况，并附法院或仲裁机构作出的判决、裁决等有关法律文书的扫描件，具体年份要求见投标人须知前附表。</w:t>
      </w:r>
    </w:p>
    <w:p>
      <w:pPr>
        <w:autoSpaceDE w:val="0"/>
        <w:autoSpaceDN w:val="0"/>
        <w:spacing w:after="160" w:line="410" w:lineRule="exact"/>
        <w:jc w:val="left"/>
        <w:rPr>
          <w:rFonts w:ascii="宋体" w:hAnsi="宋体" w:eastAsia="宋体"/>
          <w:b/>
          <w:color w:val="000000" w:themeColor="text1"/>
        </w:rPr>
      </w:pPr>
      <w:r>
        <w:rPr>
          <w:rFonts w:ascii="宋体" w:hAnsi="宋体" w:eastAsia="宋体"/>
          <w:b/>
          <w:color w:val="000000" w:themeColor="text1"/>
        </w:rPr>
        <w:t xml:space="preserve">3.6 </w:t>
      </w:r>
      <w:bookmarkStart w:id="58" w:name="_Toc152042329"/>
      <w:bookmarkStart w:id="59" w:name="_Toc144974521"/>
      <w:bookmarkStart w:id="60" w:name="_Toc179632571"/>
      <w:bookmarkStart w:id="61" w:name="_Toc152045553"/>
      <w:r>
        <w:rPr>
          <w:rFonts w:ascii="宋体" w:hAnsi="宋体" w:eastAsia="宋体"/>
          <w:b/>
          <w:color w:val="000000" w:themeColor="text1"/>
        </w:rPr>
        <w:t>备选投标方案</w:t>
      </w:r>
      <w:bookmarkEnd w:id="58"/>
      <w:bookmarkEnd w:id="59"/>
      <w:bookmarkEnd w:id="60"/>
      <w:bookmarkEnd w:id="61"/>
    </w:p>
    <w:p>
      <w:pPr>
        <w:autoSpaceDE w:val="0"/>
        <w:autoSpaceDN w:val="0"/>
        <w:spacing w:after="160" w:line="440" w:lineRule="exact"/>
        <w:ind w:firstLine="480"/>
        <w:jc w:val="left"/>
        <w:rPr>
          <w:rFonts w:ascii="宋体" w:hAnsi="宋体" w:eastAsia="宋体"/>
          <w:color w:val="000000" w:themeColor="text1"/>
        </w:rPr>
      </w:pPr>
      <w:r>
        <w:rPr>
          <w:rFonts w:ascii="宋体" w:hAnsi="宋体" w:eastAsia="宋体"/>
          <w:color w:val="000000" w:themeColor="text1"/>
        </w:rPr>
        <w:t>招标人不接受备选投标方案。</w:t>
      </w:r>
    </w:p>
    <w:p>
      <w:pPr>
        <w:autoSpaceDE w:val="0"/>
        <w:autoSpaceDN w:val="0"/>
        <w:spacing w:after="160" w:line="410" w:lineRule="exact"/>
        <w:jc w:val="left"/>
        <w:rPr>
          <w:rFonts w:ascii="宋体" w:hAnsi="宋体" w:eastAsia="宋体"/>
          <w:b/>
          <w:color w:val="000000" w:themeColor="text1"/>
        </w:rPr>
      </w:pPr>
      <w:r>
        <w:rPr>
          <w:rFonts w:ascii="宋体" w:hAnsi="宋体" w:eastAsia="宋体"/>
          <w:b/>
          <w:color w:val="000000" w:themeColor="text1"/>
        </w:rPr>
        <w:t>3.7 投标文件的编制</w:t>
      </w:r>
      <w:bookmarkEnd w:id="57"/>
    </w:p>
    <w:p>
      <w:pPr>
        <w:spacing w:after="160" w:line="400" w:lineRule="exact"/>
        <w:ind w:firstLine="480"/>
        <w:rPr>
          <w:rFonts w:ascii="宋体" w:hAnsi="宋体" w:eastAsia="宋体"/>
          <w:color w:val="000000" w:themeColor="text1"/>
        </w:rPr>
      </w:pPr>
      <w:bookmarkStart w:id="62" w:name="_Toc283559961"/>
      <w:r>
        <w:rPr>
          <w:rFonts w:ascii="宋体" w:hAnsi="宋体" w:eastAsia="宋体"/>
          <w:color w:val="000000" w:themeColor="text1"/>
        </w:rPr>
        <w:t>3.7.1投标文件应按第七章“投标文件格式”进行编写，如有必要，可以增加附页，作为投标文件的组成部分。其中，投标函附录在满足招标文件要求的基础上，可以提出比招标文件要求更有利于招标人的承诺。投标人编制的投标文件应当满足招标文件规定的基本格式要求。</w:t>
      </w:r>
    </w:p>
    <w:p>
      <w:pPr>
        <w:autoSpaceDE w:val="0"/>
        <w:autoSpaceDN w:val="0"/>
        <w:spacing w:after="160" w:line="440" w:lineRule="exact"/>
        <w:ind w:firstLine="480"/>
        <w:jc w:val="left"/>
        <w:rPr>
          <w:rFonts w:ascii="宋体" w:hAnsi="宋体" w:eastAsia="宋体"/>
          <w:color w:val="000000" w:themeColor="text1"/>
        </w:rPr>
      </w:pPr>
      <w:bookmarkStart w:id="63" w:name="_Toc11077"/>
      <w:r>
        <w:rPr>
          <w:rFonts w:ascii="宋体" w:hAnsi="宋体" w:eastAsia="宋体"/>
          <w:color w:val="000000" w:themeColor="text1"/>
        </w:rPr>
        <w:t>3.7.2 投标文件应当对招标文件有关工期、投标有效期、质量要求、招标范围等内容作出响应。</w:t>
      </w:r>
      <w:bookmarkEnd w:id="63"/>
    </w:p>
    <w:p>
      <w:pPr>
        <w:autoSpaceDE w:val="0"/>
        <w:autoSpaceDN w:val="0"/>
        <w:spacing w:after="160" w:line="440" w:lineRule="exact"/>
        <w:ind w:firstLine="480"/>
        <w:jc w:val="left"/>
        <w:rPr>
          <w:rFonts w:ascii="宋体" w:hAnsi="宋体" w:eastAsia="宋体"/>
          <w:color w:val="000000" w:themeColor="text1"/>
        </w:rPr>
      </w:pPr>
      <w:bookmarkStart w:id="64" w:name="_Toc23149"/>
      <w:r>
        <w:rPr>
          <w:rFonts w:ascii="宋体" w:hAnsi="宋体" w:eastAsia="宋体"/>
          <w:color w:val="000000" w:themeColor="text1"/>
        </w:rPr>
        <w:t>3.7.3 投标文件应用不褪色的材料书写或打印，并由投标人的法定代表人或其委托代理人签字或盖单位章。委托代理人签字的，投标文件应附法定代表人签署的授权委托书。投标文件不允许涂改、行间插字或删除。签字或盖章的具体要求见投标人须知前附表。</w:t>
      </w:r>
      <w:bookmarkEnd w:id="64"/>
    </w:p>
    <w:p>
      <w:pPr>
        <w:autoSpaceDE w:val="0"/>
        <w:autoSpaceDN w:val="0"/>
        <w:spacing w:after="160" w:line="460" w:lineRule="exact"/>
        <w:ind w:firstLine="480"/>
        <w:jc w:val="left"/>
        <w:rPr>
          <w:rFonts w:ascii="宋体" w:hAnsi="宋体" w:eastAsia="宋体"/>
          <w:b/>
          <w:color w:val="000000" w:themeColor="text1"/>
        </w:rPr>
      </w:pPr>
      <w:r>
        <w:rPr>
          <w:rFonts w:ascii="宋体" w:hAnsi="宋体" w:eastAsia="宋体"/>
          <w:color w:val="000000" w:themeColor="text1"/>
        </w:rPr>
        <w:t>3.7.4 投标人登录许昌公共资源交易系统下载“许昌投标文件制作系统SEARUN V1.1”，按招标文件要求制作电子投标文件</w:t>
      </w:r>
      <w:r>
        <w:rPr>
          <w:rFonts w:ascii="宋体" w:hAnsi="宋体" w:eastAsia="宋体"/>
          <w:b/>
          <w:color w:val="000000" w:themeColor="text1"/>
        </w:rPr>
        <w:t>。</w:t>
      </w:r>
    </w:p>
    <w:p>
      <w:pPr>
        <w:pStyle w:val="28"/>
        <w:spacing w:after="120"/>
        <w:ind w:firstLine="600" w:firstLineChars="286"/>
        <w:jc w:val="both"/>
        <w:rPr>
          <w:rFonts w:ascii="宋体" w:hAnsi="宋体" w:eastAsia="宋体"/>
          <w:color w:val="000000" w:themeColor="text1"/>
          <w:sz w:val="21"/>
          <w:szCs w:val="21"/>
        </w:rPr>
      </w:pPr>
      <w:r>
        <w:rPr>
          <w:rFonts w:ascii="宋体" w:hAnsi="宋体" w:eastAsia="宋体"/>
          <w:color w:val="000000" w:themeColor="text1"/>
          <w:sz w:val="21"/>
          <w:szCs w:val="21"/>
        </w:rPr>
        <w:t>3.7.</w:t>
      </w:r>
      <w:r>
        <w:rPr>
          <w:rFonts w:hint="eastAsia" w:ascii="宋体" w:hAnsi="宋体" w:eastAsia="宋体"/>
          <w:color w:val="000000" w:themeColor="text1"/>
          <w:sz w:val="21"/>
          <w:szCs w:val="21"/>
          <w:lang w:val="en-US" w:eastAsia="zh-CN"/>
        </w:rPr>
        <w:t>5</w:t>
      </w:r>
      <w:r>
        <w:rPr>
          <w:rFonts w:ascii="宋体" w:hAnsi="宋体" w:eastAsia="宋体"/>
          <w:color w:val="000000" w:themeColor="text1"/>
          <w:sz w:val="21"/>
          <w:szCs w:val="21"/>
        </w:rPr>
        <w:t xml:space="preserve"> 同时生成与电子投标文件内容、水印码、电子签章一致的PDF文件。</w:t>
      </w:r>
    </w:p>
    <w:p>
      <w:pPr>
        <w:pStyle w:val="28"/>
        <w:spacing w:after="120"/>
        <w:ind w:firstLine="211"/>
        <w:jc w:val="both"/>
        <w:rPr>
          <w:rFonts w:ascii="宋体" w:hAnsi="宋体" w:eastAsia="宋体"/>
          <w:b/>
          <w:color w:val="000000" w:themeColor="text1"/>
          <w:sz w:val="21"/>
          <w:szCs w:val="21"/>
        </w:rPr>
      </w:pPr>
      <w:r>
        <w:rPr>
          <w:rFonts w:ascii="宋体" w:hAnsi="宋体" w:eastAsia="宋体"/>
          <w:b/>
          <w:color w:val="000000" w:themeColor="text1"/>
          <w:sz w:val="21"/>
          <w:szCs w:val="21"/>
        </w:rPr>
        <w:t>3.7.</w:t>
      </w:r>
      <w:r>
        <w:rPr>
          <w:rFonts w:hint="eastAsia" w:ascii="宋体" w:hAnsi="宋体" w:eastAsia="宋体"/>
          <w:b/>
          <w:color w:val="000000" w:themeColor="text1"/>
          <w:sz w:val="21"/>
          <w:szCs w:val="21"/>
          <w:lang w:val="en-US" w:eastAsia="zh-CN"/>
        </w:rPr>
        <w:t>6</w:t>
      </w:r>
      <w:r>
        <w:rPr>
          <w:rFonts w:ascii="宋体" w:hAnsi="宋体" w:eastAsia="宋体"/>
          <w:b/>
          <w:color w:val="000000" w:themeColor="text1"/>
          <w:sz w:val="21"/>
          <w:szCs w:val="21"/>
        </w:rPr>
        <w:t>商务标投标文件制作注意事项：</w:t>
      </w:r>
    </w:p>
    <w:p>
      <w:pPr>
        <w:pStyle w:val="28"/>
        <w:spacing w:after="120"/>
        <w:ind w:firstLine="240"/>
        <w:jc w:val="both"/>
        <w:rPr>
          <w:rFonts w:ascii="宋体" w:hAnsi="宋体" w:eastAsia="宋体"/>
          <w:color w:val="000000" w:themeColor="text1"/>
          <w:sz w:val="24"/>
          <w:szCs w:val="24"/>
        </w:rPr>
      </w:pPr>
      <w:r>
        <w:rPr>
          <w:rFonts w:ascii="宋体" w:hAnsi="宋体" w:eastAsia="宋体"/>
          <w:color w:val="000000" w:themeColor="text1"/>
          <w:sz w:val="24"/>
          <w:szCs w:val="24"/>
        </w:rPr>
        <w:t>3.7.7.1 投标人登录【全国公共资源交易平台（河南省·许昌市）】公共资源交易系统下载“许昌投标文件制作系统SEARUN V1.1” 和操作手册（工程项目），按招标文件要求制作商务标投标文件。</w:t>
      </w:r>
    </w:p>
    <w:p>
      <w:pPr>
        <w:pStyle w:val="28"/>
        <w:spacing w:after="120"/>
        <w:ind w:firstLine="240"/>
        <w:jc w:val="both"/>
        <w:rPr>
          <w:rFonts w:ascii="宋体" w:hAnsi="宋体" w:eastAsia="宋体"/>
          <w:color w:val="000000" w:themeColor="text1"/>
          <w:sz w:val="24"/>
          <w:szCs w:val="24"/>
        </w:rPr>
      </w:pPr>
      <w:r>
        <w:rPr>
          <w:rFonts w:ascii="宋体" w:hAnsi="宋体" w:eastAsia="宋体"/>
          <w:color w:val="000000" w:themeColor="text1"/>
          <w:sz w:val="24"/>
          <w:szCs w:val="24"/>
        </w:rPr>
        <w:t>3.7.7.2 商务标投标文件制作技术咨询：0374-2961598。</w:t>
      </w:r>
    </w:p>
    <w:p>
      <w:pPr>
        <w:pStyle w:val="28"/>
        <w:spacing w:after="120"/>
        <w:ind w:firstLine="240"/>
        <w:jc w:val="both"/>
        <w:rPr>
          <w:rFonts w:ascii="宋体" w:hAnsi="宋体" w:eastAsia="宋体"/>
          <w:color w:val="000000" w:themeColor="text1"/>
          <w:sz w:val="24"/>
          <w:szCs w:val="24"/>
        </w:rPr>
      </w:pPr>
      <w:r>
        <w:rPr>
          <w:rFonts w:ascii="宋体" w:hAnsi="宋体" w:eastAsia="宋体"/>
          <w:color w:val="000000" w:themeColor="text1"/>
          <w:sz w:val="24"/>
          <w:szCs w:val="24"/>
        </w:rPr>
        <w:t>3.7.8 当生成的电子投标文件投标报价大小写不一致时，以大写为准。</w:t>
      </w:r>
    </w:p>
    <w:p>
      <w:pPr>
        <w:pStyle w:val="48"/>
        <w:spacing w:after="160" w:line="480" w:lineRule="exact"/>
        <w:jc w:val="both"/>
        <w:rPr>
          <w:b/>
          <w:color w:val="000000" w:themeColor="text1"/>
          <w:sz w:val="21"/>
          <w:szCs w:val="21"/>
        </w:rPr>
      </w:pPr>
      <w:r>
        <w:rPr>
          <w:b/>
          <w:color w:val="000000" w:themeColor="text1"/>
          <w:sz w:val="21"/>
          <w:szCs w:val="21"/>
        </w:rPr>
        <w:t>4. 投标</w:t>
      </w:r>
      <w:bookmarkEnd w:id="62"/>
    </w:p>
    <w:p>
      <w:pPr>
        <w:autoSpaceDE w:val="0"/>
        <w:autoSpaceDN w:val="0"/>
        <w:spacing w:after="160" w:line="440" w:lineRule="exact"/>
        <w:jc w:val="left"/>
        <w:rPr>
          <w:rFonts w:ascii="宋体" w:hAnsi="宋体" w:eastAsia="宋体"/>
          <w:b/>
          <w:color w:val="000000" w:themeColor="text1"/>
        </w:rPr>
      </w:pPr>
      <w:bookmarkStart w:id="65" w:name="_Toc283559962"/>
      <w:r>
        <w:rPr>
          <w:rFonts w:ascii="宋体" w:hAnsi="宋体" w:eastAsia="宋体"/>
          <w:b/>
          <w:color w:val="000000" w:themeColor="text1"/>
        </w:rPr>
        <w:t xml:space="preserve">4.1 </w:t>
      </w:r>
      <w:bookmarkEnd w:id="65"/>
      <w:r>
        <w:rPr>
          <w:rFonts w:ascii="宋体" w:hAnsi="宋体" w:eastAsia="宋体"/>
          <w:b/>
          <w:color w:val="000000" w:themeColor="text1"/>
        </w:rPr>
        <w:t>投标文件的递交</w:t>
      </w:r>
    </w:p>
    <w:p>
      <w:pPr>
        <w:autoSpaceDE w:val="0"/>
        <w:autoSpaceDN w:val="0"/>
        <w:spacing w:line="440" w:lineRule="exact"/>
        <w:ind w:firstLine="480" w:firstLineChars="200"/>
        <w:jc w:val="left"/>
        <w:outlineLvl w:val="0"/>
        <w:rPr>
          <w:rFonts w:hAnsi="宋体" w:cs="宋体"/>
          <w:strike/>
          <w:color w:val="000000" w:themeColor="text1"/>
          <w:sz w:val="24"/>
        </w:rPr>
      </w:pPr>
      <w:bookmarkStart w:id="66" w:name="_Toc283559963"/>
      <w:r>
        <w:rPr>
          <w:rFonts w:hint="eastAsia" w:hAnsi="宋体" w:cs="宋体"/>
          <w:color w:val="000000" w:themeColor="text1"/>
          <w:sz w:val="24"/>
        </w:rPr>
        <w:t>4.1.1 投标人应在投标人须知前附表中规定的投标截止时间前成功上传电子投标文件。</w:t>
      </w:r>
    </w:p>
    <w:p>
      <w:pPr>
        <w:autoSpaceDE w:val="0"/>
        <w:autoSpaceDN w:val="0"/>
        <w:spacing w:line="440" w:lineRule="exact"/>
        <w:ind w:firstLine="480" w:firstLineChars="200"/>
        <w:jc w:val="left"/>
        <w:outlineLvl w:val="0"/>
        <w:rPr>
          <w:rFonts w:hAnsi="宋体" w:cs="宋体"/>
          <w:color w:val="000000" w:themeColor="text1"/>
          <w:sz w:val="24"/>
        </w:rPr>
      </w:pPr>
      <w:r>
        <w:rPr>
          <w:rFonts w:hint="eastAsia" w:hAnsi="宋体" w:cs="宋体"/>
          <w:color w:val="000000" w:themeColor="text1"/>
          <w:sz w:val="24"/>
        </w:rPr>
        <w:t>4.1.2 除投标人须知前附表另有规定外，投标人所提交的电子投标文件不予退还。</w:t>
      </w:r>
    </w:p>
    <w:p>
      <w:pPr>
        <w:autoSpaceDE w:val="0"/>
        <w:autoSpaceDN w:val="0"/>
        <w:spacing w:line="440" w:lineRule="exact"/>
        <w:ind w:firstLine="480" w:firstLineChars="200"/>
        <w:jc w:val="left"/>
        <w:outlineLvl w:val="0"/>
        <w:rPr>
          <w:rFonts w:hAnsi="宋体" w:cs="宋体"/>
          <w:color w:val="000000" w:themeColor="text1"/>
          <w:sz w:val="24"/>
        </w:rPr>
      </w:pPr>
      <w:r>
        <w:rPr>
          <w:rFonts w:hint="eastAsia" w:hAnsi="宋体" w:cs="宋体"/>
          <w:color w:val="000000" w:themeColor="text1"/>
          <w:sz w:val="24"/>
        </w:rPr>
        <w:t>4.1.3 逾期未成功上传的电子投标文件，招标人不予受理。</w:t>
      </w:r>
    </w:p>
    <w:bookmarkEnd w:id="66"/>
    <w:p>
      <w:pPr>
        <w:autoSpaceDE w:val="0"/>
        <w:autoSpaceDN w:val="0"/>
        <w:spacing w:after="160" w:line="440" w:lineRule="exact"/>
        <w:jc w:val="left"/>
        <w:rPr>
          <w:rFonts w:ascii="宋体" w:hAnsi="宋体" w:eastAsia="宋体"/>
          <w:b/>
          <w:color w:val="000000" w:themeColor="text1"/>
        </w:rPr>
      </w:pPr>
      <w:bookmarkStart w:id="67" w:name="_Toc283559964"/>
      <w:r>
        <w:rPr>
          <w:rFonts w:ascii="宋体" w:hAnsi="宋体" w:eastAsia="宋体"/>
          <w:b/>
          <w:color w:val="000000" w:themeColor="text1"/>
        </w:rPr>
        <w:t>4</w:t>
      </w:r>
      <w:r>
        <w:rPr>
          <w:rFonts w:hint="eastAsia" w:ascii="宋体" w:hAnsi="宋体" w:eastAsia="宋体"/>
          <w:b/>
          <w:color w:val="000000" w:themeColor="text1"/>
          <w:lang w:val="en-US" w:eastAsia="zh-CN"/>
        </w:rPr>
        <w:t>.2</w:t>
      </w:r>
      <w:r>
        <w:rPr>
          <w:rFonts w:ascii="宋体" w:hAnsi="宋体" w:eastAsia="宋体"/>
          <w:b/>
          <w:color w:val="000000" w:themeColor="text1"/>
        </w:rPr>
        <w:t xml:space="preserve"> 投标文件的修改与撤回</w:t>
      </w:r>
      <w:bookmarkEnd w:id="67"/>
    </w:p>
    <w:p>
      <w:pPr>
        <w:autoSpaceDE w:val="0"/>
        <w:autoSpaceDN w:val="0"/>
        <w:spacing w:after="160" w:line="440" w:lineRule="exact"/>
        <w:ind w:firstLine="480"/>
        <w:jc w:val="left"/>
        <w:rPr>
          <w:rFonts w:ascii="宋体" w:hAnsi="宋体" w:eastAsia="宋体"/>
          <w:color w:val="000000" w:themeColor="text1"/>
        </w:rPr>
      </w:pPr>
      <w:r>
        <w:rPr>
          <w:rFonts w:ascii="宋体" w:hAnsi="宋体" w:eastAsia="宋体"/>
          <w:color w:val="000000" w:themeColor="text1"/>
        </w:rPr>
        <w:t>4.</w:t>
      </w:r>
      <w:r>
        <w:rPr>
          <w:rFonts w:hint="eastAsia" w:ascii="宋体" w:hAnsi="宋体" w:eastAsia="宋体"/>
          <w:color w:val="000000" w:themeColor="text1"/>
          <w:lang w:val="en-US" w:eastAsia="zh-CN"/>
        </w:rPr>
        <w:t>2</w:t>
      </w:r>
      <w:r>
        <w:rPr>
          <w:rFonts w:ascii="宋体" w:hAnsi="宋体" w:eastAsia="宋体"/>
          <w:color w:val="000000" w:themeColor="text1"/>
        </w:rPr>
        <w:t>.1 在本章第2.2.2 项规定的投标截止时间前，投标人可以修改或撤回已递交的投标文件，但应以书面形式通知招标人。</w:t>
      </w:r>
    </w:p>
    <w:p>
      <w:pPr>
        <w:autoSpaceDE w:val="0"/>
        <w:autoSpaceDN w:val="0"/>
        <w:spacing w:after="160" w:line="440" w:lineRule="exact"/>
        <w:ind w:firstLine="480"/>
        <w:jc w:val="left"/>
        <w:rPr>
          <w:rFonts w:ascii="宋体" w:hAnsi="宋体" w:eastAsia="宋体"/>
          <w:color w:val="000000" w:themeColor="text1"/>
        </w:rPr>
      </w:pPr>
      <w:r>
        <w:rPr>
          <w:rFonts w:ascii="宋体" w:hAnsi="宋体" w:eastAsia="宋体"/>
          <w:color w:val="000000" w:themeColor="text1"/>
        </w:rPr>
        <w:t>4</w:t>
      </w:r>
      <w:r>
        <w:rPr>
          <w:rFonts w:hint="eastAsia" w:ascii="宋体" w:hAnsi="宋体" w:eastAsia="宋体"/>
          <w:color w:val="000000" w:themeColor="text1"/>
          <w:lang w:val="en-US" w:eastAsia="zh-CN"/>
        </w:rPr>
        <w:t>.2</w:t>
      </w:r>
      <w:r>
        <w:rPr>
          <w:rFonts w:ascii="宋体" w:hAnsi="宋体" w:eastAsia="宋体"/>
          <w:color w:val="000000" w:themeColor="text1"/>
        </w:rPr>
        <w:t>.2 投标人修改或撤回已递交投标文件的书面通知应按照本章第3.7.3 项的要求签字或盖章。招标人收到书面通知后，向投标人出具签收凭证。</w:t>
      </w:r>
    </w:p>
    <w:p>
      <w:pPr>
        <w:autoSpaceDE w:val="0"/>
        <w:autoSpaceDN w:val="0"/>
        <w:spacing w:after="160" w:line="440" w:lineRule="exact"/>
        <w:ind w:firstLine="480"/>
        <w:jc w:val="left"/>
        <w:rPr>
          <w:rFonts w:ascii="宋体" w:hAnsi="宋体" w:eastAsia="宋体"/>
          <w:color w:val="000000" w:themeColor="text1"/>
        </w:rPr>
      </w:pPr>
      <w:r>
        <w:rPr>
          <w:rFonts w:ascii="宋体" w:hAnsi="宋体" w:eastAsia="宋体"/>
          <w:color w:val="000000" w:themeColor="text1"/>
        </w:rPr>
        <w:t>4.</w:t>
      </w:r>
      <w:r>
        <w:rPr>
          <w:rFonts w:hint="eastAsia" w:ascii="宋体" w:hAnsi="宋体" w:eastAsia="宋体"/>
          <w:color w:val="000000" w:themeColor="text1"/>
          <w:lang w:val="en-US" w:eastAsia="zh-CN"/>
        </w:rPr>
        <w:t>2</w:t>
      </w:r>
      <w:r>
        <w:rPr>
          <w:rFonts w:ascii="宋体" w:hAnsi="宋体" w:eastAsia="宋体"/>
          <w:color w:val="000000" w:themeColor="text1"/>
        </w:rPr>
        <w:t>.3 修改的内容为投标文件的组成部分。修改的投标文件应按照本章第3条、第4条规定进行编制、密封、标记和递交，并标明“修改”字样。</w:t>
      </w:r>
    </w:p>
    <w:p>
      <w:pPr>
        <w:autoSpaceDE w:val="0"/>
        <w:autoSpaceDN w:val="0"/>
        <w:spacing w:after="160" w:line="440" w:lineRule="exact"/>
        <w:ind w:firstLine="480"/>
        <w:jc w:val="left"/>
        <w:rPr>
          <w:rFonts w:ascii="宋体" w:hAnsi="宋体" w:eastAsia="宋体"/>
          <w:color w:val="000000" w:themeColor="text1"/>
        </w:rPr>
      </w:pPr>
      <w:r>
        <w:rPr>
          <w:rFonts w:ascii="宋体" w:hAnsi="宋体" w:eastAsia="宋体"/>
          <w:color w:val="000000" w:themeColor="text1"/>
        </w:rPr>
        <w:t>4.</w:t>
      </w:r>
      <w:r>
        <w:rPr>
          <w:rFonts w:hint="eastAsia" w:ascii="宋体" w:hAnsi="宋体" w:eastAsia="宋体"/>
          <w:color w:val="000000" w:themeColor="text1"/>
          <w:lang w:val="en-US" w:eastAsia="zh-CN"/>
        </w:rPr>
        <w:t>2</w:t>
      </w:r>
      <w:r>
        <w:rPr>
          <w:rFonts w:ascii="宋体" w:hAnsi="宋体" w:eastAsia="宋体"/>
          <w:color w:val="000000" w:themeColor="text1"/>
        </w:rPr>
        <w:t>.4 投标人应当在投标截止时间前完成电子投标文件的提交，可以补充、修改或撤回。投标截止时间前未完成电子投标文件提交、取得“投标文件提交回执单”的，视为撤回投标文件。</w:t>
      </w:r>
    </w:p>
    <w:p>
      <w:pPr>
        <w:pStyle w:val="48"/>
        <w:spacing w:line="440" w:lineRule="exact"/>
        <w:jc w:val="both"/>
        <w:outlineLvl w:val="0"/>
        <w:rPr>
          <w:rFonts w:hAnsi="宋体"/>
          <w:b/>
          <w:color w:val="000000" w:themeColor="text1"/>
        </w:rPr>
      </w:pPr>
      <w:bookmarkStart w:id="68" w:name="_Toc283559967"/>
      <w:bookmarkStart w:id="69" w:name="_Toc283559970"/>
      <w:r>
        <w:rPr>
          <w:rFonts w:hint="eastAsia" w:hAnsi="宋体"/>
          <w:b/>
          <w:color w:val="000000" w:themeColor="text1"/>
        </w:rPr>
        <w:t>5. 开标</w:t>
      </w:r>
      <w:bookmarkEnd w:id="68"/>
    </w:p>
    <w:p>
      <w:pPr>
        <w:autoSpaceDE w:val="0"/>
        <w:autoSpaceDN w:val="0"/>
        <w:adjustRightInd w:val="0"/>
        <w:spacing w:line="440" w:lineRule="exact"/>
        <w:jc w:val="left"/>
        <w:outlineLvl w:val="0"/>
        <w:rPr>
          <w:rFonts w:hAnsi="宋体" w:cs="宋体"/>
          <w:b/>
          <w:color w:val="000000" w:themeColor="text1"/>
          <w:sz w:val="24"/>
        </w:rPr>
      </w:pPr>
      <w:bookmarkStart w:id="70" w:name="_Toc283559968"/>
      <w:r>
        <w:rPr>
          <w:rFonts w:hint="eastAsia" w:hAnsi="宋体" w:cs="宋体"/>
          <w:b/>
          <w:color w:val="000000" w:themeColor="text1"/>
          <w:sz w:val="24"/>
        </w:rPr>
        <w:t>5.1 开标时间和地点</w:t>
      </w:r>
      <w:bookmarkEnd w:id="70"/>
    </w:p>
    <w:p>
      <w:pPr>
        <w:spacing w:line="400" w:lineRule="exact"/>
        <w:ind w:firstLine="480" w:firstLineChars="200"/>
        <w:rPr>
          <w:rFonts w:hAnsi="宋体" w:cs="宋体"/>
          <w:color w:val="000000" w:themeColor="text1"/>
          <w:sz w:val="24"/>
        </w:rPr>
      </w:pPr>
      <w:r>
        <w:rPr>
          <w:rFonts w:hint="eastAsia" w:hAnsi="宋体" w:cs="宋体"/>
          <w:color w:val="000000" w:themeColor="text1"/>
          <w:sz w:val="24"/>
        </w:rPr>
        <w:t>招标人或代理机构、监督人员应在开标前提前到达交易中心，在约定开标地点开通远程不见面开标大厅及开启“文字互动”等功能，组织投标人（供应商）准时在网上参加投标、开标活动。</w:t>
      </w:r>
    </w:p>
    <w:p>
      <w:pPr>
        <w:autoSpaceDE w:val="0"/>
        <w:autoSpaceDN w:val="0"/>
        <w:adjustRightInd w:val="0"/>
        <w:spacing w:line="440" w:lineRule="exact"/>
        <w:jc w:val="left"/>
        <w:rPr>
          <w:rFonts w:hAnsi="宋体" w:cs="宋体"/>
          <w:b/>
          <w:color w:val="000000" w:themeColor="text1"/>
          <w:sz w:val="24"/>
        </w:rPr>
      </w:pPr>
      <w:r>
        <w:rPr>
          <w:rFonts w:hint="eastAsia" w:hAnsi="宋体" w:cs="宋体"/>
          <w:b/>
          <w:color w:val="000000" w:themeColor="text1"/>
          <w:sz w:val="24"/>
        </w:rPr>
        <w:t>5.2 开标程序</w:t>
      </w:r>
    </w:p>
    <w:p>
      <w:pPr>
        <w:spacing w:line="360" w:lineRule="auto"/>
        <w:ind w:firstLine="480" w:firstLineChars="200"/>
        <w:jc w:val="left"/>
        <w:rPr>
          <w:rFonts w:hint="default" w:hAnsi="宋体" w:eastAsia="宋体" w:cs="宋体"/>
          <w:color w:val="000000" w:themeColor="text1"/>
          <w:sz w:val="24"/>
          <w:lang w:val="en-US" w:eastAsia="zh-CN"/>
        </w:rPr>
      </w:pPr>
      <w:r>
        <w:rPr>
          <w:rFonts w:hint="eastAsia" w:hAnsi="宋体" w:eastAsia="宋体" w:cs="宋体"/>
          <w:color w:val="000000" w:themeColor="text1"/>
          <w:sz w:val="24"/>
        </w:rPr>
        <w:t>(1)</w:t>
      </w:r>
      <w:r>
        <w:rPr>
          <w:rFonts w:hint="eastAsia" w:ascii="仿宋" w:hAnsi="仿宋" w:eastAsia="仿宋" w:cs="宋体"/>
          <w:b/>
          <w:color w:val="000000" w:themeColor="text1"/>
          <w:sz w:val="28"/>
          <w:szCs w:val="28"/>
        </w:rPr>
        <w:t xml:space="preserve"> </w:t>
      </w:r>
      <w:r>
        <w:rPr>
          <w:rFonts w:hint="eastAsia" w:hAnsi="宋体" w:eastAsia="宋体" w:cs="宋体"/>
          <w:color w:val="000000" w:themeColor="text1"/>
          <w:sz w:val="24"/>
        </w:rPr>
        <w:t>本项目采用“远程不见面”开标方式,投标人应当在开标时间前</w:t>
      </w:r>
      <w:r>
        <w:rPr>
          <w:rFonts w:hint="eastAsia" w:hAnsi="宋体" w:eastAsia="宋体" w:cs="宋体"/>
          <w:color w:val="000000" w:themeColor="text1"/>
          <w:sz w:val="24"/>
          <w:lang w:val="en-US" w:eastAsia="zh-CN"/>
        </w:rPr>
        <w:t>使用</w:t>
      </w:r>
      <w:r>
        <w:rPr>
          <w:rFonts w:hint="eastAsia" w:hAnsi="宋体" w:eastAsia="宋体" w:cs="宋体"/>
          <w:color w:val="000000" w:themeColor="text1"/>
          <w:sz w:val="24"/>
        </w:rPr>
        <w:t>CA数字证书登录交易系统远程开标大厅在线准时参加开标活动并进行投标文件远程解密、在线提异议（质疑）及电子签章等；</w:t>
      </w:r>
      <w:r>
        <w:rPr>
          <w:rFonts w:hint="eastAsia" w:hAnsi="宋体" w:eastAsia="宋体" w:cs="宋体"/>
          <w:color w:val="000000" w:themeColor="text1"/>
          <w:sz w:val="24"/>
          <w:lang w:val="en-US" w:eastAsia="zh-CN"/>
        </w:rPr>
        <w:t>招标代理机构</w:t>
      </w:r>
      <w:r>
        <w:rPr>
          <w:rFonts w:hint="eastAsia" w:hAnsi="宋体" w:eastAsia="宋体" w:cs="宋体"/>
          <w:color w:val="000000" w:themeColor="text1"/>
          <w:sz w:val="24"/>
        </w:rPr>
        <w:t>在开标时间前</w:t>
      </w:r>
      <w:r>
        <w:rPr>
          <w:rFonts w:hint="eastAsia" w:hAnsi="宋体" w:eastAsia="宋体" w:cs="宋体"/>
          <w:color w:val="000000" w:themeColor="text1"/>
          <w:sz w:val="24"/>
          <w:lang w:val="en-US" w:eastAsia="zh-CN"/>
        </w:rPr>
        <w:t>到达指定地点使用</w:t>
      </w:r>
      <w:r>
        <w:rPr>
          <w:rFonts w:hint="eastAsia" w:hAnsi="宋体" w:eastAsia="宋体" w:cs="宋体"/>
          <w:color w:val="000000" w:themeColor="text1"/>
          <w:sz w:val="24"/>
        </w:rPr>
        <w:t>CA数字证书登录交易系统远程开标大厅</w:t>
      </w:r>
      <w:r>
        <w:rPr>
          <w:rFonts w:hint="eastAsia" w:hAnsi="宋体" w:eastAsia="宋体" w:cs="宋体"/>
          <w:color w:val="000000" w:themeColor="text1"/>
          <w:sz w:val="24"/>
          <w:lang w:eastAsia="zh-CN"/>
        </w:rPr>
        <w:t>，</w:t>
      </w:r>
      <w:r>
        <w:rPr>
          <w:rFonts w:hint="eastAsia" w:hAnsi="宋体" w:eastAsia="宋体" w:cs="宋体"/>
          <w:color w:val="000000" w:themeColor="text1"/>
          <w:sz w:val="24"/>
          <w:lang w:val="en-US" w:eastAsia="zh-CN"/>
        </w:rPr>
        <w:t>做好开标前各项准备。</w:t>
      </w:r>
    </w:p>
    <w:p>
      <w:pPr>
        <w:spacing w:line="360" w:lineRule="auto"/>
        <w:ind w:firstLine="480" w:firstLineChars="200"/>
        <w:jc w:val="left"/>
        <w:rPr>
          <w:rFonts w:hint="eastAsia" w:hAnsi="宋体" w:eastAsia="宋体" w:cs="宋体"/>
          <w:color w:val="000000" w:themeColor="text1"/>
          <w:sz w:val="24"/>
          <w:lang w:eastAsia="zh-CN"/>
        </w:rPr>
      </w:pPr>
      <w:r>
        <w:rPr>
          <w:rFonts w:hint="eastAsia" w:hAnsi="宋体" w:eastAsia="宋体" w:cs="宋体"/>
          <w:color w:val="000000" w:themeColor="text1"/>
          <w:sz w:val="24"/>
        </w:rPr>
        <w:t>(2)</w:t>
      </w:r>
      <w:r>
        <w:rPr>
          <w:rFonts w:hint="eastAsia" w:hAnsi="宋体" w:eastAsia="宋体" w:cs="宋体"/>
          <w:color w:val="000000" w:themeColor="text1"/>
          <w:sz w:val="24"/>
          <w:lang w:val="en-US" w:eastAsia="zh-CN"/>
        </w:rPr>
        <w:t>投标截止时间到达时，招标代理机构点击“</w:t>
      </w:r>
      <w:r>
        <w:rPr>
          <w:rFonts w:hint="eastAsia" w:hAnsi="宋体" w:eastAsia="宋体" w:cs="宋体"/>
          <w:color w:val="000000" w:themeColor="text1"/>
          <w:sz w:val="24"/>
        </w:rPr>
        <w:t>开标开始</w:t>
      </w:r>
      <w:r>
        <w:rPr>
          <w:rFonts w:hint="eastAsia" w:hAnsi="宋体" w:eastAsia="宋体" w:cs="宋体"/>
          <w:color w:val="000000" w:themeColor="text1"/>
          <w:sz w:val="24"/>
          <w:lang w:val="en-US" w:eastAsia="zh-CN"/>
        </w:rPr>
        <w:t>”按钮，开始不见面开标；点击</w:t>
      </w:r>
      <w:r>
        <w:rPr>
          <w:rFonts w:hint="eastAsia" w:hAnsi="宋体" w:eastAsia="宋体" w:cs="宋体"/>
          <w:color w:val="000000" w:themeColor="text1"/>
          <w:sz w:val="24"/>
        </w:rPr>
        <w:t>“解密环节”按钮</w:t>
      </w:r>
      <w:r>
        <w:rPr>
          <w:rFonts w:hint="eastAsia" w:hAnsi="宋体" w:eastAsia="宋体" w:cs="宋体"/>
          <w:color w:val="000000" w:themeColor="text1"/>
          <w:sz w:val="24"/>
          <w:lang w:val="en-US" w:eastAsia="zh-CN"/>
        </w:rPr>
        <w:t>开始解密60分钟倒计时，各投标人可以远程进行解密投标文件。</w:t>
      </w:r>
      <w:r>
        <w:rPr>
          <w:rFonts w:hint="eastAsia" w:hAnsi="宋体" w:eastAsia="宋体" w:cs="宋体"/>
          <w:color w:val="000000" w:themeColor="text1"/>
          <w:sz w:val="24"/>
        </w:rPr>
        <w:t>投标人未</w:t>
      </w:r>
      <w:r>
        <w:rPr>
          <w:rFonts w:hint="eastAsia" w:hAnsi="宋体" w:eastAsia="宋体" w:cs="宋体"/>
          <w:color w:val="000000" w:themeColor="text1"/>
          <w:sz w:val="24"/>
          <w:lang w:val="en-US" w:eastAsia="zh-CN"/>
        </w:rPr>
        <w:t>进行</w:t>
      </w:r>
      <w:r>
        <w:rPr>
          <w:rFonts w:hint="eastAsia" w:hAnsi="宋体" w:eastAsia="宋体" w:cs="宋体"/>
          <w:color w:val="000000" w:themeColor="text1"/>
          <w:sz w:val="24"/>
        </w:rPr>
        <w:t>解密或未按规定进行解密的，视为放弃投标</w:t>
      </w:r>
      <w:r>
        <w:rPr>
          <w:rFonts w:hint="eastAsia" w:hAnsi="宋体" w:eastAsia="宋体" w:cs="宋体"/>
          <w:color w:val="000000" w:themeColor="text1"/>
          <w:sz w:val="24"/>
          <w:lang w:eastAsia="zh-CN"/>
        </w:rPr>
        <w:t>。</w:t>
      </w:r>
    </w:p>
    <w:p>
      <w:pPr>
        <w:spacing w:line="360" w:lineRule="auto"/>
        <w:ind w:firstLine="480" w:firstLineChars="200"/>
        <w:jc w:val="left"/>
        <w:rPr>
          <w:rFonts w:hAnsi="宋体" w:eastAsia="宋体" w:cs="宋体"/>
          <w:color w:val="000000" w:themeColor="text1"/>
          <w:sz w:val="24"/>
        </w:rPr>
      </w:pPr>
      <w:r>
        <w:rPr>
          <w:rFonts w:hint="eastAsia" w:hAnsi="宋体" w:eastAsia="宋体" w:cs="宋体"/>
          <w:color w:val="000000" w:themeColor="text1"/>
          <w:sz w:val="24"/>
        </w:rPr>
        <w:t>(3)</w:t>
      </w:r>
      <w:r>
        <w:rPr>
          <w:rFonts w:hint="eastAsia" w:hAnsi="宋体" w:eastAsia="宋体" w:cs="宋体"/>
          <w:color w:val="000000" w:themeColor="text1"/>
          <w:sz w:val="24"/>
          <w:lang w:val="en-US" w:eastAsia="zh-CN"/>
        </w:rPr>
        <w:t>解密完成后，</w:t>
      </w:r>
      <w:r>
        <w:rPr>
          <w:rFonts w:hint="eastAsia" w:hAnsi="宋体" w:eastAsia="宋体" w:cs="宋体"/>
          <w:color w:val="000000" w:themeColor="text1"/>
          <w:sz w:val="24"/>
        </w:rPr>
        <w:t>投标</w:t>
      </w:r>
      <w:r>
        <w:rPr>
          <w:rFonts w:hint="eastAsia" w:hAnsi="宋体" w:eastAsia="宋体" w:cs="宋体"/>
          <w:color w:val="000000" w:themeColor="text1"/>
          <w:sz w:val="24"/>
          <w:lang w:val="en-US" w:eastAsia="zh-CN"/>
        </w:rPr>
        <w:t>人可点击“开标记录”查看各投标人投标报价等信息，</w:t>
      </w:r>
      <w:r>
        <w:rPr>
          <w:rFonts w:hint="eastAsia" w:hAnsi="宋体" w:eastAsia="宋体" w:cs="宋体"/>
          <w:color w:val="000000" w:themeColor="text1"/>
          <w:sz w:val="24"/>
        </w:rPr>
        <w:t>对开标过程或有关内容有异议（质疑）的，按照《</w:t>
      </w:r>
      <w:r>
        <w:rPr>
          <w:rFonts w:hint="eastAsia" w:hAnsi="宋体"/>
          <w:color w:val="000000" w:themeColor="text1"/>
          <w:sz w:val="24"/>
          <w:szCs w:val="22"/>
        </w:rPr>
        <w:t>许昌市不见面</w:t>
      </w:r>
      <w:r>
        <w:rPr>
          <w:rFonts w:hint="eastAsia" w:hAnsi="宋体"/>
          <w:color w:val="000000" w:themeColor="text1"/>
          <w:sz w:val="24"/>
          <w:szCs w:val="22"/>
          <w:lang w:eastAsia="zh-CN"/>
        </w:rPr>
        <w:t>开标</w:t>
      </w:r>
      <w:r>
        <w:rPr>
          <w:rFonts w:hint="eastAsia" w:hAnsi="宋体"/>
          <w:color w:val="000000" w:themeColor="text1"/>
          <w:sz w:val="24"/>
          <w:szCs w:val="22"/>
        </w:rPr>
        <w:t>操作手册</w:t>
      </w:r>
      <w:r>
        <w:rPr>
          <w:rFonts w:hint="eastAsia" w:hAnsi="宋体" w:eastAsia="宋体" w:cs="宋体"/>
          <w:color w:val="000000" w:themeColor="text1"/>
          <w:sz w:val="24"/>
        </w:rPr>
        <w:t>》在本项目不见面开标大厅“文字互动”对话框或“新增质疑”处在线询问和发起异议（质疑），招标</w:t>
      </w:r>
      <w:r>
        <w:rPr>
          <w:rFonts w:hint="eastAsia" w:hAnsi="宋体" w:eastAsia="宋体" w:cs="宋体"/>
          <w:color w:val="000000" w:themeColor="text1"/>
          <w:sz w:val="24"/>
          <w:lang w:val="en-US" w:eastAsia="zh-CN"/>
        </w:rPr>
        <w:t>代理机构</w:t>
      </w:r>
      <w:r>
        <w:rPr>
          <w:rFonts w:hint="eastAsia" w:hAnsi="宋体" w:eastAsia="宋体" w:cs="宋体"/>
          <w:color w:val="000000" w:themeColor="text1"/>
          <w:sz w:val="24"/>
        </w:rPr>
        <w:t xml:space="preserve">在线进行回复。 </w:t>
      </w:r>
    </w:p>
    <w:p>
      <w:pPr>
        <w:autoSpaceDE w:val="0"/>
        <w:autoSpaceDN w:val="0"/>
        <w:adjustRightInd w:val="0"/>
        <w:spacing w:line="420" w:lineRule="exact"/>
        <w:ind w:firstLine="480" w:firstLineChars="200"/>
        <w:jc w:val="left"/>
        <w:rPr>
          <w:rFonts w:hAnsi="宋体" w:eastAsia="宋体" w:cs="宋体"/>
          <w:color w:val="000000" w:themeColor="text1"/>
          <w:sz w:val="24"/>
        </w:rPr>
      </w:pPr>
      <w:r>
        <w:rPr>
          <w:rFonts w:hint="eastAsia" w:hAnsi="宋体" w:eastAsia="宋体" w:cs="宋体"/>
          <w:color w:val="000000" w:themeColor="text1"/>
          <w:sz w:val="24"/>
        </w:rPr>
        <w:t>(4)</w:t>
      </w:r>
      <w:r>
        <w:rPr>
          <w:rFonts w:hint="eastAsia" w:hAnsi="宋体" w:eastAsia="宋体" w:cs="宋体"/>
          <w:color w:val="000000" w:themeColor="text1"/>
          <w:sz w:val="24"/>
          <w:lang w:val="en-US" w:eastAsia="zh-CN"/>
        </w:rPr>
        <w:t>再</w:t>
      </w:r>
      <w:r>
        <w:rPr>
          <w:rFonts w:hint="eastAsia" w:hAnsi="宋体" w:eastAsia="宋体" w:cs="宋体"/>
          <w:color w:val="000000" w:themeColor="text1"/>
          <w:sz w:val="24"/>
        </w:rPr>
        <w:t>无投标人提出异议，</w:t>
      </w:r>
      <w:r>
        <w:rPr>
          <w:rFonts w:hint="eastAsia" w:hAnsi="宋体" w:eastAsia="宋体" w:cs="宋体"/>
          <w:color w:val="000000" w:themeColor="text1"/>
          <w:sz w:val="24"/>
          <w:lang w:val="en-US" w:eastAsia="zh-CN"/>
        </w:rPr>
        <w:t>招标代理机构通过“文字互动”对话框通知各投标人进行电子签章。</w:t>
      </w:r>
      <w:r>
        <w:rPr>
          <w:rFonts w:hint="eastAsia" w:hAnsi="宋体" w:eastAsia="宋体" w:cs="宋体"/>
          <w:color w:val="000000" w:themeColor="text1"/>
          <w:sz w:val="24"/>
        </w:rPr>
        <w:t>投标人应在《开标记录表》上进行电子签章，未进行电子签章的视为对开标结果无异议。</w:t>
      </w:r>
    </w:p>
    <w:p>
      <w:pPr>
        <w:pStyle w:val="48"/>
        <w:spacing w:line="440" w:lineRule="exact"/>
        <w:ind w:firstLine="480" w:firstLineChars="200"/>
        <w:jc w:val="both"/>
        <w:outlineLvl w:val="0"/>
        <w:rPr>
          <w:rFonts w:hAnsi="宋体" w:eastAsia="宋体"/>
          <w:bCs/>
          <w:color w:val="000000" w:themeColor="text1"/>
          <w:szCs w:val="22"/>
        </w:rPr>
      </w:pPr>
      <w:r>
        <w:rPr>
          <w:rFonts w:hint="eastAsia" w:hAnsi="宋体" w:eastAsia="宋体" w:cs="宋体"/>
          <w:color w:val="000000" w:themeColor="text1"/>
          <w:sz w:val="24"/>
        </w:rPr>
        <w:t>（5）</w:t>
      </w:r>
      <w:r>
        <w:rPr>
          <w:rFonts w:hint="eastAsia" w:hAnsi="宋体" w:eastAsia="宋体" w:cs="宋体"/>
          <w:color w:val="000000" w:themeColor="text1"/>
          <w:sz w:val="24"/>
          <w:lang w:val="en-US" w:eastAsia="zh-CN"/>
        </w:rPr>
        <w:t>招标代理机构保存最终</w:t>
      </w:r>
      <w:r>
        <w:rPr>
          <w:rFonts w:hint="eastAsia" w:hAnsi="宋体" w:eastAsia="宋体" w:cs="宋体"/>
          <w:color w:val="000000" w:themeColor="text1"/>
          <w:sz w:val="24"/>
        </w:rPr>
        <w:t>《开标记录表》，</w:t>
      </w:r>
      <w:r>
        <w:rPr>
          <w:rFonts w:hint="eastAsia" w:hAnsi="宋体" w:eastAsia="宋体" w:cs="宋体"/>
          <w:color w:val="000000" w:themeColor="text1"/>
          <w:sz w:val="24"/>
          <w:lang w:val="en-US" w:eastAsia="zh-CN"/>
        </w:rPr>
        <w:t>不见面</w:t>
      </w:r>
      <w:r>
        <w:rPr>
          <w:rFonts w:hint="eastAsia" w:hAnsi="宋体" w:eastAsia="宋体" w:cs="宋体"/>
          <w:color w:val="000000" w:themeColor="text1"/>
          <w:sz w:val="24"/>
        </w:rPr>
        <w:t>开标</w:t>
      </w:r>
      <w:r>
        <w:rPr>
          <w:rFonts w:hint="eastAsia" w:hAnsi="宋体" w:eastAsia="宋体" w:cs="宋体"/>
          <w:color w:val="000000" w:themeColor="text1"/>
          <w:sz w:val="24"/>
          <w:lang w:val="en-US" w:eastAsia="zh-CN"/>
        </w:rPr>
        <w:t>活动</w:t>
      </w:r>
      <w:r>
        <w:rPr>
          <w:rFonts w:hint="eastAsia" w:hAnsi="宋体" w:eastAsia="宋体" w:cs="宋体"/>
          <w:color w:val="000000" w:themeColor="text1"/>
          <w:sz w:val="24"/>
        </w:rPr>
        <w:t>结束。</w:t>
      </w:r>
    </w:p>
    <w:p>
      <w:pPr>
        <w:pStyle w:val="48"/>
        <w:spacing w:after="160" w:line="440" w:lineRule="exact"/>
        <w:jc w:val="both"/>
        <w:rPr>
          <w:b/>
          <w:color w:val="000000" w:themeColor="text1"/>
          <w:sz w:val="21"/>
          <w:szCs w:val="21"/>
        </w:rPr>
      </w:pPr>
      <w:r>
        <w:rPr>
          <w:b/>
          <w:color w:val="000000" w:themeColor="text1"/>
          <w:sz w:val="21"/>
          <w:szCs w:val="21"/>
        </w:rPr>
        <w:t>6. 评标</w:t>
      </w:r>
      <w:bookmarkEnd w:id="69"/>
    </w:p>
    <w:p>
      <w:pPr>
        <w:autoSpaceDE w:val="0"/>
        <w:autoSpaceDN w:val="0"/>
        <w:spacing w:after="160" w:line="440" w:lineRule="exact"/>
        <w:jc w:val="left"/>
        <w:rPr>
          <w:rFonts w:ascii="宋体" w:hAnsi="宋体" w:eastAsia="宋体"/>
          <w:b/>
          <w:color w:val="000000" w:themeColor="text1"/>
        </w:rPr>
      </w:pPr>
      <w:bookmarkStart w:id="71" w:name="_Toc283559971"/>
      <w:r>
        <w:rPr>
          <w:rFonts w:ascii="宋体" w:hAnsi="宋体" w:eastAsia="宋体"/>
          <w:b/>
          <w:color w:val="000000" w:themeColor="text1"/>
        </w:rPr>
        <w:t>6.1 评标委员会</w:t>
      </w:r>
      <w:bookmarkEnd w:id="71"/>
    </w:p>
    <w:p>
      <w:pPr>
        <w:autoSpaceDE w:val="0"/>
        <w:autoSpaceDN w:val="0"/>
        <w:spacing w:after="160" w:line="440" w:lineRule="exact"/>
        <w:jc w:val="left"/>
        <w:rPr>
          <w:rFonts w:ascii="宋体" w:hAnsi="宋体" w:eastAsia="宋体"/>
          <w:color w:val="000000" w:themeColor="text1"/>
        </w:rPr>
      </w:pPr>
      <w:bookmarkStart w:id="72" w:name="_Toc283559972"/>
      <w:r>
        <w:rPr>
          <w:rFonts w:ascii="宋体" w:hAnsi="宋体" w:eastAsia="宋体"/>
          <w:color w:val="000000" w:themeColor="text1"/>
        </w:rPr>
        <w:t>6.1.1 评标由招标人依法组建的评标委员会负责。评标委员会成员由相关技术、经济等方面的专家组成，组成人数见投标人须知前附表。</w:t>
      </w:r>
    </w:p>
    <w:p>
      <w:pPr>
        <w:autoSpaceDE w:val="0"/>
        <w:autoSpaceDN w:val="0"/>
        <w:spacing w:after="160" w:line="440" w:lineRule="exact"/>
        <w:jc w:val="left"/>
        <w:rPr>
          <w:rFonts w:ascii="宋体" w:hAnsi="宋体" w:eastAsia="宋体"/>
          <w:color w:val="000000" w:themeColor="text1"/>
        </w:rPr>
      </w:pPr>
      <w:r>
        <w:rPr>
          <w:rFonts w:ascii="宋体" w:hAnsi="宋体" w:eastAsia="宋体"/>
          <w:color w:val="000000" w:themeColor="text1"/>
        </w:rPr>
        <w:t>6.1.2 评标委员会成员有下列情形之一的，应当回避：</w:t>
      </w:r>
    </w:p>
    <w:p>
      <w:pPr>
        <w:autoSpaceDE w:val="0"/>
        <w:autoSpaceDN w:val="0"/>
        <w:spacing w:after="160" w:line="440" w:lineRule="exact"/>
        <w:jc w:val="left"/>
        <w:rPr>
          <w:rFonts w:ascii="宋体" w:hAnsi="宋体" w:eastAsia="宋体"/>
          <w:color w:val="000000" w:themeColor="text1"/>
        </w:rPr>
      </w:pPr>
      <w:r>
        <w:rPr>
          <w:rFonts w:ascii="宋体" w:hAnsi="宋体" w:eastAsia="宋体"/>
          <w:color w:val="000000" w:themeColor="text1"/>
        </w:rPr>
        <w:t>（1）招标人或投标人的主要负责人的近亲属；</w:t>
      </w:r>
    </w:p>
    <w:p>
      <w:pPr>
        <w:autoSpaceDE w:val="0"/>
        <w:autoSpaceDN w:val="0"/>
        <w:spacing w:after="160" w:line="440" w:lineRule="exact"/>
        <w:jc w:val="left"/>
        <w:rPr>
          <w:rFonts w:ascii="宋体" w:hAnsi="宋体" w:eastAsia="宋体"/>
          <w:color w:val="000000" w:themeColor="text1"/>
        </w:rPr>
      </w:pPr>
      <w:r>
        <w:rPr>
          <w:rFonts w:ascii="宋体" w:hAnsi="宋体" w:eastAsia="宋体"/>
          <w:color w:val="000000" w:themeColor="text1"/>
        </w:rPr>
        <w:t>（2）项目主管部门或者行政监督部门的人员；</w:t>
      </w:r>
    </w:p>
    <w:p>
      <w:pPr>
        <w:autoSpaceDE w:val="0"/>
        <w:autoSpaceDN w:val="0"/>
        <w:spacing w:after="160" w:line="440" w:lineRule="exact"/>
        <w:jc w:val="left"/>
        <w:rPr>
          <w:rFonts w:ascii="宋体" w:hAnsi="宋体" w:eastAsia="宋体"/>
          <w:color w:val="000000" w:themeColor="text1"/>
        </w:rPr>
      </w:pPr>
      <w:r>
        <w:rPr>
          <w:rFonts w:ascii="宋体" w:hAnsi="宋体" w:eastAsia="宋体"/>
          <w:color w:val="000000" w:themeColor="text1"/>
        </w:rPr>
        <w:t>（3）与投标人有经济利益关系，可能影响对投标公正评审的；</w:t>
      </w:r>
    </w:p>
    <w:p>
      <w:pPr>
        <w:autoSpaceDE w:val="0"/>
        <w:autoSpaceDN w:val="0"/>
        <w:spacing w:after="160" w:line="440" w:lineRule="exact"/>
        <w:jc w:val="left"/>
        <w:rPr>
          <w:rFonts w:ascii="宋体" w:hAnsi="宋体" w:eastAsia="宋体"/>
          <w:color w:val="000000" w:themeColor="text1"/>
        </w:rPr>
      </w:pPr>
      <w:r>
        <w:rPr>
          <w:rFonts w:ascii="宋体" w:hAnsi="宋体" w:eastAsia="宋体"/>
          <w:color w:val="000000" w:themeColor="text1"/>
        </w:rPr>
        <w:t>（4）曾因在招标、评标以及其他与招标投标有关活动中从事违法行为而受过行政处罚或刑事处罚的。</w:t>
      </w:r>
    </w:p>
    <w:p>
      <w:pPr>
        <w:autoSpaceDE w:val="0"/>
        <w:autoSpaceDN w:val="0"/>
        <w:spacing w:after="160" w:line="440" w:lineRule="exact"/>
        <w:jc w:val="left"/>
        <w:rPr>
          <w:rFonts w:ascii="宋体" w:hAnsi="宋体" w:eastAsia="宋体"/>
          <w:b/>
          <w:color w:val="000000" w:themeColor="text1"/>
        </w:rPr>
      </w:pPr>
      <w:r>
        <w:rPr>
          <w:rFonts w:ascii="宋体" w:hAnsi="宋体" w:eastAsia="宋体"/>
          <w:b/>
          <w:color w:val="000000" w:themeColor="text1"/>
        </w:rPr>
        <w:t>6.2 评标原则</w:t>
      </w:r>
      <w:bookmarkEnd w:id="72"/>
    </w:p>
    <w:p>
      <w:pPr>
        <w:autoSpaceDE w:val="0"/>
        <w:autoSpaceDN w:val="0"/>
        <w:spacing w:after="160" w:line="440" w:lineRule="exact"/>
        <w:ind w:firstLine="480"/>
        <w:jc w:val="left"/>
        <w:rPr>
          <w:rFonts w:ascii="宋体" w:hAnsi="宋体" w:eastAsia="宋体"/>
          <w:color w:val="000000" w:themeColor="text1"/>
        </w:rPr>
      </w:pPr>
      <w:r>
        <w:rPr>
          <w:rFonts w:ascii="宋体" w:hAnsi="宋体" w:eastAsia="宋体"/>
          <w:color w:val="000000" w:themeColor="text1"/>
        </w:rPr>
        <w:t>评标活动遵循公平、公正、科学和择优的原则。</w:t>
      </w:r>
    </w:p>
    <w:p>
      <w:pPr>
        <w:autoSpaceDE w:val="0"/>
        <w:autoSpaceDN w:val="0"/>
        <w:spacing w:after="160" w:line="440" w:lineRule="exact"/>
        <w:jc w:val="left"/>
        <w:rPr>
          <w:rFonts w:ascii="宋体" w:hAnsi="宋体" w:eastAsia="宋体"/>
          <w:b/>
          <w:color w:val="000000" w:themeColor="text1"/>
        </w:rPr>
      </w:pPr>
      <w:bookmarkStart w:id="73" w:name="_Toc283559973"/>
      <w:r>
        <w:rPr>
          <w:rFonts w:ascii="宋体" w:hAnsi="宋体" w:eastAsia="宋体"/>
          <w:b/>
          <w:color w:val="000000" w:themeColor="text1"/>
        </w:rPr>
        <w:t>6.3 评标</w:t>
      </w:r>
      <w:bookmarkEnd w:id="73"/>
    </w:p>
    <w:p>
      <w:pPr>
        <w:autoSpaceDE w:val="0"/>
        <w:autoSpaceDN w:val="0"/>
        <w:spacing w:after="160" w:line="440" w:lineRule="exact"/>
        <w:ind w:firstLine="480"/>
        <w:jc w:val="left"/>
        <w:rPr>
          <w:rFonts w:ascii="宋体" w:hAnsi="宋体" w:eastAsia="宋体"/>
          <w:color w:val="000000" w:themeColor="text1"/>
        </w:rPr>
      </w:pPr>
      <w:r>
        <w:rPr>
          <w:rFonts w:ascii="宋体" w:hAnsi="宋体" w:eastAsia="宋体"/>
          <w:color w:val="000000" w:themeColor="text1"/>
        </w:rPr>
        <w:t>评标委员会按照第三章“评标办法”规定的方法、评审因素、标准和程序对投标文件进行评审。第三章“评标办法”没有规定的方法、评审因素和标准，不作为评标依据。</w:t>
      </w:r>
    </w:p>
    <w:p>
      <w:pPr>
        <w:pStyle w:val="48"/>
        <w:spacing w:after="160" w:line="440" w:lineRule="exact"/>
        <w:jc w:val="both"/>
        <w:rPr>
          <w:b/>
          <w:color w:val="000000" w:themeColor="text1"/>
          <w:sz w:val="21"/>
          <w:szCs w:val="21"/>
        </w:rPr>
      </w:pPr>
      <w:bookmarkStart w:id="74" w:name="_Toc283559974"/>
      <w:r>
        <w:rPr>
          <w:b/>
          <w:color w:val="000000" w:themeColor="text1"/>
          <w:sz w:val="21"/>
          <w:szCs w:val="21"/>
        </w:rPr>
        <w:t>7. 合同授予</w:t>
      </w:r>
      <w:bookmarkEnd w:id="74"/>
    </w:p>
    <w:p>
      <w:pPr>
        <w:autoSpaceDE w:val="0"/>
        <w:autoSpaceDN w:val="0"/>
        <w:spacing w:after="160" w:line="440" w:lineRule="exact"/>
        <w:jc w:val="left"/>
        <w:rPr>
          <w:rFonts w:ascii="宋体" w:hAnsi="宋体" w:eastAsia="宋体"/>
          <w:b/>
          <w:color w:val="000000" w:themeColor="text1"/>
        </w:rPr>
      </w:pPr>
      <w:bookmarkStart w:id="75" w:name="_Toc283559975"/>
      <w:r>
        <w:rPr>
          <w:rFonts w:ascii="宋体" w:hAnsi="宋体" w:eastAsia="宋体"/>
          <w:b/>
          <w:color w:val="000000" w:themeColor="text1"/>
        </w:rPr>
        <w:t>7.1 定标方式</w:t>
      </w:r>
      <w:bookmarkEnd w:id="75"/>
    </w:p>
    <w:p>
      <w:pPr>
        <w:autoSpaceDE w:val="0"/>
        <w:autoSpaceDN w:val="0"/>
        <w:spacing w:after="160" w:line="440" w:lineRule="exact"/>
        <w:ind w:firstLine="480"/>
        <w:jc w:val="left"/>
        <w:rPr>
          <w:rFonts w:ascii="宋体" w:hAnsi="宋体" w:eastAsia="宋体"/>
          <w:color w:val="000000" w:themeColor="text1"/>
        </w:rPr>
      </w:pPr>
      <w:bookmarkStart w:id="76" w:name="_Toc283559976"/>
      <w:r>
        <w:rPr>
          <w:rFonts w:ascii="宋体" w:hAnsi="宋体" w:eastAsia="宋体"/>
          <w:color w:val="000000" w:themeColor="text1"/>
        </w:rPr>
        <w:t>投标人须知前附表规定评标委员会直接确定中标人外，招标人依据评标委员会推荐的中标候选人确定中标人，评标委员会推荐中标候选人的人数见投标人须知前附表。</w:t>
      </w:r>
    </w:p>
    <w:p>
      <w:pPr>
        <w:autoSpaceDE w:val="0"/>
        <w:autoSpaceDN w:val="0"/>
        <w:spacing w:after="160" w:line="440" w:lineRule="exact"/>
        <w:jc w:val="left"/>
        <w:rPr>
          <w:rFonts w:ascii="宋体" w:hAnsi="宋体" w:eastAsia="宋体"/>
          <w:b/>
          <w:color w:val="000000" w:themeColor="text1"/>
        </w:rPr>
      </w:pPr>
      <w:r>
        <w:rPr>
          <w:rFonts w:ascii="宋体" w:hAnsi="宋体" w:eastAsia="宋体"/>
          <w:b/>
          <w:color w:val="000000" w:themeColor="text1"/>
        </w:rPr>
        <w:t>7.2 中标通知</w:t>
      </w:r>
      <w:bookmarkEnd w:id="76"/>
    </w:p>
    <w:p>
      <w:pPr>
        <w:autoSpaceDE w:val="0"/>
        <w:autoSpaceDN w:val="0"/>
        <w:spacing w:after="160" w:line="440" w:lineRule="exact"/>
        <w:ind w:firstLine="480"/>
        <w:jc w:val="left"/>
        <w:rPr>
          <w:rFonts w:ascii="宋体" w:hAnsi="宋体" w:eastAsia="宋体"/>
          <w:color w:val="000000" w:themeColor="text1"/>
        </w:rPr>
      </w:pPr>
      <w:r>
        <w:rPr>
          <w:rFonts w:ascii="宋体" w:hAnsi="宋体" w:eastAsia="宋体"/>
          <w:color w:val="000000" w:themeColor="text1"/>
        </w:rPr>
        <w:t>在本章第3.3 款规定的投标有效期内，招标人以书面形式向中标人发出中标通知书，同时将中标结果通知未中标的投标人。</w:t>
      </w:r>
      <w:bookmarkStart w:id="77" w:name="_Toc144974537"/>
      <w:bookmarkStart w:id="78" w:name="_Toc152045569"/>
      <w:bookmarkStart w:id="79" w:name="_Toc152042345"/>
      <w:bookmarkStart w:id="80" w:name="_Toc179632587"/>
    </w:p>
    <w:p>
      <w:pPr>
        <w:autoSpaceDE w:val="0"/>
        <w:autoSpaceDN w:val="0"/>
        <w:spacing w:after="160" w:line="440" w:lineRule="exact"/>
        <w:jc w:val="left"/>
        <w:rPr>
          <w:rFonts w:ascii="宋体" w:hAnsi="宋体" w:eastAsia="宋体"/>
          <w:b/>
          <w:color w:val="000000" w:themeColor="text1"/>
        </w:rPr>
      </w:pPr>
      <w:r>
        <w:rPr>
          <w:rFonts w:ascii="宋体" w:hAnsi="宋体" w:eastAsia="宋体"/>
          <w:b/>
          <w:color w:val="000000" w:themeColor="text1"/>
        </w:rPr>
        <w:t>7.</w:t>
      </w:r>
      <w:bookmarkEnd w:id="77"/>
      <w:bookmarkEnd w:id="78"/>
      <w:bookmarkEnd w:id="79"/>
      <w:bookmarkEnd w:id="80"/>
      <w:bookmarkStart w:id="81" w:name="_Toc283559977"/>
      <w:r>
        <w:rPr>
          <w:rFonts w:ascii="宋体" w:hAnsi="宋体" w:eastAsia="宋体"/>
          <w:b/>
          <w:color w:val="000000" w:themeColor="text1"/>
        </w:rPr>
        <w:t>3签订合同</w:t>
      </w:r>
      <w:bookmarkEnd w:id="81"/>
    </w:p>
    <w:p>
      <w:pPr>
        <w:autoSpaceDE w:val="0"/>
        <w:autoSpaceDN w:val="0"/>
        <w:spacing w:after="160" w:line="440" w:lineRule="exact"/>
        <w:ind w:firstLine="480"/>
        <w:jc w:val="left"/>
        <w:rPr>
          <w:rFonts w:ascii="宋体" w:hAnsi="宋体" w:eastAsia="宋体"/>
          <w:color w:val="000000" w:themeColor="text1"/>
        </w:rPr>
      </w:pPr>
      <w:r>
        <w:rPr>
          <w:rFonts w:ascii="宋体" w:hAnsi="宋体" w:eastAsia="宋体"/>
          <w:color w:val="000000" w:themeColor="text1"/>
        </w:rPr>
        <w:t>7.3.1 招标人和中标人应当自中标通知书发出之日起90工作日内，根据招标文件和中标人的投标文件订立书面合同。中标人无正当理由拒签合同的，招标人取消其中标资格，其投标保证金不予退还；给招标人造成的损失超过投标保证金数额的，中标人还应当对超过部分予以赔偿。</w:t>
      </w:r>
    </w:p>
    <w:p>
      <w:pPr>
        <w:autoSpaceDE w:val="0"/>
        <w:autoSpaceDN w:val="0"/>
        <w:spacing w:after="160" w:line="440" w:lineRule="exact"/>
        <w:ind w:firstLine="480"/>
        <w:jc w:val="left"/>
        <w:rPr>
          <w:rFonts w:ascii="宋体" w:hAnsi="宋体" w:eastAsia="宋体"/>
          <w:color w:val="000000" w:themeColor="text1"/>
        </w:rPr>
      </w:pPr>
      <w:r>
        <w:rPr>
          <w:rFonts w:ascii="宋体" w:hAnsi="宋体" w:eastAsia="宋体"/>
          <w:color w:val="000000" w:themeColor="text1"/>
        </w:rPr>
        <w:t>7.3.2 发出中标通知书后，招标人无正当理由拒签合同的，招标人向中标人退还投标保证金；给中标人造成损失的，还应当赔偿损失。</w:t>
      </w:r>
    </w:p>
    <w:p>
      <w:pPr>
        <w:autoSpaceDE w:val="0"/>
        <w:autoSpaceDN w:val="0"/>
        <w:spacing w:after="160" w:line="440" w:lineRule="exact"/>
        <w:jc w:val="left"/>
        <w:rPr>
          <w:rFonts w:ascii="宋体" w:hAnsi="宋体" w:eastAsia="宋体"/>
          <w:b/>
          <w:color w:val="000000" w:themeColor="text1"/>
        </w:rPr>
      </w:pPr>
      <w:r>
        <w:rPr>
          <w:rFonts w:ascii="宋体" w:hAnsi="宋体" w:eastAsia="宋体"/>
          <w:b/>
          <w:color w:val="000000" w:themeColor="text1"/>
        </w:rPr>
        <w:t>7.4履约担保</w:t>
      </w:r>
    </w:p>
    <w:p>
      <w:pPr>
        <w:autoSpaceDE w:val="0"/>
        <w:autoSpaceDN w:val="0"/>
        <w:spacing w:after="160" w:line="440" w:lineRule="exact"/>
        <w:ind w:firstLine="480"/>
        <w:jc w:val="left"/>
        <w:rPr>
          <w:rFonts w:ascii="宋体" w:hAnsi="宋体" w:eastAsia="宋体"/>
          <w:color w:val="000000" w:themeColor="text1"/>
        </w:rPr>
      </w:pPr>
      <w:bookmarkStart w:id="82" w:name="_Toc464824679"/>
      <w:bookmarkStart w:id="83" w:name="_Toc283559978"/>
      <w:r>
        <w:rPr>
          <w:rFonts w:ascii="宋体" w:hAnsi="宋体" w:eastAsia="宋体"/>
          <w:color w:val="000000" w:themeColor="text1"/>
        </w:rPr>
        <w:t>中标人不能按本项目要求提交履约保证金或者银行履约保函的，视为放弃中标，其投标保证金不予退还，给招标人造成的损失超过投标保证金数额的，中标人还应当对超过部分予以赔偿。</w:t>
      </w:r>
      <w:bookmarkEnd w:id="82"/>
    </w:p>
    <w:p>
      <w:pPr>
        <w:autoSpaceDE w:val="0"/>
        <w:autoSpaceDN w:val="0"/>
        <w:spacing w:after="160" w:line="440" w:lineRule="exact"/>
        <w:ind w:firstLine="480"/>
        <w:jc w:val="left"/>
        <w:rPr>
          <w:rFonts w:ascii="宋体" w:hAnsi="宋体" w:eastAsia="宋体"/>
          <w:color w:val="000000" w:themeColor="text1"/>
        </w:rPr>
      </w:pPr>
      <w:bookmarkStart w:id="84" w:name="_Toc464824680"/>
      <w:r>
        <w:rPr>
          <w:rFonts w:ascii="宋体" w:hAnsi="宋体" w:eastAsia="宋体"/>
          <w:color w:val="000000" w:themeColor="text1"/>
        </w:rPr>
        <w:t>中标人不履行与招标人订立的合同的，履约保证金不予退还，给招标人造成的损失超过履约保证金数额的，还应当对超过部分予以赔偿。</w:t>
      </w:r>
      <w:bookmarkEnd w:id="84"/>
    </w:p>
    <w:p>
      <w:pPr>
        <w:autoSpaceDE w:val="0"/>
        <w:autoSpaceDN w:val="0"/>
        <w:spacing w:after="160" w:line="440" w:lineRule="exact"/>
        <w:ind w:firstLine="480"/>
        <w:jc w:val="left"/>
        <w:rPr>
          <w:rFonts w:ascii="宋体" w:hAnsi="宋体" w:eastAsia="宋体"/>
          <w:color w:val="000000" w:themeColor="text1"/>
        </w:rPr>
      </w:pPr>
      <w:bookmarkStart w:id="85" w:name="_Toc464824681"/>
      <w:r>
        <w:rPr>
          <w:rFonts w:ascii="宋体" w:hAnsi="宋体" w:eastAsia="宋体"/>
          <w:color w:val="000000" w:themeColor="text1"/>
        </w:rPr>
        <w:t>招标人不履行与中标人订立的合同的，应当返还中标人的履约保证金，并承担相应的赔偿责任。</w:t>
      </w:r>
      <w:bookmarkEnd w:id="85"/>
    </w:p>
    <w:p>
      <w:pPr>
        <w:autoSpaceDE w:val="0"/>
        <w:autoSpaceDN w:val="0"/>
        <w:spacing w:after="160" w:line="440" w:lineRule="exact"/>
        <w:jc w:val="left"/>
        <w:rPr>
          <w:rFonts w:ascii="宋体" w:hAnsi="宋体" w:eastAsia="宋体"/>
          <w:b/>
          <w:color w:val="000000" w:themeColor="text1"/>
        </w:rPr>
      </w:pPr>
      <w:r>
        <w:rPr>
          <w:rFonts w:ascii="宋体" w:hAnsi="宋体" w:eastAsia="宋体"/>
          <w:b/>
          <w:color w:val="000000" w:themeColor="text1"/>
        </w:rPr>
        <w:t>8. 重新招标和不再招标</w:t>
      </w:r>
      <w:bookmarkEnd w:id="83"/>
    </w:p>
    <w:p>
      <w:pPr>
        <w:autoSpaceDE w:val="0"/>
        <w:autoSpaceDN w:val="0"/>
        <w:spacing w:after="160" w:line="440" w:lineRule="exact"/>
        <w:jc w:val="left"/>
        <w:rPr>
          <w:rFonts w:ascii="宋体" w:hAnsi="宋体" w:eastAsia="宋体"/>
          <w:b/>
          <w:color w:val="000000" w:themeColor="text1"/>
        </w:rPr>
      </w:pPr>
      <w:bookmarkStart w:id="86" w:name="_Toc283559979"/>
      <w:r>
        <w:rPr>
          <w:rFonts w:ascii="宋体" w:hAnsi="宋体" w:eastAsia="宋体"/>
          <w:b/>
          <w:color w:val="000000" w:themeColor="text1"/>
        </w:rPr>
        <w:t>8.1 重新招标</w:t>
      </w:r>
      <w:bookmarkEnd w:id="86"/>
    </w:p>
    <w:p>
      <w:pPr>
        <w:autoSpaceDE w:val="0"/>
        <w:autoSpaceDN w:val="0"/>
        <w:spacing w:after="160" w:line="440" w:lineRule="exact"/>
        <w:ind w:firstLine="482"/>
        <w:jc w:val="left"/>
        <w:rPr>
          <w:rFonts w:ascii="宋体" w:hAnsi="宋体" w:eastAsia="宋体"/>
          <w:b/>
          <w:color w:val="000000" w:themeColor="text1"/>
        </w:rPr>
      </w:pPr>
      <w:bookmarkStart w:id="87" w:name="_Toc283559980"/>
      <w:r>
        <w:rPr>
          <w:rFonts w:ascii="宋体" w:hAnsi="宋体" w:eastAsia="宋体"/>
          <w:b/>
          <w:color w:val="000000" w:themeColor="text1"/>
        </w:rPr>
        <w:t>有下列情形之一的，招标人将重新招标：</w:t>
      </w:r>
    </w:p>
    <w:p>
      <w:pPr>
        <w:autoSpaceDE w:val="0"/>
        <w:autoSpaceDN w:val="0"/>
        <w:spacing w:after="160" w:line="440" w:lineRule="exact"/>
        <w:ind w:firstLine="480"/>
        <w:jc w:val="left"/>
        <w:rPr>
          <w:rFonts w:ascii="宋体" w:hAnsi="宋体" w:eastAsia="宋体"/>
          <w:color w:val="000000" w:themeColor="text1"/>
        </w:rPr>
      </w:pPr>
      <w:r>
        <w:rPr>
          <w:rFonts w:ascii="宋体" w:hAnsi="宋体" w:eastAsia="宋体"/>
          <w:color w:val="000000" w:themeColor="text1"/>
        </w:rPr>
        <w:t>（1）投标截止时间止，投标人少于3个的；</w:t>
      </w:r>
    </w:p>
    <w:p>
      <w:pPr>
        <w:autoSpaceDE w:val="0"/>
        <w:autoSpaceDN w:val="0"/>
        <w:spacing w:after="160" w:line="440" w:lineRule="exact"/>
        <w:ind w:firstLine="480"/>
        <w:jc w:val="left"/>
        <w:rPr>
          <w:rFonts w:ascii="宋体" w:hAnsi="宋体" w:eastAsia="宋体"/>
          <w:color w:val="000000" w:themeColor="text1"/>
        </w:rPr>
      </w:pPr>
      <w:r>
        <w:rPr>
          <w:rFonts w:ascii="宋体" w:hAnsi="宋体" w:eastAsia="宋体"/>
          <w:color w:val="000000" w:themeColor="text1"/>
        </w:rPr>
        <w:t>（2）经评标委员会评审后否决所有投标的；</w:t>
      </w:r>
    </w:p>
    <w:p>
      <w:pPr>
        <w:autoSpaceDE w:val="0"/>
        <w:autoSpaceDN w:val="0"/>
        <w:spacing w:after="160" w:line="440" w:lineRule="exact"/>
        <w:ind w:firstLine="480"/>
        <w:jc w:val="left"/>
        <w:rPr>
          <w:rFonts w:ascii="宋体" w:hAnsi="宋体" w:eastAsia="宋体"/>
          <w:color w:val="000000" w:themeColor="text1"/>
        </w:rPr>
      </w:pPr>
      <w:r>
        <w:rPr>
          <w:rFonts w:ascii="宋体" w:hAnsi="宋体" w:eastAsia="宋体"/>
          <w:color w:val="000000" w:themeColor="text1"/>
        </w:rPr>
        <w:t>（3）同意延长投标有效期的投标人少于3个的；</w:t>
      </w:r>
    </w:p>
    <w:p>
      <w:pPr>
        <w:autoSpaceDE w:val="0"/>
        <w:autoSpaceDN w:val="0"/>
        <w:spacing w:after="160" w:line="440" w:lineRule="exact"/>
        <w:jc w:val="left"/>
        <w:rPr>
          <w:rFonts w:ascii="宋体" w:hAnsi="宋体" w:eastAsia="宋体"/>
          <w:b/>
          <w:color w:val="000000" w:themeColor="text1"/>
        </w:rPr>
      </w:pPr>
      <w:r>
        <w:rPr>
          <w:rFonts w:ascii="宋体" w:hAnsi="宋体" w:eastAsia="宋体"/>
          <w:b/>
          <w:color w:val="000000" w:themeColor="text1"/>
        </w:rPr>
        <w:t>8.2 不再招标</w:t>
      </w:r>
      <w:bookmarkEnd w:id="87"/>
    </w:p>
    <w:p>
      <w:pPr>
        <w:autoSpaceDE w:val="0"/>
        <w:autoSpaceDN w:val="0"/>
        <w:spacing w:after="160" w:line="440" w:lineRule="exact"/>
        <w:ind w:firstLine="540"/>
        <w:jc w:val="left"/>
        <w:rPr>
          <w:rFonts w:ascii="宋体" w:hAnsi="宋体" w:eastAsia="宋体"/>
          <w:color w:val="000000" w:themeColor="text1"/>
        </w:rPr>
      </w:pPr>
      <w:r>
        <w:rPr>
          <w:rFonts w:ascii="宋体" w:hAnsi="宋体" w:eastAsia="宋体"/>
          <w:color w:val="000000" w:themeColor="text1"/>
        </w:rPr>
        <w:t>重新招标后投标人仍少于3个，属于必须审批或核准的工程建设项目，经原审批或核准部门批准后不再进行招标。</w:t>
      </w:r>
    </w:p>
    <w:p>
      <w:pPr>
        <w:pStyle w:val="48"/>
        <w:spacing w:after="160" w:line="440" w:lineRule="exact"/>
        <w:jc w:val="both"/>
        <w:rPr>
          <w:b/>
          <w:color w:val="000000" w:themeColor="text1"/>
          <w:sz w:val="21"/>
          <w:szCs w:val="21"/>
        </w:rPr>
      </w:pPr>
      <w:bookmarkStart w:id="88" w:name="_Toc283559981"/>
      <w:r>
        <w:rPr>
          <w:b/>
          <w:color w:val="000000" w:themeColor="text1"/>
          <w:sz w:val="21"/>
          <w:szCs w:val="21"/>
        </w:rPr>
        <w:t>9. 纪律和监督</w:t>
      </w:r>
      <w:bookmarkEnd w:id="88"/>
    </w:p>
    <w:p>
      <w:pPr>
        <w:autoSpaceDE w:val="0"/>
        <w:autoSpaceDN w:val="0"/>
        <w:spacing w:after="160" w:line="440" w:lineRule="exact"/>
        <w:jc w:val="left"/>
        <w:rPr>
          <w:rFonts w:ascii="宋体" w:hAnsi="宋体" w:eastAsia="宋体"/>
          <w:b/>
          <w:color w:val="000000" w:themeColor="text1"/>
        </w:rPr>
      </w:pPr>
      <w:bookmarkStart w:id="89" w:name="_Toc283559982"/>
      <w:r>
        <w:rPr>
          <w:rFonts w:ascii="宋体" w:hAnsi="宋体" w:eastAsia="宋体"/>
          <w:b/>
          <w:color w:val="000000" w:themeColor="text1"/>
        </w:rPr>
        <w:t>9.1 对招标人的纪律要求</w:t>
      </w:r>
      <w:bookmarkEnd w:id="89"/>
    </w:p>
    <w:p>
      <w:pPr>
        <w:autoSpaceDE w:val="0"/>
        <w:autoSpaceDN w:val="0"/>
        <w:spacing w:after="160" w:line="440" w:lineRule="exact"/>
        <w:ind w:firstLine="480"/>
        <w:jc w:val="left"/>
        <w:rPr>
          <w:rFonts w:ascii="宋体" w:hAnsi="宋体" w:eastAsia="宋体"/>
          <w:color w:val="000000" w:themeColor="text1"/>
        </w:rPr>
      </w:pPr>
      <w:bookmarkStart w:id="90" w:name="_Toc283559987"/>
      <w:r>
        <w:rPr>
          <w:rFonts w:ascii="宋体" w:hAnsi="宋体" w:eastAsia="宋体"/>
          <w:color w:val="000000" w:themeColor="text1"/>
        </w:rPr>
        <w:t>招标人不得泄漏招标投标活动中应当保密的情况和资料，不得与投标人串通损害国家利益、社会公共利益或者他人合法权益。</w:t>
      </w:r>
    </w:p>
    <w:p>
      <w:pPr>
        <w:autoSpaceDE w:val="0"/>
        <w:autoSpaceDN w:val="0"/>
        <w:spacing w:after="160" w:line="440" w:lineRule="exact"/>
        <w:jc w:val="left"/>
        <w:rPr>
          <w:rFonts w:ascii="宋体" w:hAnsi="宋体" w:eastAsia="宋体"/>
          <w:b/>
          <w:color w:val="000000" w:themeColor="text1"/>
        </w:rPr>
      </w:pPr>
      <w:bookmarkStart w:id="91" w:name="_Toc283559983"/>
      <w:r>
        <w:rPr>
          <w:rFonts w:ascii="宋体" w:hAnsi="宋体" w:eastAsia="宋体"/>
          <w:b/>
          <w:color w:val="000000" w:themeColor="text1"/>
        </w:rPr>
        <w:t>9.2 对投标人的纪律要求</w:t>
      </w:r>
      <w:bookmarkEnd w:id="91"/>
    </w:p>
    <w:p>
      <w:pPr>
        <w:autoSpaceDE w:val="0"/>
        <w:autoSpaceDN w:val="0"/>
        <w:spacing w:after="160" w:line="440" w:lineRule="exact"/>
        <w:ind w:firstLine="480"/>
        <w:jc w:val="left"/>
        <w:rPr>
          <w:rFonts w:ascii="宋体" w:hAnsi="宋体" w:eastAsia="宋体"/>
          <w:color w:val="000000" w:themeColor="text1"/>
        </w:rPr>
      </w:pPr>
      <w:r>
        <w:rPr>
          <w:rFonts w:ascii="宋体" w:hAnsi="宋体" w:eastAsia="宋体"/>
          <w:color w:val="000000" w:themeColor="text1"/>
        </w:rPr>
        <w:t>投标人不得相互串通投标或者与招标人串通投标，不得向招标人或者评标委员会成员行贿谋取中标，不得以他人名义投标或者以其他方式弄虚作假骗取中标；投标人不得以任何方式干扰、影响评标工作。</w:t>
      </w:r>
    </w:p>
    <w:p>
      <w:pPr>
        <w:autoSpaceDE w:val="0"/>
        <w:autoSpaceDN w:val="0"/>
        <w:spacing w:after="160" w:line="440" w:lineRule="exact"/>
        <w:jc w:val="left"/>
        <w:rPr>
          <w:rFonts w:ascii="宋体" w:hAnsi="宋体" w:eastAsia="宋体"/>
          <w:b/>
          <w:color w:val="000000" w:themeColor="text1"/>
        </w:rPr>
      </w:pPr>
      <w:bookmarkStart w:id="92" w:name="_Toc283559984"/>
      <w:r>
        <w:rPr>
          <w:rFonts w:ascii="宋体" w:hAnsi="宋体" w:eastAsia="宋体"/>
          <w:b/>
          <w:color w:val="000000" w:themeColor="text1"/>
        </w:rPr>
        <w:t>9.3 对评标委员会成员的纪律要求</w:t>
      </w:r>
      <w:bookmarkEnd w:id="92"/>
    </w:p>
    <w:p>
      <w:pPr>
        <w:autoSpaceDE w:val="0"/>
        <w:autoSpaceDN w:val="0"/>
        <w:spacing w:after="160" w:line="440" w:lineRule="exact"/>
        <w:ind w:firstLine="480"/>
        <w:jc w:val="left"/>
        <w:rPr>
          <w:rFonts w:ascii="宋体" w:hAnsi="宋体" w:eastAsia="宋体"/>
          <w:color w:val="000000" w:themeColor="text1"/>
        </w:rPr>
      </w:pPr>
      <w:r>
        <w:rPr>
          <w:rFonts w:ascii="宋体" w:hAnsi="宋体" w:eastAsia="宋体"/>
          <w:color w:val="000000" w:themeColor="text1"/>
        </w:rPr>
        <w:t>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w:t>
      </w:r>
    </w:p>
    <w:p>
      <w:pPr>
        <w:autoSpaceDE w:val="0"/>
        <w:autoSpaceDN w:val="0"/>
        <w:spacing w:after="160" w:line="440" w:lineRule="exact"/>
        <w:jc w:val="left"/>
        <w:rPr>
          <w:rFonts w:ascii="宋体" w:hAnsi="宋体" w:eastAsia="宋体"/>
          <w:b/>
          <w:color w:val="000000" w:themeColor="text1"/>
        </w:rPr>
      </w:pPr>
      <w:bookmarkStart w:id="93" w:name="_Toc283559985"/>
      <w:r>
        <w:rPr>
          <w:rFonts w:ascii="宋体" w:hAnsi="宋体" w:eastAsia="宋体"/>
          <w:b/>
          <w:color w:val="000000" w:themeColor="text1"/>
        </w:rPr>
        <w:t>9.4 对与评标活动有关的工作人员的纪律要求</w:t>
      </w:r>
      <w:bookmarkEnd w:id="93"/>
    </w:p>
    <w:p>
      <w:pPr>
        <w:autoSpaceDE w:val="0"/>
        <w:autoSpaceDN w:val="0"/>
        <w:spacing w:after="160" w:line="440" w:lineRule="exact"/>
        <w:ind w:firstLine="480"/>
        <w:jc w:val="left"/>
        <w:rPr>
          <w:rFonts w:ascii="宋体" w:hAnsi="宋体" w:eastAsia="宋体"/>
          <w:color w:val="000000" w:themeColor="text1"/>
        </w:rPr>
      </w:pPr>
      <w:r>
        <w:rPr>
          <w:rFonts w:ascii="宋体" w:hAnsi="宋体" w:eastAsia="宋体"/>
          <w:color w:val="000000" w:themeColor="text1"/>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pPr>
        <w:autoSpaceDE w:val="0"/>
        <w:autoSpaceDN w:val="0"/>
        <w:spacing w:after="160" w:line="440" w:lineRule="exact"/>
        <w:jc w:val="left"/>
        <w:rPr>
          <w:rFonts w:ascii="宋体" w:hAnsi="宋体" w:eastAsia="宋体"/>
          <w:b/>
          <w:color w:val="000000" w:themeColor="text1"/>
        </w:rPr>
      </w:pPr>
      <w:bookmarkStart w:id="94" w:name="_Toc283559986"/>
      <w:r>
        <w:rPr>
          <w:rFonts w:ascii="宋体" w:hAnsi="宋体" w:eastAsia="宋体"/>
          <w:b/>
          <w:color w:val="000000" w:themeColor="text1"/>
        </w:rPr>
        <w:t>9.5 投诉</w:t>
      </w:r>
      <w:bookmarkEnd w:id="94"/>
    </w:p>
    <w:p>
      <w:pPr>
        <w:autoSpaceDE w:val="0"/>
        <w:autoSpaceDN w:val="0"/>
        <w:spacing w:after="160" w:line="440" w:lineRule="exact"/>
        <w:ind w:firstLine="480"/>
        <w:jc w:val="left"/>
        <w:rPr>
          <w:rFonts w:ascii="宋体" w:hAnsi="宋体" w:eastAsia="宋体"/>
          <w:color w:val="000000" w:themeColor="text1"/>
        </w:rPr>
      </w:pPr>
      <w:r>
        <w:rPr>
          <w:rFonts w:ascii="宋体" w:hAnsi="宋体" w:eastAsia="宋体"/>
          <w:color w:val="000000" w:themeColor="text1"/>
        </w:rPr>
        <w:t>投标人和其他利害关系人认为本次招标活动违反法律、法规和规章规定的，有权向有关行政监督部门投诉。</w:t>
      </w:r>
    </w:p>
    <w:p>
      <w:pPr>
        <w:autoSpaceDE w:val="0"/>
        <w:autoSpaceDN w:val="0"/>
        <w:spacing w:after="160" w:line="440" w:lineRule="exact"/>
        <w:ind w:firstLine="480"/>
        <w:jc w:val="left"/>
        <w:rPr>
          <w:rFonts w:ascii="宋体" w:hAnsi="宋体" w:eastAsia="宋体"/>
          <w:color w:val="000000" w:themeColor="text1"/>
        </w:rPr>
      </w:pPr>
      <w:r>
        <w:rPr>
          <w:rFonts w:ascii="宋体" w:hAnsi="宋体" w:eastAsia="宋体"/>
          <w:color w:val="000000" w:themeColor="text1"/>
        </w:rPr>
        <w:t>投标人提起投诉应当符合《中华人民共和国招标投标法》及其实施条例、《工程建设项目招标投标活动投诉处理办法》（七部委11号令；九部委23号令于2013年3月11日修改）规定。</w:t>
      </w:r>
    </w:p>
    <w:p>
      <w:pPr>
        <w:pStyle w:val="48"/>
        <w:spacing w:after="160" w:line="440" w:lineRule="exact"/>
        <w:jc w:val="both"/>
        <w:rPr>
          <w:b/>
          <w:color w:val="000000" w:themeColor="text1"/>
          <w:sz w:val="21"/>
          <w:szCs w:val="21"/>
        </w:rPr>
      </w:pPr>
      <w:r>
        <w:rPr>
          <w:b/>
          <w:color w:val="000000" w:themeColor="text1"/>
          <w:sz w:val="21"/>
          <w:szCs w:val="21"/>
        </w:rPr>
        <w:t>10. 需要补充的其他内容</w:t>
      </w:r>
      <w:bookmarkEnd w:id="90"/>
    </w:p>
    <w:p>
      <w:pPr>
        <w:autoSpaceDE w:val="0"/>
        <w:autoSpaceDN w:val="0"/>
        <w:spacing w:after="160" w:line="440" w:lineRule="exact"/>
        <w:ind w:firstLine="482"/>
        <w:jc w:val="left"/>
        <w:rPr>
          <w:rFonts w:ascii="宋体" w:hAnsi="宋体" w:eastAsia="宋体"/>
          <w:b/>
          <w:color w:val="000000" w:themeColor="text1"/>
        </w:rPr>
      </w:pPr>
      <w:r>
        <w:rPr>
          <w:rFonts w:ascii="宋体" w:hAnsi="宋体" w:eastAsia="宋体"/>
          <w:b/>
          <w:color w:val="000000" w:themeColor="text1"/>
        </w:rPr>
        <w:t>10.1 需要补充的其他内容：见投标人须知前附表。</w:t>
      </w:r>
    </w:p>
    <w:p>
      <w:pPr>
        <w:spacing w:after="120" w:line="440" w:lineRule="exact"/>
        <w:ind w:firstLine="720"/>
        <w:jc w:val="left"/>
        <w:outlineLvl w:val="1"/>
        <w:rPr>
          <w:rFonts w:ascii="宋体" w:hAnsi="宋体" w:eastAsia="宋体"/>
          <w:color w:val="000000" w:themeColor="text1"/>
        </w:rPr>
      </w:pPr>
      <w:bookmarkStart w:id="95" w:name="_Toc3689"/>
      <w:r>
        <w:rPr>
          <w:rFonts w:ascii="宋体" w:hAnsi="宋体" w:eastAsia="宋体"/>
          <w:color w:val="000000" w:themeColor="text1"/>
        </w:rPr>
        <w:t>需要补充的其他内容：见投标人须知前附表。</w:t>
      </w:r>
      <w:bookmarkEnd w:id="95"/>
    </w:p>
    <w:p>
      <w:pPr>
        <w:pStyle w:val="27"/>
        <w:spacing w:before="320" w:after="200" w:line="360" w:lineRule="auto"/>
        <w:outlineLvl w:val="1"/>
        <w:rPr>
          <w:rFonts w:ascii="宋体" w:hAnsi="宋体" w:eastAsia="宋体"/>
          <w:color w:val="000000" w:themeColor="text1"/>
        </w:rPr>
      </w:pPr>
      <w:r>
        <w:rPr>
          <w:color w:val="000000" w:themeColor="text1"/>
        </w:rPr>
        <w:br w:type="page"/>
      </w:r>
      <w:bookmarkStart w:id="96" w:name="_Toc17367"/>
      <w:r>
        <w:rPr>
          <w:rFonts w:ascii="宋体" w:hAnsi="宋体" w:eastAsia="宋体"/>
          <w:color w:val="000000" w:themeColor="text1"/>
        </w:rPr>
        <w:t>第三章 评标方法（综合评估法）</w:t>
      </w:r>
      <w:bookmarkEnd w:id="8"/>
      <w:bookmarkEnd w:id="9"/>
      <w:bookmarkEnd w:id="10"/>
      <w:bookmarkEnd w:id="11"/>
      <w:bookmarkEnd w:id="96"/>
    </w:p>
    <w:p>
      <w:pPr>
        <w:pStyle w:val="22"/>
        <w:spacing w:before="240" w:after="240" w:line="360" w:lineRule="auto"/>
        <w:outlineLvl w:val="2"/>
        <w:rPr>
          <w:rFonts w:ascii="宋体" w:hAnsi="宋体" w:eastAsia="宋体"/>
          <w:color w:val="000000" w:themeColor="text1"/>
        </w:rPr>
      </w:pPr>
      <w:bookmarkStart w:id="97" w:name="_Toc16968"/>
      <w:bookmarkStart w:id="98" w:name="_Toc32310"/>
      <w:bookmarkStart w:id="99" w:name="_Toc12419"/>
      <w:bookmarkStart w:id="100" w:name="_Toc7031"/>
      <w:bookmarkStart w:id="101" w:name="_Toc17289"/>
      <w:r>
        <w:rPr>
          <w:rFonts w:ascii="宋体" w:hAnsi="宋体" w:eastAsia="宋体"/>
          <w:color w:val="000000" w:themeColor="text1"/>
        </w:rPr>
        <w:t>评标办法前附表</w:t>
      </w:r>
      <w:bookmarkEnd w:id="97"/>
      <w:bookmarkEnd w:id="98"/>
      <w:bookmarkEnd w:id="99"/>
      <w:bookmarkEnd w:id="100"/>
      <w:bookmarkEnd w:id="101"/>
    </w:p>
    <w:tbl>
      <w:tblPr>
        <w:tblStyle w:val="30"/>
        <w:tblW w:w="915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58"/>
        <w:gridCol w:w="155"/>
        <w:gridCol w:w="920"/>
        <w:gridCol w:w="1796"/>
        <w:gridCol w:w="552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24" w:hRule="atLeast"/>
          <w:jc w:val="center"/>
        </w:trPr>
        <w:tc>
          <w:tcPr>
            <w:tcW w:w="1833" w:type="dxa"/>
            <w:gridSpan w:val="3"/>
            <w:vAlign w:val="center"/>
          </w:tcPr>
          <w:p>
            <w:pPr>
              <w:pStyle w:val="50"/>
              <w:spacing w:before="120" w:after="120" w:line="360" w:lineRule="auto"/>
              <w:jc w:val="center"/>
              <w:rPr>
                <w:rFonts w:ascii="宋体" w:hAnsi="宋体" w:eastAsia="宋体"/>
                <w:color w:val="000000" w:themeColor="text1"/>
              </w:rPr>
            </w:pPr>
            <w:r>
              <w:rPr>
                <w:rFonts w:ascii="宋体" w:hAnsi="宋体" w:eastAsia="宋体"/>
                <w:b/>
                <w:color w:val="000000" w:themeColor="text1"/>
              </w:rPr>
              <w:t>条款号</w:t>
            </w:r>
          </w:p>
        </w:tc>
        <w:tc>
          <w:tcPr>
            <w:tcW w:w="1796" w:type="dxa"/>
            <w:vAlign w:val="center"/>
          </w:tcPr>
          <w:p>
            <w:pPr>
              <w:pStyle w:val="50"/>
              <w:spacing w:before="120" w:after="120" w:line="360" w:lineRule="auto"/>
              <w:jc w:val="center"/>
              <w:rPr>
                <w:rFonts w:ascii="宋体" w:hAnsi="宋体" w:eastAsia="宋体"/>
                <w:color w:val="000000" w:themeColor="text1"/>
              </w:rPr>
            </w:pPr>
            <w:r>
              <w:rPr>
                <w:rFonts w:ascii="宋体" w:hAnsi="宋体" w:eastAsia="宋体"/>
                <w:b/>
                <w:color w:val="000000" w:themeColor="text1"/>
              </w:rPr>
              <w:t>评审因素</w:t>
            </w:r>
          </w:p>
        </w:tc>
        <w:tc>
          <w:tcPr>
            <w:tcW w:w="5523" w:type="dxa"/>
            <w:vAlign w:val="center"/>
          </w:tcPr>
          <w:p>
            <w:pPr>
              <w:pStyle w:val="50"/>
              <w:spacing w:before="120" w:after="120" w:line="360" w:lineRule="auto"/>
              <w:jc w:val="center"/>
              <w:rPr>
                <w:rFonts w:ascii="宋体" w:hAnsi="宋体" w:eastAsia="宋体"/>
                <w:color w:val="000000" w:themeColor="text1"/>
              </w:rPr>
            </w:pPr>
            <w:r>
              <w:rPr>
                <w:rFonts w:ascii="宋体" w:hAnsi="宋体" w:eastAsia="宋体"/>
                <w:b/>
                <w:color w:val="000000" w:themeColor="text1"/>
              </w:rPr>
              <w:t>评审标准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24" w:hRule="atLeast"/>
          <w:jc w:val="center"/>
        </w:trPr>
        <w:tc>
          <w:tcPr>
            <w:tcW w:w="758" w:type="dxa"/>
            <w:vAlign w:val="center"/>
          </w:tcPr>
          <w:p>
            <w:pPr>
              <w:pStyle w:val="50"/>
              <w:spacing w:before="120" w:after="120" w:line="360" w:lineRule="auto"/>
              <w:jc w:val="center"/>
              <w:rPr>
                <w:rFonts w:ascii="宋体" w:hAnsi="宋体" w:eastAsia="宋体"/>
                <w:color w:val="000000" w:themeColor="text1"/>
              </w:rPr>
            </w:pPr>
            <w:r>
              <w:rPr>
                <w:rFonts w:ascii="宋体" w:hAnsi="宋体" w:eastAsia="宋体"/>
                <w:color w:val="000000" w:themeColor="text1"/>
              </w:rPr>
              <w:t>2.1.1</w:t>
            </w:r>
          </w:p>
        </w:tc>
        <w:tc>
          <w:tcPr>
            <w:tcW w:w="1075" w:type="dxa"/>
            <w:gridSpan w:val="2"/>
            <w:vMerge w:val="restart"/>
            <w:vAlign w:val="center"/>
          </w:tcPr>
          <w:p>
            <w:pPr>
              <w:pStyle w:val="50"/>
              <w:spacing w:before="120" w:after="120" w:line="360" w:lineRule="auto"/>
              <w:jc w:val="center"/>
              <w:rPr>
                <w:rFonts w:ascii="宋体" w:hAnsi="宋体" w:eastAsia="宋体"/>
                <w:color w:val="000000" w:themeColor="text1"/>
              </w:rPr>
            </w:pPr>
            <w:r>
              <w:rPr>
                <w:rFonts w:ascii="宋体" w:hAnsi="宋体" w:eastAsia="宋体"/>
                <w:color w:val="000000" w:themeColor="text1"/>
              </w:rPr>
              <w:t>形式评审标准</w:t>
            </w:r>
          </w:p>
        </w:tc>
        <w:tc>
          <w:tcPr>
            <w:tcW w:w="1796" w:type="dxa"/>
            <w:vAlign w:val="center"/>
          </w:tcPr>
          <w:p>
            <w:pPr>
              <w:pStyle w:val="50"/>
              <w:spacing w:before="120" w:after="120" w:line="360" w:lineRule="auto"/>
              <w:jc w:val="center"/>
              <w:rPr>
                <w:rFonts w:ascii="宋体" w:hAnsi="宋体" w:eastAsia="宋体"/>
                <w:color w:val="000000" w:themeColor="text1"/>
              </w:rPr>
            </w:pPr>
            <w:r>
              <w:rPr>
                <w:rFonts w:ascii="宋体" w:hAnsi="宋体" w:eastAsia="宋体"/>
                <w:color w:val="000000" w:themeColor="text1"/>
              </w:rPr>
              <w:t>投标人名称</w:t>
            </w:r>
          </w:p>
        </w:tc>
        <w:tc>
          <w:tcPr>
            <w:tcW w:w="5523" w:type="dxa"/>
            <w:vAlign w:val="center"/>
          </w:tcPr>
          <w:p>
            <w:pPr>
              <w:pStyle w:val="50"/>
              <w:spacing w:before="120" w:after="120" w:line="360" w:lineRule="auto"/>
              <w:rPr>
                <w:rFonts w:ascii="宋体" w:hAnsi="宋体" w:eastAsia="宋体"/>
                <w:color w:val="000000" w:themeColor="text1"/>
              </w:rPr>
            </w:pPr>
            <w:r>
              <w:rPr>
                <w:rFonts w:ascii="宋体" w:hAnsi="宋体" w:eastAsia="宋体"/>
                <w:color w:val="000000" w:themeColor="text1"/>
              </w:rPr>
              <w:t>与营业执照、资质证书、安全生产许可证一致。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193" w:hRule="atLeast"/>
          <w:jc w:val="center"/>
        </w:trPr>
        <w:tc>
          <w:tcPr>
            <w:tcW w:w="758" w:type="dxa"/>
            <w:vMerge w:val="restart"/>
            <w:vAlign w:val="center"/>
          </w:tcPr>
          <w:p>
            <w:pPr>
              <w:pStyle w:val="50"/>
              <w:spacing w:before="120" w:after="120" w:line="360" w:lineRule="auto"/>
              <w:rPr>
                <w:rFonts w:ascii="宋体" w:hAnsi="宋体" w:eastAsia="宋体"/>
                <w:color w:val="000000" w:themeColor="text1"/>
              </w:rPr>
            </w:pPr>
          </w:p>
        </w:tc>
        <w:tc>
          <w:tcPr>
            <w:tcW w:w="1075" w:type="dxa"/>
            <w:gridSpan w:val="2"/>
            <w:vMerge w:val="continue"/>
            <w:vAlign w:val="center"/>
          </w:tcPr>
          <w:p>
            <w:pPr>
              <w:rPr>
                <w:color w:val="000000" w:themeColor="text1"/>
              </w:rPr>
            </w:pPr>
          </w:p>
        </w:tc>
        <w:tc>
          <w:tcPr>
            <w:tcW w:w="1796" w:type="dxa"/>
            <w:vAlign w:val="center"/>
          </w:tcPr>
          <w:p>
            <w:pPr>
              <w:pStyle w:val="50"/>
              <w:spacing w:before="120" w:after="120" w:line="360" w:lineRule="auto"/>
              <w:jc w:val="center"/>
              <w:rPr>
                <w:rFonts w:ascii="宋体" w:hAnsi="宋体" w:eastAsia="宋体"/>
                <w:color w:val="000000" w:themeColor="text1"/>
              </w:rPr>
            </w:pPr>
            <w:r>
              <w:rPr>
                <w:rFonts w:ascii="宋体" w:hAnsi="宋体" w:eastAsia="宋体"/>
                <w:color w:val="000000" w:themeColor="text1"/>
              </w:rPr>
              <w:t>投标文件格式</w:t>
            </w:r>
          </w:p>
        </w:tc>
        <w:tc>
          <w:tcPr>
            <w:tcW w:w="5523" w:type="dxa"/>
            <w:vAlign w:val="center"/>
          </w:tcPr>
          <w:p>
            <w:pPr>
              <w:pStyle w:val="50"/>
              <w:spacing w:before="120" w:after="120" w:line="360" w:lineRule="auto"/>
              <w:rPr>
                <w:rFonts w:ascii="宋体" w:hAnsi="宋体" w:eastAsia="宋体"/>
                <w:color w:val="000000" w:themeColor="text1"/>
              </w:rPr>
            </w:pPr>
            <w:r>
              <w:rPr>
                <w:rFonts w:ascii="宋体" w:hAnsi="宋体" w:eastAsia="宋体"/>
                <w:color w:val="000000" w:themeColor="text1"/>
              </w:rPr>
              <w:t>符合第七章“投标文件格式”和招标文件其他部分规定的要求。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24" w:hRule="atLeast"/>
          <w:jc w:val="center"/>
        </w:trPr>
        <w:tc>
          <w:tcPr>
            <w:tcW w:w="758" w:type="dxa"/>
            <w:vMerge w:val="continue"/>
            <w:vAlign w:val="center"/>
          </w:tcPr>
          <w:p>
            <w:pPr>
              <w:rPr>
                <w:color w:val="000000" w:themeColor="text1"/>
              </w:rPr>
            </w:pPr>
          </w:p>
        </w:tc>
        <w:tc>
          <w:tcPr>
            <w:tcW w:w="1075" w:type="dxa"/>
            <w:gridSpan w:val="2"/>
            <w:vMerge w:val="continue"/>
            <w:vAlign w:val="center"/>
          </w:tcPr>
          <w:p>
            <w:pPr>
              <w:rPr>
                <w:color w:val="000000" w:themeColor="text1"/>
              </w:rPr>
            </w:pPr>
          </w:p>
        </w:tc>
        <w:tc>
          <w:tcPr>
            <w:tcW w:w="1796" w:type="dxa"/>
            <w:vAlign w:val="center"/>
          </w:tcPr>
          <w:p>
            <w:pPr>
              <w:pStyle w:val="50"/>
              <w:spacing w:before="120" w:after="120" w:line="360" w:lineRule="auto"/>
              <w:jc w:val="center"/>
              <w:rPr>
                <w:rFonts w:ascii="宋体" w:hAnsi="宋体" w:eastAsia="宋体"/>
                <w:color w:val="000000" w:themeColor="text1"/>
              </w:rPr>
            </w:pPr>
            <w:r>
              <w:rPr>
                <w:rFonts w:ascii="宋体" w:hAnsi="宋体" w:eastAsia="宋体"/>
                <w:color w:val="000000" w:themeColor="text1"/>
              </w:rPr>
              <w:t>投标文件的</w:t>
            </w:r>
          </w:p>
          <w:p>
            <w:pPr>
              <w:pStyle w:val="50"/>
              <w:spacing w:before="120" w:after="120" w:line="360" w:lineRule="auto"/>
              <w:jc w:val="center"/>
              <w:rPr>
                <w:rFonts w:ascii="宋体" w:hAnsi="宋体" w:eastAsia="宋体"/>
                <w:color w:val="000000" w:themeColor="text1"/>
              </w:rPr>
            </w:pPr>
            <w:r>
              <w:rPr>
                <w:rFonts w:ascii="宋体" w:hAnsi="宋体" w:eastAsia="宋体"/>
                <w:color w:val="000000" w:themeColor="text1"/>
              </w:rPr>
              <w:t>有效签章</w:t>
            </w:r>
          </w:p>
        </w:tc>
        <w:tc>
          <w:tcPr>
            <w:tcW w:w="5523" w:type="dxa"/>
            <w:vAlign w:val="center"/>
          </w:tcPr>
          <w:p>
            <w:pPr>
              <w:pStyle w:val="50"/>
              <w:spacing w:before="120" w:after="120" w:line="360" w:lineRule="auto"/>
              <w:rPr>
                <w:rFonts w:ascii="宋体" w:hAnsi="宋体" w:eastAsia="宋体"/>
                <w:color w:val="000000" w:themeColor="text1"/>
              </w:rPr>
            </w:pPr>
            <w:r>
              <w:rPr>
                <w:rFonts w:ascii="宋体" w:hAnsi="宋体" w:eastAsia="宋体"/>
                <w:color w:val="000000" w:themeColor="text1"/>
              </w:rPr>
              <w:t>按照投标文件格式签章。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193" w:hRule="atLeast"/>
          <w:jc w:val="center"/>
        </w:trPr>
        <w:tc>
          <w:tcPr>
            <w:tcW w:w="758" w:type="dxa"/>
            <w:vMerge w:val="restart"/>
            <w:vAlign w:val="center"/>
          </w:tcPr>
          <w:p>
            <w:pPr>
              <w:pStyle w:val="50"/>
              <w:spacing w:before="120" w:after="120" w:line="360" w:lineRule="auto"/>
              <w:jc w:val="center"/>
              <w:rPr>
                <w:rFonts w:ascii="宋体" w:hAnsi="宋体" w:eastAsia="宋体"/>
                <w:color w:val="000000" w:themeColor="text1"/>
              </w:rPr>
            </w:pPr>
            <w:r>
              <w:rPr>
                <w:rFonts w:ascii="宋体" w:hAnsi="宋体" w:eastAsia="宋体"/>
                <w:color w:val="000000" w:themeColor="text1"/>
              </w:rPr>
              <w:t>2.1.2</w:t>
            </w:r>
          </w:p>
        </w:tc>
        <w:tc>
          <w:tcPr>
            <w:tcW w:w="1075" w:type="dxa"/>
            <w:gridSpan w:val="2"/>
            <w:vMerge w:val="restart"/>
            <w:vAlign w:val="center"/>
          </w:tcPr>
          <w:p>
            <w:pPr>
              <w:pStyle w:val="50"/>
              <w:spacing w:before="120" w:after="120" w:line="360" w:lineRule="auto"/>
              <w:jc w:val="center"/>
              <w:rPr>
                <w:rFonts w:ascii="宋体" w:hAnsi="宋体" w:eastAsia="宋体"/>
                <w:color w:val="000000" w:themeColor="text1"/>
              </w:rPr>
            </w:pPr>
            <w:r>
              <w:rPr>
                <w:rFonts w:ascii="宋体" w:hAnsi="宋体" w:eastAsia="宋体"/>
                <w:color w:val="000000" w:themeColor="text1"/>
              </w:rPr>
              <w:t>资格评审标准</w:t>
            </w:r>
          </w:p>
        </w:tc>
        <w:tc>
          <w:tcPr>
            <w:tcW w:w="1796" w:type="dxa"/>
            <w:vAlign w:val="center"/>
          </w:tcPr>
          <w:p>
            <w:pPr>
              <w:pStyle w:val="50"/>
              <w:spacing w:before="120" w:after="120" w:line="360" w:lineRule="auto"/>
              <w:jc w:val="center"/>
              <w:rPr>
                <w:rFonts w:ascii="宋体" w:hAnsi="宋体" w:eastAsia="宋体"/>
                <w:color w:val="000000" w:themeColor="text1"/>
              </w:rPr>
            </w:pPr>
            <w:r>
              <w:rPr>
                <w:rFonts w:ascii="宋体" w:hAnsi="宋体" w:eastAsia="宋体"/>
                <w:color w:val="000000" w:themeColor="text1"/>
              </w:rPr>
              <w:t>财务状况</w:t>
            </w:r>
          </w:p>
        </w:tc>
        <w:tc>
          <w:tcPr>
            <w:tcW w:w="5523" w:type="dxa"/>
            <w:vAlign w:val="center"/>
          </w:tcPr>
          <w:p>
            <w:pPr>
              <w:pStyle w:val="50"/>
              <w:spacing w:before="120" w:after="120" w:line="360" w:lineRule="auto"/>
              <w:jc w:val="both"/>
              <w:rPr>
                <w:rFonts w:ascii="宋体" w:hAnsi="宋体" w:eastAsia="宋体"/>
                <w:color w:val="000000" w:themeColor="text1"/>
              </w:rPr>
            </w:pPr>
            <w:r>
              <w:rPr>
                <w:rFonts w:ascii="宋体" w:hAnsi="宋体" w:eastAsia="宋体"/>
                <w:color w:val="000000" w:themeColor="text1"/>
              </w:rPr>
              <w:t>近年，指2016、2017、2018年度（对于成立不足三年的投标单位，从成立当年算起；）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193" w:hRule="atLeast"/>
          <w:jc w:val="center"/>
        </w:trPr>
        <w:tc>
          <w:tcPr>
            <w:tcW w:w="758" w:type="dxa"/>
            <w:vMerge w:val="continue"/>
            <w:vAlign w:val="center"/>
          </w:tcPr>
          <w:p>
            <w:pPr>
              <w:rPr>
                <w:color w:val="000000" w:themeColor="text1"/>
              </w:rPr>
            </w:pPr>
          </w:p>
        </w:tc>
        <w:tc>
          <w:tcPr>
            <w:tcW w:w="1075" w:type="dxa"/>
            <w:gridSpan w:val="2"/>
            <w:vMerge w:val="continue"/>
            <w:vAlign w:val="center"/>
          </w:tcPr>
          <w:p>
            <w:pPr>
              <w:rPr>
                <w:color w:val="000000" w:themeColor="text1"/>
              </w:rPr>
            </w:pPr>
          </w:p>
        </w:tc>
        <w:tc>
          <w:tcPr>
            <w:tcW w:w="1796" w:type="dxa"/>
            <w:vAlign w:val="center"/>
          </w:tcPr>
          <w:p>
            <w:pPr>
              <w:pStyle w:val="50"/>
              <w:spacing w:before="120" w:after="120" w:line="360" w:lineRule="auto"/>
              <w:jc w:val="center"/>
              <w:rPr>
                <w:rFonts w:ascii="宋体" w:hAnsi="宋体" w:eastAsia="宋体"/>
                <w:color w:val="000000" w:themeColor="text1"/>
              </w:rPr>
            </w:pPr>
            <w:r>
              <w:rPr>
                <w:rFonts w:ascii="宋体" w:hAnsi="宋体" w:eastAsia="宋体"/>
                <w:color w:val="000000" w:themeColor="text1"/>
              </w:rPr>
              <w:t>资质等级</w:t>
            </w:r>
          </w:p>
        </w:tc>
        <w:tc>
          <w:tcPr>
            <w:tcW w:w="5523" w:type="dxa"/>
            <w:vAlign w:val="center"/>
          </w:tcPr>
          <w:p>
            <w:pPr>
              <w:snapToGrid w:val="0"/>
              <w:spacing w:before="120" w:after="120" w:line="360" w:lineRule="auto"/>
              <w:ind w:firstLine="480"/>
              <w:rPr>
                <w:rFonts w:ascii="宋体" w:hAnsi="宋体" w:eastAsia="宋体"/>
                <w:color w:val="000000" w:themeColor="text1"/>
              </w:rPr>
            </w:pPr>
            <w:r>
              <w:rPr>
                <w:rFonts w:hAnsi="Times New Roman"/>
                <w:color w:val="000000" w:themeColor="text1"/>
              </w:rPr>
              <w:t>投标人应具备环保工程专业承包壹级资质或市政公用工程施工专业贰级及以上资质要求。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193" w:hRule="atLeast"/>
          <w:jc w:val="center"/>
        </w:trPr>
        <w:tc>
          <w:tcPr>
            <w:tcW w:w="758" w:type="dxa"/>
            <w:vMerge w:val="continue"/>
            <w:vAlign w:val="center"/>
          </w:tcPr>
          <w:p>
            <w:pPr>
              <w:rPr>
                <w:color w:val="000000" w:themeColor="text1"/>
              </w:rPr>
            </w:pPr>
          </w:p>
        </w:tc>
        <w:tc>
          <w:tcPr>
            <w:tcW w:w="1075" w:type="dxa"/>
            <w:gridSpan w:val="2"/>
            <w:vMerge w:val="continue"/>
            <w:vAlign w:val="center"/>
          </w:tcPr>
          <w:p>
            <w:pPr>
              <w:rPr>
                <w:color w:val="000000" w:themeColor="text1"/>
              </w:rPr>
            </w:pPr>
          </w:p>
        </w:tc>
        <w:tc>
          <w:tcPr>
            <w:tcW w:w="1796" w:type="dxa"/>
            <w:vAlign w:val="center"/>
          </w:tcPr>
          <w:p>
            <w:pPr>
              <w:pStyle w:val="50"/>
              <w:spacing w:before="120" w:after="120" w:line="360" w:lineRule="auto"/>
              <w:jc w:val="center"/>
              <w:rPr>
                <w:rFonts w:ascii="宋体" w:hAnsi="宋体" w:eastAsia="宋体"/>
                <w:color w:val="000000" w:themeColor="text1"/>
              </w:rPr>
            </w:pPr>
            <w:r>
              <w:rPr>
                <w:rFonts w:ascii="宋体" w:hAnsi="宋体" w:eastAsia="宋体"/>
                <w:color w:val="000000" w:themeColor="text1"/>
              </w:rPr>
              <w:t>安全生产</w:t>
            </w:r>
          </w:p>
          <w:p>
            <w:pPr>
              <w:pStyle w:val="50"/>
              <w:spacing w:before="120" w:after="120" w:line="360" w:lineRule="auto"/>
              <w:jc w:val="center"/>
              <w:rPr>
                <w:rFonts w:ascii="宋体" w:hAnsi="宋体" w:eastAsia="宋体"/>
                <w:color w:val="000000" w:themeColor="text1"/>
              </w:rPr>
            </w:pPr>
            <w:r>
              <w:rPr>
                <w:rFonts w:ascii="宋体" w:hAnsi="宋体" w:eastAsia="宋体"/>
                <w:color w:val="000000" w:themeColor="text1"/>
              </w:rPr>
              <w:t>许可证</w:t>
            </w:r>
          </w:p>
        </w:tc>
        <w:tc>
          <w:tcPr>
            <w:tcW w:w="5523" w:type="dxa"/>
            <w:vAlign w:val="center"/>
          </w:tcPr>
          <w:p>
            <w:pPr>
              <w:pStyle w:val="50"/>
              <w:spacing w:before="120" w:after="120" w:line="360" w:lineRule="auto"/>
              <w:jc w:val="both"/>
              <w:rPr>
                <w:rFonts w:ascii="宋体" w:hAnsi="宋体" w:eastAsia="宋体"/>
                <w:color w:val="000000" w:themeColor="text1"/>
              </w:rPr>
            </w:pPr>
            <w:r>
              <w:rPr>
                <w:rFonts w:ascii="宋体" w:hAnsi="宋体" w:eastAsia="宋体"/>
                <w:color w:val="000000" w:themeColor="text1"/>
              </w:rPr>
              <w:t>具备有效的安全生产许可证。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193" w:hRule="atLeast"/>
          <w:jc w:val="center"/>
        </w:trPr>
        <w:tc>
          <w:tcPr>
            <w:tcW w:w="758" w:type="dxa"/>
            <w:vMerge w:val="continue"/>
            <w:vAlign w:val="center"/>
          </w:tcPr>
          <w:p>
            <w:pPr>
              <w:rPr>
                <w:color w:val="000000" w:themeColor="text1"/>
              </w:rPr>
            </w:pPr>
          </w:p>
        </w:tc>
        <w:tc>
          <w:tcPr>
            <w:tcW w:w="1075" w:type="dxa"/>
            <w:gridSpan w:val="2"/>
            <w:vMerge w:val="continue"/>
            <w:vAlign w:val="center"/>
          </w:tcPr>
          <w:p>
            <w:pPr>
              <w:rPr>
                <w:color w:val="000000" w:themeColor="text1"/>
              </w:rPr>
            </w:pPr>
          </w:p>
        </w:tc>
        <w:tc>
          <w:tcPr>
            <w:tcW w:w="1796" w:type="dxa"/>
            <w:vAlign w:val="center"/>
          </w:tcPr>
          <w:p>
            <w:pPr>
              <w:pStyle w:val="50"/>
              <w:spacing w:before="120" w:after="120" w:line="360" w:lineRule="auto"/>
              <w:jc w:val="center"/>
              <w:rPr>
                <w:rFonts w:ascii="宋体" w:hAnsi="宋体" w:eastAsia="宋体"/>
                <w:color w:val="000000" w:themeColor="text1"/>
              </w:rPr>
            </w:pPr>
            <w:r>
              <w:rPr>
                <w:rFonts w:ascii="宋体" w:hAnsi="宋体" w:eastAsia="宋体"/>
                <w:color w:val="000000" w:themeColor="text1"/>
              </w:rPr>
              <w:t>营业执照</w:t>
            </w:r>
          </w:p>
        </w:tc>
        <w:tc>
          <w:tcPr>
            <w:tcW w:w="5523" w:type="dxa"/>
            <w:vAlign w:val="center"/>
          </w:tcPr>
          <w:p>
            <w:pPr>
              <w:pStyle w:val="50"/>
              <w:spacing w:before="120" w:after="120" w:line="360" w:lineRule="auto"/>
              <w:jc w:val="both"/>
              <w:rPr>
                <w:rFonts w:ascii="宋体" w:hAnsi="宋体" w:eastAsia="宋体"/>
                <w:color w:val="000000" w:themeColor="text1"/>
              </w:rPr>
            </w:pPr>
            <w:r>
              <w:rPr>
                <w:rFonts w:ascii="宋体" w:hAnsi="宋体" w:eastAsia="宋体"/>
                <w:color w:val="000000" w:themeColor="text1"/>
              </w:rPr>
              <w:t>具备有效的营业执照。</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193" w:hRule="atLeast"/>
          <w:jc w:val="center"/>
        </w:trPr>
        <w:tc>
          <w:tcPr>
            <w:tcW w:w="758" w:type="dxa"/>
            <w:vMerge w:val="continue"/>
            <w:vAlign w:val="center"/>
          </w:tcPr>
          <w:p>
            <w:pPr>
              <w:rPr>
                <w:color w:val="000000" w:themeColor="text1"/>
              </w:rPr>
            </w:pPr>
          </w:p>
        </w:tc>
        <w:tc>
          <w:tcPr>
            <w:tcW w:w="1075" w:type="dxa"/>
            <w:gridSpan w:val="2"/>
            <w:vMerge w:val="continue"/>
            <w:vAlign w:val="center"/>
          </w:tcPr>
          <w:p>
            <w:pPr>
              <w:rPr>
                <w:color w:val="000000" w:themeColor="text1"/>
              </w:rPr>
            </w:pPr>
          </w:p>
        </w:tc>
        <w:tc>
          <w:tcPr>
            <w:tcW w:w="1796" w:type="dxa"/>
            <w:vAlign w:val="center"/>
          </w:tcPr>
          <w:p>
            <w:pPr>
              <w:pStyle w:val="50"/>
              <w:spacing w:before="120" w:after="120" w:line="360" w:lineRule="auto"/>
              <w:jc w:val="center"/>
              <w:rPr>
                <w:rFonts w:ascii="宋体" w:hAnsi="宋体" w:eastAsia="宋体"/>
                <w:color w:val="000000" w:themeColor="text1"/>
              </w:rPr>
            </w:pPr>
            <w:r>
              <w:rPr>
                <w:rFonts w:ascii="宋体" w:hAnsi="宋体" w:eastAsia="宋体"/>
                <w:color w:val="000000" w:themeColor="text1"/>
              </w:rPr>
              <w:t>信用查询</w:t>
            </w:r>
          </w:p>
        </w:tc>
        <w:tc>
          <w:tcPr>
            <w:tcW w:w="5523" w:type="dxa"/>
            <w:vAlign w:val="center"/>
          </w:tcPr>
          <w:p>
            <w:pPr>
              <w:pStyle w:val="50"/>
              <w:spacing w:before="120" w:after="120" w:line="360" w:lineRule="auto"/>
              <w:jc w:val="both"/>
              <w:rPr>
                <w:rFonts w:ascii="宋体" w:hAnsi="宋体" w:eastAsia="宋体"/>
                <w:color w:val="000000" w:themeColor="text1"/>
              </w:rPr>
            </w:pPr>
            <w:r>
              <w:rPr>
                <w:rFonts w:hAnsi="宋体" w:eastAsia="宋体"/>
                <w:color w:val="000000" w:themeColor="text1"/>
              </w:rPr>
              <w:t>未被列入“信用中国”（www.creditchina.gov.cn）/“信用河南”（http://www.xyhn.gov.cn/）网站信用信息栏黑名单，“国家企业信用信息公示系统” （http://www.gsxt.gov.cn/）经营异常名录或严重失信黑名单。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193" w:hRule="atLeast"/>
          <w:jc w:val="center"/>
        </w:trPr>
        <w:tc>
          <w:tcPr>
            <w:tcW w:w="758" w:type="dxa"/>
            <w:vMerge w:val="continue"/>
            <w:vAlign w:val="center"/>
          </w:tcPr>
          <w:p>
            <w:pPr>
              <w:rPr>
                <w:color w:val="000000" w:themeColor="text1"/>
              </w:rPr>
            </w:pPr>
          </w:p>
        </w:tc>
        <w:tc>
          <w:tcPr>
            <w:tcW w:w="1075" w:type="dxa"/>
            <w:gridSpan w:val="2"/>
            <w:vMerge w:val="continue"/>
            <w:vAlign w:val="center"/>
          </w:tcPr>
          <w:p>
            <w:pPr>
              <w:rPr>
                <w:color w:val="000000" w:themeColor="text1"/>
              </w:rPr>
            </w:pPr>
          </w:p>
        </w:tc>
        <w:tc>
          <w:tcPr>
            <w:tcW w:w="1796" w:type="dxa"/>
            <w:vAlign w:val="center"/>
          </w:tcPr>
          <w:p>
            <w:pPr>
              <w:pStyle w:val="50"/>
              <w:spacing w:before="120" w:after="120" w:line="360" w:lineRule="auto"/>
              <w:jc w:val="center"/>
              <w:rPr>
                <w:rFonts w:ascii="宋体" w:hAnsi="宋体" w:eastAsia="宋体"/>
                <w:color w:val="000000" w:themeColor="text1"/>
              </w:rPr>
            </w:pPr>
            <w:r>
              <w:rPr>
                <w:rFonts w:ascii="宋体" w:hAnsi="宋体" w:eastAsia="宋体"/>
                <w:color w:val="000000" w:themeColor="text1"/>
              </w:rPr>
              <w:t>投标内容</w:t>
            </w:r>
          </w:p>
        </w:tc>
        <w:tc>
          <w:tcPr>
            <w:tcW w:w="5523" w:type="dxa"/>
            <w:vAlign w:val="center"/>
          </w:tcPr>
          <w:p>
            <w:pPr>
              <w:pStyle w:val="50"/>
              <w:spacing w:before="120" w:after="120" w:line="360" w:lineRule="auto"/>
              <w:rPr>
                <w:rFonts w:ascii="宋体" w:hAnsi="宋体" w:eastAsia="宋体"/>
                <w:color w:val="000000" w:themeColor="text1"/>
              </w:rPr>
            </w:pPr>
            <w:r>
              <w:rPr>
                <w:rFonts w:ascii="宋体" w:hAnsi="宋体" w:eastAsia="宋体"/>
                <w:color w:val="000000" w:themeColor="text1"/>
              </w:rPr>
              <w:t>符合招标文件规定。</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193" w:hRule="atLeast"/>
          <w:jc w:val="center"/>
        </w:trPr>
        <w:tc>
          <w:tcPr>
            <w:tcW w:w="758" w:type="dxa"/>
            <w:vMerge w:val="continue"/>
            <w:vAlign w:val="center"/>
          </w:tcPr>
          <w:p>
            <w:pPr>
              <w:rPr>
                <w:color w:val="000000" w:themeColor="text1"/>
              </w:rPr>
            </w:pPr>
          </w:p>
        </w:tc>
        <w:tc>
          <w:tcPr>
            <w:tcW w:w="1075" w:type="dxa"/>
            <w:gridSpan w:val="2"/>
            <w:vMerge w:val="continue"/>
            <w:vAlign w:val="center"/>
          </w:tcPr>
          <w:p>
            <w:pPr>
              <w:rPr>
                <w:color w:val="000000" w:themeColor="text1"/>
              </w:rPr>
            </w:pPr>
          </w:p>
        </w:tc>
        <w:tc>
          <w:tcPr>
            <w:tcW w:w="1796" w:type="dxa"/>
            <w:vAlign w:val="center"/>
          </w:tcPr>
          <w:p>
            <w:pPr>
              <w:pStyle w:val="50"/>
              <w:spacing w:before="120" w:after="120" w:line="360" w:lineRule="auto"/>
              <w:jc w:val="center"/>
              <w:rPr>
                <w:rFonts w:ascii="宋体" w:hAnsi="宋体" w:eastAsia="宋体"/>
                <w:color w:val="000000" w:themeColor="text1"/>
              </w:rPr>
            </w:pPr>
            <w:r>
              <w:rPr>
                <w:rFonts w:ascii="宋体" w:hAnsi="宋体" w:eastAsia="宋体"/>
                <w:color w:val="000000" w:themeColor="text1"/>
              </w:rPr>
              <w:t>特许经营期</w:t>
            </w:r>
          </w:p>
        </w:tc>
        <w:tc>
          <w:tcPr>
            <w:tcW w:w="5523" w:type="dxa"/>
            <w:vAlign w:val="center"/>
          </w:tcPr>
          <w:p>
            <w:pPr>
              <w:pStyle w:val="50"/>
              <w:spacing w:before="120" w:after="120" w:line="360" w:lineRule="auto"/>
              <w:rPr>
                <w:rFonts w:ascii="宋体" w:hAnsi="宋体" w:eastAsia="宋体"/>
                <w:color w:val="000000" w:themeColor="text1"/>
              </w:rPr>
            </w:pPr>
            <w:r>
              <w:rPr>
                <w:rFonts w:ascii="宋体" w:hAnsi="宋体" w:eastAsia="宋体"/>
                <w:color w:val="000000" w:themeColor="text1"/>
              </w:rPr>
              <w:t>符合招标文件规定。</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193" w:hRule="atLeast"/>
          <w:jc w:val="center"/>
        </w:trPr>
        <w:tc>
          <w:tcPr>
            <w:tcW w:w="758" w:type="dxa"/>
            <w:vMerge w:val="continue"/>
            <w:vAlign w:val="center"/>
          </w:tcPr>
          <w:p>
            <w:pPr>
              <w:rPr>
                <w:color w:val="000000" w:themeColor="text1"/>
              </w:rPr>
            </w:pPr>
          </w:p>
        </w:tc>
        <w:tc>
          <w:tcPr>
            <w:tcW w:w="1075" w:type="dxa"/>
            <w:gridSpan w:val="2"/>
            <w:vMerge w:val="continue"/>
            <w:vAlign w:val="center"/>
          </w:tcPr>
          <w:p>
            <w:pPr>
              <w:rPr>
                <w:color w:val="000000" w:themeColor="text1"/>
              </w:rPr>
            </w:pPr>
          </w:p>
        </w:tc>
        <w:tc>
          <w:tcPr>
            <w:tcW w:w="1796" w:type="dxa"/>
            <w:vAlign w:val="center"/>
          </w:tcPr>
          <w:p>
            <w:pPr>
              <w:pStyle w:val="50"/>
              <w:spacing w:before="120" w:after="120" w:line="360" w:lineRule="auto"/>
              <w:jc w:val="center"/>
              <w:rPr>
                <w:rFonts w:ascii="宋体" w:hAnsi="宋体" w:eastAsia="宋体"/>
                <w:color w:val="000000" w:themeColor="text1"/>
              </w:rPr>
            </w:pPr>
            <w:r>
              <w:rPr>
                <w:rFonts w:ascii="宋体" w:hAnsi="宋体" w:eastAsia="宋体"/>
                <w:color w:val="000000" w:themeColor="text1"/>
              </w:rPr>
              <w:t>投标有效期</w:t>
            </w:r>
          </w:p>
        </w:tc>
        <w:tc>
          <w:tcPr>
            <w:tcW w:w="5523" w:type="dxa"/>
            <w:vAlign w:val="center"/>
          </w:tcPr>
          <w:p>
            <w:pPr>
              <w:pStyle w:val="50"/>
              <w:spacing w:before="120" w:after="120" w:line="360" w:lineRule="auto"/>
              <w:rPr>
                <w:rFonts w:ascii="宋体" w:hAnsi="宋体" w:eastAsia="宋体"/>
                <w:color w:val="000000" w:themeColor="text1"/>
              </w:rPr>
            </w:pPr>
            <w:r>
              <w:rPr>
                <w:rFonts w:ascii="宋体" w:hAnsi="宋体" w:eastAsia="宋体"/>
                <w:color w:val="000000" w:themeColor="text1"/>
              </w:rPr>
              <w:t>符合招标文件规定。</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193" w:hRule="atLeast"/>
          <w:jc w:val="center"/>
        </w:trPr>
        <w:tc>
          <w:tcPr>
            <w:tcW w:w="758" w:type="dxa"/>
            <w:vMerge w:val="continue"/>
            <w:vAlign w:val="center"/>
          </w:tcPr>
          <w:p>
            <w:pPr>
              <w:rPr>
                <w:color w:val="000000" w:themeColor="text1"/>
              </w:rPr>
            </w:pPr>
          </w:p>
        </w:tc>
        <w:tc>
          <w:tcPr>
            <w:tcW w:w="1075" w:type="dxa"/>
            <w:gridSpan w:val="2"/>
            <w:vMerge w:val="continue"/>
            <w:vAlign w:val="center"/>
          </w:tcPr>
          <w:p>
            <w:pPr>
              <w:rPr>
                <w:color w:val="000000" w:themeColor="text1"/>
              </w:rPr>
            </w:pPr>
          </w:p>
        </w:tc>
        <w:tc>
          <w:tcPr>
            <w:tcW w:w="1796" w:type="dxa"/>
            <w:vAlign w:val="center"/>
          </w:tcPr>
          <w:p>
            <w:pPr>
              <w:pStyle w:val="50"/>
              <w:spacing w:before="120" w:after="120" w:line="360" w:lineRule="auto"/>
              <w:jc w:val="center"/>
              <w:rPr>
                <w:rFonts w:ascii="宋体" w:hAnsi="宋体" w:eastAsia="宋体"/>
                <w:color w:val="000000" w:themeColor="text1"/>
              </w:rPr>
            </w:pPr>
            <w:r>
              <w:rPr>
                <w:rFonts w:ascii="宋体" w:hAnsi="宋体" w:eastAsia="宋体"/>
                <w:color w:val="000000" w:themeColor="text1"/>
              </w:rPr>
              <w:t>投标保证金</w:t>
            </w:r>
          </w:p>
        </w:tc>
        <w:tc>
          <w:tcPr>
            <w:tcW w:w="5523" w:type="dxa"/>
            <w:vAlign w:val="center"/>
          </w:tcPr>
          <w:p>
            <w:pPr>
              <w:pStyle w:val="50"/>
              <w:spacing w:before="120" w:after="120" w:line="360" w:lineRule="auto"/>
              <w:rPr>
                <w:rFonts w:ascii="宋体" w:hAnsi="宋体" w:eastAsia="宋体"/>
                <w:color w:val="000000" w:themeColor="text1"/>
              </w:rPr>
            </w:pPr>
            <w:r>
              <w:rPr>
                <w:rFonts w:hint="eastAsia" w:ascii="宋体" w:hAnsi="宋体" w:eastAsia="宋体"/>
                <w:color w:val="000000" w:themeColor="text1"/>
              </w:rPr>
              <w:t>是否按规定缴纳投标保证金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9" w:hRule="atLeast"/>
          <w:jc w:val="center"/>
        </w:trPr>
        <w:tc>
          <w:tcPr>
            <w:tcW w:w="1833" w:type="dxa"/>
            <w:gridSpan w:val="3"/>
            <w:vAlign w:val="center"/>
          </w:tcPr>
          <w:p>
            <w:pPr>
              <w:pStyle w:val="50"/>
              <w:spacing w:before="120" w:after="120" w:line="360" w:lineRule="auto"/>
              <w:jc w:val="center"/>
              <w:rPr>
                <w:rFonts w:ascii="宋体" w:hAnsi="宋体" w:eastAsia="宋体"/>
                <w:color w:val="000000" w:themeColor="text1"/>
              </w:rPr>
            </w:pPr>
            <w:r>
              <w:rPr>
                <w:rFonts w:ascii="宋体" w:hAnsi="宋体" w:eastAsia="宋体"/>
                <w:b/>
                <w:color w:val="000000" w:themeColor="text1"/>
              </w:rPr>
              <w:t>条款号</w:t>
            </w:r>
          </w:p>
        </w:tc>
        <w:tc>
          <w:tcPr>
            <w:tcW w:w="1796" w:type="dxa"/>
            <w:vAlign w:val="center"/>
          </w:tcPr>
          <w:p>
            <w:pPr>
              <w:pStyle w:val="50"/>
              <w:spacing w:before="120" w:after="120" w:line="360" w:lineRule="auto"/>
              <w:jc w:val="center"/>
              <w:rPr>
                <w:rFonts w:ascii="宋体" w:hAnsi="宋体" w:eastAsia="宋体"/>
                <w:color w:val="000000" w:themeColor="text1"/>
              </w:rPr>
            </w:pPr>
            <w:r>
              <w:rPr>
                <w:rFonts w:ascii="宋体" w:hAnsi="宋体" w:eastAsia="宋体"/>
                <w:b/>
                <w:color w:val="000000" w:themeColor="text1"/>
              </w:rPr>
              <w:t>条款内容</w:t>
            </w:r>
          </w:p>
        </w:tc>
        <w:tc>
          <w:tcPr>
            <w:tcW w:w="5523" w:type="dxa"/>
            <w:vAlign w:val="center"/>
          </w:tcPr>
          <w:p>
            <w:pPr>
              <w:pStyle w:val="50"/>
              <w:spacing w:before="120" w:after="120" w:line="360" w:lineRule="auto"/>
              <w:jc w:val="center"/>
              <w:rPr>
                <w:rFonts w:ascii="宋体" w:hAnsi="宋体" w:eastAsia="宋体"/>
                <w:color w:val="000000" w:themeColor="text1"/>
              </w:rPr>
            </w:pPr>
            <w:r>
              <w:rPr>
                <w:rFonts w:ascii="宋体" w:hAnsi="宋体" w:eastAsia="宋体"/>
                <w:b/>
                <w:color w:val="000000" w:themeColor="text1"/>
              </w:rPr>
              <w:t>编列内容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831" w:hRule="atLeast"/>
          <w:jc w:val="center"/>
        </w:trPr>
        <w:tc>
          <w:tcPr>
            <w:tcW w:w="913" w:type="dxa"/>
            <w:gridSpan w:val="2"/>
            <w:vMerge w:val="restart"/>
            <w:vAlign w:val="center"/>
          </w:tcPr>
          <w:p>
            <w:pPr>
              <w:pStyle w:val="50"/>
              <w:spacing w:before="120" w:after="120" w:line="360" w:lineRule="auto"/>
              <w:rPr>
                <w:rFonts w:ascii="宋体" w:hAnsi="宋体" w:eastAsia="宋体"/>
                <w:color w:val="000000" w:themeColor="text1"/>
              </w:rPr>
            </w:pPr>
            <w:r>
              <w:rPr>
                <w:rFonts w:ascii="宋体" w:hAnsi="宋体" w:eastAsia="宋体"/>
                <w:color w:val="000000" w:themeColor="text1"/>
              </w:rPr>
              <w:t>2.2.1商务部分</w:t>
            </w:r>
          </w:p>
        </w:tc>
        <w:tc>
          <w:tcPr>
            <w:tcW w:w="920" w:type="dxa"/>
            <w:vMerge w:val="restart"/>
            <w:vAlign w:val="center"/>
          </w:tcPr>
          <w:p>
            <w:pPr>
              <w:pStyle w:val="50"/>
              <w:spacing w:before="120" w:after="120" w:line="360" w:lineRule="auto"/>
              <w:jc w:val="center"/>
              <w:rPr>
                <w:rFonts w:ascii="宋体" w:hAnsi="宋体" w:eastAsia="宋体"/>
                <w:color w:val="000000" w:themeColor="text1"/>
              </w:rPr>
            </w:pPr>
            <w:r>
              <w:rPr>
                <w:rFonts w:ascii="宋体" w:hAnsi="宋体" w:eastAsia="宋体"/>
                <w:color w:val="000000" w:themeColor="text1"/>
              </w:rPr>
              <w:t>企业实力</w:t>
            </w:r>
          </w:p>
        </w:tc>
        <w:tc>
          <w:tcPr>
            <w:tcW w:w="1796" w:type="dxa"/>
            <w:vAlign w:val="center"/>
          </w:tcPr>
          <w:p>
            <w:pPr>
              <w:pStyle w:val="50"/>
              <w:spacing w:before="120" w:after="120" w:line="360" w:lineRule="auto"/>
              <w:jc w:val="center"/>
              <w:rPr>
                <w:rFonts w:ascii="宋体" w:hAnsi="宋体" w:eastAsia="宋体"/>
                <w:color w:val="000000" w:themeColor="text1"/>
              </w:rPr>
            </w:pPr>
            <w:r>
              <w:rPr>
                <w:rFonts w:ascii="宋体" w:hAnsi="宋体" w:eastAsia="宋体"/>
                <w:color w:val="000000" w:themeColor="text1"/>
              </w:rPr>
              <w:t>同类项目的业绩（6分）</w:t>
            </w:r>
          </w:p>
        </w:tc>
        <w:tc>
          <w:tcPr>
            <w:tcW w:w="5523" w:type="dxa"/>
            <w:vAlign w:val="center"/>
          </w:tcPr>
          <w:p>
            <w:pPr>
              <w:pStyle w:val="50"/>
              <w:spacing w:before="120" w:after="120" w:line="360" w:lineRule="auto"/>
              <w:jc w:val="both"/>
              <w:rPr>
                <w:rFonts w:ascii="宋体" w:hAnsi="宋体" w:eastAsia="宋体"/>
                <w:color w:val="000000" w:themeColor="text1"/>
              </w:rPr>
            </w:pPr>
            <w:r>
              <w:rPr>
                <w:rFonts w:ascii="宋体" w:hAnsi="宋体" w:eastAsia="宋体"/>
                <w:color w:val="000000" w:themeColor="text1"/>
              </w:rPr>
              <w:t>投标人应在投标文件中附自2016年1月1日至今的</w:t>
            </w:r>
            <w:r>
              <w:rPr>
                <w:rFonts w:hAnsi="Times New Roman"/>
                <w:color w:val="000000" w:themeColor="text1"/>
              </w:rPr>
              <w:t>如生物质气、环境治理等</w:t>
            </w:r>
            <w:r>
              <w:rPr>
                <w:rFonts w:ascii="宋体" w:hAnsi="宋体" w:eastAsia="宋体"/>
                <w:color w:val="000000" w:themeColor="text1"/>
              </w:rPr>
              <w:t>环保类项目业绩（以合同签订日期为准），业绩包含投资类、设计类、总包类项目，都可得分，每提供一个得3分，最高6分。（评审依据为投标人提供的中标通知书或合同协议书为准）。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831" w:hRule="atLeast"/>
          <w:jc w:val="center"/>
        </w:trPr>
        <w:tc>
          <w:tcPr>
            <w:tcW w:w="913" w:type="dxa"/>
            <w:gridSpan w:val="2"/>
            <w:vMerge w:val="continue"/>
            <w:vAlign w:val="center"/>
          </w:tcPr>
          <w:p>
            <w:pPr>
              <w:rPr>
                <w:color w:val="000000" w:themeColor="text1"/>
              </w:rPr>
            </w:pPr>
          </w:p>
        </w:tc>
        <w:tc>
          <w:tcPr>
            <w:tcW w:w="920" w:type="dxa"/>
            <w:vMerge w:val="continue"/>
            <w:vAlign w:val="center"/>
          </w:tcPr>
          <w:p>
            <w:pPr>
              <w:rPr>
                <w:color w:val="000000" w:themeColor="text1"/>
              </w:rPr>
            </w:pPr>
          </w:p>
        </w:tc>
        <w:tc>
          <w:tcPr>
            <w:tcW w:w="1796" w:type="dxa"/>
            <w:vAlign w:val="center"/>
          </w:tcPr>
          <w:p>
            <w:pPr>
              <w:pStyle w:val="50"/>
              <w:spacing w:before="120" w:after="120" w:line="360" w:lineRule="auto"/>
              <w:jc w:val="center"/>
              <w:rPr>
                <w:rFonts w:ascii="宋体" w:hAnsi="宋体" w:eastAsia="宋体"/>
                <w:color w:val="000000" w:themeColor="text1"/>
              </w:rPr>
            </w:pPr>
            <w:r>
              <w:rPr>
                <w:rFonts w:ascii="宋体" w:hAnsi="宋体" w:eastAsia="宋体"/>
                <w:color w:val="000000" w:themeColor="text1"/>
              </w:rPr>
              <w:t>体系认证</w:t>
            </w:r>
          </w:p>
          <w:p>
            <w:pPr>
              <w:pStyle w:val="50"/>
              <w:spacing w:before="120" w:after="120" w:line="360" w:lineRule="auto"/>
              <w:jc w:val="center"/>
              <w:rPr>
                <w:rFonts w:ascii="宋体" w:hAnsi="宋体" w:eastAsia="宋体"/>
                <w:color w:val="000000" w:themeColor="text1"/>
              </w:rPr>
            </w:pPr>
            <w:r>
              <w:rPr>
                <w:rFonts w:ascii="宋体" w:hAnsi="宋体" w:eastAsia="宋体"/>
                <w:color w:val="000000" w:themeColor="text1"/>
              </w:rPr>
              <w:t>（8分）</w:t>
            </w:r>
          </w:p>
        </w:tc>
        <w:tc>
          <w:tcPr>
            <w:tcW w:w="5523" w:type="dxa"/>
            <w:vAlign w:val="center"/>
          </w:tcPr>
          <w:p>
            <w:pPr>
              <w:pStyle w:val="50"/>
              <w:spacing w:before="120" w:after="120" w:line="360" w:lineRule="auto"/>
              <w:rPr>
                <w:rFonts w:ascii="宋体" w:hAnsi="宋体" w:eastAsia="宋体"/>
                <w:color w:val="000000" w:themeColor="text1"/>
              </w:rPr>
            </w:pPr>
            <w:r>
              <w:rPr>
                <w:rFonts w:ascii="宋体" w:hAnsi="宋体" w:eastAsia="宋体"/>
                <w:color w:val="000000" w:themeColor="text1"/>
              </w:rPr>
              <w:t>知识产权管理体系，质量体系认证、环境体系认证、职业健康安全管理体系认证，有一项得2分。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831" w:hRule="atLeast"/>
          <w:jc w:val="center"/>
        </w:trPr>
        <w:tc>
          <w:tcPr>
            <w:tcW w:w="913" w:type="dxa"/>
            <w:gridSpan w:val="2"/>
            <w:vMerge w:val="continue"/>
            <w:vAlign w:val="center"/>
          </w:tcPr>
          <w:p>
            <w:pPr>
              <w:rPr>
                <w:color w:val="000000" w:themeColor="text1"/>
              </w:rPr>
            </w:pPr>
          </w:p>
        </w:tc>
        <w:tc>
          <w:tcPr>
            <w:tcW w:w="920" w:type="dxa"/>
            <w:vMerge w:val="continue"/>
            <w:vAlign w:val="center"/>
          </w:tcPr>
          <w:p>
            <w:pPr>
              <w:rPr>
                <w:color w:val="000000" w:themeColor="text1"/>
              </w:rPr>
            </w:pPr>
          </w:p>
        </w:tc>
        <w:tc>
          <w:tcPr>
            <w:tcW w:w="1796" w:type="dxa"/>
            <w:vAlign w:val="center"/>
          </w:tcPr>
          <w:p>
            <w:pPr>
              <w:pStyle w:val="50"/>
              <w:spacing w:before="120" w:after="120" w:line="360" w:lineRule="auto"/>
              <w:jc w:val="center"/>
              <w:rPr>
                <w:rFonts w:ascii="宋体" w:hAnsi="宋体" w:eastAsia="宋体"/>
                <w:color w:val="000000" w:themeColor="text1"/>
              </w:rPr>
            </w:pPr>
            <w:r>
              <w:rPr>
                <w:rFonts w:ascii="宋体" w:hAnsi="宋体" w:eastAsia="宋体"/>
                <w:color w:val="000000" w:themeColor="text1"/>
              </w:rPr>
              <w:t>企业专业实力</w:t>
            </w:r>
          </w:p>
          <w:p>
            <w:pPr>
              <w:pStyle w:val="50"/>
              <w:spacing w:before="120" w:after="120" w:line="360" w:lineRule="auto"/>
              <w:jc w:val="center"/>
              <w:rPr>
                <w:rFonts w:ascii="宋体" w:hAnsi="宋体" w:eastAsia="宋体"/>
                <w:color w:val="000000" w:themeColor="text1"/>
              </w:rPr>
            </w:pPr>
            <w:r>
              <w:rPr>
                <w:rFonts w:ascii="宋体" w:hAnsi="宋体" w:eastAsia="宋体"/>
                <w:color w:val="000000" w:themeColor="text1"/>
              </w:rPr>
              <w:t>（6分）</w:t>
            </w:r>
          </w:p>
        </w:tc>
        <w:tc>
          <w:tcPr>
            <w:tcW w:w="5523" w:type="dxa"/>
            <w:vAlign w:val="center"/>
          </w:tcPr>
          <w:p>
            <w:pPr>
              <w:pStyle w:val="50"/>
              <w:spacing w:before="120" w:after="120" w:line="360" w:lineRule="auto"/>
              <w:rPr>
                <w:rFonts w:ascii="宋体" w:hAnsi="宋体" w:eastAsia="宋体"/>
                <w:color w:val="000000" w:themeColor="text1"/>
              </w:rPr>
            </w:pPr>
            <w:r>
              <w:rPr>
                <w:rFonts w:ascii="宋体" w:hAnsi="宋体" w:eastAsia="宋体"/>
                <w:color w:val="000000" w:themeColor="text1"/>
              </w:rPr>
              <w:t xml:space="preserve"> 投标人具有工程设计综合资质甲级得3分，具有工程勘察综合类甲级得3分，最多得6分。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831" w:hRule="atLeast"/>
          <w:jc w:val="center"/>
        </w:trPr>
        <w:tc>
          <w:tcPr>
            <w:tcW w:w="913" w:type="dxa"/>
            <w:gridSpan w:val="2"/>
            <w:vMerge w:val="continue"/>
            <w:vAlign w:val="center"/>
          </w:tcPr>
          <w:p>
            <w:pPr>
              <w:rPr>
                <w:color w:val="000000" w:themeColor="text1"/>
              </w:rPr>
            </w:pPr>
          </w:p>
        </w:tc>
        <w:tc>
          <w:tcPr>
            <w:tcW w:w="920" w:type="dxa"/>
            <w:vMerge w:val="continue"/>
            <w:vAlign w:val="center"/>
          </w:tcPr>
          <w:p>
            <w:pPr>
              <w:rPr>
                <w:color w:val="000000" w:themeColor="text1"/>
              </w:rPr>
            </w:pPr>
          </w:p>
        </w:tc>
        <w:tc>
          <w:tcPr>
            <w:tcW w:w="1796" w:type="dxa"/>
            <w:vAlign w:val="center"/>
          </w:tcPr>
          <w:p>
            <w:pPr>
              <w:pStyle w:val="50"/>
              <w:spacing w:before="120" w:after="120" w:line="360" w:lineRule="auto"/>
              <w:jc w:val="center"/>
              <w:rPr>
                <w:rFonts w:hAnsi="宋体" w:eastAsia="宋体"/>
                <w:color w:val="000000" w:themeColor="text1"/>
              </w:rPr>
            </w:pPr>
            <w:r>
              <w:rPr>
                <w:rFonts w:hAnsi="宋体" w:eastAsia="宋体"/>
                <w:color w:val="000000" w:themeColor="text1"/>
              </w:rPr>
              <w:t>企业技术实力</w:t>
            </w:r>
          </w:p>
          <w:p>
            <w:pPr>
              <w:pStyle w:val="50"/>
              <w:spacing w:before="120" w:after="120" w:line="360" w:lineRule="auto"/>
              <w:jc w:val="center"/>
              <w:rPr>
                <w:rFonts w:hAnsi="宋体" w:eastAsia="宋体"/>
                <w:color w:val="000000" w:themeColor="text1"/>
              </w:rPr>
            </w:pPr>
            <w:r>
              <w:rPr>
                <w:rFonts w:hAnsi="宋体" w:eastAsia="宋体"/>
                <w:color w:val="000000" w:themeColor="text1"/>
              </w:rPr>
              <w:t>（12分）</w:t>
            </w:r>
          </w:p>
        </w:tc>
        <w:tc>
          <w:tcPr>
            <w:tcW w:w="5523" w:type="dxa"/>
            <w:vAlign w:val="center"/>
          </w:tcPr>
          <w:p>
            <w:pPr>
              <w:pStyle w:val="50"/>
              <w:spacing w:before="120" w:after="120" w:line="360" w:lineRule="auto"/>
              <w:rPr>
                <w:rFonts w:ascii="宋体" w:hAnsi="宋体" w:eastAsia="宋体"/>
                <w:color w:val="000000" w:themeColor="text1"/>
              </w:rPr>
            </w:pPr>
            <w:r>
              <w:rPr>
                <w:rFonts w:ascii="宋体" w:hAnsi="宋体" w:eastAsia="宋体"/>
                <w:color w:val="000000" w:themeColor="text1"/>
              </w:rPr>
              <w:t>（1）企业获得过“高新技术企业”的得4分；</w:t>
            </w:r>
          </w:p>
          <w:p>
            <w:pPr>
              <w:pStyle w:val="50"/>
              <w:spacing w:before="120" w:after="120" w:line="360" w:lineRule="auto"/>
              <w:rPr>
                <w:rFonts w:hAnsi="宋体" w:eastAsia="宋体"/>
                <w:color w:val="000000" w:themeColor="text1"/>
              </w:rPr>
            </w:pPr>
            <w:r>
              <w:rPr>
                <w:rFonts w:ascii="宋体" w:hAnsi="宋体" w:eastAsia="宋体"/>
                <w:color w:val="000000" w:themeColor="text1"/>
              </w:rPr>
              <w:t>（2）省级及以上技术中心1项者得4分，2项及以上者得8分，其余不得分。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831" w:hRule="atLeast"/>
          <w:jc w:val="center"/>
        </w:trPr>
        <w:tc>
          <w:tcPr>
            <w:tcW w:w="913" w:type="dxa"/>
            <w:gridSpan w:val="2"/>
            <w:vMerge w:val="continue"/>
            <w:vAlign w:val="center"/>
          </w:tcPr>
          <w:p>
            <w:pPr>
              <w:rPr>
                <w:color w:val="000000" w:themeColor="text1"/>
              </w:rPr>
            </w:pPr>
          </w:p>
        </w:tc>
        <w:tc>
          <w:tcPr>
            <w:tcW w:w="920" w:type="dxa"/>
            <w:vMerge w:val="continue"/>
            <w:vAlign w:val="center"/>
          </w:tcPr>
          <w:p>
            <w:pPr>
              <w:rPr>
                <w:color w:val="000000" w:themeColor="text1"/>
              </w:rPr>
            </w:pPr>
          </w:p>
        </w:tc>
        <w:tc>
          <w:tcPr>
            <w:tcW w:w="1796" w:type="dxa"/>
            <w:vAlign w:val="center"/>
          </w:tcPr>
          <w:p>
            <w:pPr>
              <w:spacing w:after="160" w:line="360" w:lineRule="auto"/>
              <w:rPr>
                <w:rFonts w:hAnsi="Times New Roman"/>
                <w:color w:val="000000" w:themeColor="text1"/>
              </w:rPr>
            </w:pPr>
          </w:p>
          <w:p>
            <w:pPr>
              <w:pStyle w:val="50"/>
              <w:spacing w:before="120" w:after="120" w:line="360" w:lineRule="auto"/>
              <w:jc w:val="center"/>
              <w:rPr>
                <w:rFonts w:ascii="宋体" w:hAnsi="宋体" w:eastAsia="宋体"/>
                <w:color w:val="000000" w:themeColor="text1"/>
              </w:rPr>
            </w:pPr>
            <w:r>
              <w:rPr>
                <w:rFonts w:ascii="宋体" w:hAnsi="宋体" w:eastAsia="宋体"/>
                <w:color w:val="000000" w:themeColor="text1"/>
              </w:rPr>
              <w:t>企业团队实力（5分）</w:t>
            </w:r>
          </w:p>
        </w:tc>
        <w:tc>
          <w:tcPr>
            <w:tcW w:w="5523" w:type="dxa"/>
            <w:vAlign w:val="center"/>
          </w:tcPr>
          <w:p>
            <w:pPr>
              <w:pStyle w:val="50"/>
              <w:numPr>
                <w:ilvl w:val="0"/>
                <w:numId w:val="2"/>
              </w:numPr>
              <w:spacing w:before="120" w:after="120" w:line="360" w:lineRule="auto"/>
              <w:rPr>
                <w:rFonts w:hAnsi="宋体" w:eastAsia="宋体"/>
                <w:color w:val="000000" w:themeColor="text1"/>
              </w:rPr>
            </w:pPr>
            <w:r>
              <w:rPr>
                <w:rFonts w:ascii="宋体" w:hAnsi="宋体" w:eastAsia="宋体"/>
                <w:color w:val="000000" w:themeColor="text1"/>
              </w:rPr>
              <w:t>投标人拟派项目负责人具备国家一级注册建造师（机电工程专业）资格的得2分，其他专业不得分</w:t>
            </w:r>
          </w:p>
          <w:p>
            <w:pPr>
              <w:pStyle w:val="50"/>
              <w:numPr>
                <w:ilvl w:val="0"/>
                <w:numId w:val="2"/>
              </w:numPr>
              <w:spacing w:before="120" w:after="120" w:line="360" w:lineRule="auto"/>
              <w:rPr>
                <w:rFonts w:ascii="宋体" w:hAnsi="宋体" w:eastAsia="宋体"/>
                <w:color w:val="000000" w:themeColor="text1"/>
              </w:rPr>
            </w:pPr>
            <w:r>
              <w:rPr>
                <w:rFonts w:hAnsi="宋体" w:eastAsia="宋体"/>
                <w:color w:val="000000" w:themeColor="text1"/>
              </w:rPr>
              <w:t>拟派项目班子中施工员、质量员、安全员、资料员、材料员、专职安全生产管理人员证件齐全者得3分，每缺一个证件扣0.5分，扣完为</w:t>
            </w:r>
            <w:r>
              <w:rPr>
                <w:rFonts w:hint="eastAsia" w:hAnsi="宋体" w:eastAsia="宋体"/>
                <w:color w:val="000000" w:themeColor="text1"/>
              </w:rPr>
              <w:t>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831" w:hRule="atLeast"/>
          <w:jc w:val="center"/>
        </w:trPr>
        <w:tc>
          <w:tcPr>
            <w:tcW w:w="913" w:type="dxa"/>
            <w:gridSpan w:val="2"/>
            <w:vMerge w:val="continue"/>
            <w:vAlign w:val="center"/>
          </w:tcPr>
          <w:p>
            <w:pPr>
              <w:rPr>
                <w:color w:val="000000" w:themeColor="text1"/>
              </w:rPr>
            </w:pPr>
          </w:p>
        </w:tc>
        <w:tc>
          <w:tcPr>
            <w:tcW w:w="920" w:type="dxa"/>
            <w:vAlign w:val="center"/>
          </w:tcPr>
          <w:p>
            <w:pPr>
              <w:pStyle w:val="50"/>
              <w:spacing w:before="120" w:after="120" w:line="360" w:lineRule="auto"/>
              <w:jc w:val="center"/>
              <w:rPr>
                <w:rFonts w:ascii="宋体" w:hAnsi="宋体" w:eastAsia="宋体"/>
                <w:color w:val="000000" w:themeColor="text1"/>
              </w:rPr>
            </w:pPr>
            <w:r>
              <w:rPr>
                <w:rFonts w:ascii="宋体" w:hAnsi="宋体" w:eastAsia="宋体"/>
                <w:color w:val="000000" w:themeColor="text1"/>
              </w:rPr>
              <w:t>投资方案及财务评价</w:t>
            </w:r>
          </w:p>
        </w:tc>
        <w:tc>
          <w:tcPr>
            <w:tcW w:w="1796" w:type="dxa"/>
            <w:vAlign w:val="center"/>
          </w:tcPr>
          <w:p>
            <w:pPr>
              <w:pStyle w:val="50"/>
              <w:spacing w:before="120" w:after="120" w:line="360" w:lineRule="auto"/>
              <w:jc w:val="center"/>
              <w:rPr>
                <w:rFonts w:ascii="宋体" w:hAnsi="宋体" w:eastAsia="宋体"/>
                <w:color w:val="000000" w:themeColor="text1"/>
              </w:rPr>
            </w:pPr>
            <w:r>
              <w:rPr>
                <w:rFonts w:ascii="宋体" w:hAnsi="宋体" w:eastAsia="宋体"/>
                <w:color w:val="000000" w:themeColor="text1"/>
              </w:rPr>
              <w:t>投资方案及财务评价完整性、合理性（8分）</w:t>
            </w:r>
          </w:p>
        </w:tc>
        <w:tc>
          <w:tcPr>
            <w:tcW w:w="5523" w:type="dxa"/>
            <w:vAlign w:val="center"/>
          </w:tcPr>
          <w:p>
            <w:pPr>
              <w:pStyle w:val="50"/>
              <w:spacing w:before="120" w:after="120" w:line="360" w:lineRule="auto"/>
              <w:rPr>
                <w:rFonts w:ascii="宋体" w:hAnsi="宋体" w:eastAsia="宋体"/>
                <w:color w:val="000000" w:themeColor="text1"/>
              </w:rPr>
            </w:pPr>
            <w:r>
              <w:rPr>
                <w:rFonts w:ascii="宋体" w:hAnsi="宋体" w:eastAsia="宋体"/>
                <w:color w:val="000000" w:themeColor="text1"/>
              </w:rPr>
              <w:t>投资费用构成、投资估算指标和标准、估算工程量、投资估算深度、资金使用计划、收入测算、成本费用测算、财务评价及指标，以上每一项较为合理、内容完整的得1分，缺乏合理性、内容不完整的得0.5分，缺少任何一项的不得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132" w:hRule="atLeast"/>
          <w:jc w:val="center"/>
        </w:trPr>
        <w:tc>
          <w:tcPr>
            <w:tcW w:w="1833" w:type="dxa"/>
            <w:gridSpan w:val="3"/>
            <w:vMerge w:val="restart"/>
            <w:vAlign w:val="center"/>
          </w:tcPr>
          <w:p>
            <w:pPr>
              <w:pStyle w:val="50"/>
              <w:spacing w:before="120" w:after="120" w:line="360" w:lineRule="auto"/>
              <w:jc w:val="center"/>
              <w:rPr>
                <w:rFonts w:ascii="宋体" w:hAnsi="宋体" w:eastAsia="宋体"/>
                <w:color w:val="000000" w:themeColor="text1"/>
              </w:rPr>
            </w:pPr>
            <w:r>
              <w:rPr>
                <w:rFonts w:ascii="宋体" w:hAnsi="宋体" w:eastAsia="宋体"/>
                <w:color w:val="000000" w:themeColor="text1"/>
              </w:rPr>
              <w:t>2.2.2技术部分</w:t>
            </w:r>
          </w:p>
        </w:tc>
        <w:tc>
          <w:tcPr>
            <w:tcW w:w="1796" w:type="dxa"/>
            <w:vAlign w:val="center"/>
          </w:tcPr>
          <w:p>
            <w:pPr>
              <w:pStyle w:val="50"/>
              <w:spacing w:before="120" w:after="120" w:line="360" w:lineRule="auto"/>
              <w:jc w:val="center"/>
              <w:rPr>
                <w:rFonts w:ascii="宋体" w:hAnsi="宋体" w:eastAsia="宋体"/>
                <w:color w:val="000000" w:themeColor="text1"/>
              </w:rPr>
            </w:pPr>
            <w:r>
              <w:rPr>
                <w:rFonts w:ascii="宋体" w:hAnsi="宋体" w:eastAsia="宋体"/>
                <w:color w:val="000000" w:themeColor="text1"/>
              </w:rPr>
              <w:t>对招标文件“技术及建设方案编制要点”的响应程度（6分）</w:t>
            </w:r>
          </w:p>
        </w:tc>
        <w:tc>
          <w:tcPr>
            <w:tcW w:w="5523" w:type="dxa"/>
            <w:vAlign w:val="center"/>
          </w:tcPr>
          <w:p>
            <w:pPr>
              <w:pStyle w:val="50"/>
              <w:spacing w:before="120" w:after="120" w:line="360" w:lineRule="auto"/>
              <w:rPr>
                <w:rFonts w:ascii="宋体" w:hAnsi="宋体" w:eastAsia="宋体"/>
                <w:color w:val="000000" w:themeColor="text1"/>
              </w:rPr>
            </w:pPr>
            <w:r>
              <w:rPr>
                <w:rFonts w:ascii="宋体" w:hAnsi="宋体" w:eastAsia="宋体"/>
                <w:color w:val="000000" w:themeColor="text1"/>
              </w:rPr>
              <w:t>响应招标文件技术要求得6分；技术及建设方案合理、准确较好满足施工需要得4分；技术及建设方案基本合理、基本准确且满足施工需要得2分；主要技术参数不能满足招标文件或技术规范要求，作无效投标处理。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132" w:hRule="atLeast"/>
          <w:jc w:val="center"/>
        </w:trPr>
        <w:tc>
          <w:tcPr>
            <w:tcW w:w="1833" w:type="dxa"/>
            <w:gridSpan w:val="3"/>
            <w:vMerge w:val="continue"/>
            <w:vAlign w:val="center"/>
          </w:tcPr>
          <w:p>
            <w:pPr>
              <w:rPr>
                <w:color w:val="000000" w:themeColor="text1"/>
              </w:rPr>
            </w:pPr>
          </w:p>
        </w:tc>
        <w:tc>
          <w:tcPr>
            <w:tcW w:w="1796" w:type="dxa"/>
            <w:vAlign w:val="center"/>
          </w:tcPr>
          <w:p>
            <w:pPr>
              <w:pStyle w:val="50"/>
              <w:spacing w:before="120" w:after="120" w:line="360" w:lineRule="auto"/>
              <w:jc w:val="center"/>
              <w:rPr>
                <w:rFonts w:ascii="宋体" w:hAnsi="宋体" w:eastAsia="宋体"/>
                <w:color w:val="000000" w:themeColor="text1"/>
              </w:rPr>
            </w:pPr>
            <w:r>
              <w:rPr>
                <w:rFonts w:ascii="宋体" w:hAnsi="宋体" w:eastAsia="宋体"/>
                <w:color w:val="000000" w:themeColor="text1"/>
              </w:rPr>
              <w:t>技术工艺及流程的可行性、安全性、环保性和可靠性（7分）</w:t>
            </w:r>
          </w:p>
        </w:tc>
        <w:tc>
          <w:tcPr>
            <w:tcW w:w="5523" w:type="dxa"/>
            <w:vAlign w:val="center"/>
          </w:tcPr>
          <w:p>
            <w:pPr>
              <w:pStyle w:val="50"/>
              <w:spacing w:before="120" w:after="120" w:line="360" w:lineRule="auto"/>
              <w:rPr>
                <w:rFonts w:ascii="宋体" w:hAnsi="宋体" w:eastAsia="宋体"/>
                <w:color w:val="000000" w:themeColor="text1"/>
              </w:rPr>
            </w:pPr>
            <w:r>
              <w:rPr>
                <w:rFonts w:ascii="宋体" w:hAnsi="宋体" w:eastAsia="宋体"/>
                <w:color w:val="000000" w:themeColor="text1"/>
              </w:rPr>
              <w:t>方案先进、可行，具有较好的安全性，环保性和可靠性得7分；方案较先进、可行，具有较好的安全性、环保性和可靠性得5分；方案先进性、可行性、安全性、环保性和可靠性均基本符合招标文件要求得2分。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132" w:hRule="atLeast"/>
          <w:jc w:val="center"/>
        </w:trPr>
        <w:tc>
          <w:tcPr>
            <w:tcW w:w="1833" w:type="dxa"/>
            <w:gridSpan w:val="3"/>
            <w:vMerge w:val="continue"/>
            <w:vAlign w:val="center"/>
          </w:tcPr>
          <w:p>
            <w:pPr>
              <w:rPr>
                <w:color w:val="000000" w:themeColor="text1"/>
              </w:rPr>
            </w:pPr>
          </w:p>
        </w:tc>
        <w:tc>
          <w:tcPr>
            <w:tcW w:w="1796" w:type="dxa"/>
            <w:vAlign w:val="center"/>
          </w:tcPr>
          <w:p>
            <w:pPr>
              <w:pStyle w:val="50"/>
              <w:spacing w:before="120" w:after="120" w:line="360" w:lineRule="auto"/>
              <w:jc w:val="center"/>
              <w:rPr>
                <w:rFonts w:ascii="宋体" w:hAnsi="宋体" w:eastAsia="宋体"/>
                <w:color w:val="000000" w:themeColor="text1"/>
              </w:rPr>
            </w:pPr>
            <w:r>
              <w:rPr>
                <w:rFonts w:ascii="宋体" w:hAnsi="宋体" w:eastAsia="宋体"/>
                <w:color w:val="000000" w:themeColor="text1"/>
              </w:rPr>
              <w:t>主要设备的主要性能指标、材料及其适性（7分）</w:t>
            </w:r>
          </w:p>
        </w:tc>
        <w:tc>
          <w:tcPr>
            <w:tcW w:w="5523" w:type="dxa"/>
            <w:vAlign w:val="center"/>
          </w:tcPr>
          <w:p>
            <w:pPr>
              <w:pStyle w:val="50"/>
              <w:spacing w:before="120" w:after="120" w:line="360" w:lineRule="auto"/>
              <w:rPr>
                <w:rFonts w:ascii="宋体" w:hAnsi="宋体" w:eastAsia="宋体"/>
                <w:color w:val="000000" w:themeColor="text1"/>
              </w:rPr>
            </w:pPr>
            <w:r>
              <w:rPr>
                <w:rFonts w:ascii="宋体" w:hAnsi="宋体" w:eastAsia="宋体"/>
                <w:color w:val="000000" w:themeColor="text1"/>
              </w:rPr>
              <w:t>主要设备的主要性能指标先进，满足工艺要求，配置完整，关键零部件质量优良得7分；主要设备的主要性能指标比较先进，符合工艺要求，配置完整，关键零部件质量较好得5分；主要设备的主要性能指标基本满足工艺要求，配置较完整，关键零部件质量合格得2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132" w:hRule="atLeast"/>
          <w:jc w:val="center"/>
        </w:trPr>
        <w:tc>
          <w:tcPr>
            <w:tcW w:w="1833" w:type="dxa"/>
            <w:gridSpan w:val="3"/>
            <w:vMerge w:val="continue"/>
            <w:vAlign w:val="center"/>
          </w:tcPr>
          <w:p>
            <w:pPr>
              <w:rPr>
                <w:color w:val="000000" w:themeColor="text1"/>
              </w:rPr>
            </w:pPr>
          </w:p>
        </w:tc>
        <w:tc>
          <w:tcPr>
            <w:tcW w:w="1796" w:type="dxa"/>
            <w:vAlign w:val="center"/>
          </w:tcPr>
          <w:p>
            <w:pPr>
              <w:pStyle w:val="50"/>
              <w:spacing w:before="120" w:after="120" w:line="360" w:lineRule="auto"/>
              <w:rPr>
                <w:rFonts w:ascii="宋体" w:hAnsi="宋体" w:eastAsia="宋体"/>
                <w:color w:val="000000" w:themeColor="text1"/>
              </w:rPr>
            </w:pPr>
            <w:r>
              <w:rPr>
                <w:rFonts w:ascii="宋体" w:hAnsi="宋体" w:eastAsia="宋体"/>
                <w:color w:val="000000" w:themeColor="text1"/>
              </w:rPr>
              <w:t>运行、维护方案</w:t>
            </w:r>
          </w:p>
          <w:p>
            <w:pPr>
              <w:pStyle w:val="50"/>
              <w:spacing w:before="120" w:after="120" w:line="360" w:lineRule="auto"/>
              <w:jc w:val="center"/>
              <w:rPr>
                <w:rFonts w:ascii="宋体" w:hAnsi="宋体" w:eastAsia="宋体"/>
                <w:color w:val="000000" w:themeColor="text1"/>
              </w:rPr>
            </w:pPr>
            <w:r>
              <w:rPr>
                <w:rFonts w:ascii="宋体" w:hAnsi="宋体" w:eastAsia="宋体"/>
                <w:color w:val="000000" w:themeColor="text1"/>
              </w:rPr>
              <w:t>（15分）</w:t>
            </w:r>
          </w:p>
        </w:tc>
        <w:tc>
          <w:tcPr>
            <w:tcW w:w="5523" w:type="dxa"/>
            <w:vAlign w:val="center"/>
          </w:tcPr>
          <w:p>
            <w:pPr>
              <w:pStyle w:val="50"/>
              <w:spacing w:before="120" w:after="120" w:line="360" w:lineRule="auto"/>
              <w:rPr>
                <w:rFonts w:ascii="宋体" w:hAnsi="宋体" w:eastAsia="宋体"/>
                <w:color w:val="000000" w:themeColor="text1"/>
              </w:rPr>
            </w:pPr>
            <w:r>
              <w:rPr>
                <w:rFonts w:ascii="宋体" w:hAnsi="宋体" w:eastAsia="宋体"/>
                <w:color w:val="000000" w:themeColor="text1"/>
              </w:rPr>
              <w:t>运行措施经济可行、维护计划科学、响应程度高得15分</w:t>
            </w:r>
            <w:r>
              <w:rPr>
                <w:rFonts w:hint="eastAsia" w:ascii="宋体" w:hAnsi="宋体" w:eastAsia="宋体"/>
                <w:color w:val="000000" w:themeColor="text1"/>
              </w:rPr>
              <w:t>，</w:t>
            </w:r>
            <w:r>
              <w:rPr>
                <w:rFonts w:ascii="宋体" w:hAnsi="宋体" w:eastAsia="宋体"/>
                <w:color w:val="000000" w:themeColor="text1"/>
              </w:rPr>
              <w:t>运行措施经济可行、维护计划科学、响应程度</w:t>
            </w:r>
            <w:r>
              <w:rPr>
                <w:rFonts w:hint="eastAsia" w:ascii="宋体" w:hAnsi="宋体" w:eastAsia="宋体"/>
                <w:color w:val="000000" w:themeColor="text1"/>
              </w:rPr>
              <w:t>较</w:t>
            </w:r>
            <w:r>
              <w:rPr>
                <w:rFonts w:ascii="宋体" w:hAnsi="宋体" w:eastAsia="宋体"/>
                <w:color w:val="000000" w:themeColor="text1"/>
              </w:rPr>
              <w:t>高得1</w:t>
            </w:r>
            <w:r>
              <w:rPr>
                <w:rFonts w:hint="eastAsia" w:ascii="宋体" w:hAnsi="宋体" w:eastAsia="宋体"/>
                <w:color w:val="000000" w:themeColor="text1"/>
              </w:rPr>
              <w:t>0</w:t>
            </w:r>
            <w:r>
              <w:rPr>
                <w:rFonts w:ascii="宋体" w:hAnsi="宋体" w:eastAsia="宋体"/>
                <w:color w:val="000000" w:themeColor="text1"/>
              </w:rPr>
              <w:t>分；运行措施较可行、维护计划较科学、响应程度基本满足要求得1分。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678" w:hRule="atLeast"/>
          <w:jc w:val="center"/>
        </w:trPr>
        <w:tc>
          <w:tcPr>
            <w:tcW w:w="1833" w:type="dxa"/>
            <w:gridSpan w:val="3"/>
            <w:vAlign w:val="center"/>
          </w:tcPr>
          <w:p>
            <w:pPr>
              <w:snapToGrid w:val="0"/>
              <w:spacing w:before="120" w:after="120" w:line="360" w:lineRule="auto"/>
              <w:jc w:val="center"/>
              <w:rPr>
                <w:rFonts w:ascii="宋体" w:hAnsi="宋体" w:eastAsia="宋体"/>
                <w:color w:val="000000" w:themeColor="text1"/>
              </w:rPr>
            </w:pPr>
            <w:r>
              <w:rPr>
                <w:rFonts w:hAnsi="Times New Roman"/>
                <w:color w:val="000000" w:themeColor="text1"/>
              </w:rPr>
              <w:t>2.2.3报价部分</w:t>
            </w:r>
          </w:p>
        </w:tc>
        <w:tc>
          <w:tcPr>
            <w:tcW w:w="1796" w:type="dxa"/>
            <w:vAlign w:val="center"/>
          </w:tcPr>
          <w:p>
            <w:pPr>
              <w:snapToGrid w:val="0"/>
              <w:spacing w:before="120" w:after="120" w:line="360" w:lineRule="auto"/>
              <w:jc w:val="center"/>
              <w:rPr>
                <w:rFonts w:hAnsi="Times New Roman"/>
                <w:color w:val="000000" w:themeColor="text1"/>
              </w:rPr>
            </w:pPr>
            <w:r>
              <w:rPr>
                <w:rFonts w:hAnsi="Times New Roman"/>
                <w:color w:val="000000" w:themeColor="text1"/>
              </w:rPr>
              <w:t>投标报价</w:t>
            </w:r>
          </w:p>
          <w:p>
            <w:pPr>
              <w:snapToGrid w:val="0"/>
              <w:spacing w:before="120" w:after="120" w:line="360" w:lineRule="auto"/>
              <w:jc w:val="center"/>
              <w:rPr>
                <w:rFonts w:ascii="宋体" w:hAnsi="宋体" w:eastAsia="宋体"/>
                <w:color w:val="000000" w:themeColor="text1"/>
              </w:rPr>
            </w:pPr>
            <w:r>
              <w:rPr>
                <w:rFonts w:hAnsi="Times New Roman"/>
                <w:color w:val="000000" w:themeColor="text1"/>
              </w:rPr>
              <w:t>（20）</w:t>
            </w:r>
          </w:p>
        </w:tc>
        <w:tc>
          <w:tcPr>
            <w:tcW w:w="5523" w:type="dxa"/>
            <w:vAlign w:val="center"/>
          </w:tcPr>
          <w:p>
            <w:pPr>
              <w:snapToGrid w:val="0"/>
              <w:spacing w:before="120" w:after="120" w:line="360" w:lineRule="auto"/>
              <w:ind w:firstLine="480"/>
              <w:jc w:val="left"/>
              <w:rPr>
                <w:rFonts w:ascii="宋体" w:hAnsi="宋体" w:eastAsia="宋体"/>
                <w:color w:val="000000" w:themeColor="text1"/>
              </w:rPr>
            </w:pPr>
            <w:r>
              <w:rPr>
                <w:rFonts w:hAnsi="Times New Roman"/>
                <w:color w:val="000000" w:themeColor="text1"/>
              </w:rPr>
              <w:t xml:space="preserve">投标人投资方案中投资金额最高者得满分（投标人投资金额＝投标人投资方案中总投资金额-财政补助金额3627.43万元），低于最高投资金额的，每低1%扣2分，扣完为止  </w:t>
            </w:r>
          </w:p>
        </w:tc>
      </w:tr>
    </w:tbl>
    <w:p>
      <w:pPr>
        <w:spacing w:after="160"/>
        <w:jc w:val="center"/>
        <w:rPr>
          <w:rFonts w:ascii="宋体" w:hAnsi="宋体" w:eastAsia="宋体"/>
          <w:color w:val="000000" w:themeColor="text1"/>
        </w:rPr>
      </w:pPr>
    </w:p>
    <w:p>
      <w:pPr>
        <w:spacing w:after="160" w:line="360" w:lineRule="auto"/>
        <w:jc w:val="left"/>
        <w:rPr>
          <w:rFonts w:ascii="宋体" w:hAnsi="宋体" w:eastAsia="宋体"/>
          <w:b/>
          <w:color w:val="000000" w:themeColor="text1"/>
        </w:rPr>
      </w:pPr>
    </w:p>
    <w:p>
      <w:pPr>
        <w:pStyle w:val="48"/>
        <w:numPr>
          <w:ilvl w:val="0"/>
          <w:numId w:val="3"/>
        </w:numPr>
        <w:spacing w:after="160" w:line="360" w:lineRule="auto"/>
        <w:jc w:val="left"/>
        <w:rPr>
          <w:rFonts w:ascii="Times New Roman" w:hAnsi="Times New Roman" w:eastAsia="Times New Roman"/>
          <w:color w:val="000000" w:themeColor="text1"/>
        </w:rPr>
      </w:pPr>
      <w:r>
        <w:rPr>
          <w:rFonts w:ascii="Times New Roman" w:hAnsi="Times New Roman" w:eastAsia="Times New Roman"/>
          <w:color w:val="000000" w:themeColor="text1"/>
        </w:rPr>
        <w:t>具备独立法人资格的分公司或子公司，其中总公司和集团公司的其他公司或子公司的证件不予计分；以总公司名义投标的，其他分公司、子公司的证件不予计分。</w:t>
      </w:r>
    </w:p>
    <w:p>
      <w:pPr>
        <w:pStyle w:val="48"/>
        <w:spacing w:after="160" w:line="360" w:lineRule="auto"/>
        <w:rPr>
          <w:rFonts w:ascii="Times New Roman" w:hAnsi="Times New Roman" w:eastAsia="Times New Roman"/>
          <w:color w:val="000000" w:themeColor="text1"/>
        </w:rPr>
      </w:pPr>
      <w:r>
        <w:rPr>
          <w:rFonts w:ascii="Times New Roman" w:hAnsi="Times New Roman" w:eastAsia="Times New Roman"/>
          <w:color w:val="000000" w:themeColor="text1"/>
        </w:rPr>
        <w:t>2、投标人必须对所提供的所有证书、文件等材料的真实性负责，否则承担相应的法律责任。</w:t>
      </w:r>
    </w:p>
    <w:p>
      <w:pPr>
        <w:spacing w:after="160" w:line="360" w:lineRule="auto"/>
        <w:jc w:val="left"/>
        <w:rPr>
          <w:rFonts w:ascii="宋体" w:hAnsi="宋体" w:eastAsia="宋体"/>
          <w:b/>
          <w:color w:val="000000" w:themeColor="text1"/>
        </w:rPr>
        <w:sectPr>
          <w:footerReference r:id="rId10" w:type="default"/>
          <w:pgSz w:w="11906" w:h="16838"/>
          <w:pgMar w:top="1134" w:right="1134" w:bottom="1134" w:left="1701" w:header="567" w:footer="567" w:gutter="0"/>
          <w:cols w:space="720" w:num="1"/>
          <w:docGrid w:linePitch="312" w:charSpace="0"/>
        </w:sectPr>
      </w:pPr>
      <w:r>
        <w:rPr>
          <w:rFonts w:hAnsi="Times New Roman"/>
          <w:color w:val="000000" w:themeColor="text1"/>
        </w:rPr>
        <w:t>3、投标单位所提供的各种有效证件和证明的扫描件均需装订在投标文件中，</w:t>
      </w:r>
      <w:r>
        <w:rPr>
          <w:rFonts w:hAnsi="Times New Roman"/>
          <w:b/>
          <w:color w:val="000000" w:themeColor="text1"/>
        </w:rPr>
        <w:t>凡评标办法里涉及到的证书、证件及业绩材料等，均应在电子版投标文件中附其原件扫描件（或图片），所有扫描件和图片须加盖企业电子公章，否则该项得分应作0分处理</w:t>
      </w:r>
      <w:r>
        <w:rPr>
          <w:rFonts w:hAnsi="Times New Roman"/>
          <w:color w:val="000000" w:themeColor="text1"/>
        </w:rPr>
        <w:t>。</w:t>
      </w:r>
    </w:p>
    <w:p>
      <w:pPr>
        <w:pStyle w:val="5"/>
        <w:spacing w:before="280" w:after="290" w:line="376" w:lineRule="auto"/>
        <w:rPr>
          <w:rFonts w:ascii="宋体" w:hAnsi="宋体" w:eastAsia="宋体"/>
          <w:color w:val="000000" w:themeColor="text1"/>
        </w:rPr>
      </w:pPr>
      <w:bookmarkStart w:id="102" w:name="_Toc31297"/>
      <w:bookmarkStart w:id="103" w:name="_Toc19301"/>
      <w:bookmarkStart w:id="104" w:name="_Toc4867"/>
      <w:bookmarkStart w:id="105" w:name="_Toc19682"/>
      <w:bookmarkStart w:id="106" w:name="_Toc275956134"/>
      <w:bookmarkStart w:id="107" w:name="_Toc22960"/>
      <w:r>
        <w:rPr>
          <w:rFonts w:ascii="宋体" w:hAnsi="宋体" w:eastAsia="宋体"/>
          <w:color w:val="000000" w:themeColor="text1"/>
        </w:rPr>
        <w:t>1. 评标方法</w:t>
      </w:r>
      <w:bookmarkEnd w:id="102"/>
      <w:bookmarkEnd w:id="103"/>
      <w:bookmarkEnd w:id="104"/>
      <w:bookmarkEnd w:id="105"/>
      <w:bookmarkEnd w:id="106"/>
      <w:bookmarkEnd w:id="107"/>
    </w:p>
    <w:p>
      <w:pPr>
        <w:autoSpaceDE w:val="0"/>
        <w:autoSpaceDN w:val="0"/>
        <w:spacing w:after="160" w:line="360" w:lineRule="auto"/>
        <w:ind w:firstLine="240"/>
        <w:jc w:val="left"/>
        <w:rPr>
          <w:rFonts w:ascii="宋体" w:hAnsi="宋体" w:eastAsia="宋体"/>
          <w:color w:val="000000" w:themeColor="text1"/>
        </w:rPr>
      </w:pPr>
      <w:r>
        <w:rPr>
          <w:rFonts w:ascii="宋体" w:hAnsi="宋体" w:eastAsia="宋体"/>
          <w:color w:val="000000" w:themeColor="text1"/>
        </w:rPr>
        <w:t>综合评估法。评标委员会对满足招标文件实质性要求的投标文件，按照本章第2.2</w:t>
      </w:r>
      <w:r>
        <w:rPr>
          <w:rFonts w:ascii="宋体" w:hAnsi="宋体" w:eastAsia="宋体"/>
          <w:b/>
          <w:color w:val="000000" w:themeColor="text1"/>
        </w:rPr>
        <w:t xml:space="preserve"> </w:t>
      </w:r>
      <w:r>
        <w:rPr>
          <w:rFonts w:ascii="宋体" w:hAnsi="宋体" w:eastAsia="宋体"/>
          <w:color w:val="000000" w:themeColor="text1"/>
        </w:rPr>
        <w:t>款规定的评分标准进行打分，并按得分由高到低顺序推荐中标候选人，或根据招标人授权直接确定中标人，但投标报价低于其成本的除外。综合评分相等时，以投标报价低的优先；投标报价也相等的，由招标人自行确定。</w:t>
      </w:r>
    </w:p>
    <w:p>
      <w:pPr>
        <w:pStyle w:val="5"/>
        <w:spacing w:before="280" w:after="290" w:line="376" w:lineRule="auto"/>
        <w:rPr>
          <w:rFonts w:ascii="宋体" w:hAnsi="宋体" w:eastAsia="宋体"/>
          <w:color w:val="000000" w:themeColor="text1"/>
        </w:rPr>
      </w:pPr>
      <w:bookmarkStart w:id="108" w:name="_Toc7013"/>
      <w:bookmarkStart w:id="109" w:name="_Toc5640"/>
      <w:bookmarkStart w:id="110" w:name="_Toc14323"/>
      <w:bookmarkStart w:id="111" w:name="_Toc275956135"/>
      <w:bookmarkStart w:id="112" w:name="_Toc24304"/>
      <w:bookmarkStart w:id="113" w:name="_Toc13455"/>
      <w:r>
        <w:rPr>
          <w:rFonts w:ascii="宋体" w:hAnsi="宋体" w:eastAsia="宋体"/>
          <w:color w:val="000000" w:themeColor="text1"/>
        </w:rPr>
        <w:t>2. 评审标准</w:t>
      </w:r>
      <w:bookmarkEnd w:id="108"/>
      <w:bookmarkEnd w:id="109"/>
      <w:bookmarkEnd w:id="110"/>
      <w:bookmarkEnd w:id="111"/>
      <w:bookmarkEnd w:id="112"/>
      <w:bookmarkEnd w:id="113"/>
    </w:p>
    <w:p>
      <w:pPr>
        <w:pStyle w:val="6"/>
        <w:spacing w:before="280" w:after="290" w:line="376" w:lineRule="auto"/>
        <w:rPr>
          <w:rFonts w:eastAsia="宋体"/>
          <w:color w:val="000000" w:themeColor="text1"/>
        </w:rPr>
      </w:pPr>
      <w:r>
        <w:rPr>
          <w:rFonts w:eastAsia="宋体"/>
          <w:color w:val="000000" w:themeColor="text1"/>
        </w:rPr>
        <w:t>2.1 初步评审标准</w:t>
      </w:r>
    </w:p>
    <w:p>
      <w:pPr>
        <w:autoSpaceDE w:val="0"/>
        <w:autoSpaceDN w:val="0"/>
        <w:spacing w:after="160" w:line="360" w:lineRule="auto"/>
        <w:ind w:firstLine="480"/>
        <w:jc w:val="left"/>
        <w:rPr>
          <w:rFonts w:ascii="宋体" w:hAnsi="宋体" w:eastAsia="宋体"/>
          <w:color w:val="000000" w:themeColor="text1"/>
        </w:rPr>
      </w:pPr>
      <w:r>
        <w:rPr>
          <w:rFonts w:ascii="宋体" w:hAnsi="宋体" w:eastAsia="宋体"/>
          <w:color w:val="000000" w:themeColor="text1"/>
        </w:rPr>
        <w:t>2.1.1 形式评审标准：见评标办法前附表2.1.1项。</w:t>
      </w:r>
    </w:p>
    <w:p>
      <w:pPr>
        <w:autoSpaceDE w:val="0"/>
        <w:autoSpaceDN w:val="0"/>
        <w:spacing w:after="160" w:line="360" w:lineRule="auto"/>
        <w:ind w:firstLine="480"/>
        <w:jc w:val="left"/>
        <w:rPr>
          <w:rFonts w:ascii="宋体" w:hAnsi="宋体" w:eastAsia="宋体"/>
          <w:color w:val="000000" w:themeColor="text1"/>
        </w:rPr>
      </w:pPr>
      <w:r>
        <w:rPr>
          <w:rFonts w:ascii="宋体" w:hAnsi="宋体" w:eastAsia="宋体"/>
          <w:color w:val="000000" w:themeColor="text1"/>
        </w:rPr>
        <w:t>2.1.2 资格评审标准：见评标办法前附表2.1.2项。</w:t>
      </w:r>
    </w:p>
    <w:p>
      <w:pPr>
        <w:autoSpaceDE w:val="0"/>
        <w:autoSpaceDN w:val="0"/>
        <w:spacing w:after="160" w:line="360" w:lineRule="auto"/>
        <w:ind w:firstLine="480"/>
        <w:jc w:val="left"/>
        <w:rPr>
          <w:rFonts w:ascii="宋体" w:hAnsi="宋体" w:eastAsia="宋体"/>
          <w:color w:val="000000" w:themeColor="text1"/>
        </w:rPr>
      </w:pPr>
      <w:r>
        <w:rPr>
          <w:rFonts w:ascii="宋体" w:hAnsi="宋体" w:eastAsia="宋体"/>
          <w:color w:val="000000" w:themeColor="text1"/>
        </w:rPr>
        <w:t>2.1.3 响应性评审标准：见评标办法前附表2.1.3项。</w:t>
      </w:r>
    </w:p>
    <w:p>
      <w:pPr>
        <w:pStyle w:val="6"/>
        <w:spacing w:before="280" w:after="290" w:line="376" w:lineRule="auto"/>
        <w:rPr>
          <w:rFonts w:eastAsia="宋体"/>
          <w:color w:val="000000" w:themeColor="text1"/>
        </w:rPr>
      </w:pPr>
      <w:r>
        <w:rPr>
          <w:rFonts w:eastAsia="宋体"/>
          <w:color w:val="000000" w:themeColor="text1"/>
        </w:rPr>
        <w:t>2.2 分值构成与评分标准</w:t>
      </w:r>
    </w:p>
    <w:p>
      <w:pPr>
        <w:autoSpaceDE w:val="0"/>
        <w:autoSpaceDN w:val="0"/>
        <w:spacing w:after="160" w:line="360" w:lineRule="auto"/>
        <w:ind w:firstLine="480"/>
        <w:jc w:val="left"/>
        <w:rPr>
          <w:rFonts w:ascii="宋体" w:hAnsi="宋体" w:eastAsia="宋体"/>
          <w:color w:val="000000" w:themeColor="text1"/>
        </w:rPr>
      </w:pPr>
      <w:r>
        <w:rPr>
          <w:rFonts w:ascii="宋体" w:hAnsi="宋体" w:eastAsia="宋体"/>
          <w:color w:val="000000" w:themeColor="text1"/>
        </w:rPr>
        <w:t>2.2.1 分值构成：见评标办法前附表。</w:t>
      </w:r>
    </w:p>
    <w:p>
      <w:pPr>
        <w:autoSpaceDE w:val="0"/>
        <w:autoSpaceDN w:val="0"/>
        <w:spacing w:after="160" w:line="360" w:lineRule="auto"/>
        <w:ind w:firstLine="480"/>
        <w:jc w:val="left"/>
        <w:rPr>
          <w:rFonts w:ascii="宋体" w:hAnsi="宋体" w:eastAsia="宋体"/>
          <w:color w:val="000000" w:themeColor="text1"/>
        </w:rPr>
      </w:pPr>
      <w:r>
        <w:rPr>
          <w:rFonts w:ascii="宋体" w:hAnsi="宋体" w:eastAsia="宋体"/>
          <w:color w:val="000000" w:themeColor="text1"/>
        </w:rPr>
        <w:t>2.2.2 评分标准</w:t>
      </w:r>
    </w:p>
    <w:p>
      <w:pPr>
        <w:autoSpaceDE w:val="0"/>
        <w:autoSpaceDN w:val="0"/>
        <w:spacing w:after="160" w:line="360" w:lineRule="auto"/>
        <w:ind w:firstLine="480"/>
        <w:jc w:val="left"/>
        <w:rPr>
          <w:rFonts w:ascii="宋体" w:hAnsi="宋体" w:eastAsia="宋体"/>
          <w:color w:val="000000" w:themeColor="text1"/>
        </w:rPr>
      </w:pPr>
      <w:r>
        <w:rPr>
          <w:rFonts w:ascii="宋体" w:hAnsi="宋体" w:eastAsia="宋体"/>
          <w:color w:val="000000" w:themeColor="text1"/>
        </w:rPr>
        <w:t>（1）商务标评分标准：见评标办法前附表2.2.1项；</w:t>
      </w:r>
    </w:p>
    <w:p>
      <w:pPr>
        <w:autoSpaceDE w:val="0"/>
        <w:autoSpaceDN w:val="0"/>
        <w:spacing w:after="160" w:line="360" w:lineRule="auto"/>
        <w:ind w:firstLine="480"/>
        <w:jc w:val="left"/>
        <w:rPr>
          <w:rFonts w:ascii="宋体" w:hAnsi="宋体" w:eastAsia="宋体"/>
          <w:color w:val="000000" w:themeColor="text1"/>
        </w:rPr>
      </w:pPr>
      <w:r>
        <w:rPr>
          <w:rFonts w:ascii="宋体" w:hAnsi="宋体" w:eastAsia="宋体"/>
          <w:color w:val="000000" w:themeColor="text1"/>
        </w:rPr>
        <w:t>（2）技术标评分标准：见评标办法前附表2.2.2项；</w:t>
      </w:r>
    </w:p>
    <w:p>
      <w:pPr>
        <w:pStyle w:val="5"/>
        <w:spacing w:before="280" w:after="290" w:line="376" w:lineRule="auto"/>
        <w:rPr>
          <w:rFonts w:ascii="宋体" w:hAnsi="宋体" w:eastAsia="宋体"/>
          <w:color w:val="000000" w:themeColor="text1"/>
        </w:rPr>
      </w:pPr>
      <w:bookmarkStart w:id="114" w:name="_Toc275956136"/>
      <w:bookmarkStart w:id="115" w:name="_Toc5683"/>
      <w:bookmarkStart w:id="116" w:name="_Toc22963"/>
      <w:bookmarkStart w:id="117" w:name="_Toc20198"/>
      <w:bookmarkStart w:id="118" w:name="_Toc25958"/>
      <w:bookmarkStart w:id="119" w:name="_Toc23549"/>
      <w:r>
        <w:rPr>
          <w:rFonts w:ascii="宋体" w:hAnsi="宋体" w:eastAsia="宋体"/>
          <w:color w:val="000000" w:themeColor="text1"/>
        </w:rPr>
        <w:t>3. 评标程序</w:t>
      </w:r>
      <w:bookmarkEnd w:id="114"/>
      <w:bookmarkEnd w:id="115"/>
      <w:bookmarkEnd w:id="116"/>
      <w:bookmarkEnd w:id="117"/>
      <w:bookmarkEnd w:id="118"/>
      <w:bookmarkEnd w:id="119"/>
    </w:p>
    <w:p>
      <w:pPr>
        <w:pStyle w:val="6"/>
        <w:spacing w:before="280" w:after="290" w:line="376" w:lineRule="auto"/>
        <w:rPr>
          <w:rFonts w:eastAsia="宋体"/>
          <w:color w:val="000000" w:themeColor="text1"/>
        </w:rPr>
      </w:pPr>
      <w:r>
        <w:rPr>
          <w:rFonts w:eastAsia="宋体"/>
          <w:color w:val="000000" w:themeColor="text1"/>
        </w:rPr>
        <w:t>3.1 评标准备</w:t>
      </w:r>
    </w:p>
    <w:p>
      <w:pPr>
        <w:autoSpaceDE w:val="0"/>
        <w:autoSpaceDN w:val="0"/>
        <w:spacing w:after="160" w:line="360" w:lineRule="auto"/>
        <w:ind w:firstLine="480"/>
        <w:rPr>
          <w:rFonts w:ascii="宋体" w:hAnsi="宋体" w:eastAsia="宋体"/>
          <w:color w:val="000000" w:themeColor="text1"/>
        </w:rPr>
      </w:pPr>
      <w:r>
        <w:rPr>
          <w:rFonts w:ascii="宋体" w:hAnsi="宋体" w:eastAsia="宋体"/>
          <w:color w:val="000000" w:themeColor="text1"/>
        </w:rPr>
        <w:t>3.1.1 评标委员会由招标人依法组建。评标委员会负责人由评标委员会成员推举产生。评标委员会成员应遵守有关法律、法规、规章，遵守评标纪律和其他评标有关规定。</w:t>
      </w:r>
    </w:p>
    <w:p>
      <w:pPr>
        <w:autoSpaceDE w:val="0"/>
        <w:autoSpaceDN w:val="0"/>
        <w:spacing w:after="160" w:line="360" w:lineRule="auto"/>
        <w:ind w:firstLine="480"/>
        <w:rPr>
          <w:rFonts w:ascii="宋体" w:hAnsi="宋体" w:eastAsia="宋体"/>
          <w:color w:val="000000" w:themeColor="text1"/>
        </w:rPr>
      </w:pPr>
      <w:r>
        <w:rPr>
          <w:rFonts w:ascii="宋体" w:hAnsi="宋体" w:eastAsia="宋体"/>
          <w:color w:val="000000" w:themeColor="text1"/>
        </w:rPr>
        <w:t>3.1.2 招标人应向评标委员会提供与评标有关的工程项目信息和资料，所提供的资料和信息不得带有不公正、影响或排斥某些投标人的情况。</w:t>
      </w:r>
    </w:p>
    <w:p>
      <w:pPr>
        <w:autoSpaceDE w:val="0"/>
        <w:autoSpaceDN w:val="0"/>
        <w:spacing w:after="160" w:line="360" w:lineRule="auto"/>
        <w:ind w:firstLine="480"/>
        <w:rPr>
          <w:rFonts w:ascii="宋体" w:hAnsi="宋体" w:eastAsia="宋体"/>
          <w:color w:val="000000" w:themeColor="text1"/>
        </w:rPr>
      </w:pPr>
      <w:r>
        <w:rPr>
          <w:rFonts w:ascii="宋体" w:hAnsi="宋体" w:eastAsia="宋体"/>
          <w:color w:val="000000" w:themeColor="text1"/>
        </w:rPr>
        <w:t>3.1.3 评标委员会成员应独立研读招标文件。对招标文件中存在的问题的处理应由评标委员会讨论决定。评标委员会可要求招标人对招标文件的内容作必要的澄清、说明，但澄清、说明不得改变招标文件的实质内容。</w:t>
      </w:r>
    </w:p>
    <w:p>
      <w:pPr>
        <w:pStyle w:val="6"/>
        <w:spacing w:before="280" w:after="290" w:line="376" w:lineRule="auto"/>
        <w:rPr>
          <w:rFonts w:eastAsia="宋体"/>
          <w:color w:val="000000" w:themeColor="text1"/>
        </w:rPr>
      </w:pPr>
      <w:r>
        <w:rPr>
          <w:rFonts w:eastAsia="宋体"/>
          <w:color w:val="000000" w:themeColor="text1"/>
        </w:rPr>
        <w:t>3.2 初步评审</w:t>
      </w:r>
    </w:p>
    <w:p>
      <w:pPr>
        <w:autoSpaceDE w:val="0"/>
        <w:autoSpaceDN w:val="0"/>
        <w:spacing w:after="160" w:line="360" w:lineRule="auto"/>
        <w:ind w:firstLine="480"/>
        <w:rPr>
          <w:rFonts w:ascii="宋体" w:hAnsi="宋体" w:eastAsia="宋体"/>
          <w:color w:val="000000" w:themeColor="text1"/>
        </w:rPr>
      </w:pPr>
      <w:r>
        <w:rPr>
          <w:rFonts w:ascii="宋体" w:hAnsi="宋体" w:eastAsia="宋体"/>
          <w:color w:val="000000" w:themeColor="text1"/>
        </w:rPr>
        <w:t>3.2.1 评标委员会依据本章第2.1.1 项、2.1.2项、第2.1.3 项规定的评审标准对投标文件进行初步评审。有一项不符合评审标准的，作废标处理。</w:t>
      </w:r>
    </w:p>
    <w:p>
      <w:pPr>
        <w:autoSpaceDE w:val="0"/>
        <w:autoSpaceDN w:val="0"/>
        <w:spacing w:after="160" w:line="360" w:lineRule="auto"/>
        <w:ind w:firstLine="480"/>
        <w:rPr>
          <w:rFonts w:ascii="宋体" w:hAnsi="宋体" w:eastAsia="宋体"/>
          <w:color w:val="000000" w:themeColor="text1"/>
        </w:rPr>
      </w:pPr>
      <w:r>
        <w:rPr>
          <w:rFonts w:ascii="宋体" w:hAnsi="宋体" w:eastAsia="宋体"/>
          <w:color w:val="000000" w:themeColor="text1"/>
        </w:rPr>
        <w:t>3.2.2 投标人有以下情形之一的，其投标作废标处理：</w:t>
      </w:r>
    </w:p>
    <w:p>
      <w:pPr>
        <w:autoSpaceDE w:val="0"/>
        <w:autoSpaceDN w:val="0"/>
        <w:spacing w:after="160" w:line="360" w:lineRule="auto"/>
        <w:ind w:firstLine="480"/>
        <w:rPr>
          <w:rFonts w:ascii="宋体" w:hAnsi="宋体" w:eastAsia="宋体"/>
          <w:color w:val="000000" w:themeColor="text1"/>
        </w:rPr>
      </w:pPr>
      <w:r>
        <w:rPr>
          <w:rFonts w:ascii="宋体" w:hAnsi="宋体" w:eastAsia="宋体"/>
          <w:color w:val="000000" w:themeColor="text1"/>
        </w:rPr>
        <w:t>（1）串通投标或弄虚作假或有其他违法行为的；</w:t>
      </w:r>
    </w:p>
    <w:p>
      <w:pPr>
        <w:autoSpaceDE w:val="0"/>
        <w:autoSpaceDN w:val="0"/>
        <w:spacing w:after="160" w:line="360" w:lineRule="auto"/>
        <w:ind w:firstLine="480"/>
        <w:rPr>
          <w:rFonts w:ascii="宋体" w:hAnsi="宋体" w:eastAsia="宋体"/>
          <w:color w:val="000000" w:themeColor="text1"/>
        </w:rPr>
      </w:pPr>
      <w:r>
        <w:rPr>
          <w:rFonts w:ascii="宋体" w:hAnsi="宋体" w:eastAsia="宋体"/>
          <w:color w:val="000000" w:themeColor="text1"/>
        </w:rPr>
        <w:t>（2）不按评标委员会要求澄清、说明或补正的。</w:t>
      </w:r>
    </w:p>
    <w:p>
      <w:pPr>
        <w:autoSpaceDE w:val="0"/>
        <w:autoSpaceDN w:val="0"/>
        <w:spacing w:after="160" w:line="360" w:lineRule="auto"/>
        <w:ind w:firstLine="480"/>
        <w:rPr>
          <w:rFonts w:ascii="宋体" w:hAnsi="宋体" w:eastAsia="宋体"/>
          <w:color w:val="000000" w:themeColor="text1"/>
        </w:rPr>
      </w:pPr>
      <w:r>
        <w:rPr>
          <w:rFonts w:ascii="宋体" w:hAnsi="宋体" w:eastAsia="宋体"/>
          <w:color w:val="000000" w:themeColor="text1"/>
        </w:rPr>
        <w:t>（3）不同投标人的投标文件分部分项报价错漏一致，且没有合理解释的；</w:t>
      </w:r>
    </w:p>
    <w:p>
      <w:pPr>
        <w:autoSpaceDE w:val="0"/>
        <w:autoSpaceDN w:val="0"/>
        <w:spacing w:after="160" w:line="360" w:lineRule="auto"/>
        <w:ind w:firstLine="480"/>
        <w:rPr>
          <w:rFonts w:ascii="宋体" w:hAnsi="宋体" w:eastAsia="宋体"/>
          <w:color w:val="000000" w:themeColor="text1"/>
        </w:rPr>
      </w:pPr>
      <w:r>
        <w:rPr>
          <w:rFonts w:ascii="宋体" w:hAnsi="宋体" w:eastAsia="宋体"/>
          <w:color w:val="000000" w:themeColor="text1"/>
        </w:rPr>
        <w:t>（4）不同投标人的投标文件载明的项目管理班子成员出现同一人的；</w:t>
      </w:r>
    </w:p>
    <w:p>
      <w:pPr>
        <w:autoSpaceDE w:val="0"/>
        <w:autoSpaceDN w:val="0"/>
        <w:spacing w:after="160" w:line="360" w:lineRule="auto"/>
        <w:ind w:firstLine="480"/>
        <w:rPr>
          <w:rFonts w:ascii="宋体" w:hAnsi="宋体" w:eastAsia="宋体"/>
          <w:color w:val="000000" w:themeColor="text1"/>
        </w:rPr>
      </w:pPr>
      <w:r>
        <w:rPr>
          <w:rFonts w:ascii="宋体" w:hAnsi="宋体" w:eastAsia="宋体"/>
          <w:color w:val="000000" w:themeColor="text1"/>
        </w:rPr>
        <w:t>（5）不同投标人的投标文件相互混装的；</w:t>
      </w:r>
    </w:p>
    <w:p>
      <w:pPr>
        <w:autoSpaceDE w:val="0"/>
        <w:autoSpaceDN w:val="0"/>
        <w:spacing w:after="160" w:line="360" w:lineRule="auto"/>
        <w:ind w:firstLine="480"/>
        <w:rPr>
          <w:rFonts w:hint="eastAsia" w:ascii="宋体" w:hAnsi="宋体" w:eastAsia="宋体"/>
          <w:color w:val="000000" w:themeColor="text1"/>
          <w:lang w:val="en-US" w:eastAsia="zh-CN"/>
        </w:rPr>
      </w:pPr>
      <w:r>
        <w:rPr>
          <w:rFonts w:ascii="宋体" w:hAnsi="宋体" w:eastAsia="宋体"/>
          <w:color w:val="000000" w:themeColor="text1"/>
        </w:rPr>
        <w:t>（6）</w:t>
      </w:r>
      <w:r>
        <w:rPr>
          <w:rFonts w:hint="eastAsia" w:ascii="宋体" w:hAnsi="宋体" w:eastAsia="宋体"/>
          <w:color w:val="000000" w:themeColor="text1"/>
        </w:rPr>
        <w:t>是否按规定缴纳投标保证金</w:t>
      </w:r>
      <w:r>
        <w:rPr>
          <w:rFonts w:hint="eastAsia" w:ascii="宋体" w:hAnsi="宋体" w:eastAsia="宋体"/>
          <w:color w:val="000000" w:themeColor="text1"/>
          <w:lang w:val="en-US" w:eastAsia="zh-CN"/>
        </w:rPr>
        <w:t>的</w:t>
      </w:r>
    </w:p>
    <w:p>
      <w:pPr>
        <w:autoSpaceDE w:val="0"/>
        <w:autoSpaceDN w:val="0"/>
        <w:spacing w:after="160" w:line="360" w:lineRule="auto"/>
        <w:ind w:firstLine="480"/>
        <w:rPr>
          <w:rFonts w:ascii="宋体" w:hAnsi="宋体" w:eastAsia="宋体"/>
          <w:color w:val="000000" w:themeColor="text1"/>
        </w:rPr>
      </w:pPr>
      <w:r>
        <w:rPr>
          <w:rFonts w:ascii="宋体" w:hAnsi="宋体" w:eastAsia="宋体"/>
          <w:color w:val="000000" w:themeColor="text1"/>
        </w:rPr>
        <w:t>（7）不同投标人聘请同一人为其投标提供技术或者经济咨询服务的，但招标工程本身要求采用专有技术的除外；</w:t>
      </w:r>
    </w:p>
    <w:p>
      <w:pPr>
        <w:autoSpaceDE w:val="0"/>
        <w:autoSpaceDN w:val="0"/>
        <w:spacing w:after="160" w:line="360" w:lineRule="auto"/>
        <w:ind w:firstLine="480"/>
        <w:rPr>
          <w:rFonts w:ascii="宋体" w:hAnsi="宋体" w:eastAsia="宋体"/>
          <w:color w:val="000000" w:themeColor="text1"/>
        </w:rPr>
      </w:pPr>
      <w:r>
        <w:rPr>
          <w:rFonts w:ascii="宋体" w:hAnsi="宋体" w:eastAsia="宋体"/>
          <w:color w:val="000000" w:themeColor="text1"/>
        </w:rPr>
        <w:t>（8）其他不应有的雷同。</w:t>
      </w:r>
    </w:p>
    <w:p>
      <w:pPr>
        <w:pStyle w:val="6"/>
        <w:spacing w:before="280" w:after="290" w:line="376" w:lineRule="auto"/>
        <w:rPr>
          <w:rFonts w:eastAsia="宋体"/>
          <w:color w:val="000000" w:themeColor="text1"/>
        </w:rPr>
      </w:pPr>
      <w:r>
        <w:rPr>
          <w:rFonts w:eastAsia="宋体"/>
          <w:color w:val="000000" w:themeColor="text1"/>
        </w:rPr>
        <w:t>3.3 详细评审</w:t>
      </w:r>
    </w:p>
    <w:p>
      <w:pPr>
        <w:autoSpaceDE w:val="0"/>
        <w:autoSpaceDN w:val="0"/>
        <w:spacing w:after="160" w:line="360" w:lineRule="auto"/>
        <w:ind w:firstLine="480"/>
        <w:rPr>
          <w:rFonts w:ascii="宋体" w:hAnsi="宋体" w:eastAsia="宋体"/>
          <w:color w:val="000000" w:themeColor="text1"/>
        </w:rPr>
      </w:pPr>
      <w:r>
        <w:rPr>
          <w:rFonts w:ascii="宋体" w:hAnsi="宋体" w:eastAsia="宋体"/>
          <w:color w:val="000000" w:themeColor="text1"/>
        </w:rPr>
        <w:t>3.3.1 评标委员会按本章第2.2 款规定的量化因素和分值进行打分，并计算出综合评估得分。</w:t>
      </w:r>
    </w:p>
    <w:p>
      <w:pPr>
        <w:autoSpaceDE w:val="0"/>
        <w:autoSpaceDN w:val="0"/>
        <w:spacing w:after="160" w:line="360" w:lineRule="auto"/>
        <w:ind w:firstLine="480"/>
        <w:rPr>
          <w:rFonts w:ascii="宋体" w:hAnsi="宋体" w:eastAsia="宋体"/>
          <w:color w:val="000000" w:themeColor="text1"/>
        </w:rPr>
      </w:pPr>
      <w:r>
        <w:rPr>
          <w:rFonts w:ascii="宋体" w:hAnsi="宋体" w:eastAsia="宋体"/>
          <w:color w:val="000000" w:themeColor="text1"/>
        </w:rPr>
        <w:t>（1）按本章第2.2.1规定的评审因素和分值对商务标计算出得分A；</w:t>
      </w:r>
    </w:p>
    <w:p>
      <w:pPr>
        <w:autoSpaceDE w:val="0"/>
        <w:autoSpaceDN w:val="0"/>
        <w:spacing w:after="160" w:line="360" w:lineRule="auto"/>
        <w:ind w:firstLine="480"/>
        <w:rPr>
          <w:rFonts w:ascii="宋体" w:hAnsi="宋体" w:eastAsia="宋体"/>
          <w:color w:val="000000" w:themeColor="text1"/>
        </w:rPr>
      </w:pPr>
      <w:r>
        <w:rPr>
          <w:rFonts w:ascii="宋体" w:hAnsi="宋体" w:eastAsia="宋体"/>
          <w:color w:val="000000" w:themeColor="text1"/>
        </w:rPr>
        <w:t>（2）按本章第2.2.2规定的评审因素和分值对技术标计算出得分B；</w:t>
      </w:r>
    </w:p>
    <w:p>
      <w:pPr>
        <w:autoSpaceDE w:val="0"/>
        <w:autoSpaceDN w:val="0"/>
        <w:spacing w:after="160" w:line="360" w:lineRule="auto"/>
        <w:ind w:firstLine="480"/>
        <w:rPr>
          <w:rFonts w:ascii="宋体" w:hAnsi="宋体" w:eastAsia="宋体"/>
          <w:color w:val="000000" w:themeColor="text1"/>
        </w:rPr>
      </w:pPr>
      <w:r>
        <w:rPr>
          <w:rFonts w:ascii="宋体" w:hAnsi="宋体" w:eastAsia="宋体"/>
          <w:color w:val="000000" w:themeColor="text1"/>
        </w:rPr>
        <w:t>3.3.2 评分分值计算应保留小数点后两位，小数点后第三位“四舍五入”。</w:t>
      </w:r>
    </w:p>
    <w:p>
      <w:pPr>
        <w:autoSpaceDE w:val="0"/>
        <w:autoSpaceDN w:val="0"/>
        <w:spacing w:after="160" w:line="360" w:lineRule="auto"/>
        <w:ind w:firstLine="480"/>
        <w:rPr>
          <w:rFonts w:ascii="宋体" w:hAnsi="宋体" w:eastAsia="宋体"/>
          <w:color w:val="000000" w:themeColor="text1"/>
        </w:rPr>
      </w:pPr>
      <w:r>
        <w:rPr>
          <w:rFonts w:ascii="宋体" w:hAnsi="宋体" w:eastAsia="宋体"/>
          <w:color w:val="000000" w:themeColor="text1"/>
        </w:rPr>
        <w:t>3.3.3 投标人得分=A+B。</w:t>
      </w:r>
    </w:p>
    <w:p>
      <w:pPr>
        <w:pStyle w:val="6"/>
        <w:spacing w:before="280" w:after="290" w:line="376" w:lineRule="auto"/>
        <w:rPr>
          <w:rFonts w:eastAsia="宋体"/>
          <w:color w:val="000000" w:themeColor="text1"/>
        </w:rPr>
      </w:pPr>
      <w:r>
        <w:rPr>
          <w:rFonts w:eastAsia="宋体"/>
          <w:color w:val="000000" w:themeColor="text1"/>
        </w:rPr>
        <w:t>3.4 投标文件的澄清和补正</w:t>
      </w:r>
    </w:p>
    <w:p>
      <w:pPr>
        <w:autoSpaceDE w:val="0"/>
        <w:autoSpaceDN w:val="0"/>
        <w:spacing w:after="160" w:line="360" w:lineRule="auto"/>
        <w:ind w:firstLine="480"/>
        <w:rPr>
          <w:rFonts w:ascii="宋体" w:hAnsi="宋体" w:eastAsia="宋体"/>
          <w:color w:val="000000" w:themeColor="text1"/>
        </w:rPr>
      </w:pPr>
      <w:r>
        <w:rPr>
          <w:rFonts w:ascii="宋体" w:hAnsi="宋体" w:eastAsia="宋体"/>
          <w:color w:val="000000" w:themeColor="text1"/>
        </w:rPr>
        <w:t>3.4.1 在评标过程中，评标委员会可以书面形式，要求投标人对所提交投标文件中不明确的内容进行书面澄清或说明，或者对细微偏差进行补正。评标委员会不接受投标人主动提出的澄清、说明或补正。</w:t>
      </w:r>
    </w:p>
    <w:p>
      <w:pPr>
        <w:autoSpaceDE w:val="0"/>
        <w:autoSpaceDN w:val="0"/>
        <w:spacing w:after="160" w:line="360" w:lineRule="auto"/>
        <w:ind w:firstLine="480"/>
        <w:rPr>
          <w:rFonts w:ascii="宋体" w:hAnsi="宋体" w:eastAsia="宋体"/>
          <w:color w:val="000000" w:themeColor="text1"/>
        </w:rPr>
      </w:pPr>
      <w:r>
        <w:rPr>
          <w:rFonts w:ascii="宋体" w:hAnsi="宋体" w:eastAsia="宋体"/>
          <w:color w:val="000000" w:themeColor="text1"/>
        </w:rPr>
        <w:t>3.4.2 澄清、说明和补正不得改变投标文件的实质性内容（算术性错误修正的除外）。投标人的书面澄清、说明和补正属于投标文件的组成部分。</w:t>
      </w:r>
    </w:p>
    <w:p>
      <w:pPr>
        <w:autoSpaceDE w:val="0"/>
        <w:autoSpaceDN w:val="0"/>
        <w:spacing w:after="160" w:line="360" w:lineRule="auto"/>
        <w:ind w:firstLine="480"/>
        <w:rPr>
          <w:rFonts w:ascii="宋体" w:hAnsi="宋体" w:eastAsia="宋体"/>
          <w:color w:val="000000" w:themeColor="text1"/>
        </w:rPr>
      </w:pPr>
      <w:r>
        <w:rPr>
          <w:rFonts w:ascii="宋体" w:hAnsi="宋体" w:eastAsia="宋体"/>
          <w:color w:val="000000" w:themeColor="text1"/>
        </w:rPr>
        <w:t>3.4.3 评标委员会对投标人提交的澄清、说明或补正有疑问的，可以要求投标人进一步澄清、说明或补正，直至满足评标委员会的要求。</w:t>
      </w:r>
    </w:p>
    <w:p>
      <w:pPr>
        <w:pStyle w:val="6"/>
        <w:spacing w:before="280" w:after="290" w:line="376" w:lineRule="auto"/>
        <w:rPr>
          <w:rFonts w:eastAsia="宋体"/>
          <w:color w:val="000000" w:themeColor="text1"/>
        </w:rPr>
      </w:pPr>
      <w:r>
        <w:rPr>
          <w:rFonts w:eastAsia="宋体"/>
          <w:color w:val="000000" w:themeColor="text1"/>
        </w:rPr>
        <w:t>3.5 评标结果</w:t>
      </w:r>
    </w:p>
    <w:p>
      <w:pPr>
        <w:autoSpaceDE w:val="0"/>
        <w:autoSpaceDN w:val="0"/>
        <w:spacing w:after="160" w:line="360" w:lineRule="auto"/>
        <w:ind w:firstLine="480"/>
        <w:rPr>
          <w:rFonts w:ascii="宋体" w:hAnsi="宋体" w:eastAsia="宋体"/>
          <w:color w:val="000000" w:themeColor="text1"/>
        </w:rPr>
      </w:pPr>
      <w:r>
        <w:rPr>
          <w:rFonts w:ascii="宋体" w:hAnsi="宋体" w:eastAsia="宋体"/>
          <w:color w:val="000000" w:themeColor="text1"/>
        </w:rPr>
        <w:t>3.5.1 除第二章“投标人须知”前附表授权直接确定中标人外，评标委员会按照得分由高到低的顺序推荐中标候选人。</w:t>
      </w:r>
    </w:p>
    <w:p>
      <w:pPr>
        <w:autoSpaceDE w:val="0"/>
        <w:autoSpaceDN w:val="0"/>
        <w:spacing w:after="160" w:line="360" w:lineRule="auto"/>
        <w:ind w:firstLine="480"/>
        <w:rPr>
          <w:rFonts w:ascii="宋体" w:hAnsi="宋体" w:eastAsia="宋体"/>
          <w:color w:val="000000" w:themeColor="text1"/>
        </w:rPr>
      </w:pPr>
      <w:r>
        <w:rPr>
          <w:rFonts w:ascii="宋体" w:hAnsi="宋体" w:eastAsia="宋体"/>
          <w:color w:val="000000" w:themeColor="text1"/>
        </w:rPr>
        <w:t>3.5.2 评标委员会完成评标后，应当向招标人提交书面评标报告。</w:t>
      </w:r>
    </w:p>
    <w:p>
      <w:pPr>
        <w:pStyle w:val="6"/>
        <w:spacing w:before="280" w:after="290" w:line="376" w:lineRule="auto"/>
        <w:rPr>
          <w:rFonts w:eastAsia="宋体"/>
          <w:color w:val="000000" w:themeColor="text1"/>
        </w:rPr>
      </w:pPr>
      <w:r>
        <w:rPr>
          <w:rFonts w:eastAsia="宋体"/>
          <w:color w:val="000000" w:themeColor="text1"/>
        </w:rPr>
        <w:t>3.6评标争议处理</w:t>
      </w:r>
    </w:p>
    <w:p>
      <w:pPr>
        <w:spacing w:after="160" w:line="360" w:lineRule="auto"/>
        <w:ind w:firstLine="480"/>
        <w:rPr>
          <w:rFonts w:ascii="宋体" w:hAnsi="宋体" w:eastAsia="宋体"/>
          <w:color w:val="000000" w:themeColor="text1"/>
        </w:rPr>
      </w:pPr>
      <w:r>
        <w:rPr>
          <w:rFonts w:ascii="宋体" w:hAnsi="宋体" w:eastAsia="宋体"/>
          <w:color w:val="000000" w:themeColor="text1"/>
        </w:rPr>
        <w:t>3.6.1 评标委员会全体成员应独立评审，对所提出的评审意见承担个人责任。</w:t>
      </w:r>
    </w:p>
    <w:p>
      <w:pPr>
        <w:spacing w:after="160" w:line="360" w:lineRule="auto"/>
        <w:ind w:firstLine="480"/>
        <w:rPr>
          <w:rFonts w:ascii="宋体" w:hAnsi="宋体" w:eastAsia="宋体"/>
          <w:color w:val="000000" w:themeColor="text1"/>
        </w:rPr>
      </w:pPr>
      <w:r>
        <w:rPr>
          <w:rFonts w:ascii="宋体" w:hAnsi="宋体" w:eastAsia="宋体"/>
          <w:color w:val="000000" w:themeColor="text1"/>
        </w:rPr>
        <w:t>3.6.2 评标委员会对需要全体成员共同确认的重大事项，各成员意见不一致的，应进行表决。表决事项经评标委员会全体成员超过半数以上同意视为有效，表决不得违背法律、法规和招标文件的规定。</w:t>
      </w:r>
    </w:p>
    <w:p>
      <w:pPr>
        <w:spacing w:after="160" w:line="360" w:lineRule="auto"/>
        <w:ind w:firstLine="480"/>
        <w:rPr>
          <w:rFonts w:ascii="宋体" w:hAnsi="宋体" w:eastAsia="宋体"/>
          <w:color w:val="000000" w:themeColor="text1"/>
        </w:rPr>
      </w:pPr>
      <w:r>
        <w:rPr>
          <w:rFonts w:ascii="宋体" w:hAnsi="宋体" w:eastAsia="宋体"/>
          <w:color w:val="000000" w:themeColor="text1"/>
        </w:rPr>
        <w:t>3.6.3 本评标办法中需要评标委员会全体成员共同确认的重大事项是指：</w:t>
      </w:r>
    </w:p>
    <w:p>
      <w:pPr>
        <w:spacing w:after="160" w:line="360" w:lineRule="auto"/>
        <w:ind w:firstLine="480"/>
        <w:rPr>
          <w:rFonts w:ascii="宋体" w:hAnsi="宋体" w:eastAsia="宋体"/>
          <w:color w:val="000000" w:themeColor="text1"/>
        </w:rPr>
      </w:pPr>
      <w:r>
        <w:rPr>
          <w:rFonts w:ascii="宋体" w:hAnsi="宋体" w:eastAsia="宋体"/>
          <w:color w:val="000000" w:themeColor="text1"/>
        </w:rPr>
        <w:t>（1）按本章3.2条款投标做废标处理的；</w:t>
      </w:r>
    </w:p>
    <w:p>
      <w:pPr>
        <w:spacing w:after="160" w:line="360" w:lineRule="auto"/>
        <w:ind w:firstLine="480"/>
        <w:rPr>
          <w:rFonts w:ascii="宋体" w:hAnsi="宋体" w:eastAsia="宋体"/>
          <w:color w:val="000000" w:themeColor="text1"/>
        </w:rPr>
      </w:pPr>
      <w:r>
        <w:rPr>
          <w:rFonts w:ascii="宋体" w:hAnsi="宋体" w:eastAsia="宋体"/>
          <w:color w:val="000000" w:themeColor="text1"/>
        </w:rPr>
        <w:t>（2）按本章3.3条款投标做废标处理的或投标人有关资格、业绩等认定的；</w:t>
      </w:r>
    </w:p>
    <w:p>
      <w:pPr>
        <w:spacing w:after="160" w:line="360" w:lineRule="auto"/>
        <w:ind w:firstLine="480"/>
        <w:rPr>
          <w:rFonts w:ascii="宋体" w:hAnsi="宋体" w:eastAsia="宋体"/>
          <w:color w:val="000000" w:themeColor="text1"/>
        </w:rPr>
      </w:pPr>
      <w:r>
        <w:rPr>
          <w:rFonts w:ascii="宋体" w:hAnsi="宋体" w:eastAsia="宋体"/>
          <w:color w:val="000000" w:themeColor="text1"/>
        </w:rPr>
        <w:t>（3）按本章3.4条款要求投标人澄清、说明或补正的；</w:t>
      </w:r>
    </w:p>
    <w:p>
      <w:pPr>
        <w:spacing w:after="160" w:line="360" w:lineRule="auto"/>
        <w:ind w:firstLine="480"/>
        <w:rPr>
          <w:rFonts w:ascii="宋体" w:hAnsi="宋体" w:eastAsia="宋体"/>
          <w:color w:val="000000" w:themeColor="text1"/>
        </w:rPr>
      </w:pPr>
      <w:r>
        <w:rPr>
          <w:rFonts w:ascii="宋体" w:hAnsi="宋体" w:eastAsia="宋体"/>
          <w:color w:val="000000" w:themeColor="text1"/>
        </w:rPr>
        <w:t>（4）其他有可能影响评标结果、可能对投标人产生不公、或者可能影响招标人利益的。</w:t>
      </w:r>
    </w:p>
    <w:p>
      <w:pPr>
        <w:spacing w:after="160" w:line="360" w:lineRule="auto"/>
        <w:ind w:firstLine="480"/>
        <w:rPr>
          <w:rFonts w:ascii="宋体" w:hAnsi="宋体" w:eastAsia="宋体"/>
          <w:color w:val="000000" w:themeColor="text1"/>
        </w:rPr>
      </w:pPr>
      <w:r>
        <w:rPr>
          <w:rFonts w:ascii="宋体" w:hAnsi="宋体" w:eastAsia="宋体"/>
          <w:color w:val="000000" w:themeColor="text1"/>
        </w:rPr>
        <w:t>3.6.4 评标委员会成员对书面决议或评审结论持有异议的，应当书面阐述其不同意见和理由。拒绝在书面决议或评标报告上签名，且不陈述其不同意见和理由的，视为同意书面决议或评标结论。评标委员会应当在评标报告中做出说明。</w:t>
      </w:r>
    </w:p>
    <w:p>
      <w:pPr>
        <w:spacing w:after="160" w:line="360" w:lineRule="auto"/>
        <w:ind w:firstLine="480"/>
        <w:rPr>
          <w:rFonts w:ascii="宋体" w:hAnsi="宋体" w:eastAsia="宋体"/>
          <w:color w:val="000000" w:themeColor="text1"/>
        </w:rPr>
        <w:sectPr>
          <w:pgSz w:w="11906" w:h="16838"/>
          <w:pgMar w:top="1134" w:right="1134" w:bottom="1134" w:left="1701" w:header="567" w:footer="567" w:gutter="0"/>
          <w:cols w:space="720" w:num="1"/>
          <w:docGrid w:linePitch="312" w:charSpace="0"/>
        </w:sectPr>
      </w:pPr>
      <w:r>
        <w:rPr>
          <w:rFonts w:ascii="宋体" w:hAnsi="宋体" w:eastAsia="宋体"/>
          <w:color w:val="000000" w:themeColor="text1"/>
        </w:rPr>
        <w:t>3.6.5 评标委员会形成的最终评审结论，应能体现大多数评委的评审意见，如有超过半数以上的评委提出异议的，应当场重新评审。</w:t>
      </w:r>
    </w:p>
    <w:p>
      <w:pPr>
        <w:pStyle w:val="27"/>
        <w:spacing w:before="320" w:after="200" w:line="360" w:lineRule="auto"/>
        <w:outlineLvl w:val="1"/>
        <w:rPr>
          <w:rFonts w:ascii="宋体" w:hAnsi="宋体" w:eastAsia="宋体"/>
          <w:color w:val="000000" w:themeColor="text1"/>
        </w:rPr>
      </w:pPr>
      <w:bookmarkStart w:id="120" w:name="_附件A：评标详细程序"/>
      <w:bookmarkEnd w:id="120"/>
      <w:bookmarkStart w:id="121" w:name="_Toc3400"/>
      <w:bookmarkStart w:id="122" w:name="_Toc8906"/>
      <w:bookmarkStart w:id="123" w:name="_Toc3063"/>
      <w:bookmarkStart w:id="124" w:name="_Toc32596"/>
      <w:bookmarkStart w:id="125" w:name="_Toc11168"/>
      <w:r>
        <w:rPr>
          <w:rFonts w:ascii="宋体" w:hAnsi="宋体" w:eastAsia="宋体"/>
          <w:color w:val="000000" w:themeColor="text1"/>
        </w:rPr>
        <w:t>第四章 特许经营协议条款及格式</w:t>
      </w:r>
      <w:bookmarkEnd w:id="121"/>
      <w:bookmarkEnd w:id="122"/>
      <w:bookmarkEnd w:id="123"/>
      <w:bookmarkEnd w:id="124"/>
      <w:bookmarkEnd w:id="125"/>
    </w:p>
    <w:p>
      <w:pPr>
        <w:spacing w:after="160" w:line="360" w:lineRule="auto"/>
        <w:jc w:val="center"/>
        <w:rPr>
          <w:rFonts w:ascii="宋体" w:hAnsi="宋体" w:eastAsia="宋体"/>
          <w:color w:val="000000" w:themeColor="text1"/>
        </w:rPr>
      </w:pPr>
    </w:p>
    <w:p>
      <w:pPr>
        <w:spacing w:after="160" w:line="360" w:lineRule="auto"/>
        <w:jc w:val="center"/>
        <w:rPr>
          <w:rFonts w:ascii="宋体" w:hAnsi="宋体" w:eastAsia="宋体"/>
          <w:color w:val="000000" w:themeColor="text1"/>
        </w:rPr>
      </w:pPr>
    </w:p>
    <w:p>
      <w:pPr>
        <w:spacing w:after="160" w:line="360" w:lineRule="auto"/>
        <w:jc w:val="center"/>
        <w:rPr>
          <w:rFonts w:ascii="宋体" w:hAnsi="宋体" w:eastAsia="宋体"/>
          <w:color w:val="000000" w:themeColor="text1"/>
        </w:rPr>
      </w:pPr>
    </w:p>
    <w:p>
      <w:pPr>
        <w:spacing w:after="160" w:line="360" w:lineRule="auto"/>
        <w:jc w:val="center"/>
        <w:rPr>
          <w:rFonts w:ascii="宋体" w:hAnsi="宋体" w:eastAsia="宋体"/>
          <w:color w:val="000000" w:themeColor="text1"/>
        </w:rPr>
      </w:pPr>
    </w:p>
    <w:p>
      <w:pPr>
        <w:spacing w:after="160" w:line="360" w:lineRule="auto"/>
        <w:jc w:val="center"/>
        <w:rPr>
          <w:rFonts w:ascii="宋体" w:hAnsi="宋体" w:eastAsia="宋体"/>
          <w:b/>
          <w:color w:val="000000" w:themeColor="text1"/>
          <w:sz w:val="52"/>
          <w:szCs w:val="52"/>
        </w:rPr>
      </w:pPr>
      <w:r>
        <w:rPr>
          <w:rFonts w:ascii="宋体" w:hAnsi="宋体" w:eastAsia="宋体"/>
          <w:b/>
          <w:color w:val="000000" w:themeColor="text1"/>
          <w:sz w:val="52"/>
          <w:szCs w:val="52"/>
        </w:rPr>
        <w:t>鄢陵县畜禽粪污资源化利用整县推进</w:t>
      </w:r>
    </w:p>
    <w:p>
      <w:pPr>
        <w:spacing w:after="160" w:line="360" w:lineRule="auto"/>
        <w:jc w:val="center"/>
        <w:rPr>
          <w:rFonts w:ascii="宋体" w:hAnsi="宋体" w:eastAsia="宋体"/>
          <w:b/>
          <w:color w:val="000000" w:themeColor="text1"/>
          <w:sz w:val="52"/>
          <w:szCs w:val="52"/>
        </w:rPr>
      </w:pPr>
      <w:r>
        <w:rPr>
          <w:rFonts w:ascii="宋体" w:hAnsi="宋体" w:eastAsia="宋体"/>
          <w:b/>
          <w:color w:val="000000" w:themeColor="text1"/>
          <w:sz w:val="52"/>
          <w:szCs w:val="52"/>
        </w:rPr>
        <w:t>项目特许经营协议</w:t>
      </w:r>
    </w:p>
    <w:p>
      <w:pPr>
        <w:spacing w:after="160" w:line="360" w:lineRule="auto"/>
        <w:jc w:val="center"/>
        <w:rPr>
          <w:rFonts w:ascii="宋体" w:hAnsi="宋体" w:eastAsia="宋体"/>
          <w:b/>
          <w:color w:val="000000" w:themeColor="text1"/>
          <w:sz w:val="52"/>
          <w:szCs w:val="52"/>
        </w:rPr>
      </w:pPr>
      <w:r>
        <w:rPr>
          <w:rFonts w:ascii="宋体" w:hAnsi="宋体" w:eastAsia="宋体"/>
          <w:b/>
          <w:color w:val="000000" w:themeColor="text1"/>
          <w:sz w:val="52"/>
          <w:szCs w:val="52"/>
        </w:rPr>
        <w:t>（草案）</w:t>
      </w:r>
    </w:p>
    <w:p>
      <w:pPr>
        <w:spacing w:after="160" w:line="360" w:lineRule="auto"/>
        <w:jc w:val="left"/>
        <w:rPr>
          <w:rFonts w:ascii="宋体" w:hAnsi="宋体" w:eastAsia="宋体"/>
          <w:b/>
          <w:color w:val="000000" w:themeColor="text1"/>
          <w:sz w:val="30"/>
          <w:szCs w:val="30"/>
        </w:rPr>
      </w:pPr>
    </w:p>
    <w:p>
      <w:pPr>
        <w:spacing w:after="160" w:line="360" w:lineRule="auto"/>
        <w:jc w:val="left"/>
        <w:rPr>
          <w:rFonts w:ascii="宋体" w:hAnsi="宋体" w:eastAsia="宋体"/>
          <w:b/>
          <w:color w:val="000000" w:themeColor="text1"/>
          <w:sz w:val="30"/>
          <w:szCs w:val="30"/>
        </w:rPr>
      </w:pPr>
    </w:p>
    <w:p>
      <w:pPr>
        <w:spacing w:after="160" w:line="360" w:lineRule="auto"/>
        <w:jc w:val="left"/>
        <w:rPr>
          <w:rFonts w:ascii="宋体" w:hAnsi="宋体" w:eastAsia="宋体"/>
          <w:b/>
          <w:color w:val="000000" w:themeColor="text1"/>
          <w:sz w:val="30"/>
          <w:szCs w:val="30"/>
        </w:rPr>
      </w:pPr>
    </w:p>
    <w:p>
      <w:pPr>
        <w:spacing w:after="160" w:line="360" w:lineRule="auto"/>
        <w:jc w:val="left"/>
        <w:rPr>
          <w:rFonts w:ascii="宋体" w:hAnsi="宋体" w:eastAsia="宋体"/>
          <w:b/>
          <w:color w:val="000000" w:themeColor="text1"/>
          <w:sz w:val="30"/>
          <w:szCs w:val="30"/>
        </w:rPr>
      </w:pPr>
    </w:p>
    <w:p>
      <w:pPr>
        <w:spacing w:after="160" w:line="360" w:lineRule="auto"/>
        <w:ind w:firstLine="602"/>
        <w:jc w:val="left"/>
        <w:rPr>
          <w:rFonts w:ascii="宋体" w:hAnsi="宋体" w:eastAsia="宋体"/>
          <w:b/>
          <w:color w:val="000000" w:themeColor="text1"/>
          <w:sz w:val="30"/>
          <w:szCs w:val="30"/>
        </w:rPr>
      </w:pPr>
      <w:r>
        <w:rPr>
          <w:rFonts w:ascii="宋体" w:hAnsi="宋体" w:eastAsia="宋体"/>
          <w:b/>
          <w:color w:val="000000" w:themeColor="text1"/>
          <w:sz w:val="30"/>
          <w:szCs w:val="30"/>
        </w:rPr>
        <w:t>项目名称：鄢陵县畜禽粪污资源化利用整县推进特许经营项目</w:t>
      </w:r>
    </w:p>
    <w:p>
      <w:pPr>
        <w:spacing w:after="160" w:line="360" w:lineRule="auto"/>
        <w:ind w:firstLine="602"/>
        <w:jc w:val="left"/>
        <w:rPr>
          <w:rFonts w:ascii="宋体" w:hAnsi="宋体" w:eastAsia="宋体"/>
          <w:b/>
          <w:color w:val="000000" w:themeColor="text1"/>
          <w:sz w:val="30"/>
          <w:szCs w:val="30"/>
        </w:rPr>
      </w:pPr>
      <w:r>
        <w:rPr>
          <w:rFonts w:ascii="宋体" w:hAnsi="宋体" w:eastAsia="宋体"/>
          <w:b/>
          <w:color w:val="000000" w:themeColor="text1"/>
          <w:sz w:val="30"/>
          <w:szCs w:val="30"/>
        </w:rPr>
        <w:t>项目地点：河南省许昌市鄢陵县</w:t>
      </w:r>
    </w:p>
    <w:p>
      <w:pPr>
        <w:spacing w:after="160" w:line="360" w:lineRule="auto"/>
        <w:ind w:firstLine="602"/>
        <w:jc w:val="left"/>
        <w:rPr>
          <w:rFonts w:ascii="宋体" w:hAnsi="宋体" w:eastAsia="宋体"/>
          <w:b/>
          <w:color w:val="000000" w:themeColor="text1"/>
          <w:sz w:val="30"/>
          <w:szCs w:val="30"/>
        </w:rPr>
      </w:pPr>
      <w:r>
        <w:rPr>
          <w:rFonts w:ascii="宋体" w:hAnsi="宋体" w:eastAsia="宋体"/>
          <w:b/>
          <w:color w:val="000000" w:themeColor="text1"/>
          <w:sz w:val="30"/>
          <w:szCs w:val="30"/>
        </w:rPr>
        <w:t>甲方：</w:t>
      </w:r>
    </w:p>
    <w:p>
      <w:pPr>
        <w:spacing w:after="160" w:line="360" w:lineRule="auto"/>
        <w:ind w:firstLine="602"/>
        <w:jc w:val="left"/>
        <w:rPr>
          <w:rFonts w:ascii="宋体" w:hAnsi="宋体" w:eastAsia="宋体"/>
          <w:b/>
          <w:color w:val="000000" w:themeColor="text1"/>
          <w:sz w:val="30"/>
          <w:szCs w:val="30"/>
        </w:rPr>
      </w:pPr>
      <w:r>
        <w:rPr>
          <w:rFonts w:ascii="宋体" w:hAnsi="宋体" w:eastAsia="宋体"/>
          <w:b/>
          <w:color w:val="000000" w:themeColor="text1"/>
          <w:sz w:val="30"/>
          <w:szCs w:val="30"/>
        </w:rPr>
        <w:t>乙方：</w:t>
      </w:r>
    </w:p>
    <w:p>
      <w:pPr>
        <w:spacing w:after="160" w:line="360" w:lineRule="auto"/>
        <w:ind w:firstLine="602"/>
        <w:jc w:val="left"/>
        <w:rPr>
          <w:rFonts w:ascii="宋体" w:hAnsi="宋体" w:eastAsia="宋体"/>
          <w:b/>
          <w:color w:val="000000" w:themeColor="text1"/>
          <w:sz w:val="30"/>
          <w:szCs w:val="30"/>
        </w:rPr>
        <w:sectPr>
          <w:pgSz w:w="11906" w:h="16838"/>
          <w:pgMar w:top="1134" w:right="1134" w:bottom="1134" w:left="1701" w:header="567" w:footer="567" w:gutter="0"/>
          <w:cols w:space="720" w:num="1"/>
          <w:docGrid w:linePitch="312" w:charSpace="0"/>
        </w:sectPr>
      </w:pPr>
    </w:p>
    <w:p>
      <w:pPr>
        <w:pStyle w:val="22"/>
        <w:spacing w:before="240" w:after="240" w:line="360" w:lineRule="auto"/>
        <w:outlineLvl w:val="2"/>
        <w:rPr>
          <w:rFonts w:ascii="宋体" w:hAnsi="宋体" w:eastAsia="宋体"/>
          <w:color w:val="000000" w:themeColor="text1"/>
        </w:rPr>
      </w:pPr>
      <w:bookmarkStart w:id="126" w:name="_Toc6495"/>
      <w:bookmarkStart w:id="127" w:name="_Toc20894"/>
      <w:bookmarkStart w:id="128" w:name="_Toc21877"/>
      <w:bookmarkStart w:id="129" w:name="_Toc24290"/>
      <w:bookmarkStart w:id="130" w:name="_Toc20656"/>
      <w:r>
        <w:rPr>
          <w:rFonts w:ascii="宋体" w:hAnsi="宋体" w:eastAsia="宋体"/>
          <w:color w:val="000000" w:themeColor="text1"/>
        </w:rPr>
        <w:t>第一章 总则</w:t>
      </w:r>
      <w:bookmarkEnd w:id="126"/>
      <w:bookmarkEnd w:id="127"/>
      <w:bookmarkEnd w:id="128"/>
      <w:bookmarkEnd w:id="129"/>
      <w:bookmarkEnd w:id="130"/>
    </w:p>
    <w:p>
      <w:pPr>
        <w:spacing w:after="160" w:line="360" w:lineRule="auto"/>
        <w:ind w:firstLine="480"/>
        <w:rPr>
          <w:rFonts w:ascii="宋体" w:hAnsi="宋体" w:eastAsia="宋体"/>
          <w:color w:val="000000" w:themeColor="text1"/>
        </w:rPr>
      </w:pPr>
      <w:r>
        <w:rPr>
          <w:rFonts w:ascii="宋体" w:hAnsi="宋体" w:eastAsia="宋体"/>
          <w:color w:val="000000" w:themeColor="text1"/>
        </w:rPr>
        <w:t>甲方：</w:t>
      </w:r>
    </w:p>
    <w:p>
      <w:pPr>
        <w:spacing w:after="160" w:line="360" w:lineRule="auto"/>
        <w:ind w:firstLine="480"/>
        <w:rPr>
          <w:rFonts w:ascii="宋体" w:hAnsi="宋体" w:eastAsia="宋体"/>
          <w:color w:val="000000" w:themeColor="text1"/>
        </w:rPr>
      </w:pPr>
      <w:r>
        <w:rPr>
          <w:rFonts w:ascii="宋体" w:hAnsi="宋体" w:eastAsia="宋体"/>
          <w:color w:val="000000" w:themeColor="text1"/>
        </w:rPr>
        <w:t>地址：</w:t>
      </w:r>
    </w:p>
    <w:p>
      <w:pPr>
        <w:spacing w:after="160" w:line="360" w:lineRule="auto"/>
        <w:ind w:firstLine="480"/>
        <w:rPr>
          <w:rFonts w:ascii="宋体" w:hAnsi="宋体" w:eastAsia="宋体"/>
          <w:color w:val="000000" w:themeColor="text1"/>
        </w:rPr>
      </w:pPr>
      <w:r>
        <w:rPr>
          <w:rFonts w:ascii="宋体" w:hAnsi="宋体" w:eastAsia="宋体"/>
          <w:color w:val="000000" w:themeColor="text1"/>
        </w:rPr>
        <w:t xml:space="preserve">法定代表人： </w:t>
      </w:r>
    </w:p>
    <w:p>
      <w:pPr>
        <w:spacing w:after="160" w:line="360" w:lineRule="auto"/>
        <w:ind w:firstLine="480"/>
        <w:rPr>
          <w:rFonts w:ascii="宋体" w:hAnsi="宋体" w:eastAsia="宋体"/>
          <w:color w:val="000000" w:themeColor="text1"/>
        </w:rPr>
      </w:pPr>
      <w:r>
        <w:rPr>
          <w:rFonts w:ascii="宋体" w:hAnsi="宋体" w:eastAsia="宋体"/>
          <w:color w:val="000000" w:themeColor="text1"/>
        </w:rPr>
        <w:t>联系电话：</w:t>
      </w:r>
    </w:p>
    <w:p>
      <w:pPr>
        <w:spacing w:after="160" w:line="360" w:lineRule="auto"/>
        <w:ind w:firstLine="480"/>
        <w:rPr>
          <w:rFonts w:ascii="宋体" w:hAnsi="宋体" w:eastAsia="宋体"/>
          <w:color w:val="000000" w:themeColor="text1"/>
        </w:rPr>
      </w:pPr>
      <w:r>
        <w:rPr>
          <w:rFonts w:ascii="宋体" w:hAnsi="宋体" w:eastAsia="宋体"/>
          <w:color w:val="000000" w:themeColor="text1"/>
        </w:rPr>
        <w:t>传真：</w:t>
      </w:r>
    </w:p>
    <w:p>
      <w:pPr>
        <w:spacing w:after="160" w:line="360" w:lineRule="auto"/>
        <w:ind w:firstLine="480"/>
        <w:rPr>
          <w:rFonts w:ascii="宋体" w:hAnsi="宋体" w:eastAsia="宋体"/>
          <w:color w:val="000000" w:themeColor="text1"/>
        </w:rPr>
      </w:pPr>
    </w:p>
    <w:p>
      <w:pPr>
        <w:spacing w:after="160" w:line="360" w:lineRule="auto"/>
        <w:ind w:firstLine="480"/>
        <w:rPr>
          <w:rFonts w:ascii="宋体" w:hAnsi="宋体" w:eastAsia="宋体"/>
          <w:color w:val="000000" w:themeColor="text1"/>
        </w:rPr>
      </w:pPr>
      <w:r>
        <w:rPr>
          <w:rFonts w:ascii="宋体" w:hAnsi="宋体" w:eastAsia="宋体"/>
          <w:color w:val="000000" w:themeColor="text1"/>
        </w:rPr>
        <w:t>乙方：</w:t>
      </w:r>
    </w:p>
    <w:p>
      <w:pPr>
        <w:spacing w:after="160" w:line="360" w:lineRule="auto"/>
        <w:ind w:firstLine="480"/>
        <w:rPr>
          <w:rFonts w:ascii="宋体" w:hAnsi="宋体" w:eastAsia="宋体"/>
          <w:color w:val="000000" w:themeColor="text1"/>
        </w:rPr>
      </w:pPr>
      <w:r>
        <w:rPr>
          <w:rFonts w:ascii="宋体" w:hAnsi="宋体" w:eastAsia="宋体"/>
          <w:color w:val="000000" w:themeColor="text1"/>
        </w:rPr>
        <w:t>住所：</w:t>
      </w:r>
    </w:p>
    <w:p>
      <w:pPr>
        <w:spacing w:after="160" w:line="360" w:lineRule="auto"/>
        <w:ind w:firstLine="480"/>
        <w:rPr>
          <w:rFonts w:ascii="宋体" w:hAnsi="宋体" w:eastAsia="宋体"/>
          <w:color w:val="000000" w:themeColor="text1"/>
        </w:rPr>
      </w:pPr>
      <w:r>
        <w:rPr>
          <w:rFonts w:ascii="宋体" w:hAnsi="宋体" w:eastAsia="宋体"/>
          <w:color w:val="000000" w:themeColor="text1"/>
        </w:rPr>
        <w:t>注册号：</w:t>
      </w:r>
    </w:p>
    <w:p>
      <w:pPr>
        <w:spacing w:after="160" w:line="360" w:lineRule="auto"/>
        <w:ind w:firstLine="480"/>
        <w:rPr>
          <w:rFonts w:ascii="宋体" w:hAnsi="宋体" w:eastAsia="宋体"/>
          <w:color w:val="000000" w:themeColor="text1"/>
        </w:rPr>
      </w:pPr>
      <w:r>
        <w:rPr>
          <w:rFonts w:ascii="宋体" w:hAnsi="宋体" w:eastAsia="宋体"/>
          <w:color w:val="000000" w:themeColor="text1"/>
        </w:rPr>
        <w:t>法定代表人：</w:t>
      </w:r>
    </w:p>
    <w:p>
      <w:pPr>
        <w:spacing w:after="160" w:line="360" w:lineRule="auto"/>
        <w:ind w:firstLine="480"/>
        <w:rPr>
          <w:rFonts w:ascii="宋体" w:hAnsi="宋体" w:eastAsia="宋体"/>
          <w:color w:val="000000" w:themeColor="text1"/>
        </w:rPr>
      </w:pPr>
      <w:r>
        <w:rPr>
          <w:rFonts w:ascii="宋体" w:hAnsi="宋体" w:eastAsia="宋体"/>
          <w:color w:val="000000" w:themeColor="text1"/>
        </w:rPr>
        <w:t>联系电话：</w:t>
      </w:r>
    </w:p>
    <w:p>
      <w:pPr>
        <w:spacing w:after="160" w:line="360" w:lineRule="auto"/>
        <w:ind w:firstLine="480"/>
        <w:rPr>
          <w:rFonts w:ascii="宋体" w:hAnsi="宋体" w:eastAsia="宋体"/>
          <w:color w:val="000000" w:themeColor="text1"/>
        </w:rPr>
      </w:pPr>
      <w:r>
        <w:rPr>
          <w:rFonts w:ascii="宋体" w:hAnsi="宋体" w:eastAsia="宋体"/>
          <w:color w:val="000000" w:themeColor="text1"/>
        </w:rPr>
        <w:t>传真：</w:t>
      </w:r>
    </w:p>
    <w:p>
      <w:pPr>
        <w:spacing w:after="160" w:line="360" w:lineRule="auto"/>
        <w:ind w:firstLine="480"/>
        <w:rPr>
          <w:rFonts w:ascii="宋体" w:hAnsi="宋体" w:eastAsia="宋体"/>
          <w:color w:val="000000" w:themeColor="text1"/>
        </w:rPr>
      </w:pPr>
    </w:p>
    <w:p>
      <w:pPr>
        <w:spacing w:after="160" w:line="360" w:lineRule="auto"/>
        <w:ind w:firstLine="480"/>
        <w:rPr>
          <w:rFonts w:ascii="宋体" w:hAnsi="宋体" w:eastAsia="宋体"/>
          <w:color w:val="000000" w:themeColor="text1"/>
        </w:rPr>
      </w:pPr>
      <w:r>
        <w:rPr>
          <w:rFonts w:ascii="宋体" w:hAnsi="宋体" w:eastAsia="宋体"/>
          <w:color w:val="000000" w:themeColor="text1"/>
        </w:rPr>
        <w:t>协议双方根据《中华人民共和国合同法》、《基础设施和公用事业特许经营管理办法》等国家和河南省现行相关法律、法规、规章和政策的规定，就鄢陵县畜禽粪污资源化利用整县推进特许经营项目，按照平等、互惠、诚实守信等原则，经充分协商，达成一致，在鄢陵县畜牧局订立本协议。</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第1条 项目背景与目的</w:t>
      </w:r>
    </w:p>
    <w:p>
      <w:pPr>
        <w:spacing w:after="160" w:line="360" w:lineRule="auto"/>
        <w:ind w:firstLine="480"/>
        <w:rPr>
          <w:rFonts w:ascii="宋体" w:hAnsi="宋体" w:eastAsia="宋体"/>
          <w:color w:val="000000" w:themeColor="text1"/>
        </w:rPr>
      </w:pPr>
      <w:r>
        <w:rPr>
          <w:rFonts w:ascii="宋体" w:hAnsi="宋体" w:eastAsia="宋体"/>
          <w:color w:val="000000" w:themeColor="text1"/>
        </w:rPr>
        <w:t>1.1鄢陵县是生猪调出大县，在推行规模化养殖过程中为畜牧业带来了极大的经济效益,但同时也对周围的生态环境造成了严重污染。在这种形式下,如何转变经济方式,促使经济效益和生态保护和谐发展成为畜牧业发展急需解决的问题。</w:t>
      </w:r>
    </w:p>
    <w:p>
      <w:pPr>
        <w:spacing w:after="160" w:line="360" w:lineRule="auto"/>
        <w:ind w:firstLine="480"/>
        <w:rPr>
          <w:rFonts w:ascii="宋体" w:hAnsi="宋体" w:eastAsia="宋体"/>
          <w:color w:val="000000" w:themeColor="text1"/>
        </w:rPr>
      </w:pPr>
      <w:r>
        <w:rPr>
          <w:rFonts w:ascii="宋体" w:hAnsi="宋体" w:eastAsia="宋体"/>
          <w:color w:val="000000" w:themeColor="text1"/>
        </w:rPr>
        <w:t>近年来，国家出台多项政策文件提出要加大生态系统保护力度，推进绿色发展，壮大节能环保产业，着力解决突出环境问题，坚持全民共治、源头防治，持续实施大气污染防治行动，加强固体废弃物和垃圾处置，加强农业面源污染防治，开展城乡人居环境整治行动，打赢蓝天保卫战。《中共中央国务院关于实施乡村振兴战略的意见》（2018年中央一号文件）提出推进有机肥替代化肥、畜禽粪污处理、农作物秸秆综合利用、废弃农膜回收、病虫害绿色防控；《全国畜禽粪污资源化利用整县推进项目工作方案（2018-2020年）》指出，提高畜禽粪污综合利用率、消除面源污染；《关于开展秸秆气化清洁能源利用工程建设的指导意见》（发改办环资〔2017〕2143号）指出，将在全国范围内建设若干秸秆清洁能源利用示范县，到2020年秸秆综合利用率要达到85%；《关于加快推进畜禽养殖废弃物资源化利用的意见》（国办发〔2017〕48号）提出，到2020年，畜牧大县畜禽粪便综合利用率达90%以上，有机肥代替化肥比例达20%以上，规模养殖场粪污处理设施装备配套率达到100%。</w:t>
      </w:r>
    </w:p>
    <w:p>
      <w:pPr>
        <w:spacing w:after="160" w:line="360" w:lineRule="auto"/>
        <w:ind w:firstLine="480"/>
        <w:rPr>
          <w:rFonts w:ascii="宋体" w:hAnsi="宋体" w:eastAsia="宋体"/>
          <w:color w:val="000000" w:themeColor="text1"/>
        </w:rPr>
      </w:pPr>
      <w:r>
        <w:rPr>
          <w:rFonts w:ascii="宋体" w:hAnsi="宋体" w:eastAsia="宋体"/>
          <w:color w:val="000000" w:themeColor="text1"/>
        </w:rPr>
        <w:t>畜禽粪污资源化利用整县推进项目，对推进整县畜牧业绿色健康发展，助力全县畜牧业转型升级，促进畜牧业生产和环境保护协调发展意义重大。根据《关于整县推进畜禽粪污资源化利用工作的通知》，通过鄢陵县畜禽粪污资源化利用项目建设推进贯彻绿色发展理念、促进畜牧业转型升级、提高农业可持续发展能力、提高畜禽粪污综合利用率、提高土地肥力。以种养结合、农牧循环发展，综合利用为主线，通过鄢陵县整县推进，探索模式、总结推广，为在河南省实现畜禽粪污资源化利用、有机肥替代化肥、治理农业面源污染提供可借鉴复制模式，推进标准化、规模化种植及养殖。鄢陵县从全县畜牧业发展的整体考虑出发，申报实施畜禽粪污资源化利用整县推进项目。</w:t>
      </w:r>
    </w:p>
    <w:p>
      <w:pPr>
        <w:spacing w:after="160" w:line="360" w:lineRule="auto"/>
        <w:ind w:firstLine="480"/>
        <w:rPr>
          <w:rFonts w:ascii="宋体" w:hAnsi="宋体" w:eastAsia="宋体"/>
          <w:color w:val="000000" w:themeColor="text1"/>
        </w:rPr>
      </w:pPr>
      <w:r>
        <w:rPr>
          <w:rFonts w:ascii="宋体" w:hAnsi="宋体" w:eastAsia="宋体"/>
          <w:color w:val="000000" w:themeColor="text1"/>
        </w:rPr>
        <w:t>1.2根据《基础设施和公用事业特许经营管理办法》等现行相关法律、法规，以及《国务院办公厅关于加快推进畜禽养殖废弃物资源化利用的意见》（国办发〔2017〕48号）和《关于整县推进畜禽粪污资源化利用工作的通知》等现行相关政策，本项目采用特许经营模式。</w:t>
      </w:r>
    </w:p>
    <w:p>
      <w:pPr>
        <w:spacing w:after="160" w:line="360" w:lineRule="auto"/>
        <w:ind w:firstLine="480"/>
        <w:rPr>
          <w:rFonts w:ascii="宋体" w:hAnsi="宋体" w:eastAsia="宋体"/>
          <w:color w:val="000000" w:themeColor="text1"/>
        </w:rPr>
      </w:pPr>
      <w:r>
        <w:rPr>
          <w:rFonts w:ascii="宋体" w:hAnsi="宋体" w:eastAsia="宋体"/>
          <w:color w:val="000000" w:themeColor="text1"/>
        </w:rPr>
        <w:t>1.3甲方遵循公开、公平、公正和公共利益优先的原则，于××××年××月××日按法定程序完成招标，确定通过本协议授予×××××公司（乙方）特许经营鄢陵县畜禽粪污资源化利用整县推进项目。</w:t>
      </w:r>
    </w:p>
    <w:p>
      <w:pPr>
        <w:spacing w:after="160" w:line="360" w:lineRule="auto"/>
        <w:ind w:firstLine="480"/>
        <w:rPr>
          <w:rFonts w:ascii="宋体" w:hAnsi="宋体" w:eastAsia="宋体"/>
          <w:color w:val="000000" w:themeColor="text1"/>
        </w:rPr>
      </w:pPr>
      <w:r>
        <w:rPr>
          <w:rFonts w:ascii="宋体" w:hAnsi="宋体" w:eastAsia="宋体"/>
          <w:color w:val="000000" w:themeColor="text1"/>
        </w:rPr>
        <w:t>1.4甲方通过本协议确认授权乙方在鄢陵县注册成立、具有独立法人资格且由乙方控股（占股权比例××%或以上）的履约公司</w:t>
      </w:r>
      <w:r>
        <w:rPr>
          <w:rFonts w:ascii="宋体" w:hAnsi="宋体" w:eastAsia="宋体"/>
          <w:b/>
          <w:color w:val="000000" w:themeColor="text1"/>
        </w:rPr>
        <w:t>——</w:t>
      </w:r>
      <w:r>
        <w:rPr>
          <w:rFonts w:ascii="宋体" w:hAnsi="宋体" w:eastAsia="宋体"/>
          <w:color w:val="000000" w:themeColor="text1"/>
        </w:rPr>
        <w:t>××××公司作为项目公司（统称为“乙方项目公司”），代表乙方全面履行乙方在本协议项下的权利和义务以及投标时对招标文件的响应与所作的全部承诺。</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第2条 术语定义和解释</w:t>
      </w:r>
    </w:p>
    <w:p>
      <w:pPr>
        <w:spacing w:after="160" w:line="360" w:lineRule="auto"/>
        <w:ind w:firstLine="480"/>
        <w:rPr>
          <w:rFonts w:ascii="宋体" w:hAnsi="宋体" w:eastAsia="宋体"/>
          <w:color w:val="000000" w:themeColor="text1"/>
        </w:rPr>
      </w:pPr>
      <w:r>
        <w:rPr>
          <w:rFonts w:ascii="宋体" w:hAnsi="宋体" w:eastAsia="宋体"/>
          <w:color w:val="000000" w:themeColor="text1"/>
        </w:rPr>
        <w:t>2.1术语定义</w:t>
      </w:r>
    </w:p>
    <w:p>
      <w:pPr>
        <w:spacing w:after="160" w:line="360" w:lineRule="auto"/>
        <w:ind w:firstLine="480"/>
        <w:rPr>
          <w:rFonts w:ascii="宋体" w:hAnsi="宋体" w:eastAsia="宋体"/>
          <w:color w:val="000000" w:themeColor="text1"/>
        </w:rPr>
      </w:pPr>
      <w:r>
        <w:rPr>
          <w:rFonts w:ascii="宋体" w:hAnsi="宋体" w:eastAsia="宋体"/>
          <w:color w:val="000000" w:themeColor="text1"/>
        </w:rPr>
        <w:t>在本协议中，下列术语具有下列含义：</w:t>
      </w:r>
    </w:p>
    <w:p>
      <w:pPr>
        <w:spacing w:after="160" w:line="360" w:lineRule="auto"/>
        <w:ind w:firstLine="480"/>
        <w:rPr>
          <w:rFonts w:ascii="宋体" w:hAnsi="宋体" w:eastAsia="宋体"/>
          <w:color w:val="000000" w:themeColor="text1"/>
        </w:rPr>
      </w:pPr>
      <w:r>
        <w:rPr>
          <w:rFonts w:ascii="宋体" w:hAnsi="宋体" w:eastAsia="宋体"/>
          <w:color w:val="000000" w:themeColor="text1"/>
        </w:rPr>
        <w:t>2.1.1“本项目”是指鄢陵县畜禽粪污资源化利用整县推进特许经营项目。</w:t>
      </w:r>
    </w:p>
    <w:p>
      <w:pPr>
        <w:spacing w:after="160" w:line="360" w:lineRule="auto"/>
        <w:ind w:firstLine="480"/>
        <w:rPr>
          <w:rFonts w:ascii="宋体" w:hAnsi="宋体" w:eastAsia="宋体"/>
          <w:color w:val="000000" w:themeColor="text1"/>
        </w:rPr>
      </w:pPr>
      <w:r>
        <w:rPr>
          <w:rFonts w:ascii="宋体" w:hAnsi="宋体" w:eastAsia="宋体"/>
          <w:color w:val="000000" w:themeColor="text1"/>
        </w:rPr>
        <w:t>2.1.2“本协议”是指是指甲、乙双方方签订的本特许经营协议，包括附件，以及日后可能签订的任何本协议之补充修改协议和附件。上述每一文件均被视为并入本协议。</w:t>
      </w:r>
    </w:p>
    <w:p>
      <w:pPr>
        <w:spacing w:after="160" w:line="360" w:lineRule="auto"/>
        <w:ind w:firstLine="480"/>
        <w:rPr>
          <w:rFonts w:ascii="宋体" w:hAnsi="宋体" w:eastAsia="宋体"/>
          <w:color w:val="000000" w:themeColor="text1"/>
        </w:rPr>
      </w:pPr>
      <w:r>
        <w:rPr>
          <w:rFonts w:ascii="宋体" w:hAnsi="宋体" w:eastAsia="宋体"/>
          <w:color w:val="000000" w:themeColor="text1"/>
        </w:rPr>
        <w:t>2.1.3“甲方”，是指鄢陵县畜牧局。</w:t>
      </w:r>
    </w:p>
    <w:p>
      <w:pPr>
        <w:spacing w:after="160" w:line="360" w:lineRule="auto"/>
        <w:ind w:firstLine="480"/>
        <w:rPr>
          <w:rFonts w:ascii="宋体" w:hAnsi="宋体" w:eastAsia="宋体"/>
          <w:color w:val="000000" w:themeColor="text1"/>
        </w:rPr>
      </w:pPr>
      <w:r>
        <w:rPr>
          <w:rFonts w:ascii="宋体" w:hAnsi="宋体" w:eastAsia="宋体"/>
          <w:color w:val="000000" w:themeColor="text1"/>
        </w:rPr>
        <w:t>2.1.4“乙方”，是指通过法定招标程序确定而获得本项目特许经营权的×××公司。（本协议所称“乙方”，均包括乙方按招标文件要求和本协议第1.4条规定成立的项目公司，如有）。</w:t>
      </w:r>
    </w:p>
    <w:p>
      <w:pPr>
        <w:spacing w:after="160" w:line="360" w:lineRule="auto"/>
        <w:ind w:firstLine="480"/>
        <w:rPr>
          <w:rFonts w:ascii="宋体" w:hAnsi="宋体" w:eastAsia="宋体"/>
          <w:color w:val="000000" w:themeColor="text1"/>
        </w:rPr>
      </w:pPr>
      <w:r>
        <w:rPr>
          <w:rFonts w:ascii="宋体" w:hAnsi="宋体" w:eastAsia="宋体"/>
          <w:color w:val="000000" w:themeColor="text1"/>
        </w:rPr>
        <w:t>2.1.5“特许经营期”，是指具有第4条规定的含义。</w:t>
      </w:r>
    </w:p>
    <w:p>
      <w:pPr>
        <w:spacing w:after="160" w:line="360" w:lineRule="auto"/>
        <w:ind w:firstLine="480"/>
        <w:rPr>
          <w:rFonts w:ascii="宋体" w:hAnsi="宋体" w:eastAsia="宋体"/>
          <w:color w:val="000000" w:themeColor="text1"/>
        </w:rPr>
      </w:pPr>
      <w:r>
        <w:rPr>
          <w:rFonts w:ascii="宋体" w:hAnsi="宋体" w:eastAsia="宋体"/>
          <w:color w:val="000000" w:themeColor="text1"/>
        </w:rPr>
        <w:t>2.1.6“本项目用地”，指位用于建设本项目建设区域处理中心所占用的土地。</w:t>
      </w:r>
    </w:p>
    <w:p>
      <w:pPr>
        <w:spacing w:after="160" w:line="360" w:lineRule="auto"/>
        <w:ind w:firstLine="480"/>
        <w:rPr>
          <w:rFonts w:ascii="宋体" w:hAnsi="宋体" w:eastAsia="宋体"/>
          <w:color w:val="000000" w:themeColor="text1"/>
        </w:rPr>
      </w:pPr>
      <w:r>
        <w:rPr>
          <w:rFonts w:ascii="宋体" w:hAnsi="宋体" w:eastAsia="宋体"/>
          <w:color w:val="000000" w:themeColor="text1"/>
        </w:rPr>
        <w:t>2.1.7“生效日期”，是指本协议第28.5 条中约定的协议生效日期。</w:t>
      </w:r>
    </w:p>
    <w:p>
      <w:pPr>
        <w:spacing w:after="160" w:line="360" w:lineRule="auto"/>
        <w:ind w:firstLine="480"/>
        <w:rPr>
          <w:rFonts w:ascii="宋体" w:hAnsi="宋体" w:eastAsia="宋体"/>
          <w:color w:val="000000" w:themeColor="text1"/>
        </w:rPr>
      </w:pPr>
      <w:r>
        <w:rPr>
          <w:rFonts w:ascii="宋体" w:hAnsi="宋体" w:eastAsia="宋体"/>
          <w:color w:val="000000" w:themeColor="text1"/>
        </w:rPr>
        <w:t>2.1.8“开工日期”，是指按以下方式确定的日期：不迟于甲方完成征地拆迁并交付建设场之日起30天内进场启动。各期工程的具体开工日期，以乙方项目公司和本项目监理公司共同发出的开工令之日为准。</w:t>
      </w:r>
    </w:p>
    <w:p>
      <w:pPr>
        <w:spacing w:after="160" w:line="360" w:lineRule="auto"/>
        <w:ind w:firstLine="480"/>
        <w:rPr>
          <w:rFonts w:ascii="宋体" w:hAnsi="宋体" w:eastAsia="宋体"/>
          <w:color w:val="000000" w:themeColor="text1"/>
        </w:rPr>
      </w:pPr>
      <w:r>
        <w:rPr>
          <w:rFonts w:ascii="宋体" w:hAnsi="宋体" w:eastAsia="宋体"/>
          <w:color w:val="000000" w:themeColor="text1"/>
        </w:rPr>
        <w:t>2.1.9“最终竣工日”，是指各期工程通过验收之日。</w:t>
      </w:r>
    </w:p>
    <w:p>
      <w:pPr>
        <w:spacing w:after="160" w:line="360" w:lineRule="auto"/>
        <w:ind w:firstLine="480"/>
        <w:rPr>
          <w:rFonts w:ascii="宋体" w:hAnsi="宋体" w:eastAsia="宋体"/>
          <w:color w:val="000000" w:themeColor="text1"/>
        </w:rPr>
      </w:pPr>
      <w:r>
        <w:rPr>
          <w:rFonts w:ascii="宋体" w:hAnsi="宋体" w:eastAsia="宋体"/>
          <w:color w:val="000000" w:themeColor="text1"/>
        </w:rPr>
        <w:t>2.1.10“开始商业运营日”，是指满足第11.4条的规定的开始商业运营或视为开始商业运营之日。</w:t>
      </w:r>
    </w:p>
    <w:p>
      <w:pPr>
        <w:spacing w:after="160" w:line="360" w:lineRule="auto"/>
        <w:ind w:firstLine="480"/>
        <w:rPr>
          <w:rFonts w:ascii="宋体" w:hAnsi="宋体" w:eastAsia="宋体"/>
          <w:color w:val="000000" w:themeColor="text1"/>
        </w:rPr>
      </w:pPr>
      <w:r>
        <w:rPr>
          <w:rFonts w:ascii="宋体" w:hAnsi="宋体" w:eastAsia="宋体"/>
          <w:color w:val="000000" w:themeColor="text1"/>
        </w:rPr>
        <w:t>2.1.11“特许经营期”即“商业运营期”或“运营期”，是指自工程开始商业运营日或视为开始商业运营日起至协议期最后一日止的期间。</w:t>
      </w:r>
    </w:p>
    <w:p>
      <w:pPr>
        <w:spacing w:after="160" w:line="360" w:lineRule="auto"/>
        <w:ind w:firstLine="480"/>
        <w:rPr>
          <w:rFonts w:ascii="宋体" w:hAnsi="宋体" w:eastAsia="宋体"/>
          <w:color w:val="000000" w:themeColor="text1"/>
        </w:rPr>
      </w:pPr>
      <w:r>
        <w:rPr>
          <w:rFonts w:ascii="宋体" w:hAnsi="宋体" w:eastAsia="宋体"/>
          <w:color w:val="000000" w:themeColor="text1"/>
        </w:rPr>
        <w:t>2.1.12“运营年”，是指运营期内任一公历年度期间。</w:t>
      </w:r>
    </w:p>
    <w:p>
      <w:pPr>
        <w:spacing w:after="160" w:line="360" w:lineRule="auto"/>
        <w:ind w:firstLine="480"/>
        <w:rPr>
          <w:rFonts w:ascii="宋体" w:hAnsi="宋体" w:eastAsia="宋体"/>
          <w:color w:val="000000" w:themeColor="text1"/>
        </w:rPr>
      </w:pPr>
      <w:r>
        <w:rPr>
          <w:rFonts w:ascii="宋体" w:hAnsi="宋体" w:eastAsia="宋体"/>
          <w:color w:val="000000" w:themeColor="text1"/>
        </w:rPr>
        <w:t>2.1.13“运营月”，是指运营期内任一个公历月期间。</w:t>
      </w:r>
    </w:p>
    <w:p>
      <w:pPr>
        <w:spacing w:after="160" w:line="360" w:lineRule="auto"/>
        <w:ind w:firstLine="480"/>
        <w:rPr>
          <w:rFonts w:ascii="宋体" w:hAnsi="宋体" w:eastAsia="宋体"/>
          <w:color w:val="000000" w:themeColor="text1"/>
        </w:rPr>
      </w:pPr>
      <w:r>
        <w:rPr>
          <w:rFonts w:ascii="宋体" w:hAnsi="宋体" w:eastAsia="宋体"/>
          <w:color w:val="000000" w:themeColor="text1"/>
        </w:rPr>
        <w:t>2.1.14“运营日”，是指运营期内每日从00：00 时开始至同日24：00 时（北京时间）结束的二十四小时期间。</w:t>
      </w:r>
    </w:p>
    <w:p>
      <w:pPr>
        <w:spacing w:after="160" w:line="360" w:lineRule="auto"/>
        <w:ind w:firstLine="480"/>
        <w:rPr>
          <w:rFonts w:ascii="宋体" w:hAnsi="宋体" w:eastAsia="宋体"/>
          <w:color w:val="000000" w:themeColor="text1"/>
        </w:rPr>
      </w:pPr>
      <w:r>
        <w:rPr>
          <w:rFonts w:ascii="宋体" w:hAnsi="宋体" w:eastAsia="宋体"/>
          <w:color w:val="000000" w:themeColor="text1"/>
        </w:rPr>
        <w:t>2.1.15“违约”，是指本协议签约任何一方未能履行其在本协议项下的任何义务，而且这种违约不能归咎于另一方违反本协议的作为或不作为或不可抗力等。</w:t>
      </w:r>
    </w:p>
    <w:p>
      <w:pPr>
        <w:spacing w:after="160" w:line="360" w:lineRule="auto"/>
        <w:ind w:firstLine="480"/>
        <w:rPr>
          <w:rFonts w:ascii="宋体" w:hAnsi="宋体" w:eastAsia="宋体"/>
          <w:color w:val="000000" w:themeColor="text1"/>
        </w:rPr>
      </w:pPr>
      <w:r>
        <w:rPr>
          <w:rFonts w:ascii="宋体" w:hAnsi="宋体" w:eastAsia="宋体"/>
          <w:color w:val="000000" w:themeColor="text1"/>
        </w:rPr>
        <w:t>2.1.16“违约利率”，是指违约当时适用的中国人民银行公布的金融机构人民币一年期贷款基准利率。</w:t>
      </w:r>
    </w:p>
    <w:p>
      <w:pPr>
        <w:spacing w:after="160" w:line="360" w:lineRule="auto"/>
        <w:ind w:firstLine="480"/>
        <w:rPr>
          <w:rFonts w:ascii="宋体" w:hAnsi="宋体" w:eastAsia="宋体"/>
          <w:color w:val="000000" w:themeColor="text1"/>
        </w:rPr>
      </w:pPr>
      <w:r>
        <w:rPr>
          <w:rFonts w:ascii="宋体" w:hAnsi="宋体" w:eastAsia="宋体"/>
          <w:color w:val="000000" w:themeColor="text1"/>
        </w:rPr>
        <w:t>2.1.17“适用法律”，是指所有适用于本协议工程的中国现行法律、法规、规章，包括本协议工程所在地的地方性法律、法规、规章。</w:t>
      </w:r>
    </w:p>
    <w:p>
      <w:pPr>
        <w:spacing w:after="160" w:line="360" w:lineRule="auto"/>
        <w:ind w:firstLine="480"/>
        <w:rPr>
          <w:rFonts w:ascii="宋体" w:hAnsi="宋体" w:eastAsia="宋体"/>
          <w:color w:val="000000" w:themeColor="text1"/>
        </w:rPr>
      </w:pPr>
      <w:r>
        <w:rPr>
          <w:rFonts w:ascii="宋体" w:hAnsi="宋体" w:eastAsia="宋体"/>
          <w:color w:val="000000" w:themeColor="text1"/>
        </w:rPr>
        <w:t>2.1.18“适用标准”，是指所有适用于本协议工程的中国（包括国家、行业和地方）现行相关技术标准、规范、规程以及所有其他适用的强制性要求。</w:t>
      </w:r>
    </w:p>
    <w:p>
      <w:pPr>
        <w:spacing w:after="160" w:line="360" w:lineRule="auto"/>
        <w:ind w:firstLine="480"/>
        <w:rPr>
          <w:rFonts w:ascii="宋体" w:hAnsi="宋体" w:eastAsia="宋体"/>
          <w:color w:val="000000" w:themeColor="text1"/>
        </w:rPr>
      </w:pPr>
      <w:r>
        <w:rPr>
          <w:rFonts w:ascii="宋体" w:hAnsi="宋体" w:eastAsia="宋体"/>
          <w:color w:val="000000" w:themeColor="text1"/>
        </w:rPr>
        <w:t>2.1.19“法律变更”，是指：</w:t>
      </w:r>
    </w:p>
    <w:p>
      <w:pPr>
        <w:spacing w:after="160" w:line="360" w:lineRule="auto"/>
        <w:ind w:firstLine="480"/>
        <w:rPr>
          <w:rFonts w:ascii="宋体" w:hAnsi="宋体" w:eastAsia="宋体"/>
          <w:color w:val="000000" w:themeColor="text1"/>
        </w:rPr>
      </w:pPr>
      <w:r>
        <w:rPr>
          <w:rFonts w:ascii="宋体" w:hAnsi="宋体" w:eastAsia="宋体"/>
          <w:color w:val="000000" w:themeColor="text1"/>
        </w:rPr>
        <w:t>（1）在本协议签署之后，中国任何政府部门颁布、修改、废除或重新解释的任何适用法律；</w:t>
      </w:r>
    </w:p>
    <w:p>
      <w:pPr>
        <w:spacing w:after="160" w:line="360" w:lineRule="auto"/>
        <w:ind w:firstLine="480"/>
        <w:rPr>
          <w:rFonts w:ascii="宋体" w:hAnsi="宋体" w:eastAsia="宋体"/>
          <w:color w:val="000000" w:themeColor="text1"/>
        </w:rPr>
      </w:pPr>
      <w:r>
        <w:rPr>
          <w:rFonts w:ascii="宋体" w:hAnsi="宋体" w:eastAsia="宋体"/>
          <w:color w:val="000000" w:themeColor="text1"/>
        </w:rPr>
        <w:t>（2）甲方的任何上级政府部门在本协议签署日之后修改任何批准的重要条件或增加任何重要的额外条件。并且，上述任何一种情况导致：</w:t>
      </w:r>
    </w:p>
    <w:p>
      <w:pPr>
        <w:spacing w:after="160" w:line="360" w:lineRule="auto"/>
        <w:ind w:firstLine="480"/>
        <w:rPr>
          <w:rFonts w:ascii="宋体" w:hAnsi="宋体" w:eastAsia="宋体"/>
          <w:color w:val="000000" w:themeColor="text1"/>
        </w:rPr>
      </w:pPr>
      <w:r>
        <w:rPr>
          <w:rFonts w:ascii="宋体" w:hAnsi="宋体" w:eastAsia="宋体"/>
          <w:color w:val="000000" w:themeColor="text1"/>
        </w:rPr>
        <w:t>①适用于乙方项目公司或由乙方项目公司承担的税收、税收优惠或关税发生任何变化；</w:t>
      </w:r>
    </w:p>
    <w:p>
      <w:pPr>
        <w:spacing w:after="160" w:line="360" w:lineRule="auto"/>
        <w:ind w:firstLine="480"/>
        <w:rPr>
          <w:rFonts w:ascii="宋体" w:hAnsi="宋体" w:eastAsia="宋体"/>
          <w:color w:val="000000" w:themeColor="text1"/>
        </w:rPr>
      </w:pPr>
      <w:r>
        <w:rPr>
          <w:rFonts w:ascii="宋体" w:hAnsi="宋体" w:eastAsia="宋体"/>
          <w:color w:val="000000" w:themeColor="text1"/>
        </w:rPr>
        <w:t>②对项目的融资、建设、运营、维护和移交的要求发生的任何变化。</w:t>
      </w:r>
    </w:p>
    <w:p>
      <w:pPr>
        <w:spacing w:after="160" w:line="360" w:lineRule="auto"/>
        <w:ind w:firstLine="480"/>
        <w:rPr>
          <w:rFonts w:ascii="宋体" w:hAnsi="宋体" w:eastAsia="宋体"/>
          <w:color w:val="000000" w:themeColor="text1"/>
        </w:rPr>
      </w:pPr>
      <w:r>
        <w:rPr>
          <w:rFonts w:ascii="宋体" w:hAnsi="宋体" w:eastAsia="宋体"/>
          <w:color w:val="000000" w:themeColor="text1"/>
        </w:rPr>
        <w:t>2.1.20“政府部门”， 是指：</w:t>
      </w:r>
    </w:p>
    <w:p>
      <w:pPr>
        <w:spacing w:after="160" w:line="360" w:lineRule="auto"/>
        <w:ind w:firstLine="480"/>
        <w:rPr>
          <w:rFonts w:ascii="宋体" w:hAnsi="宋体" w:eastAsia="宋体"/>
          <w:color w:val="000000" w:themeColor="text1"/>
        </w:rPr>
      </w:pPr>
      <w:r>
        <w:rPr>
          <w:rFonts w:ascii="宋体" w:hAnsi="宋体" w:eastAsia="宋体"/>
          <w:color w:val="000000" w:themeColor="text1"/>
        </w:rPr>
        <w:t>（1）中国国务院及其下属的部、委、办、局、署、行，中国的任何立法、司法或军事当局，或具有中央政府行政管理功能的其它行政实体；</w:t>
      </w:r>
    </w:p>
    <w:p>
      <w:pPr>
        <w:spacing w:after="160" w:line="360" w:lineRule="auto"/>
        <w:ind w:firstLine="480"/>
        <w:rPr>
          <w:rFonts w:ascii="宋体" w:hAnsi="宋体" w:eastAsia="宋体"/>
          <w:color w:val="000000" w:themeColor="text1"/>
        </w:rPr>
      </w:pPr>
      <w:r>
        <w:rPr>
          <w:rFonts w:ascii="宋体" w:hAnsi="宋体" w:eastAsia="宋体"/>
          <w:color w:val="000000" w:themeColor="text1"/>
        </w:rPr>
        <w:t>（2）本协议工程所在区域的任何地方立法、行政、司法部门。</w:t>
      </w:r>
    </w:p>
    <w:p>
      <w:pPr>
        <w:spacing w:after="160" w:line="360" w:lineRule="auto"/>
        <w:ind w:firstLine="480"/>
        <w:rPr>
          <w:rFonts w:ascii="宋体" w:hAnsi="宋体" w:eastAsia="宋体"/>
          <w:color w:val="000000" w:themeColor="text1"/>
        </w:rPr>
      </w:pPr>
      <w:r>
        <w:rPr>
          <w:rFonts w:ascii="宋体" w:hAnsi="宋体" w:eastAsia="宋体"/>
          <w:color w:val="000000" w:themeColor="text1"/>
        </w:rPr>
        <w:t>2.1.21“批准”，是指根据本协议的规定，乙方项目公司为项目进行融资、设计、建设、拥有、运营、维护而需从政府部门获得的许可、执照、同意、授权或批准。</w:t>
      </w:r>
    </w:p>
    <w:p>
      <w:pPr>
        <w:spacing w:after="160" w:line="360" w:lineRule="auto"/>
        <w:ind w:firstLine="480"/>
        <w:rPr>
          <w:rFonts w:ascii="宋体" w:hAnsi="宋体" w:eastAsia="宋体"/>
          <w:color w:val="000000" w:themeColor="text1"/>
        </w:rPr>
      </w:pPr>
      <w:r>
        <w:rPr>
          <w:rFonts w:ascii="宋体" w:hAnsi="宋体" w:eastAsia="宋体"/>
          <w:color w:val="000000" w:themeColor="text1"/>
        </w:rPr>
        <w:t>2.1.22“本协议工程”是指本项目所含各项工程。</w:t>
      </w:r>
    </w:p>
    <w:p>
      <w:pPr>
        <w:spacing w:after="160" w:line="360" w:lineRule="auto"/>
        <w:ind w:firstLine="480"/>
        <w:rPr>
          <w:rFonts w:ascii="宋体" w:hAnsi="宋体" w:eastAsia="宋体"/>
          <w:color w:val="000000" w:themeColor="text1"/>
        </w:rPr>
      </w:pPr>
      <w:r>
        <w:rPr>
          <w:rFonts w:ascii="宋体" w:hAnsi="宋体" w:eastAsia="宋体"/>
          <w:color w:val="000000" w:themeColor="text1"/>
        </w:rPr>
        <w:t>2.2其它</w:t>
      </w:r>
    </w:p>
    <w:p>
      <w:pPr>
        <w:spacing w:after="160" w:line="360" w:lineRule="auto"/>
        <w:ind w:firstLine="480"/>
        <w:rPr>
          <w:rFonts w:ascii="宋体" w:hAnsi="宋体" w:eastAsia="宋体"/>
          <w:color w:val="000000" w:themeColor="text1"/>
        </w:rPr>
      </w:pPr>
      <w:r>
        <w:rPr>
          <w:rFonts w:ascii="宋体" w:hAnsi="宋体" w:eastAsia="宋体"/>
          <w:color w:val="000000" w:themeColor="text1"/>
        </w:rPr>
        <w:t>在本协议中：</w:t>
      </w:r>
    </w:p>
    <w:p>
      <w:pPr>
        <w:spacing w:after="160" w:line="360" w:lineRule="auto"/>
        <w:ind w:firstLine="480"/>
        <w:rPr>
          <w:rFonts w:ascii="宋体" w:hAnsi="宋体" w:eastAsia="宋体"/>
          <w:color w:val="000000" w:themeColor="text1"/>
        </w:rPr>
      </w:pPr>
      <w:r>
        <w:rPr>
          <w:rFonts w:ascii="宋体" w:hAnsi="宋体" w:eastAsia="宋体"/>
          <w:color w:val="000000" w:themeColor="text1"/>
        </w:rPr>
        <w:t>2.2.1“元”，指“人民币元”，为中华人民共和国法定货币；</w:t>
      </w:r>
    </w:p>
    <w:p>
      <w:pPr>
        <w:spacing w:after="160" w:line="360" w:lineRule="auto"/>
        <w:ind w:firstLine="480"/>
        <w:rPr>
          <w:rFonts w:ascii="宋体" w:hAnsi="宋体" w:eastAsia="宋体"/>
          <w:color w:val="000000" w:themeColor="text1"/>
        </w:rPr>
      </w:pPr>
      <w:r>
        <w:rPr>
          <w:rFonts w:ascii="宋体" w:hAnsi="宋体" w:eastAsia="宋体"/>
          <w:color w:val="000000" w:themeColor="text1"/>
        </w:rPr>
        <w:t>2.2.2除本协议上下文另有规定外，“一方”或“各方”应为本协议的一方或各方；本协议的各方均包括其它各自的继任者和获准的受让人；</w:t>
      </w:r>
    </w:p>
    <w:p>
      <w:pPr>
        <w:spacing w:after="160" w:line="360" w:lineRule="auto"/>
        <w:ind w:firstLine="480"/>
        <w:rPr>
          <w:rFonts w:ascii="宋体" w:hAnsi="宋体" w:eastAsia="宋体"/>
          <w:color w:val="000000" w:themeColor="text1"/>
        </w:rPr>
      </w:pPr>
      <w:r>
        <w:rPr>
          <w:rFonts w:ascii="宋体" w:hAnsi="宋体" w:eastAsia="宋体"/>
          <w:color w:val="000000" w:themeColor="text1"/>
        </w:rPr>
        <w:t>2.2.3所指“工作日”，是指法定的正常工作日；</w:t>
      </w:r>
    </w:p>
    <w:p>
      <w:pPr>
        <w:spacing w:after="160" w:line="360" w:lineRule="auto"/>
        <w:ind w:firstLine="480"/>
        <w:rPr>
          <w:rFonts w:ascii="宋体" w:hAnsi="宋体" w:eastAsia="宋体"/>
          <w:color w:val="000000" w:themeColor="text1"/>
        </w:rPr>
      </w:pPr>
      <w:r>
        <w:rPr>
          <w:rFonts w:ascii="宋体" w:hAnsi="宋体" w:eastAsia="宋体"/>
          <w:color w:val="000000" w:themeColor="text1"/>
        </w:rPr>
        <w:t>2.2.4所指的日/天、星期、月和年均指公历的日/天、星期、月和年；</w:t>
      </w:r>
    </w:p>
    <w:p>
      <w:pPr>
        <w:spacing w:after="160" w:line="360" w:lineRule="auto"/>
        <w:ind w:firstLine="480"/>
        <w:rPr>
          <w:rFonts w:ascii="宋体" w:hAnsi="宋体" w:eastAsia="宋体"/>
          <w:color w:val="000000" w:themeColor="text1"/>
        </w:rPr>
      </w:pPr>
      <w:r>
        <w:rPr>
          <w:rFonts w:ascii="宋体" w:hAnsi="宋体" w:eastAsia="宋体"/>
          <w:color w:val="000000" w:themeColor="text1"/>
        </w:rPr>
        <w:t>2.2.5除上下文另有规定，“包括”一词在任何时候应被视为与“但不限于”连用；</w:t>
      </w:r>
    </w:p>
    <w:p>
      <w:pPr>
        <w:spacing w:after="160" w:line="360" w:lineRule="auto"/>
        <w:ind w:firstLine="480"/>
        <w:rPr>
          <w:rFonts w:ascii="宋体" w:hAnsi="宋体" w:eastAsia="宋体"/>
          <w:color w:val="000000" w:themeColor="text1"/>
        </w:rPr>
      </w:pPr>
      <w:r>
        <w:rPr>
          <w:rFonts w:ascii="宋体" w:hAnsi="宋体" w:eastAsia="宋体"/>
          <w:color w:val="000000" w:themeColor="text1"/>
        </w:rPr>
        <w:t>2.2.6所指的合同是指有关的合同和合同附件，并且在任何情况下均指对该合同不时所作的补充或修改；</w:t>
      </w:r>
    </w:p>
    <w:p>
      <w:pPr>
        <w:spacing w:after="160" w:line="360" w:lineRule="auto"/>
        <w:ind w:firstLine="480"/>
        <w:rPr>
          <w:rFonts w:ascii="宋体" w:hAnsi="宋体" w:eastAsia="宋体"/>
          <w:color w:val="000000" w:themeColor="text1"/>
        </w:rPr>
      </w:pPr>
      <w:r>
        <w:rPr>
          <w:rFonts w:ascii="宋体" w:hAnsi="宋体" w:eastAsia="宋体"/>
          <w:color w:val="000000" w:themeColor="text1"/>
        </w:rPr>
        <w:t>2.2.7所指的“维护”应始终解释为包括保养、修理和更新，除非上下文另有规定。</w:t>
      </w:r>
    </w:p>
    <w:p>
      <w:pPr>
        <w:spacing w:after="160" w:line="360" w:lineRule="auto"/>
        <w:ind w:firstLine="480"/>
        <w:rPr>
          <w:rFonts w:ascii="宋体" w:hAnsi="宋体" w:eastAsia="宋体"/>
          <w:color w:val="000000" w:themeColor="text1"/>
        </w:rPr>
      </w:pPr>
      <w:r>
        <w:rPr>
          <w:rFonts w:ascii="宋体" w:hAnsi="宋体" w:eastAsia="宋体"/>
          <w:color w:val="000000" w:themeColor="text1"/>
        </w:rPr>
        <w:t>2.2.8本协议项目下标题和各条款之标题仅为索引之便，不影响本协议的结构、内容及其含义或解释，在解释本协议时应予以忽略。</w:t>
      </w:r>
    </w:p>
    <w:p>
      <w:pPr>
        <w:pStyle w:val="22"/>
        <w:spacing w:before="240" w:after="240" w:line="360" w:lineRule="auto"/>
        <w:outlineLvl w:val="2"/>
        <w:rPr>
          <w:rFonts w:ascii="宋体" w:hAnsi="宋体" w:eastAsia="宋体"/>
          <w:color w:val="000000" w:themeColor="text1"/>
        </w:rPr>
      </w:pPr>
      <w:bookmarkStart w:id="131" w:name="_Toc17003"/>
      <w:bookmarkStart w:id="132" w:name="_Toc27028"/>
      <w:bookmarkStart w:id="133" w:name="_Toc17098"/>
      <w:bookmarkStart w:id="134" w:name="_Toc4055"/>
      <w:bookmarkStart w:id="135" w:name="_Toc12015"/>
      <w:r>
        <w:rPr>
          <w:rFonts w:ascii="宋体" w:hAnsi="宋体" w:eastAsia="宋体"/>
          <w:color w:val="000000" w:themeColor="text1"/>
        </w:rPr>
        <w:t>第二章 特许经营权</w:t>
      </w:r>
      <w:bookmarkEnd w:id="131"/>
      <w:bookmarkEnd w:id="132"/>
      <w:bookmarkEnd w:id="133"/>
      <w:bookmarkEnd w:id="134"/>
      <w:bookmarkEnd w:id="135"/>
    </w:p>
    <w:p>
      <w:pPr>
        <w:spacing w:after="160" w:line="360" w:lineRule="auto"/>
        <w:rPr>
          <w:rFonts w:ascii="宋体" w:hAnsi="宋体" w:eastAsia="宋体"/>
          <w:b/>
          <w:color w:val="000000" w:themeColor="text1"/>
        </w:rPr>
      </w:pPr>
      <w:r>
        <w:rPr>
          <w:rFonts w:ascii="宋体" w:hAnsi="宋体" w:eastAsia="宋体"/>
          <w:b/>
          <w:color w:val="000000" w:themeColor="text1"/>
        </w:rPr>
        <w:t>第3条 特许经营权范围</w:t>
      </w:r>
    </w:p>
    <w:p>
      <w:pPr>
        <w:spacing w:after="160" w:line="360" w:lineRule="auto"/>
        <w:ind w:firstLine="480"/>
        <w:rPr>
          <w:rFonts w:ascii="宋体" w:hAnsi="宋体" w:eastAsia="宋体"/>
          <w:color w:val="000000" w:themeColor="text1"/>
        </w:rPr>
      </w:pPr>
      <w:r>
        <w:rPr>
          <w:rFonts w:ascii="宋体" w:hAnsi="宋体" w:eastAsia="宋体"/>
          <w:color w:val="000000" w:themeColor="text1"/>
        </w:rPr>
        <w:t>3.1甲方通过本协议授予乙方：在本项目特许经营期内对本项目进行投资、勘察、测绘、设计、施工、监理、采购，运营和维护本项目设施设备。</w:t>
      </w:r>
    </w:p>
    <w:p>
      <w:pPr>
        <w:spacing w:after="160" w:line="360" w:lineRule="auto"/>
        <w:ind w:firstLine="480"/>
        <w:rPr>
          <w:rFonts w:ascii="宋体" w:hAnsi="宋体" w:eastAsia="宋体"/>
          <w:color w:val="000000" w:themeColor="text1"/>
        </w:rPr>
      </w:pPr>
      <w:r>
        <w:rPr>
          <w:rFonts w:ascii="宋体" w:hAnsi="宋体" w:eastAsia="宋体"/>
          <w:color w:val="000000" w:themeColor="text1"/>
        </w:rPr>
        <w:t>3.2甲乙双方通过本协议共同确认乙方授权其项目公司代表乙方全面履行乙方在本协议项下的权利和义务以及投标时对招标文件的响应与所作的全部承诺。乙方对其项目公司的所有行为承担责任。</w:t>
      </w:r>
    </w:p>
    <w:p>
      <w:pPr>
        <w:spacing w:after="160" w:line="360" w:lineRule="auto"/>
        <w:ind w:firstLine="480"/>
        <w:rPr>
          <w:rFonts w:ascii="宋体" w:hAnsi="宋体" w:eastAsia="宋体"/>
          <w:color w:val="000000" w:themeColor="text1"/>
        </w:rPr>
      </w:pPr>
      <w:r>
        <w:rPr>
          <w:rFonts w:ascii="宋体" w:hAnsi="宋体" w:eastAsia="宋体"/>
          <w:color w:val="000000" w:themeColor="text1"/>
        </w:rPr>
        <w:t>3.3乙方项目公司依照本协议的规定，在特许经营期内自行承担所发生的全部成本费用、责任、风险和盈亏。</w:t>
      </w:r>
    </w:p>
    <w:p>
      <w:pPr>
        <w:spacing w:after="160" w:line="360" w:lineRule="auto"/>
        <w:ind w:firstLine="480"/>
        <w:rPr>
          <w:rFonts w:ascii="宋体" w:hAnsi="宋体" w:eastAsia="宋体"/>
          <w:color w:val="000000" w:themeColor="text1"/>
        </w:rPr>
      </w:pPr>
      <w:r>
        <w:rPr>
          <w:rFonts w:ascii="宋体" w:hAnsi="宋体" w:eastAsia="宋体"/>
          <w:color w:val="000000" w:themeColor="text1"/>
        </w:rPr>
        <w:t>3.4甲方授予乙方项目公司独占的本项目特许经营权，甲方保证不将本项目特许经营权任何部分授予其他任何第三方，且特许经营权在整个特许经营期内始终持续有效。除非乙方项目公司实质性违约。</w:t>
      </w:r>
    </w:p>
    <w:p>
      <w:pPr>
        <w:spacing w:after="160" w:line="360" w:lineRule="auto"/>
        <w:ind w:firstLine="480"/>
        <w:rPr>
          <w:rFonts w:ascii="宋体" w:hAnsi="宋体" w:eastAsia="宋体"/>
          <w:color w:val="000000" w:themeColor="text1"/>
        </w:rPr>
      </w:pPr>
      <w:r>
        <w:rPr>
          <w:rFonts w:ascii="宋体" w:hAnsi="宋体" w:eastAsia="宋体"/>
          <w:color w:val="000000" w:themeColor="text1"/>
        </w:rPr>
        <w:t>3.5在特许经营期内，未经甲方书面同意，乙方项目公司不得擅自将本特许经营权向任何第三方进行转让。</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第4条 特许经营期</w:t>
      </w:r>
    </w:p>
    <w:p>
      <w:pPr>
        <w:spacing w:after="160" w:line="360" w:lineRule="auto"/>
        <w:ind w:firstLine="480"/>
        <w:rPr>
          <w:rFonts w:ascii="宋体" w:hAnsi="宋体" w:eastAsia="宋体"/>
          <w:color w:val="000000" w:themeColor="text1"/>
        </w:rPr>
      </w:pPr>
      <w:r>
        <w:rPr>
          <w:rFonts w:ascii="宋体" w:hAnsi="宋体" w:eastAsia="宋体"/>
          <w:color w:val="000000" w:themeColor="text1"/>
        </w:rPr>
        <w:t>4.1除非依据本协议提前终止，本项目的特许经营期为30年（包括1年建设期和试运营期）。</w:t>
      </w:r>
    </w:p>
    <w:p>
      <w:pPr>
        <w:spacing w:after="160" w:line="360" w:lineRule="auto"/>
        <w:ind w:firstLine="480"/>
        <w:rPr>
          <w:rFonts w:ascii="宋体" w:hAnsi="宋体" w:eastAsia="宋体"/>
          <w:color w:val="000000" w:themeColor="text1"/>
        </w:rPr>
      </w:pPr>
      <w:r>
        <w:rPr>
          <w:rFonts w:ascii="宋体" w:hAnsi="宋体" w:eastAsia="宋体"/>
          <w:color w:val="000000" w:themeColor="text1"/>
        </w:rPr>
        <w:t>4.2特许经营期除在经营期间出现下列情况外均不予延长。</w:t>
      </w:r>
    </w:p>
    <w:p>
      <w:pPr>
        <w:spacing w:after="160" w:line="360" w:lineRule="auto"/>
        <w:ind w:firstLine="480"/>
        <w:rPr>
          <w:rFonts w:ascii="宋体" w:hAnsi="宋体" w:eastAsia="宋体"/>
          <w:color w:val="000000" w:themeColor="text1"/>
        </w:rPr>
      </w:pPr>
      <w:r>
        <w:rPr>
          <w:rFonts w:ascii="宋体" w:hAnsi="宋体" w:eastAsia="宋体"/>
          <w:color w:val="000000" w:themeColor="text1"/>
        </w:rPr>
        <w:t>4.2.1第15.3.2条规定因受不可抗力事件影响且继续履行协议。</w:t>
      </w:r>
    </w:p>
    <w:p>
      <w:pPr>
        <w:spacing w:after="160" w:line="360" w:lineRule="auto"/>
        <w:ind w:firstLine="480"/>
        <w:rPr>
          <w:rFonts w:ascii="宋体" w:hAnsi="宋体" w:eastAsia="宋体"/>
          <w:color w:val="000000" w:themeColor="text1"/>
        </w:rPr>
      </w:pPr>
      <w:r>
        <w:rPr>
          <w:rFonts w:ascii="宋体" w:hAnsi="宋体" w:eastAsia="宋体"/>
          <w:color w:val="000000" w:themeColor="text1"/>
        </w:rPr>
        <w:t>4.2.2当出现上述情况而延长特许经营期时，每次甲方、乙方、乙方项目公司三方均应以书面文件明确特许经营期延长的具体天数。</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第5条 声明和条件</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5.1甲方的声明</w:t>
      </w:r>
    </w:p>
    <w:p>
      <w:pPr>
        <w:spacing w:after="160" w:line="360" w:lineRule="auto"/>
        <w:ind w:firstLine="480"/>
        <w:rPr>
          <w:rFonts w:ascii="宋体" w:hAnsi="宋体" w:eastAsia="宋体"/>
          <w:color w:val="000000" w:themeColor="text1"/>
        </w:rPr>
      </w:pPr>
      <w:r>
        <w:rPr>
          <w:rFonts w:ascii="宋体" w:hAnsi="宋体" w:eastAsia="宋体"/>
          <w:color w:val="000000" w:themeColor="text1"/>
        </w:rPr>
        <w:t>甲方在此向乙方声明，在本协议生效日期：</w:t>
      </w:r>
    </w:p>
    <w:p>
      <w:pPr>
        <w:spacing w:after="160" w:line="360" w:lineRule="auto"/>
        <w:ind w:firstLine="480"/>
        <w:rPr>
          <w:rFonts w:ascii="宋体" w:hAnsi="宋体" w:eastAsia="宋体"/>
          <w:color w:val="000000" w:themeColor="text1"/>
        </w:rPr>
      </w:pPr>
      <w:r>
        <w:rPr>
          <w:rFonts w:ascii="宋体" w:hAnsi="宋体" w:eastAsia="宋体"/>
          <w:color w:val="000000" w:themeColor="text1"/>
        </w:rPr>
        <w:t>5.1.1甲方依法具有实施和管理本项目、签署本协议的主体资格，并可以履行其在本协议项下各项义务的民事权利能力和民事行为能力；</w:t>
      </w:r>
    </w:p>
    <w:p>
      <w:pPr>
        <w:spacing w:after="160" w:line="360" w:lineRule="auto"/>
        <w:ind w:firstLine="480"/>
        <w:rPr>
          <w:rFonts w:ascii="宋体" w:hAnsi="宋体" w:eastAsia="宋体"/>
          <w:color w:val="000000" w:themeColor="text1"/>
        </w:rPr>
      </w:pPr>
      <w:r>
        <w:rPr>
          <w:rFonts w:ascii="宋体" w:hAnsi="宋体" w:eastAsia="宋体"/>
          <w:color w:val="000000" w:themeColor="text1"/>
        </w:rPr>
        <w:t>5.1.2甲方负责协助乙方办理项目立项、国土、建设项目用地规划许可或批准。</w:t>
      </w:r>
    </w:p>
    <w:p>
      <w:pPr>
        <w:spacing w:after="160" w:line="360" w:lineRule="auto"/>
        <w:ind w:firstLine="480"/>
        <w:rPr>
          <w:rFonts w:ascii="宋体" w:hAnsi="宋体" w:eastAsia="宋体"/>
          <w:color w:val="000000" w:themeColor="text1"/>
        </w:rPr>
      </w:pPr>
      <w:r>
        <w:rPr>
          <w:rFonts w:ascii="宋体" w:hAnsi="宋体" w:eastAsia="宋体"/>
          <w:color w:val="000000" w:themeColor="text1"/>
        </w:rPr>
        <w:t>5.1.3如果甲方在此所作的声明被后续证实存在实质方面的不属实，并且该等不属实声明严重影响本协议项下的项目顺利实施，乙方项目公司有权终止本协议。</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5.2 乙方的声明</w:t>
      </w:r>
    </w:p>
    <w:p>
      <w:pPr>
        <w:spacing w:after="160" w:line="360" w:lineRule="auto"/>
        <w:ind w:firstLine="480"/>
        <w:rPr>
          <w:rFonts w:ascii="宋体" w:hAnsi="宋体" w:eastAsia="宋体"/>
          <w:color w:val="000000" w:themeColor="text1"/>
        </w:rPr>
      </w:pPr>
      <w:r>
        <w:rPr>
          <w:rFonts w:ascii="宋体" w:hAnsi="宋体" w:eastAsia="宋体"/>
          <w:color w:val="000000" w:themeColor="text1"/>
        </w:rPr>
        <w:t>乙方在此向甲方声明，在本协议生效日期：</w:t>
      </w:r>
    </w:p>
    <w:p>
      <w:pPr>
        <w:spacing w:after="160" w:line="360" w:lineRule="auto"/>
        <w:ind w:firstLine="480"/>
        <w:rPr>
          <w:rFonts w:ascii="宋体" w:hAnsi="宋体" w:eastAsia="宋体"/>
          <w:color w:val="000000" w:themeColor="text1"/>
        </w:rPr>
      </w:pPr>
      <w:r>
        <w:rPr>
          <w:rFonts w:ascii="宋体" w:hAnsi="宋体" w:eastAsia="宋体"/>
          <w:color w:val="000000" w:themeColor="text1"/>
        </w:rPr>
        <w:t>5.2.1乙方及其项目公司是依据中华人民共和国法律正式成立的合法企业，具有签署和履行本协议、项目其它合同的法人资格，以及履约的民事权利能力和民事行为能力；</w:t>
      </w:r>
    </w:p>
    <w:p>
      <w:pPr>
        <w:spacing w:after="160" w:line="360" w:lineRule="auto"/>
        <w:ind w:firstLine="480"/>
        <w:rPr>
          <w:rFonts w:ascii="宋体" w:hAnsi="宋体" w:eastAsia="宋体"/>
          <w:color w:val="000000" w:themeColor="text1"/>
        </w:rPr>
      </w:pPr>
      <w:r>
        <w:rPr>
          <w:rFonts w:ascii="宋体" w:hAnsi="宋体" w:eastAsia="宋体"/>
          <w:color w:val="000000" w:themeColor="text1"/>
        </w:rPr>
        <w:t>5.2.2乙方及其项目公司已经获得本协议生效日期前获得的所有批准；</w:t>
      </w:r>
    </w:p>
    <w:p>
      <w:pPr>
        <w:spacing w:after="160" w:line="360" w:lineRule="auto"/>
        <w:ind w:firstLine="480"/>
        <w:rPr>
          <w:rFonts w:ascii="宋体" w:hAnsi="宋体" w:eastAsia="宋体"/>
          <w:color w:val="000000" w:themeColor="text1"/>
        </w:rPr>
      </w:pPr>
      <w:r>
        <w:rPr>
          <w:rFonts w:ascii="宋体" w:hAnsi="宋体" w:eastAsia="宋体"/>
          <w:color w:val="000000" w:themeColor="text1"/>
        </w:rPr>
        <w:t>5.2.3在项目建设和经营过程中随时接受并无条件配合甲方和各级政府有关部门的依法监督检查。</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5.3 甲方的权利和义务</w:t>
      </w:r>
    </w:p>
    <w:p>
      <w:pPr>
        <w:spacing w:after="160" w:line="360" w:lineRule="auto"/>
        <w:ind w:firstLine="480"/>
        <w:rPr>
          <w:rFonts w:ascii="宋体" w:hAnsi="宋体" w:eastAsia="宋体"/>
          <w:color w:val="000000" w:themeColor="text1"/>
        </w:rPr>
      </w:pPr>
      <w:r>
        <w:rPr>
          <w:rFonts w:ascii="宋体" w:hAnsi="宋体" w:eastAsia="宋体"/>
          <w:color w:val="000000" w:themeColor="text1"/>
        </w:rPr>
        <w:t>5.3.1甲方授予乙方项目公司的本项目特许经营权，在县域范围内不再引入同类及存在原料竞争的项目。</w:t>
      </w:r>
    </w:p>
    <w:p>
      <w:pPr>
        <w:spacing w:after="160" w:line="360" w:lineRule="auto"/>
        <w:ind w:firstLine="480"/>
        <w:rPr>
          <w:rFonts w:ascii="宋体" w:hAnsi="宋体" w:eastAsia="宋体"/>
          <w:color w:val="000000" w:themeColor="text1"/>
        </w:rPr>
      </w:pPr>
      <w:r>
        <w:rPr>
          <w:rFonts w:ascii="宋体" w:hAnsi="宋体" w:eastAsia="宋体"/>
          <w:color w:val="000000" w:themeColor="text1"/>
        </w:rPr>
        <w:t>5.3.2在协议期内，甲方协助乙方项目公司办理有关政府部门要求的各种与本协议工程相关的批准并保持批准有效。</w:t>
      </w:r>
    </w:p>
    <w:p>
      <w:pPr>
        <w:spacing w:after="160" w:line="360" w:lineRule="auto"/>
        <w:ind w:firstLine="480"/>
        <w:rPr>
          <w:rFonts w:ascii="宋体" w:hAnsi="宋体" w:eastAsia="宋体"/>
          <w:color w:val="000000" w:themeColor="text1"/>
        </w:rPr>
      </w:pPr>
      <w:r>
        <w:rPr>
          <w:rFonts w:ascii="宋体" w:hAnsi="宋体" w:eastAsia="宋体"/>
          <w:color w:val="000000" w:themeColor="text1"/>
        </w:rPr>
        <w:t>5.3.3甲方对乙方项目公司在本协议工程实施过程进行监管，包括工程建设、产品和服务质量，项目经营状况和安全防范措施，以及自行或协助相关部门核算和监控企业成本等。</w:t>
      </w:r>
    </w:p>
    <w:p>
      <w:pPr>
        <w:spacing w:after="160" w:line="360" w:lineRule="auto"/>
        <w:ind w:firstLine="480"/>
        <w:rPr>
          <w:rFonts w:ascii="宋体" w:hAnsi="宋体" w:eastAsia="宋体"/>
          <w:color w:val="000000" w:themeColor="text1"/>
        </w:rPr>
      </w:pPr>
      <w:r>
        <w:rPr>
          <w:rFonts w:ascii="宋体" w:hAnsi="宋体" w:eastAsia="宋体"/>
          <w:color w:val="000000" w:themeColor="text1"/>
        </w:rPr>
        <w:t>5.4.4甲方本着尊重社会公众的知情权，鼓励公众参与监督的原则，有权及时将产品和服务质量检查、监测、评估结果和整改情况以适当的方式向社会公布，并受理公众对乙方及其项目公司的投诉，以及进行核实处理。</w:t>
      </w:r>
    </w:p>
    <w:p>
      <w:pPr>
        <w:spacing w:after="160" w:line="360" w:lineRule="auto"/>
        <w:ind w:firstLine="480"/>
        <w:rPr>
          <w:rFonts w:ascii="宋体" w:hAnsi="宋体" w:eastAsia="宋体"/>
          <w:color w:val="000000" w:themeColor="text1"/>
        </w:rPr>
      </w:pPr>
      <w:r>
        <w:rPr>
          <w:rFonts w:ascii="宋体" w:hAnsi="宋体" w:eastAsia="宋体"/>
          <w:color w:val="000000" w:themeColor="text1"/>
        </w:rPr>
        <w:t>5.4.5遇紧急情况，在发生或可预计产生严重影响公众利益时，甲方或其上级政府及其相关部门可依法临时接管本项目，直至紧急情况消除为止。</w:t>
      </w:r>
    </w:p>
    <w:p>
      <w:pPr>
        <w:spacing w:after="160" w:line="360" w:lineRule="auto"/>
        <w:ind w:firstLine="480"/>
        <w:rPr>
          <w:rFonts w:ascii="宋体" w:hAnsi="宋体" w:eastAsia="宋体"/>
          <w:color w:val="000000" w:themeColor="text1"/>
        </w:rPr>
      </w:pPr>
      <w:r>
        <w:rPr>
          <w:rFonts w:ascii="宋体" w:hAnsi="宋体" w:eastAsia="宋体"/>
          <w:color w:val="000000" w:themeColor="text1"/>
        </w:rPr>
        <w:t>5.4.6甲方根据本项目建设进度，向项目公司拨付中央预算内资金3627.43万元；</w:t>
      </w:r>
    </w:p>
    <w:p>
      <w:pPr>
        <w:spacing w:after="160" w:line="360" w:lineRule="auto"/>
        <w:ind w:firstLine="480"/>
        <w:rPr>
          <w:rFonts w:ascii="宋体" w:hAnsi="宋体" w:eastAsia="宋体"/>
          <w:b/>
          <w:color w:val="000000" w:themeColor="text1"/>
        </w:rPr>
      </w:pPr>
      <w:r>
        <w:rPr>
          <w:rFonts w:ascii="宋体" w:hAnsi="宋体" w:eastAsia="宋体"/>
          <w:color w:val="000000" w:themeColor="text1"/>
        </w:rPr>
        <w:t xml:space="preserve">5.5 </w:t>
      </w:r>
      <w:r>
        <w:rPr>
          <w:rFonts w:ascii="宋体" w:hAnsi="宋体" w:eastAsia="宋体"/>
          <w:b/>
          <w:color w:val="000000" w:themeColor="text1"/>
        </w:rPr>
        <w:t>乙方项目公司的权利和义务</w:t>
      </w:r>
    </w:p>
    <w:p>
      <w:pPr>
        <w:spacing w:after="160" w:line="360" w:lineRule="auto"/>
        <w:ind w:firstLine="480"/>
        <w:rPr>
          <w:rFonts w:ascii="宋体" w:hAnsi="宋体" w:eastAsia="宋体"/>
          <w:color w:val="000000" w:themeColor="text1"/>
        </w:rPr>
      </w:pPr>
      <w:r>
        <w:rPr>
          <w:rFonts w:ascii="宋体" w:hAnsi="宋体" w:eastAsia="宋体"/>
          <w:color w:val="000000" w:themeColor="text1"/>
        </w:rPr>
        <w:t>5.5.1乙方项目公司在协议期内享有本项目的特许经营权；</w:t>
      </w:r>
    </w:p>
    <w:p>
      <w:pPr>
        <w:spacing w:after="160" w:line="360" w:lineRule="auto"/>
        <w:ind w:firstLine="480"/>
        <w:rPr>
          <w:rFonts w:ascii="宋体" w:hAnsi="宋体" w:eastAsia="宋体"/>
          <w:color w:val="000000" w:themeColor="text1"/>
        </w:rPr>
      </w:pPr>
      <w:r>
        <w:rPr>
          <w:rFonts w:ascii="宋体" w:hAnsi="宋体" w:eastAsia="宋体"/>
          <w:color w:val="000000" w:themeColor="text1"/>
        </w:rPr>
        <w:t>5.5.2根据本协议的规定，乙方项目公司应在特许经营期内自行承担费用、责任和风险，负责进行本项目的投资、勘察、测绘、设计、施工、采购、运营、维护项目设施设备。</w:t>
      </w:r>
    </w:p>
    <w:p>
      <w:pPr>
        <w:spacing w:after="160" w:line="360" w:lineRule="auto"/>
        <w:ind w:firstLine="480"/>
        <w:rPr>
          <w:rFonts w:ascii="宋体" w:hAnsi="宋体" w:eastAsia="宋体"/>
          <w:color w:val="000000" w:themeColor="text1"/>
        </w:rPr>
      </w:pPr>
      <w:r>
        <w:rPr>
          <w:rFonts w:ascii="宋体" w:hAnsi="宋体" w:eastAsia="宋体"/>
          <w:color w:val="000000" w:themeColor="text1"/>
        </w:rPr>
        <w:t>5.5.3乙方项目公司应接受政府部门的行业监管，服从社会公共利益，履行对社会公益性事业所应尽的义务和服务。</w:t>
      </w:r>
    </w:p>
    <w:p>
      <w:pPr>
        <w:spacing w:after="160" w:line="360" w:lineRule="auto"/>
        <w:ind w:firstLine="480"/>
        <w:rPr>
          <w:rFonts w:ascii="宋体" w:hAnsi="宋体" w:eastAsia="宋体"/>
          <w:color w:val="000000" w:themeColor="text1"/>
        </w:rPr>
      </w:pPr>
      <w:r>
        <w:rPr>
          <w:rFonts w:ascii="宋体" w:hAnsi="宋体" w:eastAsia="宋体"/>
          <w:color w:val="000000" w:themeColor="text1"/>
        </w:rPr>
        <w:t>5.5.4特许经营期满后，同等条件下，乙方享有本项目的优先受让权。</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5.6 项目资产权属</w:t>
      </w:r>
    </w:p>
    <w:p>
      <w:pPr>
        <w:spacing w:after="160" w:line="360" w:lineRule="auto"/>
        <w:ind w:firstLine="480"/>
        <w:rPr>
          <w:rFonts w:ascii="宋体" w:hAnsi="宋体" w:eastAsia="宋体"/>
          <w:color w:val="000000" w:themeColor="text1"/>
        </w:rPr>
      </w:pPr>
      <w:r>
        <w:rPr>
          <w:rFonts w:ascii="宋体" w:hAnsi="宋体" w:eastAsia="宋体"/>
          <w:color w:val="000000" w:themeColor="text1"/>
        </w:rPr>
        <w:t>5.6.1 本项目资产的所有权属于乙方。</w:t>
      </w:r>
    </w:p>
    <w:p>
      <w:pPr>
        <w:pStyle w:val="22"/>
        <w:spacing w:before="240" w:after="240" w:line="360" w:lineRule="auto"/>
        <w:outlineLvl w:val="2"/>
        <w:rPr>
          <w:rFonts w:ascii="宋体" w:hAnsi="宋体" w:eastAsia="宋体"/>
          <w:color w:val="000000" w:themeColor="text1"/>
        </w:rPr>
      </w:pPr>
      <w:bookmarkStart w:id="136" w:name="_Toc18165"/>
      <w:bookmarkStart w:id="137" w:name="_Toc23667"/>
      <w:bookmarkStart w:id="138" w:name="_Toc6360"/>
      <w:bookmarkStart w:id="139" w:name="_Toc4620"/>
      <w:bookmarkStart w:id="140" w:name="_Toc12663"/>
      <w:bookmarkStart w:id="141" w:name="_Toc4432"/>
      <w:r>
        <w:rPr>
          <w:rFonts w:ascii="宋体" w:hAnsi="宋体" w:eastAsia="宋体"/>
          <w:color w:val="000000" w:themeColor="text1"/>
        </w:rPr>
        <w:t>第三章 建设前期工作</w:t>
      </w:r>
      <w:bookmarkEnd w:id="136"/>
      <w:bookmarkEnd w:id="137"/>
      <w:bookmarkEnd w:id="138"/>
      <w:bookmarkEnd w:id="139"/>
      <w:bookmarkEnd w:id="140"/>
      <w:bookmarkEnd w:id="141"/>
    </w:p>
    <w:p>
      <w:pPr>
        <w:spacing w:after="160" w:line="360" w:lineRule="auto"/>
        <w:ind w:firstLine="482"/>
        <w:rPr>
          <w:rFonts w:ascii="宋体" w:hAnsi="宋体" w:eastAsia="宋体"/>
          <w:b/>
          <w:color w:val="000000" w:themeColor="text1"/>
        </w:rPr>
      </w:pPr>
      <w:r>
        <w:rPr>
          <w:rFonts w:ascii="宋体" w:hAnsi="宋体" w:eastAsia="宋体"/>
          <w:b/>
          <w:color w:val="000000" w:themeColor="text1"/>
        </w:rPr>
        <w:t>第6条 项目用地</w:t>
      </w:r>
    </w:p>
    <w:p>
      <w:pPr>
        <w:spacing w:after="160" w:line="360" w:lineRule="auto"/>
        <w:ind w:firstLine="480"/>
        <w:rPr>
          <w:rFonts w:ascii="宋体" w:hAnsi="宋体" w:eastAsia="宋体"/>
          <w:color w:val="000000" w:themeColor="text1"/>
        </w:rPr>
      </w:pPr>
      <w:r>
        <w:rPr>
          <w:rFonts w:ascii="宋体" w:hAnsi="宋体" w:eastAsia="宋体"/>
          <w:color w:val="000000" w:themeColor="text1"/>
        </w:rPr>
        <w:t>6.1集中处理中心具体占地以详细设计为准，具体建设地点由甲、乙双方协商确定。</w:t>
      </w:r>
    </w:p>
    <w:p>
      <w:pPr>
        <w:spacing w:after="160" w:line="360" w:lineRule="auto"/>
        <w:ind w:firstLine="480"/>
        <w:rPr>
          <w:rFonts w:ascii="宋体" w:hAnsi="宋体" w:eastAsia="宋体"/>
          <w:color w:val="000000" w:themeColor="text1"/>
        </w:rPr>
      </w:pPr>
      <w:r>
        <w:rPr>
          <w:rFonts w:ascii="宋体" w:hAnsi="宋体" w:eastAsia="宋体"/>
          <w:color w:val="000000" w:themeColor="text1"/>
        </w:rPr>
        <w:t>6.2甲方依照法定程序，负责协助乙方报请上级相关部门批准变更土地性质。</w:t>
      </w:r>
    </w:p>
    <w:p>
      <w:pPr>
        <w:spacing w:after="160" w:line="360" w:lineRule="auto"/>
        <w:ind w:firstLine="480"/>
        <w:rPr>
          <w:rFonts w:ascii="宋体" w:hAnsi="宋体" w:eastAsia="宋体"/>
          <w:color w:val="000000" w:themeColor="text1"/>
        </w:rPr>
      </w:pPr>
      <w:r>
        <w:rPr>
          <w:rFonts w:ascii="宋体" w:hAnsi="宋体" w:eastAsia="宋体"/>
          <w:color w:val="000000" w:themeColor="text1"/>
        </w:rPr>
        <w:t>6.3甲方依据《协议出让国有土地使用权规定》（国土资源部第21号令）文件精神，该项目属于国家《</w:t>
      </w:r>
      <w:r>
        <w:rPr>
          <w:color w:val="000000" w:themeColor="text1"/>
        </w:rPr>
        <w:fldChar w:fldCharType="begin"/>
      </w:r>
      <w:r>
        <w:rPr>
          <w:color w:val="000000" w:themeColor="text1"/>
        </w:rPr>
        <w:instrText xml:space="preserve"> HYPERLINK "http://www.gov.cn/xinwen/2019-11/06/5449193/files/26c9d25f713f4ed5b8dc51ae40ef37af.pdfhttp://www.gov.cn/xinwen/2019-11/06/_blank" </w:instrText>
      </w:r>
      <w:r>
        <w:rPr>
          <w:color w:val="000000" w:themeColor="text1"/>
        </w:rPr>
        <w:fldChar w:fldCharType="separate"/>
      </w:r>
      <w:r>
        <w:rPr>
          <w:rFonts w:ascii="宋体" w:hAnsi="宋体" w:eastAsia="宋体"/>
          <w:color w:val="000000" w:themeColor="text1"/>
        </w:rPr>
        <w:t>产业结构调整指导目录（2019年本）</w:t>
      </w:r>
      <w:r>
        <w:rPr>
          <w:rFonts w:ascii="宋体" w:hAnsi="宋体" w:eastAsia="宋体"/>
          <w:color w:val="000000" w:themeColor="text1"/>
        </w:rPr>
        <w:fldChar w:fldCharType="end"/>
      </w:r>
      <w:r>
        <w:rPr>
          <w:rFonts w:ascii="宋体" w:hAnsi="宋体" w:eastAsia="宋体"/>
          <w:color w:val="000000" w:themeColor="text1"/>
        </w:rPr>
        <w:t>》鼓励类产业，给予乙方建设用地最低转让价格支持。</w:t>
      </w:r>
    </w:p>
    <w:p>
      <w:pPr>
        <w:spacing w:after="160" w:line="360" w:lineRule="auto"/>
        <w:ind w:firstLine="480"/>
        <w:rPr>
          <w:rFonts w:ascii="宋体" w:hAnsi="宋体" w:eastAsia="宋体"/>
          <w:color w:val="000000" w:themeColor="text1"/>
        </w:rPr>
      </w:pPr>
      <w:r>
        <w:rPr>
          <w:rFonts w:ascii="宋体" w:hAnsi="宋体" w:eastAsia="宋体"/>
          <w:color w:val="000000" w:themeColor="text1"/>
        </w:rPr>
        <w:t>6.4甲方以协议的方式出让项目用地，地价不高于基准地价，乙方按土地出让流程支付土地款项及相关税费。</w:t>
      </w:r>
    </w:p>
    <w:p>
      <w:pPr>
        <w:spacing w:after="160" w:line="360" w:lineRule="auto"/>
        <w:ind w:firstLine="480"/>
        <w:rPr>
          <w:rFonts w:ascii="宋体" w:hAnsi="宋体" w:eastAsia="宋体"/>
          <w:color w:val="000000" w:themeColor="text1"/>
        </w:rPr>
      </w:pPr>
      <w:r>
        <w:rPr>
          <w:rFonts w:ascii="宋体" w:hAnsi="宋体" w:eastAsia="宋体"/>
          <w:color w:val="000000" w:themeColor="text1"/>
        </w:rPr>
        <w:t>6.4各项行政审批手续办理完成前，甲方不得催促乙方提前开工（上级有明文规定的除外）。</w:t>
      </w:r>
    </w:p>
    <w:p>
      <w:pPr>
        <w:spacing w:after="160" w:line="360" w:lineRule="auto"/>
        <w:ind w:firstLine="482"/>
        <w:rPr>
          <w:rFonts w:ascii="宋体" w:hAnsi="宋体" w:eastAsia="宋体"/>
          <w:color w:val="000000" w:themeColor="text1"/>
        </w:rPr>
      </w:pPr>
      <w:r>
        <w:rPr>
          <w:rFonts w:ascii="宋体" w:hAnsi="宋体" w:eastAsia="宋体"/>
          <w:b/>
          <w:color w:val="000000" w:themeColor="text1"/>
        </w:rPr>
        <w:t>第7条 原料</w:t>
      </w:r>
      <w:r>
        <w:rPr>
          <w:rFonts w:ascii="宋体" w:hAnsi="宋体" w:eastAsia="宋体"/>
          <w:color w:val="000000" w:themeColor="text1"/>
        </w:rPr>
        <w:t xml:space="preserve"> </w:t>
      </w:r>
    </w:p>
    <w:p>
      <w:pPr>
        <w:spacing w:after="160" w:line="360" w:lineRule="auto"/>
        <w:ind w:firstLine="480"/>
        <w:rPr>
          <w:rFonts w:hAnsi="Times New Roman"/>
          <w:color w:val="000000" w:themeColor="text1"/>
        </w:rPr>
      </w:pPr>
      <w:r>
        <w:rPr>
          <w:rFonts w:ascii="宋体" w:hAnsi="宋体" w:eastAsia="宋体"/>
          <w:color w:val="000000" w:themeColor="text1"/>
        </w:rPr>
        <w:t>7.1甲方充分发挥政府行政职能，制定秸秆收储管理办法，建立县、乡、村三级秸秆收储行政运行体系，配置适量收割及运输设备，协调乙方由指定组织或负责人具体实施秸秆收集，按工艺要求，保质保量集中运送至乙方指定场地。</w:t>
      </w:r>
    </w:p>
    <w:p>
      <w:pPr>
        <w:spacing w:after="160" w:line="360" w:lineRule="auto"/>
        <w:ind w:firstLine="480"/>
        <w:rPr>
          <w:rFonts w:ascii="宋体" w:hAnsi="宋体" w:eastAsia="宋体"/>
          <w:color w:val="000000" w:themeColor="text1"/>
        </w:rPr>
      </w:pPr>
      <w:r>
        <w:rPr>
          <w:rFonts w:ascii="宋体" w:hAnsi="宋体" w:eastAsia="宋体"/>
          <w:color w:val="000000" w:themeColor="text1"/>
        </w:rPr>
        <w:t>7.2甲方成立畜禽粪污综合利用工作领导组，牵头制定畜禽粪污综合利用管理办法，严格要求养殖企业履行环境保护主体责任，严禁养殖企业畜禽粪污乱排放。甲方明确环保部门执法监督，要求不具备自主处理畜禽养殖粪污能力的规模化养殖企业必须与乙方签订长期粪污处置协议。</w:t>
      </w:r>
    </w:p>
    <w:p>
      <w:pPr>
        <w:spacing w:after="160" w:line="360" w:lineRule="auto"/>
        <w:ind w:firstLine="480"/>
        <w:rPr>
          <w:rFonts w:ascii="宋体" w:hAnsi="宋体" w:eastAsia="宋体"/>
          <w:color w:val="000000" w:themeColor="text1"/>
        </w:rPr>
      </w:pPr>
      <w:r>
        <w:rPr>
          <w:rFonts w:ascii="宋体" w:hAnsi="宋体" w:eastAsia="宋体"/>
          <w:color w:val="000000" w:themeColor="text1"/>
        </w:rPr>
        <w:t xml:space="preserve">7.3甲方负责协调组织辖区生产的玉米秸秆长期供给乙方项目公司，确保玉米青贮秸秆收购价格不高于400元/吨、黄贮玉米秸秆收购价格不高于230元/吨。 </w:t>
      </w:r>
    </w:p>
    <w:p>
      <w:pPr>
        <w:spacing w:after="160" w:line="360" w:lineRule="auto"/>
        <w:ind w:firstLine="480"/>
        <w:rPr>
          <w:rFonts w:ascii="宋体" w:hAnsi="宋体" w:eastAsia="宋体"/>
          <w:color w:val="000000" w:themeColor="text1"/>
        </w:rPr>
      </w:pPr>
      <w:r>
        <w:rPr>
          <w:rFonts w:ascii="宋体" w:hAnsi="宋体" w:eastAsia="宋体"/>
          <w:color w:val="000000" w:themeColor="text1"/>
        </w:rPr>
        <w:t xml:space="preserve">7.4甲方负责协调组织辖区范围内养殖企业的畜禽粪污长期供给乙方项目公司，确保畜禽粪污收购价格不高于45元/吨（含固率25-35%，且金属元素不超标）。 </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第8条 市场</w:t>
      </w:r>
    </w:p>
    <w:p>
      <w:pPr>
        <w:spacing w:after="160" w:line="360" w:lineRule="auto"/>
        <w:ind w:firstLine="480"/>
        <w:rPr>
          <w:rFonts w:ascii="宋体" w:hAnsi="宋体" w:eastAsia="宋体"/>
          <w:color w:val="000000" w:themeColor="text1"/>
        </w:rPr>
      </w:pPr>
      <w:r>
        <w:rPr>
          <w:rFonts w:ascii="宋体" w:hAnsi="宋体" w:eastAsia="宋体"/>
          <w:color w:val="000000" w:themeColor="text1"/>
        </w:rPr>
        <w:t>8.1甲方协助乙方项目公司在鄢陵县申办建立2个CNG加气站建设指标，或者提供2个乡镇范围内居民用户，或者提供3个工商业用户（供气管网敷设不在乙方的建设范围内），保证乙方生产的生物天然气全部消纳或发电并网；甲方承诺同等条件下优先消纳乙方生产的各类生物有机肥。</w:t>
      </w:r>
    </w:p>
    <w:p>
      <w:pPr>
        <w:spacing w:after="160" w:line="360" w:lineRule="auto"/>
        <w:ind w:firstLine="480"/>
        <w:rPr>
          <w:rFonts w:ascii="宋体" w:hAnsi="宋体" w:eastAsia="宋体"/>
          <w:color w:val="000000" w:themeColor="text1"/>
        </w:rPr>
      </w:pPr>
      <w:r>
        <w:rPr>
          <w:rFonts w:ascii="宋体" w:hAnsi="宋体" w:eastAsia="宋体"/>
          <w:color w:val="000000" w:themeColor="text1"/>
        </w:rPr>
        <w:t>8.2甲方承诺按照国家相关政策，甲方积极落实销售补贴和税收等优惠政策。</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第9条 征地与拆迁</w:t>
      </w:r>
    </w:p>
    <w:p>
      <w:pPr>
        <w:spacing w:after="160" w:line="360" w:lineRule="auto"/>
        <w:ind w:firstLine="480"/>
        <w:rPr>
          <w:rFonts w:ascii="宋体" w:hAnsi="宋体" w:eastAsia="宋体"/>
          <w:color w:val="000000" w:themeColor="text1"/>
        </w:rPr>
      </w:pPr>
      <w:r>
        <w:rPr>
          <w:rFonts w:ascii="宋体" w:hAnsi="宋体" w:eastAsia="宋体"/>
          <w:color w:val="000000" w:themeColor="text1"/>
        </w:rPr>
        <w:t>甲方负责协助乙方完成本项目需要征地及拆迁的工作。</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第10条 其它相关工作</w:t>
      </w:r>
    </w:p>
    <w:p>
      <w:pPr>
        <w:spacing w:after="160" w:line="360" w:lineRule="auto"/>
        <w:ind w:firstLine="480"/>
        <w:rPr>
          <w:rFonts w:ascii="宋体" w:hAnsi="宋体" w:eastAsia="宋体"/>
          <w:color w:val="000000" w:themeColor="text1"/>
        </w:rPr>
      </w:pPr>
      <w:r>
        <w:rPr>
          <w:rFonts w:ascii="宋体" w:hAnsi="宋体" w:eastAsia="宋体"/>
          <w:color w:val="000000" w:themeColor="text1"/>
        </w:rPr>
        <w:t>10.1乙方自行按适用法律和标准，负责本协议工程所需用水、用电等，并自行承担相关费用和相关责任。</w:t>
      </w:r>
    </w:p>
    <w:p>
      <w:pPr>
        <w:spacing w:after="160" w:line="360" w:lineRule="auto"/>
        <w:ind w:firstLine="480"/>
        <w:rPr>
          <w:rFonts w:ascii="宋体" w:hAnsi="宋体" w:eastAsia="宋体"/>
          <w:color w:val="000000" w:themeColor="text1"/>
        </w:rPr>
      </w:pPr>
      <w:r>
        <w:rPr>
          <w:rFonts w:ascii="宋体" w:hAnsi="宋体" w:eastAsia="宋体"/>
          <w:color w:val="000000" w:themeColor="text1"/>
        </w:rPr>
        <w:t>10.2甲方积极协调相关部门，同意乙方项目享受农业用电价格，并协助办理相关申请手续。</w:t>
      </w:r>
    </w:p>
    <w:p>
      <w:pPr>
        <w:spacing w:after="160" w:line="360" w:lineRule="auto"/>
        <w:ind w:firstLine="480"/>
        <w:rPr>
          <w:rFonts w:ascii="宋体" w:hAnsi="宋体" w:eastAsia="宋体"/>
          <w:color w:val="000000" w:themeColor="text1"/>
        </w:rPr>
      </w:pPr>
      <w:r>
        <w:rPr>
          <w:rFonts w:ascii="宋体" w:hAnsi="宋体" w:eastAsia="宋体"/>
          <w:color w:val="000000" w:themeColor="text1"/>
        </w:rPr>
        <w:t>10.3甲方积极协调落实乙方享受农机补贴政策，使乙方购买的秸秆收储运设施设备享受农机购置补贴。</w:t>
      </w:r>
    </w:p>
    <w:p>
      <w:pPr>
        <w:spacing w:after="160" w:line="360" w:lineRule="auto"/>
        <w:ind w:firstLine="480"/>
        <w:rPr>
          <w:rFonts w:ascii="宋体" w:hAnsi="宋体" w:eastAsia="宋体"/>
          <w:color w:val="000000" w:themeColor="text1"/>
        </w:rPr>
      </w:pPr>
      <w:r>
        <w:rPr>
          <w:rFonts w:ascii="宋体" w:hAnsi="宋体" w:eastAsia="宋体"/>
          <w:color w:val="000000" w:themeColor="text1"/>
        </w:rPr>
        <w:t>10.4甲方支持乙方积极争取农业废弃物及城乡垃圾综合治理项目资金，给予乙方享受各类项目政策补贴的优先资格，包括但不限于护林防火、大气防治、秸秆综合治理、秸秆粉碎还田、设备购置等方面的补贴资金。</w:t>
      </w:r>
    </w:p>
    <w:p>
      <w:pPr>
        <w:pStyle w:val="22"/>
        <w:spacing w:before="240" w:after="240" w:line="360" w:lineRule="auto"/>
        <w:outlineLvl w:val="2"/>
        <w:rPr>
          <w:rFonts w:ascii="宋体" w:hAnsi="宋体" w:eastAsia="宋体"/>
          <w:color w:val="000000" w:themeColor="text1"/>
        </w:rPr>
      </w:pPr>
      <w:bookmarkStart w:id="142" w:name="_Toc22157"/>
      <w:bookmarkStart w:id="143" w:name="_Toc23421"/>
      <w:bookmarkStart w:id="144" w:name="_Toc19127"/>
      <w:bookmarkStart w:id="145" w:name="_Toc7151"/>
      <w:bookmarkStart w:id="146" w:name="_Toc3605"/>
      <w:r>
        <w:rPr>
          <w:rFonts w:ascii="宋体" w:hAnsi="宋体" w:eastAsia="宋体"/>
          <w:color w:val="000000" w:themeColor="text1"/>
        </w:rPr>
        <w:t>第四章 项目建设</w:t>
      </w:r>
      <w:bookmarkEnd w:id="142"/>
      <w:bookmarkEnd w:id="143"/>
      <w:bookmarkEnd w:id="144"/>
      <w:bookmarkEnd w:id="145"/>
      <w:bookmarkEnd w:id="146"/>
    </w:p>
    <w:p>
      <w:pPr>
        <w:spacing w:after="160" w:line="360" w:lineRule="auto"/>
        <w:ind w:firstLine="482"/>
        <w:rPr>
          <w:rFonts w:ascii="宋体" w:hAnsi="宋体" w:eastAsia="宋体"/>
          <w:b/>
          <w:color w:val="000000" w:themeColor="text1"/>
        </w:rPr>
      </w:pPr>
      <w:r>
        <w:rPr>
          <w:rFonts w:ascii="宋体" w:hAnsi="宋体" w:eastAsia="宋体"/>
          <w:b/>
          <w:color w:val="000000" w:themeColor="text1"/>
        </w:rPr>
        <w:t>第11条 勘测设计</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11.1工程勘测</w:t>
      </w:r>
    </w:p>
    <w:p>
      <w:pPr>
        <w:spacing w:after="160" w:line="360" w:lineRule="auto"/>
        <w:ind w:firstLine="480"/>
        <w:rPr>
          <w:rFonts w:ascii="宋体" w:hAnsi="宋体" w:eastAsia="宋体"/>
          <w:color w:val="000000" w:themeColor="text1"/>
        </w:rPr>
      </w:pPr>
      <w:r>
        <w:rPr>
          <w:rFonts w:ascii="宋体" w:hAnsi="宋体" w:eastAsia="宋体"/>
          <w:color w:val="000000" w:themeColor="text1"/>
        </w:rPr>
        <w:t>11.1.1勘测（包括勘察和测绘或测量）工作由乙方项目公司自行承担或选择具有相应资质的且具有按行业主管部门规定可在本项目所在地承接勘测业务资格的勘测单位负责，并承担相应费用和勘测质量风险。</w:t>
      </w:r>
    </w:p>
    <w:p>
      <w:pPr>
        <w:spacing w:after="160" w:line="360" w:lineRule="auto"/>
        <w:ind w:firstLine="480"/>
        <w:rPr>
          <w:rFonts w:ascii="宋体" w:hAnsi="宋体" w:eastAsia="宋体"/>
          <w:color w:val="000000" w:themeColor="text1"/>
        </w:rPr>
      </w:pPr>
      <w:r>
        <w:rPr>
          <w:rFonts w:ascii="宋体" w:hAnsi="宋体" w:eastAsia="宋体"/>
          <w:color w:val="000000" w:themeColor="text1"/>
        </w:rPr>
        <w:t>11.1.2乙方项目公司须按适用法律和适用标准进行本项目的勘测，并按规定程序报送相关机构审查或审批，且按勘察成果进行设计。</w:t>
      </w:r>
    </w:p>
    <w:p>
      <w:pPr>
        <w:spacing w:after="160" w:line="360" w:lineRule="auto"/>
        <w:ind w:firstLine="480"/>
        <w:rPr>
          <w:rFonts w:ascii="宋体" w:hAnsi="宋体" w:eastAsia="宋体"/>
          <w:color w:val="000000" w:themeColor="text1"/>
        </w:rPr>
      </w:pPr>
      <w:r>
        <w:rPr>
          <w:rFonts w:ascii="宋体" w:hAnsi="宋体" w:eastAsia="宋体"/>
          <w:color w:val="000000" w:themeColor="text1"/>
        </w:rPr>
        <w:t>11.1.3乙方项目公司对本项目工程勘测承担全部责任，不因乙方项目公司将本项目工程勘测委托其它勘测单位或经审查机构的审查而减轻或免除乙方项目公司的任何责任。</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11.2工程设计</w:t>
      </w:r>
    </w:p>
    <w:p>
      <w:pPr>
        <w:spacing w:after="160" w:line="360" w:lineRule="auto"/>
        <w:ind w:firstLine="480"/>
        <w:rPr>
          <w:rFonts w:ascii="宋体" w:hAnsi="宋体" w:eastAsia="宋体"/>
          <w:color w:val="000000" w:themeColor="text1"/>
        </w:rPr>
      </w:pPr>
      <w:r>
        <w:rPr>
          <w:rFonts w:ascii="宋体" w:hAnsi="宋体" w:eastAsia="宋体"/>
          <w:color w:val="000000" w:themeColor="text1"/>
        </w:rPr>
        <w:t>11.2.1设计要求</w:t>
      </w:r>
    </w:p>
    <w:p>
      <w:pPr>
        <w:spacing w:after="160" w:line="360" w:lineRule="auto"/>
        <w:ind w:firstLine="480"/>
        <w:rPr>
          <w:rFonts w:ascii="宋体" w:hAnsi="宋体" w:eastAsia="宋体"/>
          <w:color w:val="000000" w:themeColor="text1"/>
        </w:rPr>
      </w:pPr>
      <w:r>
        <w:rPr>
          <w:rFonts w:ascii="宋体" w:hAnsi="宋体" w:eastAsia="宋体"/>
          <w:color w:val="000000" w:themeColor="text1"/>
        </w:rPr>
        <w:t>（1）乙方项目公司应以本项目实施方案中的推荐方案为依据，自行承担或选择具有相应资质且具有按行业主管部门规定可在本项目所在地承接设计业务资格的设计单位进行本项目初步设计和施工图设计等设计工作，承担相应费用，并对本项目各部分的技术可行性、运行能力、经济性和可靠性承担全部责任。</w:t>
      </w:r>
    </w:p>
    <w:p>
      <w:pPr>
        <w:spacing w:after="160" w:line="360" w:lineRule="auto"/>
        <w:ind w:firstLine="480"/>
        <w:rPr>
          <w:rFonts w:ascii="宋体" w:hAnsi="宋体" w:eastAsia="宋体"/>
          <w:color w:val="000000" w:themeColor="text1"/>
        </w:rPr>
      </w:pPr>
      <w:r>
        <w:rPr>
          <w:rFonts w:ascii="宋体" w:hAnsi="宋体" w:eastAsia="宋体"/>
          <w:color w:val="000000" w:themeColor="text1"/>
        </w:rPr>
        <w:t>（2）本项目主要建筑物、构筑物的设计合理使用年限满足国家相关规范要求。</w:t>
      </w:r>
    </w:p>
    <w:p>
      <w:pPr>
        <w:spacing w:after="160" w:line="360" w:lineRule="auto"/>
        <w:ind w:firstLine="480"/>
        <w:rPr>
          <w:rFonts w:ascii="宋体" w:hAnsi="宋体" w:eastAsia="宋体"/>
          <w:color w:val="000000" w:themeColor="text1"/>
        </w:rPr>
      </w:pPr>
      <w:r>
        <w:rPr>
          <w:rFonts w:ascii="宋体" w:hAnsi="宋体" w:eastAsia="宋体"/>
          <w:color w:val="000000" w:themeColor="text1"/>
        </w:rPr>
        <w:t>（3）乙方项目公司应按适用法律和适用标准进行本项目工程的初步设计和编制工程概算工作，按规定程序送审报批。</w:t>
      </w:r>
    </w:p>
    <w:p>
      <w:pPr>
        <w:spacing w:after="160" w:line="360" w:lineRule="auto"/>
        <w:ind w:firstLine="480"/>
        <w:rPr>
          <w:rFonts w:ascii="宋体" w:hAnsi="宋体" w:eastAsia="宋体"/>
          <w:color w:val="000000" w:themeColor="text1"/>
        </w:rPr>
      </w:pPr>
      <w:r>
        <w:rPr>
          <w:rFonts w:ascii="宋体" w:hAnsi="宋体" w:eastAsia="宋体"/>
          <w:color w:val="000000" w:themeColor="text1"/>
        </w:rPr>
        <w:t>（4）乙方项目公司应对由于自身原因造成的本项目设计中的任何缺陷负责，甲方未对设计文件提出异议不应被视为对本协议项下其权利的放弃，或以任何方式解除乙方项目公司在本协议项下的义务。</w:t>
      </w:r>
    </w:p>
    <w:p>
      <w:pPr>
        <w:spacing w:after="160" w:line="360" w:lineRule="auto"/>
        <w:ind w:firstLine="480"/>
        <w:rPr>
          <w:rFonts w:ascii="宋体" w:hAnsi="宋体" w:eastAsia="宋体"/>
          <w:color w:val="000000" w:themeColor="text1"/>
        </w:rPr>
      </w:pPr>
      <w:r>
        <w:rPr>
          <w:rFonts w:ascii="宋体" w:hAnsi="宋体" w:eastAsia="宋体"/>
          <w:color w:val="000000" w:themeColor="text1"/>
        </w:rPr>
        <w:t>11.2.2审阅设计标准和技术规范</w:t>
      </w:r>
    </w:p>
    <w:p>
      <w:pPr>
        <w:spacing w:after="160" w:line="360" w:lineRule="auto"/>
        <w:ind w:firstLine="480"/>
        <w:rPr>
          <w:rFonts w:ascii="宋体" w:hAnsi="宋体" w:eastAsia="宋体"/>
          <w:color w:val="000000" w:themeColor="text1"/>
        </w:rPr>
      </w:pPr>
      <w:r>
        <w:rPr>
          <w:rFonts w:ascii="宋体" w:hAnsi="宋体" w:eastAsia="宋体"/>
          <w:color w:val="000000" w:themeColor="text1"/>
        </w:rPr>
        <w:t>乙方项目公司应仔细查阅本项目的技术规范和要求。对设计文件中的任何错误、不一致、不明确或遗漏应在下一阶段工作中提出并给予纠正，否则造成的后果（包括法律、经济等）应由乙方项目公司承担。</w:t>
      </w:r>
    </w:p>
    <w:p>
      <w:pPr>
        <w:spacing w:after="160" w:line="360" w:lineRule="auto"/>
        <w:ind w:firstLine="480"/>
        <w:rPr>
          <w:rFonts w:ascii="宋体" w:hAnsi="宋体" w:eastAsia="宋体"/>
          <w:color w:val="000000" w:themeColor="text1"/>
        </w:rPr>
      </w:pPr>
      <w:r>
        <w:rPr>
          <w:rFonts w:ascii="宋体" w:hAnsi="宋体" w:eastAsia="宋体"/>
          <w:color w:val="000000" w:themeColor="text1"/>
        </w:rPr>
        <w:t>11.2.3施工图设计</w:t>
      </w:r>
    </w:p>
    <w:p>
      <w:pPr>
        <w:spacing w:after="160" w:line="360" w:lineRule="auto"/>
        <w:ind w:firstLine="480"/>
        <w:rPr>
          <w:rFonts w:ascii="宋体" w:hAnsi="宋体" w:eastAsia="宋体"/>
          <w:color w:val="000000" w:themeColor="text1"/>
        </w:rPr>
      </w:pPr>
      <w:r>
        <w:rPr>
          <w:rFonts w:ascii="宋体" w:hAnsi="宋体" w:eastAsia="宋体"/>
          <w:color w:val="000000" w:themeColor="text1"/>
        </w:rPr>
        <w:t>（1）乙方项目公司应根据批准的设计方案或初步设计和相关技术规范和要求进行施工图设计，并提供给甲方且须经具有相应资格的施工图设计文件审查机构审查合格后方可实施。</w:t>
      </w:r>
    </w:p>
    <w:p>
      <w:pPr>
        <w:spacing w:after="160" w:line="360" w:lineRule="auto"/>
        <w:ind w:firstLine="480"/>
        <w:rPr>
          <w:rFonts w:ascii="宋体" w:hAnsi="宋体" w:eastAsia="宋体"/>
          <w:color w:val="000000" w:themeColor="text1"/>
        </w:rPr>
      </w:pPr>
      <w:r>
        <w:rPr>
          <w:rFonts w:ascii="宋体" w:hAnsi="宋体" w:eastAsia="宋体"/>
          <w:color w:val="000000" w:themeColor="text1"/>
        </w:rPr>
        <w:t>（2）如果在施工图设计中需要对设计方案或初步设计进行重大变更则应提出变更理由，并经原审批单位同意。如在施工过程中根据实际确需变更的，必须按规定经设计单位同意和经甲方书面批准后方可以据此施工。甲方对乙方项目公司提出的施工图设计变更申报后14个工作日内未书面拒绝，视为甲方同意该施工图的内容变更，但甲方不因此承担责任。</w:t>
      </w:r>
    </w:p>
    <w:p>
      <w:pPr>
        <w:spacing w:after="160" w:line="360" w:lineRule="auto"/>
        <w:ind w:firstLine="480"/>
        <w:rPr>
          <w:rFonts w:ascii="宋体" w:hAnsi="宋体" w:eastAsia="宋体"/>
          <w:color w:val="000000" w:themeColor="text1"/>
        </w:rPr>
      </w:pPr>
      <w:r>
        <w:rPr>
          <w:rFonts w:ascii="宋体" w:hAnsi="宋体" w:eastAsia="宋体"/>
          <w:color w:val="000000" w:themeColor="text1"/>
        </w:rPr>
        <w:t>11.2.4设计优化的限制</w:t>
      </w:r>
    </w:p>
    <w:p>
      <w:pPr>
        <w:spacing w:after="160" w:line="360" w:lineRule="auto"/>
        <w:ind w:firstLine="480"/>
        <w:rPr>
          <w:rFonts w:ascii="宋体" w:hAnsi="宋体" w:eastAsia="宋体"/>
          <w:color w:val="000000" w:themeColor="text1"/>
        </w:rPr>
      </w:pPr>
      <w:r>
        <w:rPr>
          <w:rFonts w:ascii="宋体" w:hAnsi="宋体" w:eastAsia="宋体"/>
          <w:color w:val="000000" w:themeColor="text1"/>
        </w:rPr>
        <w:t>乙方项目公司必须按照既定的工艺方案和建设标准建设本项目，对项目设计的优化方案或建议需得到甲方的书面批准后才能实施，并应在“不改变项目的工艺路线，不改变项目主要设计参数和不降低项目要求的设备（设施）效能参数” 的前提下进行。</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11.3工程监理</w:t>
      </w:r>
    </w:p>
    <w:p>
      <w:pPr>
        <w:spacing w:after="160" w:line="360" w:lineRule="auto"/>
        <w:ind w:firstLine="480"/>
        <w:rPr>
          <w:rFonts w:ascii="宋体" w:hAnsi="宋体" w:eastAsia="宋体"/>
          <w:color w:val="000000" w:themeColor="text1"/>
        </w:rPr>
      </w:pPr>
      <w:r>
        <w:rPr>
          <w:rFonts w:ascii="宋体" w:hAnsi="宋体" w:eastAsia="宋体"/>
          <w:color w:val="000000" w:themeColor="text1"/>
        </w:rPr>
        <w:t>监理工作由甲方通过公开招标选择具有相应资质的且具有按行业主管部门规定可在本项目所在地承接监理业务资格的监理单位负责，并由乙方承担相应费用。</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第12条 工程建设</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12.1乙方项目公司的建设义务</w:t>
      </w:r>
    </w:p>
    <w:p>
      <w:pPr>
        <w:spacing w:after="160" w:line="360" w:lineRule="auto"/>
        <w:ind w:firstLine="480"/>
        <w:rPr>
          <w:rFonts w:ascii="宋体" w:hAnsi="宋体" w:eastAsia="宋体"/>
          <w:color w:val="000000" w:themeColor="text1"/>
        </w:rPr>
      </w:pPr>
      <w:r>
        <w:rPr>
          <w:rFonts w:ascii="宋体" w:hAnsi="宋体" w:eastAsia="宋体"/>
          <w:color w:val="000000" w:themeColor="text1"/>
        </w:rPr>
        <w:t>乙方项目公司应依照所有适用法律和建设程序以及本协议的要求，负责本协议工程建设，并承担建设工程中应承担的费用和风险，包括但不限于：</w:t>
      </w:r>
    </w:p>
    <w:p>
      <w:pPr>
        <w:spacing w:after="160" w:line="360" w:lineRule="auto"/>
        <w:ind w:firstLine="480"/>
        <w:rPr>
          <w:rFonts w:ascii="宋体" w:hAnsi="宋体" w:eastAsia="宋体"/>
          <w:color w:val="000000" w:themeColor="text1"/>
        </w:rPr>
      </w:pPr>
      <w:r>
        <w:rPr>
          <w:rFonts w:ascii="宋体" w:hAnsi="宋体" w:eastAsia="宋体"/>
          <w:color w:val="000000" w:themeColor="text1"/>
        </w:rPr>
        <w:t>12.1.1乙方项目公司应在本协议规定的开工日期或之前开始工程建设，在本协议规定的竣工日期或之前竣工。</w:t>
      </w:r>
    </w:p>
    <w:p>
      <w:pPr>
        <w:spacing w:after="160" w:line="360" w:lineRule="auto"/>
        <w:ind w:firstLine="480"/>
        <w:rPr>
          <w:rFonts w:ascii="宋体" w:hAnsi="宋体" w:eastAsia="宋体"/>
          <w:color w:val="000000" w:themeColor="text1"/>
        </w:rPr>
      </w:pPr>
      <w:r>
        <w:rPr>
          <w:rFonts w:ascii="宋体" w:hAnsi="宋体" w:eastAsia="宋体"/>
          <w:color w:val="000000" w:themeColor="text1"/>
        </w:rPr>
        <w:t>12.1.2乙方项目公司负责“三通一平”（包括通路、通水、通电和场地平整）等施工前准备，及时自行解决施工所有必要的设施设备。</w:t>
      </w:r>
    </w:p>
    <w:p>
      <w:pPr>
        <w:spacing w:after="160" w:line="360" w:lineRule="auto"/>
        <w:ind w:firstLine="480"/>
        <w:rPr>
          <w:rFonts w:ascii="宋体" w:hAnsi="宋体" w:eastAsia="宋体"/>
          <w:color w:val="000000" w:themeColor="text1"/>
        </w:rPr>
      </w:pPr>
      <w:r>
        <w:rPr>
          <w:rFonts w:ascii="宋体" w:hAnsi="宋体" w:eastAsia="宋体"/>
          <w:color w:val="000000" w:themeColor="text1"/>
        </w:rPr>
        <w:t>12.1.3乙方项目公司须根据适用法律和基本建设程序、经批准的初步设计或设计方案和施工图设计、适用标准及本协议的其它要求，自行承担或选择有相应资质且具有按行业主管部门规定可在本项目所在地承接施工业务资格的承包商进行工程施工建设。</w:t>
      </w:r>
    </w:p>
    <w:p>
      <w:pPr>
        <w:spacing w:after="160" w:line="360" w:lineRule="auto"/>
        <w:ind w:firstLine="480"/>
        <w:rPr>
          <w:rFonts w:ascii="宋体" w:hAnsi="宋体" w:eastAsia="宋体"/>
          <w:color w:val="000000" w:themeColor="text1"/>
        </w:rPr>
      </w:pPr>
      <w:r>
        <w:rPr>
          <w:rFonts w:ascii="宋体" w:hAnsi="宋体" w:eastAsia="宋体"/>
          <w:color w:val="000000" w:themeColor="text1"/>
        </w:rPr>
        <w:t>12.1.4乙方项目公司在施工工程中，使用的所有材料必须按规定经检测检验的合格产品，安装的所有设备必须是全新的合格产品，并需提供检测检验合格证明。</w:t>
      </w:r>
    </w:p>
    <w:p>
      <w:pPr>
        <w:spacing w:after="160" w:line="360" w:lineRule="auto"/>
        <w:ind w:firstLine="480"/>
        <w:rPr>
          <w:rFonts w:ascii="宋体" w:hAnsi="宋体" w:eastAsia="宋体"/>
          <w:color w:val="000000" w:themeColor="text1"/>
        </w:rPr>
      </w:pPr>
      <w:r>
        <w:rPr>
          <w:rFonts w:ascii="宋体" w:hAnsi="宋体" w:eastAsia="宋体"/>
          <w:color w:val="000000" w:themeColor="text1"/>
        </w:rPr>
        <w:t>12.1.5乙方项目公司按照适用法律选择有相应资质且具有按行业主管部门规定可在本项目所在地承接业务资格、并独立于设计单位和施工单位的监理公司进行本项目建设施工的全过程监理，并承担相应费用。</w:t>
      </w:r>
    </w:p>
    <w:p>
      <w:pPr>
        <w:spacing w:after="160" w:line="360" w:lineRule="auto"/>
        <w:ind w:firstLine="480"/>
        <w:rPr>
          <w:rFonts w:ascii="宋体" w:hAnsi="宋体" w:eastAsia="宋体"/>
          <w:color w:val="000000" w:themeColor="text1"/>
        </w:rPr>
      </w:pPr>
      <w:r>
        <w:rPr>
          <w:rFonts w:ascii="宋体" w:hAnsi="宋体" w:eastAsia="宋体"/>
          <w:color w:val="000000" w:themeColor="text1"/>
        </w:rPr>
        <w:t>12.1.6 乙方项目公司在进行工程设计和施工中，须按照水土保持方案的建议及其批复的要求落实本协议工程的水土保持措施。</w:t>
      </w:r>
    </w:p>
    <w:p>
      <w:pPr>
        <w:spacing w:after="160" w:line="360" w:lineRule="auto"/>
        <w:ind w:firstLine="480"/>
        <w:rPr>
          <w:rFonts w:ascii="宋体" w:hAnsi="宋体" w:eastAsia="宋体"/>
          <w:color w:val="000000" w:themeColor="text1"/>
        </w:rPr>
      </w:pPr>
      <w:r>
        <w:rPr>
          <w:rFonts w:ascii="宋体" w:hAnsi="宋体" w:eastAsia="宋体"/>
          <w:color w:val="000000" w:themeColor="text1"/>
        </w:rPr>
        <w:t>12.1.7乙方项目公司对工程建设承担全部责任，不因乙方项目公司将本协议工程工程施工委托其它施工单位或甲方的监督而减轻或免除乙方项目公司的建设责任。</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12.2 甲方的建设义务</w:t>
      </w:r>
    </w:p>
    <w:p>
      <w:pPr>
        <w:spacing w:after="160" w:line="360" w:lineRule="auto"/>
        <w:ind w:firstLine="480"/>
        <w:rPr>
          <w:rFonts w:ascii="宋体" w:hAnsi="宋体" w:eastAsia="宋体"/>
          <w:color w:val="000000" w:themeColor="text1"/>
        </w:rPr>
      </w:pPr>
      <w:r>
        <w:rPr>
          <w:rFonts w:ascii="宋体" w:hAnsi="宋体" w:eastAsia="宋体"/>
          <w:color w:val="000000" w:themeColor="text1"/>
        </w:rPr>
        <w:t>12.2.1甲方在建设期内协助乙方项目公司办理有关政府部门所要求的批准；</w:t>
      </w:r>
    </w:p>
    <w:p>
      <w:pPr>
        <w:spacing w:after="160" w:line="360" w:lineRule="auto"/>
        <w:ind w:firstLine="480"/>
        <w:rPr>
          <w:rFonts w:ascii="宋体" w:hAnsi="宋体" w:eastAsia="宋体"/>
          <w:color w:val="000000" w:themeColor="text1"/>
        </w:rPr>
      </w:pPr>
      <w:r>
        <w:rPr>
          <w:rFonts w:ascii="宋体" w:hAnsi="宋体" w:eastAsia="宋体"/>
          <w:color w:val="000000" w:themeColor="text1"/>
        </w:rPr>
        <w:t>12.2.2甲方依法给予属于甲方批准权限内的批准并保持批准有效。</w:t>
      </w:r>
    </w:p>
    <w:p>
      <w:pPr>
        <w:spacing w:after="160" w:line="360" w:lineRule="auto"/>
        <w:ind w:firstLine="480"/>
        <w:rPr>
          <w:rFonts w:ascii="宋体" w:hAnsi="宋体" w:eastAsia="宋体"/>
          <w:color w:val="000000" w:themeColor="text1"/>
        </w:rPr>
      </w:pPr>
      <w:r>
        <w:rPr>
          <w:rFonts w:ascii="宋体" w:hAnsi="宋体" w:eastAsia="宋体"/>
          <w:color w:val="000000" w:themeColor="text1"/>
        </w:rPr>
        <w:t>12.2.3甲方协助乙方项目公司办理项目建设和经营所需的用电、用水、排污手续，协助解决本项目的交通。</w:t>
      </w:r>
    </w:p>
    <w:p>
      <w:pPr>
        <w:spacing w:after="160" w:line="360" w:lineRule="auto"/>
        <w:ind w:firstLine="480"/>
        <w:rPr>
          <w:rFonts w:ascii="宋体" w:hAnsi="宋体" w:eastAsia="宋体"/>
          <w:color w:val="000000" w:themeColor="text1"/>
        </w:rPr>
      </w:pPr>
      <w:r>
        <w:rPr>
          <w:rFonts w:ascii="宋体" w:hAnsi="宋体" w:eastAsia="宋体"/>
          <w:color w:val="000000" w:themeColor="text1"/>
        </w:rPr>
        <w:t>12.2.4经鄢陵县人民政府批准，委托鄢陵县畜牧局为本协议工程建设阶段的监督管理单位（统称为“委托建管单位”），且授权委托期限至建筑安装工程竣工验收合格之日止。</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12.3 质量标准和质量控制</w:t>
      </w:r>
    </w:p>
    <w:p>
      <w:pPr>
        <w:spacing w:after="160" w:line="360" w:lineRule="auto"/>
        <w:ind w:firstLine="480"/>
        <w:rPr>
          <w:rFonts w:ascii="宋体" w:hAnsi="宋体" w:eastAsia="宋体"/>
          <w:color w:val="000000" w:themeColor="text1"/>
        </w:rPr>
      </w:pPr>
      <w:r>
        <w:rPr>
          <w:rFonts w:ascii="宋体" w:hAnsi="宋体" w:eastAsia="宋体"/>
          <w:color w:val="000000" w:themeColor="text1"/>
        </w:rPr>
        <w:t>12.3.1本协议工程的质量要求须达合格或以上等级。</w:t>
      </w:r>
    </w:p>
    <w:p>
      <w:pPr>
        <w:spacing w:after="160" w:line="360" w:lineRule="auto"/>
        <w:ind w:firstLine="480"/>
        <w:rPr>
          <w:rFonts w:ascii="宋体" w:hAnsi="宋体" w:eastAsia="宋体"/>
          <w:color w:val="000000" w:themeColor="text1"/>
        </w:rPr>
      </w:pPr>
      <w:r>
        <w:rPr>
          <w:rFonts w:ascii="宋体" w:hAnsi="宋体" w:eastAsia="宋体"/>
          <w:color w:val="000000" w:themeColor="text1"/>
        </w:rPr>
        <w:t>12.3.2乙方项目公司在工程建设开始之前，应根据适用法律和适用标准的规定制定并执行工程质量保证和质量控制计划，且在工程建设进度月报表中同时反映工程质量监控情况。</w:t>
      </w:r>
    </w:p>
    <w:p>
      <w:pPr>
        <w:spacing w:after="160" w:line="360" w:lineRule="auto"/>
        <w:ind w:firstLine="480"/>
        <w:rPr>
          <w:rFonts w:ascii="宋体" w:hAnsi="宋体" w:eastAsia="宋体"/>
          <w:color w:val="000000" w:themeColor="text1"/>
        </w:rPr>
      </w:pPr>
      <w:r>
        <w:rPr>
          <w:rFonts w:ascii="宋体" w:hAnsi="宋体" w:eastAsia="宋体"/>
          <w:color w:val="000000" w:themeColor="text1"/>
        </w:rPr>
        <w:t>12.3.3不符合质量和安全要求</w:t>
      </w:r>
    </w:p>
    <w:p>
      <w:pPr>
        <w:spacing w:after="160" w:line="360" w:lineRule="auto"/>
        <w:ind w:firstLine="480"/>
        <w:rPr>
          <w:rFonts w:ascii="宋体" w:hAnsi="宋体" w:eastAsia="宋体"/>
          <w:color w:val="000000" w:themeColor="text1"/>
        </w:rPr>
      </w:pPr>
      <w:r>
        <w:rPr>
          <w:rFonts w:ascii="宋体" w:hAnsi="宋体" w:eastAsia="宋体"/>
          <w:color w:val="000000" w:themeColor="text1"/>
        </w:rPr>
        <w:t>如果工程建设不符合本协议的质量或安全要求，甲方或其委托建管单位可以就此向乙方项目公司提出警告。如果乙方项目公司在接到甲方或其委托建管单位通知后规定时间或合理时间内不能或拒绝修正缺陷，甲方或其委托建管单位有权要求停止施工，责成乙方项目公司进行整改，直到安全得到保证、质量缺陷得到整改、质量得到控制方可恢复施工。因停工造成的损失和开始商业运营日的延迟损失均由乙方项目公司承担。如果乙方项目公司未按甲方或其委托建管单位通知规定的合理时间内完成修正缺陷，则甲方或其委托建管单位有权委托第三方进行修正，因此产生的费用和风险由乙方项目公司承担</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12.4 安全生产与文明施工</w:t>
      </w:r>
    </w:p>
    <w:p>
      <w:pPr>
        <w:spacing w:after="160" w:line="360" w:lineRule="auto"/>
        <w:ind w:firstLine="480"/>
        <w:rPr>
          <w:rFonts w:ascii="宋体" w:hAnsi="宋体" w:eastAsia="宋体"/>
          <w:color w:val="000000" w:themeColor="text1"/>
        </w:rPr>
      </w:pPr>
      <w:r>
        <w:rPr>
          <w:rFonts w:ascii="宋体" w:hAnsi="宋体" w:eastAsia="宋体"/>
          <w:color w:val="000000" w:themeColor="text1"/>
        </w:rPr>
        <w:t>12.4.1乙方项目公司应根据适用法律和适用标准，制定并执行安全文明施工操作规程，加强安全管理，保证安全施工措施费，严格落实安全防范措施，确保施工安全。</w:t>
      </w:r>
    </w:p>
    <w:p>
      <w:pPr>
        <w:spacing w:after="160" w:line="360" w:lineRule="auto"/>
        <w:ind w:firstLine="480"/>
        <w:rPr>
          <w:rFonts w:ascii="宋体" w:hAnsi="宋体" w:eastAsia="宋体"/>
          <w:color w:val="000000" w:themeColor="text1"/>
        </w:rPr>
      </w:pPr>
      <w:r>
        <w:rPr>
          <w:rFonts w:ascii="宋体" w:hAnsi="宋体" w:eastAsia="宋体"/>
          <w:color w:val="000000" w:themeColor="text1"/>
        </w:rPr>
        <w:t>12.4.2乙方项目公司应对工程的安全施工和文明施工负责，采取有效的安全措施保证施工安全，并接受和配合甲方及其委托建管单位以及行业监管部门依法实施的监督检查，确保施工安全。在本协议工程施工过程中如发生质量、安全事故，由乙方项目公司承担法律和经济等一切责任。</w:t>
      </w:r>
    </w:p>
    <w:p>
      <w:pPr>
        <w:spacing w:after="160" w:line="360" w:lineRule="auto"/>
        <w:ind w:firstLine="480"/>
        <w:rPr>
          <w:rFonts w:ascii="宋体" w:hAnsi="宋体" w:eastAsia="宋体"/>
          <w:color w:val="000000" w:themeColor="text1"/>
        </w:rPr>
      </w:pPr>
      <w:r>
        <w:rPr>
          <w:rFonts w:ascii="宋体" w:hAnsi="宋体" w:eastAsia="宋体"/>
          <w:color w:val="000000" w:themeColor="text1"/>
        </w:rPr>
        <w:t>12.4.3在建设期间，乙方项目公司必须严格按照文明施工要求进行文明施工，采取有效措施，最大限度减少因施工噪声、扬尘、振动以及临时封道等对公众和周边居民正常生活的影响；配合甲方及其委托建管单位以及政府相关部门按要求做好文明城市、卫生城市、环保城市等创建或测评工作。</w:t>
      </w:r>
    </w:p>
    <w:p>
      <w:pPr>
        <w:spacing w:after="160" w:line="360" w:lineRule="auto"/>
        <w:ind w:firstLine="480"/>
        <w:rPr>
          <w:rFonts w:ascii="宋体" w:hAnsi="宋体" w:eastAsia="宋体"/>
          <w:color w:val="000000" w:themeColor="text1"/>
        </w:rPr>
      </w:pPr>
      <w:r>
        <w:rPr>
          <w:rFonts w:ascii="宋体" w:hAnsi="宋体" w:eastAsia="宋体"/>
          <w:color w:val="000000" w:themeColor="text1"/>
        </w:rPr>
        <w:t>12.4.4在建设期间，乙方项目公司及其承包商应根据适用法律的规定，签订用工协议并向工人按时足额支付工资，不得拖欠工人工资。</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12.5 项目建设进度计划</w:t>
      </w:r>
    </w:p>
    <w:p>
      <w:pPr>
        <w:spacing w:after="160" w:line="360" w:lineRule="auto"/>
        <w:ind w:firstLine="480"/>
        <w:rPr>
          <w:rFonts w:ascii="宋体" w:hAnsi="宋体" w:eastAsia="宋体"/>
          <w:color w:val="000000" w:themeColor="text1"/>
        </w:rPr>
      </w:pPr>
      <w:r>
        <w:rPr>
          <w:rFonts w:ascii="宋体" w:hAnsi="宋体" w:eastAsia="宋体"/>
          <w:color w:val="000000" w:themeColor="text1"/>
        </w:rPr>
        <w:t>12.5.1项目计划</w:t>
      </w:r>
    </w:p>
    <w:p>
      <w:pPr>
        <w:spacing w:after="160" w:line="360" w:lineRule="auto"/>
        <w:ind w:firstLine="480"/>
        <w:rPr>
          <w:rFonts w:ascii="宋体" w:hAnsi="宋体" w:eastAsia="宋体"/>
          <w:color w:val="000000" w:themeColor="text1"/>
        </w:rPr>
      </w:pPr>
      <w:r>
        <w:rPr>
          <w:rFonts w:ascii="宋体" w:hAnsi="宋体" w:eastAsia="宋体"/>
          <w:color w:val="000000" w:themeColor="text1"/>
        </w:rPr>
        <w:t>（1）双方根据适用法律和适用标准规定制定本项目的如下建设进度计划：××××年××月××日开始施工，××××年××月××日竣工。</w:t>
      </w:r>
    </w:p>
    <w:p>
      <w:pPr>
        <w:spacing w:after="160" w:line="360" w:lineRule="auto"/>
        <w:ind w:firstLine="480"/>
        <w:rPr>
          <w:rFonts w:ascii="宋体" w:hAnsi="宋体" w:eastAsia="宋体"/>
          <w:color w:val="000000" w:themeColor="text1"/>
        </w:rPr>
      </w:pPr>
      <w:r>
        <w:rPr>
          <w:rFonts w:ascii="宋体" w:hAnsi="宋体" w:eastAsia="宋体"/>
          <w:color w:val="000000" w:themeColor="text1"/>
        </w:rPr>
        <w:t>12.5.2如果出现下列情况，建设进度计划日期的最后期限将延长或修改。</w:t>
      </w:r>
    </w:p>
    <w:p>
      <w:pPr>
        <w:spacing w:after="160" w:line="360" w:lineRule="auto"/>
        <w:ind w:firstLine="480"/>
        <w:rPr>
          <w:rFonts w:ascii="宋体" w:hAnsi="宋体" w:eastAsia="宋体"/>
          <w:color w:val="000000" w:themeColor="text1"/>
        </w:rPr>
      </w:pPr>
      <w:r>
        <w:rPr>
          <w:rFonts w:ascii="宋体" w:hAnsi="宋体" w:eastAsia="宋体"/>
          <w:color w:val="000000" w:themeColor="text1"/>
        </w:rPr>
        <w:t>（1）第15条所述的不可抗力事件造成的延误；</w:t>
      </w:r>
    </w:p>
    <w:p>
      <w:pPr>
        <w:spacing w:after="160" w:line="360" w:lineRule="auto"/>
        <w:ind w:firstLine="480"/>
        <w:rPr>
          <w:rFonts w:ascii="宋体" w:hAnsi="宋体" w:eastAsia="宋体"/>
          <w:color w:val="000000" w:themeColor="text1"/>
        </w:rPr>
      </w:pPr>
      <w:r>
        <w:rPr>
          <w:rFonts w:ascii="宋体" w:hAnsi="宋体" w:eastAsia="宋体"/>
          <w:color w:val="000000" w:themeColor="text1"/>
        </w:rPr>
        <w:t>（2）由于第10.10条所述的对考古、地质历史文物保护造成的延误；</w:t>
      </w:r>
    </w:p>
    <w:p>
      <w:pPr>
        <w:spacing w:after="160" w:line="360" w:lineRule="auto"/>
        <w:ind w:firstLine="480"/>
        <w:rPr>
          <w:rFonts w:ascii="宋体" w:hAnsi="宋体" w:eastAsia="宋体"/>
          <w:color w:val="000000" w:themeColor="text1"/>
        </w:rPr>
      </w:pPr>
      <w:r>
        <w:rPr>
          <w:rFonts w:ascii="宋体" w:hAnsi="宋体" w:eastAsia="宋体"/>
          <w:color w:val="000000" w:themeColor="text1"/>
        </w:rPr>
        <w:t>（3）由于甲方的违约而造成乙方项目公司的延误；</w:t>
      </w:r>
    </w:p>
    <w:p>
      <w:pPr>
        <w:spacing w:after="160" w:line="360" w:lineRule="auto"/>
        <w:ind w:firstLine="480"/>
        <w:rPr>
          <w:rFonts w:ascii="宋体" w:hAnsi="宋体" w:eastAsia="宋体"/>
          <w:color w:val="000000" w:themeColor="text1"/>
        </w:rPr>
      </w:pPr>
      <w:r>
        <w:rPr>
          <w:rFonts w:ascii="宋体" w:hAnsi="宋体" w:eastAsia="宋体"/>
          <w:color w:val="000000" w:themeColor="text1"/>
        </w:rPr>
        <w:t>（4）由于乙方项目公司的违约而造成甲方的延误。</w:t>
      </w:r>
    </w:p>
    <w:p>
      <w:pPr>
        <w:spacing w:after="160" w:line="360" w:lineRule="auto"/>
        <w:ind w:firstLine="480"/>
        <w:rPr>
          <w:rFonts w:ascii="宋体" w:hAnsi="宋体" w:eastAsia="宋体"/>
          <w:color w:val="000000" w:themeColor="text1"/>
        </w:rPr>
      </w:pPr>
      <w:r>
        <w:rPr>
          <w:rFonts w:ascii="宋体" w:hAnsi="宋体" w:eastAsia="宋体"/>
          <w:color w:val="000000" w:themeColor="text1"/>
        </w:rPr>
        <w:t>12.5.3进度日期的延长</w:t>
      </w:r>
    </w:p>
    <w:p>
      <w:pPr>
        <w:spacing w:after="160" w:line="360" w:lineRule="auto"/>
        <w:ind w:firstLine="480"/>
        <w:rPr>
          <w:rFonts w:ascii="宋体" w:hAnsi="宋体" w:eastAsia="宋体"/>
          <w:color w:val="000000" w:themeColor="text1"/>
        </w:rPr>
      </w:pPr>
      <w:r>
        <w:rPr>
          <w:rFonts w:ascii="宋体" w:hAnsi="宋体" w:eastAsia="宋体"/>
          <w:color w:val="000000" w:themeColor="text1"/>
        </w:rPr>
        <w:t>（1）当第10.5.2条建设进度延误事件发生后，一方应在实际发生延误的15个工作日内，向另一方提出书面的延期要求，并说明该延期是已采取所有合理的措施后所无法回避的延期。</w:t>
      </w:r>
    </w:p>
    <w:p>
      <w:pPr>
        <w:spacing w:after="160" w:line="360" w:lineRule="auto"/>
        <w:ind w:firstLine="480"/>
        <w:rPr>
          <w:rFonts w:ascii="宋体" w:hAnsi="宋体" w:eastAsia="宋体"/>
          <w:color w:val="000000" w:themeColor="text1"/>
        </w:rPr>
      </w:pPr>
      <w:r>
        <w:rPr>
          <w:rFonts w:ascii="宋体" w:hAnsi="宋体" w:eastAsia="宋体"/>
          <w:color w:val="000000" w:themeColor="text1"/>
        </w:rPr>
        <w:t>（2）收到延期要求的一方应积极与提出要求的一方就延期事项进行协商，并达成书面意见。如提出书面要求的一方在15个工作日内没有收到另一方对延期表示异议的书面意见，将被视为另一方对延期的要求已表示同意。</w:t>
      </w:r>
    </w:p>
    <w:p>
      <w:pPr>
        <w:spacing w:after="160" w:line="360" w:lineRule="auto"/>
        <w:ind w:firstLine="480"/>
        <w:rPr>
          <w:rFonts w:ascii="宋体" w:hAnsi="宋体" w:eastAsia="宋体"/>
          <w:color w:val="000000" w:themeColor="text1"/>
        </w:rPr>
      </w:pPr>
      <w:r>
        <w:rPr>
          <w:rFonts w:ascii="宋体" w:hAnsi="宋体" w:eastAsia="宋体"/>
          <w:color w:val="000000" w:themeColor="text1"/>
        </w:rPr>
        <w:t>12.5.4建设进度计划的预计延误</w:t>
      </w:r>
    </w:p>
    <w:p>
      <w:pPr>
        <w:spacing w:after="160" w:line="360" w:lineRule="auto"/>
        <w:ind w:firstLine="480"/>
        <w:rPr>
          <w:rFonts w:ascii="宋体" w:hAnsi="宋体" w:eastAsia="宋体"/>
          <w:color w:val="000000" w:themeColor="text1"/>
        </w:rPr>
      </w:pPr>
      <w:r>
        <w:rPr>
          <w:rFonts w:ascii="宋体" w:hAnsi="宋体" w:eastAsia="宋体"/>
          <w:color w:val="000000" w:themeColor="text1"/>
        </w:rPr>
        <w:t>在任何时候，如果一方合理地预计建设工程不能达到建设进度计划所要求的进度日期，该方应及时通知另一方并合理地详细描述以下情况：</w:t>
      </w:r>
    </w:p>
    <w:p>
      <w:pPr>
        <w:spacing w:after="160" w:line="360" w:lineRule="auto"/>
        <w:ind w:firstLine="480"/>
        <w:rPr>
          <w:rFonts w:ascii="宋体" w:hAnsi="宋体" w:eastAsia="宋体"/>
          <w:color w:val="000000" w:themeColor="text1"/>
        </w:rPr>
      </w:pPr>
      <w:r>
        <w:rPr>
          <w:rFonts w:ascii="宋体" w:hAnsi="宋体" w:eastAsia="宋体"/>
          <w:color w:val="000000" w:themeColor="text1"/>
        </w:rPr>
        <w:t>（1）预期无法达到的建设进度日期；</w:t>
      </w:r>
    </w:p>
    <w:p>
      <w:pPr>
        <w:spacing w:after="160" w:line="360" w:lineRule="auto"/>
        <w:ind w:firstLine="480"/>
        <w:rPr>
          <w:rFonts w:ascii="宋体" w:hAnsi="宋体" w:eastAsia="宋体"/>
          <w:color w:val="000000" w:themeColor="text1"/>
        </w:rPr>
      </w:pPr>
      <w:r>
        <w:rPr>
          <w:rFonts w:ascii="宋体" w:hAnsi="宋体" w:eastAsia="宋体"/>
          <w:color w:val="000000" w:themeColor="text1"/>
        </w:rPr>
        <w:t>（2）延误或预计延误的原因；</w:t>
      </w:r>
    </w:p>
    <w:p>
      <w:pPr>
        <w:spacing w:after="160" w:line="360" w:lineRule="auto"/>
        <w:ind w:firstLine="480"/>
        <w:rPr>
          <w:rFonts w:ascii="宋体" w:hAnsi="宋体" w:eastAsia="宋体"/>
          <w:color w:val="000000" w:themeColor="text1"/>
        </w:rPr>
      </w:pPr>
      <w:r>
        <w:rPr>
          <w:rFonts w:ascii="宋体" w:hAnsi="宋体" w:eastAsia="宋体"/>
          <w:color w:val="000000" w:themeColor="text1"/>
        </w:rPr>
        <w:t>（3）所预计的可能超出建设进度日期的天数和其他可合理预见的对建设工程不利的影响；</w:t>
      </w:r>
    </w:p>
    <w:p>
      <w:pPr>
        <w:spacing w:after="160" w:line="360" w:lineRule="auto"/>
        <w:ind w:firstLine="480"/>
        <w:rPr>
          <w:rFonts w:ascii="宋体" w:hAnsi="宋体" w:eastAsia="宋体"/>
          <w:color w:val="000000" w:themeColor="text1"/>
        </w:rPr>
      </w:pPr>
      <w:r>
        <w:rPr>
          <w:rFonts w:ascii="宋体" w:hAnsi="宋体" w:eastAsia="宋体"/>
          <w:color w:val="000000" w:themeColor="text1"/>
        </w:rPr>
        <w:t>（4）该方已经采取或建议采取的解决或减少延误及其影响的措施。</w:t>
      </w:r>
    </w:p>
    <w:p>
      <w:pPr>
        <w:spacing w:after="160" w:line="360" w:lineRule="auto"/>
        <w:ind w:firstLine="480"/>
        <w:rPr>
          <w:rFonts w:ascii="宋体" w:hAnsi="宋体" w:eastAsia="宋体"/>
          <w:color w:val="000000" w:themeColor="text1"/>
        </w:rPr>
      </w:pPr>
      <w:r>
        <w:rPr>
          <w:rFonts w:ascii="宋体" w:hAnsi="宋体" w:eastAsia="宋体"/>
          <w:color w:val="000000" w:themeColor="text1"/>
        </w:rPr>
        <w:t>12.5.5由于甲方的原因导致开始商业运营日的延误如果由于甲方的违约造成开始商业运营日的任何延误，乙方项目公司应提出建设进度计划日期作适当延长，经双方确认后，甲方应予延长。</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12.6 进度报告</w:t>
      </w:r>
    </w:p>
    <w:p>
      <w:pPr>
        <w:spacing w:after="160" w:line="360" w:lineRule="auto"/>
        <w:ind w:firstLine="480"/>
        <w:rPr>
          <w:rFonts w:ascii="宋体" w:hAnsi="宋体" w:eastAsia="宋体"/>
          <w:color w:val="000000" w:themeColor="text1"/>
        </w:rPr>
      </w:pPr>
      <w:r>
        <w:rPr>
          <w:rFonts w:ascii="宋体" w:hAnsi="宋体" w:eastAsia="宋体"/>
          <w:color w:val="000000" w:themeColor="text1"/>
        </w:rPr>
        <w:t>乙方项目公司应在每月的25日前向甲方及其委托建管单位提供当月工程建设进度月报表，该月报应反映已完成的和在建的建设工程进度、完成投资额、工程质量、预计完成工程的时间，如果进度和质量发生问题，应提出挽回的措施和计划。</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12.7 甲方的建设期监督和检查</w:t>
      </w:r>
    </w:p>
    <w:p>
      <w:pPr>
        <w:spacing w:after="160" w:line="360" w:lineRule="auto"/>
        <w:ind w:firstLine="480"/>
        <w:rPr>
          <w:rFonts w:ascii="宋体" w:hAnsi="宋体" w:eastAsia="宋体"/>
          <w:color w:val="000000" w:themeColor="text1"/>
        </w:rPr>
      </w:pPr>
      <w:r>
        <w:rPr>
          <w:rFonts w:ascii="宋体" w:hAnsi="宋体" w:eastAsia="宋体"/>
          <w:color w:val="000000" w:themeColor="text1"/>
        </w:rPr>
        <w:t>12.7.1在本协议工程动工前7天内，乙方项目公司须将施工企业和监理企业的营业执照、资质证书、安全生产许可证等相关资料复印件加盖企业公章和乙方项目公司公章共一式五份报甲方及其委托建管单位备案。施工过程中变更施工、监理单位，乙方项目公司应在经相关职能部门批准变更后7天内书面告知甲方或其委托建管单位，并按上述要求报送新的施工、监理企业的相关资料备案。</w:t>
      </w:r>
    </w:p>
    <w:p>
      <w:pPr>
        <w:spacing w:after="160" w:line="360" w:lineRule="auto"/>
        <w:ind w:firstLine="480"/>
        <w:rPr>
          <w:rFonts w:ascii="宋体" w:hAnsi="宋体" w:eastAsia="宋体"/>
          <w:color w:val="000000" w:themeColor="text1"/>
        </w:rPr>
      </w:pPr>
      <w:r>
        <w:rPr>
          <w:rFonts w:ascii="宋体" w:hAnsi="宋体" w:eastAsia="宋体"/>
          <w:color w:val="000000" w:themeColor="text1"/>
        </w:rPr>
        <w:t>12.7.2乙方项目公司应提供且确保施工、监理企业提供所有必要的、具有足够技能和规定证书的人员从事建设工程。在建设工程开工前7天内，乙方项目公司应向甲方及其委托建管单位提交从事本协议工程的所有施工人员、监理人员、质量监督人员的名单及其资格概要。</w:t>
      </w:r>
    </w:p>
    <w:p>
      <w:pPr>
        <w:spacing w:after="160" w:line="360" w:lineRule="auto"/>
        <w:ind w:firstLine="480"/>
        <w:rPr>
          <w:rFonts w:ascii="宋体" w:hAnsi="宋体" w:eastAsia="宋体"/>
          <w:color w:val="000000" w:themeColor="text1"/>
        </w:rPr>
      </w:pPr>
      <w:r>
        <w:rPr>
          <w:rFonts w:ascii="宋体" w:hAnsi="宋体" w:eastAsia="宋体"/>
          <w:color w:val="000000" w:themeColor="text1"/>
        </w:rPr>
        <w:t>12.7.3在项目建设过程中，乙方项目公司在签署、取得或完成各种合同、审批等文件后，应于7个工作日内将相应的有关项目建设的文件之复印件报甲方及其委托建管单位备案。</w:t>
      </w:r>
    </w:p>
    <w:p>
      <w:pPr>
        <w:spacing w:after="160" w:line="360" w:lineRule="auto"/>
        <w:ind w:firstLine="480"/>
        <w:rPr>
          <w:rFonts w:ascii="宋体" w:hAnsi="宋体" w:eastAsia="宋体"/>
          <w:color w:val="000000" w:themeColor="text1"/>
        </w:rPr>
      </w:pPr>
      <w:r>
        <w:rPr>
          <w:rFonts w:ascii="宋体" w:hAnsi="宋体" w:eastAsia="宋体"/>
          <w:color w:val="000000" w:themeColor="text1"/>
        </w:rPr>
        <w:t>12.7.4甲方或其委托建管单位有权在不影响工程施工的前提下，检查乙方项目公司进度和项目的质量控制检验方法及结果，以确认工程建设符合本协议规定的进度和质量要求。乙方项目公司应派代表陪同检查，提供检查工作的必要条件，若检查工作中涉及专有资料的保密问题，应按第19.1条保密条款执行。</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12.8 不可免除</w:t>
      </w:r>
    </w:p>
    <w:p>
      <w:pPr>
        <w:spacing w:after="160" w:line="360" w:lineRule="auto"/>
        <w:ind w:firstLine="480"/>
        <w:rPr>
          <w:rFonts w:ascii="宋体" w:hAnsi="宋体" w:eastAsia="宋体"/>
          <w:color w:val="000000" w:themeColor="text1"/>
        </w:rPr>
      </w:pPr>
      <w:r>
        <w:rPr>
          <w:rFonts w:ascii="宋体" w:hAnsi="宋体" w:eastAsia="宋体"/>
          <w:color w:val="000000" w:themeColor="text1"/>
        </w:rPr>
        <w:t>不论甲方是否监督、检查建设工程或其任何部分，都不应视为甲方放弃其在本协议项下的任何权利，也不能免除乙方项目公司在本协议项下的任何义务。</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12.9 对考古、地质及历史文物的保护</w:t>
      </w:r>
    </w:p>
    <w:p>
      <w:pPr>
        <w:spacing w:after="160" w:line="360" w:lineRule="auto"/>
        <w:ind w:firstLine="480"/>
        <w:rPr>
          <w:rFonts w:ascii="宋体" w:hAnsi="宋体" w:eastAsia="宋体"/>
          <w:color w:val="000000" w:themeColor="text1"/>
        </w:rPr>
      </w:pPr>
      <w:r>
        <w:rPr>
          <w:rFonts w:ascii="宋体" w:hAnsi="宋体" w:eastAsia="宋体"/>
          <w:color w:val="000000" w:themeColor="text1"/>
        </w:rPr>
        <w:t>乙方项目公司在本协议工程勘察、建设、运营和维护过程中，发现的考古文物、化石、古墓、古建筑遗址等文物、古迹以及其他具有考古、地质研究等价值的遗迹、化石、钱币或物品，以及重要矿产资源，属于国家所有。一旦发现上述文物和重要矿产资源，乙方项目公司应立即采取适当措施保护好现场，防止任何人员移动或损坏上述文物或侵占上述矿产，并立即通知甲方及其委托建管单位和报告当地文物或矿产管理部门，且按照文物或矿产管理部门的要求采取妥善保护措施。如果上述发现导致建设工程的延误，应按规定顺延建设期以及开始商业运营日。如发现文物或矿产后隐瞒不报或报告不及时，导致上述文物丢失或遭受破坏或矿产被侵占的，由乙方项目公司承担相应的法律责任和经济责任。</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12.10 不予免责</w:t>
      </w:r>
    </w:p>
    <w:p>
      <w:pPr>
        <w:spacing w:after="160" w:line="360" w:lineRule="auto"/>
        <w:ind w:firstLine="480"/>
        <w:rPr>
          <w:rFonts w:ascii="宋体" w:hAnsi="宋体" w:eastAsia="宋体"/>
          <w:color w:val="000000" w:themeColor="text1"/>
        </w:rPr>
      </w:pPr>
      <w:r>
        <w:rPr>
          <w:rFonts w:ascii="宋体" w:hAnsi="宋体" w:eastAsia="宋体"/>
          <w:color w:val="000000" w:themeColor="text1"/>
        </w:rPr>
        <w:t>甲方或其委托建管单位检查和接受建设工程的全部或任何部分以及出具完工确认函的行为，均不解除乙方项目公司在项目勘测、设计和建设方面的缺陷或延误所应承担的任何义务或责任，也不影响政府相关部门依据适用法律和适用标准对工程建设监督、检查、管理的权力。</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第13 条 工程竣工</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13.1 竣工验收</w:t>
      </w:r>
    </w:p>
    <w:p>
      <w:pPr>
        <w:spacing w:after="160" w:line="360" w:lineRule="auto"/>
        <w:ind w:firstLine="480"/>
        <w:rPr>
          <w:rFonts w:ascii="宋体" w:hAnsi="宋体" w:eastAsia="宋体"/>
          <w:color w:val="000000" w:themeColor="text1"/>
        </w:rPr>
      </w:pPr>
      <w:r>
        <w:rPr>
          <w:rFonts w:ascii="宋体" w:hAnsi="宋体" w:eastAsia="宋体"/>
          <w:color w:val="000000" w:themeColor="text1"/>
        </w:rPr>
        <w:t>13.1.1工程完工后，双方应按适用法律和现行的规范等适用标准组织竣工验收。</w:t>
      </w:r>
    </w:p>
    <w:p>
      <w:pPr>
        <w:spacing w:after="160" w:line="360" w:lineRule="auto"/>
        <w:ind w:firstLine="480"/>
        <w:rPr>
          <w:rFonts w:ascii="宋体" w:hAnsi="宋体" w:eastAsia="宋体"/>
          <w:color w:val="000000" w:themeColor="text1"/>
        </w:rPr>
      </w:pPr>
      <w:r>
        <w:rPr>
          <w:rFonts w:ascii="宋体" w:hAnsi="宋体" w:eastAsia="宋体"/>
          <w:color w:val="000000" w:themeColor="text1"/>
        </w:rPr>
        <w:t>13.1.2乙方项目公司应至少提前10个工作日向甲方发出竣工验收的书面通知。</w:t>
      </w:r>
    </w:p>
    <w:p>
      <w:pPr>
        <w:spacing w:after="160" w:line="360" w:lineRule="auto"/>
        <w:ind w:firstLine="480"/>
        <w:rPr>
          <w:rFonts w:ascii="宋体" w:hAnsi="宋体" w:eastAsia="宋体"/>
          <w:color w:val="000000" w:themeColor="text1"/>
        </w:rPr>
      </w:pPr>
      <w:r>
        <w:rPr>
          <w:rFonts w:ascii="宋体" w:hAnsi="宋体" w:eastAsia="宋体"/>
          <w:color w:val="000000" w:themeColor="text1"/>
        </w:rPr>
        <w:t>13.1.3甲方在接到通知后按要求时间派代表参加由乙方项目公司组织有关方面联合进行的竣工验收。如果甲方在收到通知后未参加竣工验收的，则竣工验收可在甲方缺席的情况下按预定的时间进行，并将验收结果及时通报甲方。</w:t>
      </w:r>
    </w:p>
    <w:p>
      <w:pPr>
        <w:spacing w:after="160" w:line="360" w:lineRule="auto"/>
        <w:ind w:firstLine="480"/>
        <w:rPr>
          <w:rFonts w:ascii="宋体" w:hAnsi="宋体" w:eastAsia="宋体"/>
          <w:color w:val="000000" w:themeColor="text1"/>
        </w:rPr>
      </w:pPr>
      <w:r>
        <w:rPr>
          <w:rFonts w:ascii="宋体" w:hAnsi="宋体" w:eastAsia="宋体"/>
          <w:color w:val="000000" w:themeColor="text1"/>
        </w:rPr>
        <w:t>13.1.4如果竣工验收部分或全部不合格，甲方应在14个工作日内书面通知乙方项目公司并陈述不合格理由。乙方项目公司应采取所有必要的改正措施补救不合格情况，并在补救措施结束后应至少提前10个工作日向甲方发出书面通知，再次组织竣工验收。乙方项目公司应对因不合格而导致的费用增加和工期延误承担全部责任。</w:t>
      </w:r>
    </w:p>
    <w:p>
      <w:pPr>
        <w:spacing w:after="160" w:line="360" w:lineRule="auto"/>
        <w:ind w:firstLine="480"/>
        <w:rPr>
          <w:rFonts w:ascii="宋体" w:hAnsi="宋体" w:eastAsia="宋体"/>
          <w:color w:val="000000" w:themeColor="text1"/>
        </w:rPr>
      </w:pPr>
      <w:r>
        <w:rPr>
          <w:rFonts w:ascii="宋体" w:hAnsi="宋体" w:eastAsia="宋体"/>
          <w:color w:val="000000" w:themeColor="text1"/>
        </w:rPr>
        <w:t>13.1.5如果甲方在再次竣工验收结束后14个工作日内未发出有关不合格的书面通知，并且验收结果已得到有关部门的认可，则视为本项目竣工验收合格。</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13.2 试运营</w:t>
      </w:r>
    </w:p>
    <w:p>
      <w:pPr>
        <w:spacing w:after="160" w:line="360" w:lineRule="auto"/>
        <w:ind w:firstLine="480"/>
        <w:rPr>
          <w:rFonts w:ascii="宋体" w:hAnsi="宋体" w:eastAsia="宋体"/>
          <w:color w:val="000000" w:themeColor="text1"/>
        </w:rPr>
      </w:pPr>
      <w:r>
        <w:rPr>
          <w:rFonts w:ascii="宋体" w:hAnsi="宋体" w:eastAsia="宋体"/>
          <w:color w:val="000000" w:themeColor="text1"/>
        </w:rPr>
        <w:t>项目开始试运营（试生产）的程序：</w:t>
      </w:r>
    </w:p>
    <w:p>
      <w:pPr>
        <w:spacing w:after="160" w:line="360" w:lineRule="auto"/>
        <w:ind w:firstLine="480"/>
        <w:rPr>
          <w:rFonts w:ascii="宋体" w:hAnsi="宋体" w:eastAsia="宋体"/>
          <w:color w:val="000000" w:themeColor="text1"/>
        </w:rPr>
      </w:pPr>
      <w:r>
        <w:rPr>
          <w:rFonts w:ascii="宋体" w:hAnsi="宋体" w:eastAsia="宋体"/>
          <w:color w:val="000000" w:themeColor="text1"/>
        </w:rPr>
        <w:t>13.2.1在本项目完工后试运营前，乙方项目公司应向有审批权的行政主管部门申请试运营，并将试运营审批结果抄报甲方；</w:t>
      </w:r>
    </w:p>
    <w:p>
      <w:pPr>
        <w:spacing w:after="160" w:line="360" w:lineRule="auto"/>
        <w:ind w:firstLine="480"/>
        <w:rPr>
          <w:rFonts w:ascii="宋体" w:hAnsi="宋体" w:eastAsia="宋体"/>
          <w:color w:val="000000" w:themeColor="text1"/>
        </w:rPr>
      </w:pPr>
      <w:r>
        <w:rPr>
          <w:rFonts w:ascii="宋体" w:hAnsi="宋体" w:eastAsia="宋体"/>
          <w:color w:val="000000" w:themeColor="text1"/>
        </w:rPr>
        <w:t>13.2.2各期工程试运营期间的费用由乙方项目公司承担。</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13.3 验收</w:t>
      </w:r>
    </w:p>
    <w:p>
      <w:pPr>
        <w:spacing w:after="160" w:line="360" w:lineRule="auto"/>
        <w:ind w:firstLine="480"/>
        <w:rPr>
          <w:rFonts w:ascii="宋体" w:hAnsi="宋体" w:eastAsia="宋体"/>
          <w:color w:val="000000" w:themeColor="text1"/>
        </w:rPr>
      </w:pPr>
      <w:r>
        <w:rPr>
          <w:rFonts w:ascii="宋体" w:hAnsi="宋体" w:eastAsia="宋体"/>
          <w:color w:val="000000" w:themeColor="text1"/>
        </w:rPr>
        <w:t>13.3.1 乙方项目公司应当自试运营之日起３个月内，向有审批权的行政主管部门申请本项目竣工验收。如试运营３个月确不具备验收条件的，乙方项目公司应当在试运营的３个月内，向有审批权的行政主管部门提出验收延期申请，说明延期验收的理由及拟进行验收的时间。经批准后乙方项目公司可继续进行试运营，但最迟须在自试运营之日起12个月内实现验收合格。</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13.4 开始商业运营</w:t>
      </w:r>
    </w:p>
    <w:p>
      <w:pPr>
        <w:spacing w:after="160" w:line="360" w:lineRule="auto"/>
        <w:ind w:firstLine="480"/>
        <w:rPr>
          <w:rFonts w:ascii="宋体" w:hAnsi="宋体" w:eastAsia="宋体"/>
          <w:color w:val="000000" w:themeColor="text1"/>
        </w:rPr>
      </w:pPr>
      <w:r>
        <w:rPr>
          <w:rFonts w:ascii="宋体" w:hAnsi="宋体" w:eastAsia="宋体"/>
          <w:color w:val="000000" w:themeColor="text1"/>
        </w:rPr>
        <w:t>13.4.1乙方项目公司通过甲、乙双方认可的具有认证资格的第三方监测机构检测，并取得行政主管部门发出的正式通过验收的通知后，应立即书面向甲方申请正式开始商业运营。</w:t>
      </w:r>
    </w:p>
    <w:p>
      <w:pPr>
        <w:spacing w:after="160" w:line="360" w:lineRule="auto"/>
        <w:ind w:firstLine="480"/>
        <w:rPr>
          <w:rFonts w:ascii="宋体" w:hAnsi="宋体" w:eastAsia="宋体"/>
          <w:color w:val="000000" w:themeColor="text1"/>
        </w:rPr>
      </w:pPr>
      <w:r>
        <w:rPr>
          <w:rFonts w:ascii="宋体" w:hAnsi="宋体" w:eastAsia="宋体"/>
          <w:color w:val="000000" w:themeColor="text1"/>
        </w:rPr>
        <w:t>13.4.2甲方应自接到开始商业运营申请之日起15个工作日内书面通知乙方项目公司是否同意开始商业运营。</w:t>
      </w:r>
    </w:p>
    <w:p>
      <w:pPr>
        <w:spacing w:after="160" w:line="360" w:lineRule="auto"/>
        <w:ind w:firstLine="480"/>
        <w:rPr>
          <w:rFonts w:ascii="宋体" w:hAnsi="宋体" w:eastAsia="宋体"/>
          <w:color w:val="000000" w:themeColor="text1"/>
        </w:rPr>
      </w:pPr>
      <w:r>
        <w:rPr>
          <w:rFonts w:ascii="宋体" w:hAnsi="宋体" w:eastAsia="宋体"/>
          <w:color w:val="000000" w:themeColor="text1"/>
        </w:rPr>
        <w:t>（1）甲方的同意开始商业运营之日为乙方项目公司的开始商业运营日。</w:t>
      </w:r>
    </w:p>
    <w:p>
      <w:pPr>
        <w:spacing w:after="160" w:line="360" w:lineRule="auto"/>
        <w:ind w:firstLine="480"/>
        <w:rPr>
          <w:rFonts w:ascii="宋体" w:hAnsi="宋体" w:eastAsia="宋体"/>
          <w:color w:val="000000" w:themeColor="text1"/>
        </w:rPr>
      </w:pPr>
      <w:r>
        <w:rPr>
          <w:rFonts w:ascii="宋体" w:hAnsi="宋体" w:eastAsia="宋体"/>
          <w:color w:val="000000" w:themeColor="text1"/>
        </w:rPr>
        <w:t>（2）甲方如不同意开始商业运营的，须同时陈述理由。如果不同意原因是由甲方造成的，则甲方应在20个工作日内解决。如20个工作日内仍未能解决，甲方应及时通知乙方项目公司，且自乙方项目公司收到通知之日起视为开始商业运营日。</w:t>
      </w:r>
    </w:p>
    <w:p>
      <w:pPr>
        <w:spacing w:after="160" w:line="360" w:lineRule="auto"/>
        <w:ind w:firstLine="480"/>
        <w:rPr>
          <w:rFonts w:ascii="宋体" w:hAnsi="宋体" w:eastAsia="宋体"/>
          <w:color w:val="000000" w:themeColor="text1"/>
        </w:rPr>
      </w:pPr>
      <w:r>
        <w:rPr>
          <w:rFonts w:ascii="宋体" w:hAnsi="宋体" w:eastAsia="宋体"/>
          <w:color w:val="000000" w:themeColor="text1"/>
        </w:rPr>
        <w:t>（3）如甲方未于上述期限内发出同意或不同意开始商业运营的通知，视为甲方同意乙方项目公司自上述期限届满之日起开始商业运营。乙方项目公司应将最终的开始商业运营日书面通知甲方。</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第14 条 投资控制与审核</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14.1 投资控制</w:t>
      </w:r>
    </w:p>
    <w:p>
      <w:pPr>
        <w:spacing w:after="160" w:line="360" w:lineRule="auto"/>
        <w:ind w:firstLine="480"/>
        <w:rPr>
          <w:rFonts w:ascii="宋体" w:hAnsi="宋体" w:eastAsia="宋体"/>
          <w:color w:val="000000" w:themeColor="text1"/>
        </w:rPr>
      </w:pPr>
      <w:r>
        <w:rPr>
          <w:rFonts w:ascii="宋体" w:hAnsi="宋体" w:eastAsia="宋体"/>
          <w:color w:val="000000" w:themeColor="text1"/>
        </w:rPr>
        <w:t>14.1.1乙方项目公司应加强项目投资管理，在工程建设中按照适用法律和适用标准，采用工程量清单计价方式，按照当时有效的《建设工程工程量清单计价规范》和《河南省建设工程计价依据解释管理办法》及其配套文件，编制和审核工程预算、结算，办理工程竣工财务决算，将工程造价和项目总投资控制在合理范围内。</w:t>
      </w:r>
    </w:p>
    <w:p>
      <w:pPr>
        <w:spacing w:after="160" w:line="360" w:lineRule="auto"/>
        <w:ind w:firstLine="480"/>
        <w:rPr>
          <w:rFonts w:ascii="宋体" w:hAnsi="宋体" w:eastAsia="宋体"/>
          <w:color w:val="000000" w:themeColor="text1"/>
        </w:rPr>
      </w:pPr>
      <w:r>
        <w:rPr>
          <w:rFonts w:ascii="宋体" w:hAnsi="宋体" w:eastAsia="宋体"/>
          <w:color w:val="000000" w:themeColor="text1"/>
        </w:rPr>
        <w:t>14.1.2乙方项目公司在各期工程开工前，应委托具有相应资质的工程造价咨询公司编制工程预算报告并进行审核，并将工程预算报告及其审核结果原件各一份分别报送甲方及其委托建设管理单位备案。</w:t>
      </w:r>
    </w:p>
    <w:p>
      <w:pPr>
        <w:spacing w:after="160" w:line="360" w:lineRule="auto"/>
        <w:ind w:firstLine="480"/>
        <w:rPr>
          <w:rFonts w:ascii="宋体" w:hAnsi="宋体" w:eastAsia="宋体"/>
          <w:color w:val="000000" w:themeColor="text1"/>
        </w:rPr>
      </w:pPr>
      <w:r>
        <w:rPr>
          <w:rFonts w:ascii="宋体" w:hAnsi="宋体" w:eastAsia="宋体"/>
          <w:color w:val="000000" w:themeColor="text1"/>
        </w:rPr>
        <w:t>14.1.3本项目竣工验收合格之日起的3个月内，乙方项目公司应委托具有相应资质的造价咨询公司（非预算编制公司）对本项目工程竣工结算进行审核。</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14.2 投资审核</w:t>
      </w:r>
    </w:p>
    <w:p>
      <w:pPr>
        <w:spacing w:after="160" w:line="360" w:lineRule="auto"/>
        <w:ind w:firstLine="480"/>
        <w:rPr>
          <w:rFonts w:ascii="宋体" w:hAnsi="宋体" w:eastAsia="宋体"/>
          <w:color w:val="000000" w:themeColor="text1"/>
        </w:rPr>
      </w:pPr>
      <w:r>
        <w:rPr>
          <w:rFonts w:ascii="宋体" w:hAnsi="宋体" w:eastAsia="宋体"/>
          <w:color w:val="000000" w:themeColor="text1"/>
        </w:rPr>
        <w:t>14.2.1乙方项目公司须在完成本项目、工程竣工备案手续之日起的6个月内，须委托合法的会计事务所完成工程竣工财务决算，明确工程投资。</w:t>
      </w:r>
    </w:p>
    <w:p>
      <w:pPr>
        <w:spacing w:after="160" w:line="360" w:lineRule="auto"/>
        <w:ind w:firstLine="480"/>
        <w:rPr>
          <w:rFonts w:ascii="宋体" w:hAnsi="宋体" w:eastAsia="宋体"/>
          <w:color w:val="000000" w:themeColor="text1"/>
        </w:rPr>
      </w:pPr>
      <w:r>
        <w:rPr>
          <w:rFonts w:ascii="宋体" w:hAnsi="宋体" w:eastAsia="宋体"/>
          <w:color w:val="000000" w:themeColor="text1"/>
        </w:rPr>
        <w:t>14.2.2乙方项目公司完成各项工程竣工财务决算后，应将经审核的工程竣工结算报告书和工程竣工财务决算报告书原件各一份分别报送甲方及其委托建管单位备案。</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14.3 投资控制责任</w:t>
      </w:r>
    </w:p>
    <w:p>
      <w:pPr>
        <w:spacing w:after="160" w:line="360" w:lineRule="auto"/>
        <w:ind w:firstLine="480"/>
        <w:rPr>
          <w:rFonts w:ascii="宋体" w:hAnsi="宋体" w:eastAsia="宋体"/>
          <w:color w:val="000000" w:themeColor="text1"/>
        </w:rPr>
      </w:pPr>
      <w:r>
        <w:rPr>
          <w:rFonts w:ascii="宋体" w:hAnsi="宋体" w:eastAsia="宋体"/>
          <w:color w:val="000000" w:themeColor="text1"/>
        </w:rPr>
        <w:t>14.3.1乙方项目公司如突破本项目批准投资额（含商业运营日之前融资利息）的，自行承担后果，不得以此向甲方提出给予补贴或延长运营期等相关要求。</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第15条 中央预算内资金的拨付</w:t>
      </w:r>
    </w:p>
    <w:p>
      <w:pPr>
        <w:spacing w:after="160" w:line="360" w:lineRule="auto"/>
        <w:ind w:firstLine="480"/>
        <w:rPr>
          <w:rFonts w:ascii="宋体" w:hAnsi="宋体" w:eastAsia="宋体"/>
          <w:color w:val="000000" w:themeColor="text1"/>
        </w:rPr>
      </w:pPr>
      <w:r>
        <w:rPr>
          <w:rFonts w:ascii="宋体" w:hAnsi="宋体" w:eastAsia="宋体"/>
          <w:color w:val="000000" w:themeColor="text1"/>
        </w:rPr>
        <w:t>根据《全国畜禽粪污资源化利用整县推进项目工作方案（2018-2020）》文件中规定，中央投资补助资金原则上分2年予以安排。甲方应根据项目施工进度情况以及中央补助资金到位情况及时给予乙方或项目公司相应资金补助。</w:t>
      </w:r>
    </w:p>
    <w:p>
      <w:pPr>
        <w:pStyle w:val="22"/>
        <w:spacing w:before="240" w:after="240" w:line="360" w:lineRule="auto"/>
        <w:outlineLvl w:val="2"/>
        <w:rPr>
          <w:rFonts w:ascii="宋体" w:hAnsi="宋体" w:eastAsia="宋体"/>
          <w:color w:val="000000" w:themeColor="text1"/>
        </w:rPr>
      </w:pPr>
      <w:bookmarkStart w:id="147" w:name="_Toc2240"/>
      <w:bookmarkStart w:id="148" w:name="_Toc3342"/>
      <w:bookmarkStart w:id="149" w:name="_Toc26620"/>
      <w:bookmarkStart w:id="150" w:name="_Toc14474"/>
      <w:bookmarkStart w:id="151" w:name="_Toc12254"/>
      <w:r>
        <w:rPr>
          <w:rFonts w:ascii="宋体" w:hAnsi="宋体" w:eastAsia="宋体"/>
          <w:color w:val="000000" w:themeColor="text1"/>
        </w:rPr>
        <w:t>第五章 项目的运营和维护</w:t>
      </w:r>
      <w:bookmarkEnd w:id="147"/>
      <w:bookmarkEnd w:id="148"/>
      <w:bookmarkEnd w:id="149"/>
      <w:bookmarkEnd w:id="150"/>
      <w:bookmarkEnd w:id="151"/>
    </w:p>
    <w:p>
      <w:pPr>
        <w:spacing w:after="160" w:line="360" w:lineRule="auto"/>
        <w:ind w:firstLine="482"/>
        <w:rPr>
          <w:rFonts w:ascii="宋体" w:hAnsi="宋体" w:eastAsia="宋体"/>
          <w:b/>
          <w:color w:val="000000" w:themeColor="text1"/>
        </w:rPr>
      </w:pPr>
      <w:r>
        <w:rPr>
          <w:rFonts w:ascii="宋体" w:hAnsi="宋体" w:eastAsia="宋体"/>
          <w:b/>
          <w:color w:val="000000" w:themeColor="text1"/>
        </w:rPr>
        <w:t>第16 条 运营与维护</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16.1 运营和维护的基本原则</w:t>
      </w:r>
    </w:p>
    <w:p>
      <w:pPr>
        <w:spacing w:after="160" w:line="360" w:lineRule="auto"/>
        <w:ind w:firstLine="480"/>
        <w:rPr>
          <w:rFonts w:ascii="宋体" w:hAnsi="宋体" w:eastAsia="宋体"/>
          <w:color w:val="000000" w:themeColor="text1"/>
        </w:rPr>
      </w:pPr>
      <w:r>
        <w:rPr>
          <w:rFonts w:ascii="宋体" w:hAnsi="宋体" w:eastAsia="宋体"/>
          <w:color w:val="000000" w:themeColor="text1"/>
        </w:rPr>
        <w:t>在整个运营期内，乙方项目公司应根据本协议的规定，自行承担费用（包括税费）和风险，管理、运营和维护设备设施。乙方项目公司应确保在整个运营期内，始终根据下列规定运营和维护本项目设施：</w:t>
      </w:r>
    </w:p>
    <w:p>
      <w:pPr>
        <w:spacing w:after="160" w:line="360" w:lineRule="auto"/>
        <w:ind w:firstLine="480"/>
        <w:rPr>
          <w:rFonts w:ascii="宋体" w:hAnsi="宋体" w:eastAsia="宋体"/>
          <w:color w:val="000000" w:themeColor="text1"/>
        </w:rPr>
      </w:pPr>
      <w:r>
        <w:rPr>
          <w:rFonts w:ascii="宋体" w:hAnsi="宋体" w:eastAsia="宋体"/>
          <w:color w:val="000000" w:themeColor="text1"/>
        </w:rPr>
        <w:t>16.1.1 适用法律和适用标准，以及本项目有关批准文件、乙方投标文件和本项目招标文件要求投标人必须响应的内容。</w:t>
      </w:r>
    </w:p>
    <w:p>
      <w:pPr>
        <w:spacing w:after="160" w:line="360" w:lineRule="auto"/>
        <w:ind w:firstLine="480"/>
        <w:rPr>
          <w:rFonts w:ascii="宋体" w:hAnsi="宋体" w:eastAsia="宋体"/>
          <w:color w:val="000000" w:themeColor="text1"/>
        </w:rPr>
      </w:pPr>
      <w:r>
        <w:rPr>
          <w:rFonts w:ascii="宋体" w:hAnsi="宋体" w:eastAsia="宋体"/>
          <w:color w:val="000000" w:themeColor="text1"/>
        </w:rPr>
        <w:t>16.1.2 项目运营质量保证、质量控制和安全生产的要求。</w:t>
      </w:r>
    </w:p>
    <w:p>
      <w:pPr>
        <w:spacing w:after="160" w:line="360" w:lineRule="auto"/>
        <w:ind w:firstLine="480"/>
        <w:rPr>
          <w:rFonts w:ascii="宋体" w:hAnsi="宋体" w:eastAsia="宋体"/>
          <w:color w:val="000000" w:themeColor="text1"/>
        </w:rPr>
      </w:pPr>
      <w:r>
        <w:rPr>
          <w:rFonts w:ascii="宋体" w:hAnsi="宋体" w:eastAsia="宋体"/>
          <w:color w:val="000000" w:themeColor="text1"/>
        </w:rPr>
        <w:t>16.1.3 运行维护手册以及本项目内设备制造商提供的说明手册和指导。</w:t>
      </w:r>
    </w:p>
    <w:p>
      <w:pPr>
        <w:spacing w:after="160" w:line="360" w:lineRule="auto"/>
        <w:ind w:firstLine="480"/>
        <w:rPr>
          <w:rFonts w:ascii="宋体" w:hAnsi="宋体" w:eastAsia="宋体"/>
          <w:color w:val="000000" w:themeColor="text1"/>
        </w:rPr>
      </w:pPr>
      <w:r>
        <w:rPr>
          <w:rFonts w:ascii="宋体" w:hAnsi="宋体" w:eastAsia="宋体"/>
          <w:color w:val="000000" w:themeColor="text1"/>
        </w:rPr>
        <w:t>16.1.4 乙方项目公司应确保本项目设施始终处于良好营运状态并能够安全稳定地运行。</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16.2 甲方运营期的责任</w:t>
      </w:r>
    </w:p>
    <w:p>
      <w:pPr>
        <w:spacing w:after="160" w:line="360" w:lineRule="auto"/>
        <w:ind w:firstLine="480"/>
        <w:rPr>
          <w:rFonts w:ascii="宋体" w:hAnsi="宋体" w:eastAsia="宋体"/>
          <w:color w:val="000000" w:themeColor="text1"/>
        </w:rPr>
      </w:pPr>
      <w:r>
        <w:rPr>
          <w:rFonts w:ascii="宋体" w:hAnsi="宋体" w:eastAsia="宋体"/>
          <w:color w:val="000000" w:themeColor="text1"/>
        </w:rPr>
        <w:t>16.2.1甲方配合乙方做好畜禽粪便收集工作，实行联系单制度，即畜牧部门核实养殖量，处理中心确定收集量，环保部门核实粪污产生量和收集量是否相符，税务部门依法确定环保税的征税额。保证处理中心能够健康运营，确保乙方要求收集数量的下限。同时成立相应的组织，协助乙方以约定价收购畜禽粪污和农作物秸杆。</w:t>
      </w:r>
    </w:p>
    <w:p>
      <w:pPr>
        <w:spacing w:after="160" w:line="360" w:lineRule="auto"/>
        <w:ind w:firstLine="480"/>
        <w:rPr>
          <w:rFonts w:ascii="宋体" w:hAnsi="宋体" w:eastAsia="宋体"/>
          <w:color w:val="000000" w:themeColor="text1"/>
        </w:rPr>
      </w:pPr>
      <w:r>
        <w:rPr>
          <w:rFonts w:ascii="宋体" w:hAnsi="宋体" w:eastAsia="宋体"/>
          <w:color w:val="000000" w:themeColor="text1"/>
        </w:rPr>
        <w:t>16.2.2 在整个特许经营期内，甲方应督促乙方项目公司认真执行适用法律、现行技术规范等适用标准。</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16.3 乙方项目公司运营期的责任</w:t>
      </w:r>
    </w:p>
    <w:p>
      <w:pPr>
        <w:spacing w:after="160" w:line="360" w:lineRule="auto"/>
        <w:ind w:firstLine="480"/>
        <w:rPr>
          <w:rFonts w:ascii="宋体" w:hAnsi="宋体" w:eastAsia="宋体"/>
          <w:color w:val="000000" w:themeColor="text1"/>
        </w:rPr>
      </w:pPr>
      <w:r>
        <w:rPr>
          <w:rFonts w:ascii="宋体" w:hAnsi="宋体" w:eastAsia="宋体"/>
          <w:color w:val="000000" w:themeColor="text1"/>
        </w:rPr>
        <w:t>16.3.1 从开始商业运营日起，乙方项目公司负责本项目的生产运营以及日常维护。</w:t>
      </w:r>
    </w:p>
    <w:p>
      <w:pPr>
        <w:spacing w:after="160" w:line="360" w:lineRule="auto"/>
        <w:ind w:firstLine="480"/>
        <w:rPr>
          <w:rFonts w:ascii="宋体" w:hAnsi="宋体" w:eastAsia="宋体"/>
          <w:color w:val="000000" w:themeColor="text1"/>
        </w:rPr>
      </w:pPr>
      <w:r>
        <w:rPr>
          <w:rFonts w:ascii="宋体" w:hAnsi="宋体" w:eastAsia="宋体"/>
          <w:color w:val="000000" w:themeColor="text1"/>
        </w:rPr>
        <w:t>16.3.2 乙方项目公司应按适用法律、适用标准以及谨慎运行惯例认真而有效地处理其业务与事务，向甲方提交反映其经营情况的各年度财务报表（包括资产负债表、损益表和现金流量表），并对其真实性、完整性负责。</w:t>
      </w:r>
    </w:p>
    <w:p>
      <w:pPr>
        <w:spacing w:after="160" w:line="360" w:lineRule="auto"/>
        <w:ind w:firstLine="480"/>
        <w:rPr>
          <w:rFonts w:ascii="宋体" w:hAnsi="宋体" w:eastAsia="宋体"/>
          <w:color w:val="000000" w:themeColor="text1"/>
        </w:rPr>
      </w:pPr>
      <w:r>
        <w:rPr>
          <w:rFonts w:ascii="宋体" w:hAnsi="宋体" w:eastAsia="宋体"/>
          <w:color w:val="000000" w:themeColor="text1"/>
        </w:rPr>
        <w:t>16.3.3 乙方项目公司应对本项目设施的状况及性能建立定期巡查、保养、检测、维修制度，适时更新，并承担相应的费用。对各项设施的图纸资料进行收集、归类和整理，建立和健全公用设施信息化管理系统，保持生产设施处于良好使用状态，并在甲方的要求下将设施运行情况报告给甲方。</w:t>
      </w:r>
    </w:p>
    <w:p>
      <w:pPr>
        <w:spacing w:after="160" w:line="360" w:lineRule="auto"/>
        <w:ind w:firstLine="480"/>
        <w:rPr>
          <w:rFonts w:ascii="宋体" w:hAnsi="宋体" w:eastAsia="宋体"/>
          <w:color w:val="000000" w:themeColor="text1"/>
        </w:rPr>
      </w:pPr>
      <w:r>
        <w:rPr>
          <w:rFonts w:ascii="宋体" w:hAnsi="宋体" w:eastAsia="宋体"/>
          <w:color w:val="000000" w:themeColor="text1"/>
        </w:rPr>
        <w:t>16.3.4 乙方项目公司在日常生产经营活动中，须充分考虑环境影响，维护生态环境。</w:t>
      </w:r>
    </w:p>
    <w:p>
      <w:pPr>
        <w:spacing w:after="160" w:line="360" w:lineRule="auto"/>
        <w:ind w:firstLine="480"/>
        <w:rPr>
          <w:rFonts w:ascii="宋体" w:hAnsi="宋体" w:eastAsia="宋体"/>
          <w:color w:val="000000" w:themeColor="text1"/>
        </w:rPr>
      </w:pPr>
      <w:r>
        <w:rPr>
          <w:rFonts w:ascii="宋体" w:hAnsi="宋体" w:eastAsia="宋体"/>
          <w:color w:val="000000" w:themeColor="text1"/>
        </w:rPr>
        <w:t>16.3.5 乙方项目公司应建立完善的安全生产制度和意外事故的应急机制，制定应急预案并报甲方备案，并按要求定期进行应急预案演练，且每次演练计划及结果应报送甲方及相关部门；乙方项目公司应保障生产和服务的稳定和安全，防止事故发生。如出现重大意外事故，乙方项目公司应及时通报甲方，并尽最大人力、物力进行抢救，尽快恢复生产与服务；在事故影响期间，乙方项目公司应采取各种应急措施进行补救，最大限度地减少事故对公众和环境的影响。</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16.4 运行与维护手册</w:t>
      </w:r>
    </w:p>
    <w:p>
      <w:pPr>
        <w:spacing w:after="160" w:line="360" w:lineRule="auto"/>
        <w:ind w:firstLine="480"/>
        <w:rPr>
          <w:rFonts w:ascii="宋体" w:hAnsi="宋体" w:eastAsia="宋体"/>
          <w:color w:val="000000" w:themeColor="text1"/>
        </w:rPr>
      </w:pPr>
      <w:r>
        <w:rPr>
          <w:rFonts w:ascii="宋体" w:hAnsi="宋体" w:eastAsia="宋体"/>
          <w:color w:val="000000" w:themeColor="text1"/>
        </w:rPr>
        <w:t>在开始商业运营之前，乙方项目公司应根据所适用的法律、适用标准和谨慎运营惯例编制运行与维护手册。该手册应包括生产运行、日常维护、设备检修内容、程序和频率等事项，该手册应列明区域处理中心正常运营所需的消耗性备品备件和事故抢修的备品备件，并在开始商业运营日之前报送甲方备查。</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16.5 公共安全和环境保护</w:t>
      </w:r>
    </w:p>
    <w:p>
      <w:pPr>
        <w:spacing w:after="160" w:line="360" w:lineRule="auto"/>
        <w:ind w:firstLine="480"/>
        <w:rPr>
          <w:rFonts w:ascii="宋体" w:hAnsi="宋体" w:eastAsia="宋体"/>
          <w:color w:val="000000" w:themeColor="text1"/>
        </w:rPr>
      </w:pPr>
      <w:r>
        <w:rPr>
          <w:rFonts w:ascii="宋体" w:hAnsi="宋体" w:eastAsia="宋体"/>
          <w:color w:val="000000" w:themeColor="text1"/>
        </w:rPr>
        <w:t>16.5.1 乙方项目公司应始终遵守有关公共卫生和安全的适用法律、适用标准及本协议的规定。</w:t>
      </w:r>
    </w:p>
    <w:p>
      <w:pPr>
        <w:spacing w:after="160" w:line="360" w:lineRule="auto"/>
        <w:ind w:firstLine="480"/>
        <w:rPr>
          <w:rFonts w:ascii="宋体" w:hAnsi="宋体" w:eastAsia="宋体"/>
          <w:color w:val="000000" w:themeColor="text1"/>
        </w:rPr>
      </w:pPr>
      <w:r>
        <w:rPr>
          <w:rFonts w:ascii="宋体" w:hAnsi="宋体" w:eastAsia="宋体"/>
          <w:color w:val="000000" w:themeColor="text1"/>
        </w:rPr>
        <w:t>16.5.2 如果本项目或其任何部分在运营中因违反适用法律和适用标准而存在严重安全隐患，甲方可以通知要求乙方项目公司在规定的时间内使本项目达到安全要求，并可限制人员进入场地或限制乙方项目公司运营，直至甲方合理地认为区域处理中心的安全状况令其满意为止。乙方项目公司不得以上述限制而向甲方提出任何补偿要求。</w:t>
      </w:r>
    </w:p>
    <w:p>
      <w:pPr>
        <w:spacing w:after="160" w:line="360" w:lineRule="auto"/>
        <w:ind w:firstLine="480"/>
        <w:rPr>
          <w:rFonts w:ascii="宋体" w:hAnsi="宋体" w:eastAsia="宋体"/>
          <w:color w:val="000000" w:themeColor="text1"/>
        </w:rPr>
      </w:pPr>
      <w:r>
        <w:rPr>
          <w:rFonts w:ascii="宋体" w:hAnsi="宋体" w:eastAsia="宋体"/>
          <w:color w:val="000000" w:themeColor="text1"/>
        </w:rPr>
        <w:t>16.5.3 乙方项目公司不得因项目设施的建设、运营和维护而造成区域处理中心场地和排水干管、土地（包括土壤、地下水或地表水及空气）或周围环境的污染。</w:t>
      </w:r>
    </w:p>
    <w:p>
      <w:pPr>
        <w:spacing w:after="160" w:line="360" w:lineRule="auto"/>
        <w:ind w:firstLine="480"/>
        <w:rPr>
          <w:rFonts w:ascii="宋体" w:hAnsi="宋体" w:eastAsia="宋体"/>
          <w:color w:val="000000" w:themeColor="text1"/>
        </w:rPr>
      </w:pPr>
      <w:r>
        <w:rPr>
          <w:rFonts w:ascii="宋体" w:hAnsi="宋体" w:eastAsia="宋体"/>
          <w:color w:val="000000" w:themeColor="text1"/>
        </w:rPr>
        <w:t>16.5.4 乙方项目公司在项目设施的建设、运营和维护期间应采取一切合理措施来避免或最大限度减少对项目设施周围建筑物和居民区的干扰损害。</w:t>
      </w:r>
    </w:p>
    <w:p>
      <w:pPr>
        <w:spacing w:after="160" w:line="360" w:lineRule="auto"/>
        <w:ind w:firstLine="480"/>
        <w:rPr>
          <w:rFonts w:ascii="宋体" w:hAnsi="宋体" w:eastAsia="宋体"/>
          <w:color w:val="000000" w:themeColor="text1"/>
        </w:rPr>
      </w:pPr>
      <w:r>
        <w:rPr>
          <w:rFonts w:ascii="宋体" w:hAnsi="宋体" w:eastAsia="宋体"/>
          <w:color w:val="000000" w:themeColor="text1"/>
        </w:rPr>
        <w:t>16.5.5 如果乙方项目公司造成上述公共安生、环境污染和干扰与损害的，由乙方项目公司负责排除与赔偿。但乙方项目公司对于以下任何一种情形不承担责任：</w:t>
      </w:r>
    </w:p>
    <w:p>
      <w:pPr>
        <w:spacing w:after="160" w:line="360" w:lineRule="auto"/>
        <w:ind w:firstLine="480"/>
        <w:rPr>
          <w:rFonts w:ascii="宋体" w:hAnsi="宋体" w:eastAsia="宋体"/>
          <w:color w:val="000000" w:themeColor="text1"/>
        </w:rPr>
      </w:pPr>
      <w:r>
        <w:rPr>
          <w:rFonts w:ascii="宋体" w:hAnsi="宋体" w:eastAsia="宋体"/>
          <w:color w:val="000000" w:themeColor="text1"/>
        </w:rPr>
        <w:t>（1）本协议生效日期前已经存在的或潜在的；</w:t>
      </w:r>
    </w:p>
    <w:p>
      <w:pPr>
        <w:spacing w:after="160" w:line="360" w:lineRule="auto"/>
        <w:ind w:firstLine="480"/>
        <w:rPr>
          <w:rFonts w:ascii="宋体" w:hAnsi="宋体" w:eastAsia="宋体"/>
          <w:color w:val="000000" w:themeColor="text1"/>
        </w:rPr>
      </w:pPr>
      <w:r>
        <w:rPr>
          <w:rFonts w:ascii="宋体" w:hAnsi="宋体" w:eastAsia="宋体"/>
          <w:color w:val="000000" w:themeColor="text1"/>
        </w:rPr>
        <w:t>（2）或者因第三方的作为或不作为引起的；</w:t>
      </w:r>
    </w:p>
    <w:p>
      <w:pPr>
        <w:spacing w:after="160" w:line="360" w:lineRule="auto"/>
        <w:ind w:firstLine="480"/>
        <w:rPr>
          <w:rFonts w:ascii="宋体" w:hAnsi="宋体" w:eastAsia="宋体"/>
          <w:color w:val="000000" w:themeColor="text1"/>
        </w:rPr>
      </w:pPr>
      <w:r>
        <w:rPr>
          <w:rFonts w:ascii="宋体" w:hAnsi="宋体" w:eastAsia="宋体"/>
          <w:color w:val="000000" w:themeColor="text1"/>
        </w:rPr>
        <w:t>（3）或者甲方导致的环境污染及安全隐患。</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16.6 甲方进入生产现场</w:t>
      </w:r>
    </w:p>
    <w:p>
      <w:pPr>
        <w:spacing w:after="160" w:line="360" w:lineRule="auto"/>
        <w:ind w:firstLine="480"/>
        <w:rPr>
          <w:rFonts w:ascii="宋体" w:hAnsi="宋体" w:eastAsia="宋体"/>
          <w:color w:val="000000" w:themeColor="text1"/>
        </w:rPr>
      </w:pPr>
      <w:r>
        <w:rPr>
          <w:rFonts w:ascii="宋体" w:hAnsi="宋体" w:eastAsia="宋体"/>
          <w:color w:val="000000" w:themeColor="text1"/>
        </w:rPr>
        <w:t>甲方代表有权在任何时候进入区域处理中心，按照相关规定对区域处理中心设施的运营和维护进行监察，但甲方不得干涉、延误或干扰乙方项目公司履行其在本协议项下的义务。甲方有权要求乙方项目公司提交与生产、经营有关的报表、报告和资料，但甲方应履行保密义务，不得向任何第三人泄漏（政府相关管理机构行使行政职权的除外）。</w:t>
      </w:r>
    </w:p>
    <w:p>
      <w:pPr>
        <w:pStyle w:val="22"/>
        <w:spacing w:before="240" w:after="240" w:line="360" w:lineRule="auto"/>
        <w:outlineLvl w:val="2"/>
        <w:rPr>
          <w:rFonts w:ascii="宋体" w:hAnsi="宋体" w:eastAsia="宋体"/>
          <w:color w:val="000000" w:themeColor="text1"/>
        </w:rPr>
      </w:pPr>
      <w:bookmarkStart w:id="152" w:name="_Toc2151"/>
      <w:bookmarkStart w:id="153" w:name="_Toc19802"/>
      <w:bookmarkStart w:id="154" w:name="_Toc14955"/>
      <w:bookmarkStart w:id="155" w:name="_Toc32240"/>
      <w:bookmarkStart w:id="156" w:name="_Toc5291"/>
      <w:r>
        <w:rPr>
          <w:rFonts w:ascii="宋体" w:hAnsi="宋体" w:eastAsia="宋体"/>
          <w:color w:val="000000" w:themeColor="text1"/>
        </w:rPr>
        <w:t>第六章 不可抗力</w:t>
      </w:r>
      <w:bookmarkEnd w:id="152"/>
      <w:bookmarkEnd w:id="153"/>
      <w:bookmarkEnd w:id="154"/>
      <w:bookmarkEnd w:id="155"/>
      <w:bookmarkEnd w:id="156"/>
    </w:p>
    <w:p>
      <w:pPr>
        <w:spacing w:after="160" w:line="360" w:lineRule="auto"/>
        <w:ind w:firstLine="482"/>
        <w:rPr>
          <w:rFonts w:ascii="宋体" w:hAnsi="宋体" w:eastAsia="宋体"/>
          <w:b/>
          <w:color w:val="000000" w:themeColor="text1"/>
        </w:rPr>
      </w:pPr>
      <w:r>
        <w:rPr>
          <w:rFonts w:ascii="宋体" w:hAnsi="宋体" w:eastAsia="宋体"/>
          <w:b/>
          <w:color w:val="000000" w:themeColor="text1"/>
        </w:rPr>
        <w:t>第17 条 不可抗力</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17.1 不可抗力</w:t>
      </w:r>
    </w:p>
    <w:p>
      <w:pPr>
        <w:spacing w:after="160" w:line="360" w:lineRule="auto"/>
        <w:ind w:firstLine="480"/>
        <w:rPr>
          <w:rFonts w:ascii="宋体" w:hAnsi="宋体" w:eastAsia="宋体"/>
          <w:color w:val="000000" w:themeColor="text1"/>
        </w:rPr>
      </w:pPr>
      <w:r>
        <w:rPr>
          <w:rFonts w:ascii="宋体" w:hAnsi="宋体" w:eastAsia="宋体"/>
          <w:color w:val="000000" w:themeColor="text1"/>
        </w:rPr>
        <w:t>不可抗力是指在签订本协议时不能合理预见的、不能克服和不能避免的事件或情形。以满足上述条件为前提，不可抗力包括但不限于：</w:t>
      </w:r>
    </w:p>
    <w:p>
      <w:pPr>
        <w:spacing w:after="160" w:line="360" w:lineRule="auto"/>
        <w:ind w:firstLine="480"/>
        <w:rPr>
          <w:rFonts w:ascii="宋体" w:hAnsi="宋体" w:eastAsia="宋体"/>
          <w:color w:val="000000" w:themeColor="text1"/>
        </w:rPr>
      </w:pPr>
      <w:r>
        <w:rPr>
          <w:rFonts w:ascii="宋体" w:hAnsi="宋体" w:eastAsia="宋体"/>
          <w:color w:val="000000" w:themeColor="text1"/>
        </w:rPr>
        <w:t>17.1.1 雷电、地震、火山爆发、滑坡、水灾、暴雨、海啸、台风、龙卷风或旱灾；</w:t>
      </w:r>
    </w:p>
    <w:p>
      <w:pPr>
        <w:spacing w:after="160" w:line="360" w:lineRule="auto"/>
        <w:ind w:firstLine="480"/>
        <w:rPr>
          <w:rFonts w:ascii="宋体" w:hAnsi="宋体" w:eastAsia="宋体"/>
          <w:color w:val="000000" w:themeColor="text1"/>
        </w:rPr>
      </w:pPr>
      <w:r>
        <w:rPr>
          <w:rFonts w:ascii="宋体" w:hAnsi="宋体" w:eastAsia="宋体"/>
          <w:color w:val="000000" w:themeColor="text1"/>
        </w:rPr>
        <w:t>17.1.2 流行病、瘟疫爆发；</w:t>
      </w:r>
    </w:p>
    <w:p>
      <w:pPr>
        <w:spacing w:after="160" w:line="360" w:lineRule="auto"/>
        <w:ind w:firstLine="480"/>
        <w:rPr>
          <w:rFonts w:ascii="宋体" w:hAnsi="宋体" w:eastAsia="宋体"/>
          <w:color w:val="000000" w:themeColor="text1"/>
        </w:rPr>
      </w:pPr>
      <w:r>
        <w:rPr>
          <w:rFonts w:ascii="宋体" w:hAnsi="宋体" w:eastAsia="宋体"/>
          <w:color w:val="000000" w:themeColor="text1"/>
        </w:rPr>
        <w:t>17.1.3 战争行为、入侵、武装冲突或外敌行为、封锁或军事力量的使用，暴乱或恐怖行为；</w:t>
      </w:r>
    </w:p>
    <w:p>
      <w:pPr>
        <w:spacing w:after="160" w:line="360" w:lineRule="auto"/>
        <w:ind w:firstLine="480"/>
        <w:rPr>
          <w:rFonts w:ascii="宋体" w:hAnsi="宋体" w:eastAsia="宋体"/>
          <w:color w:val="000000" w:themeColor="text1"/>
        </w:rPr>
      </w:pPr>
      <w:r>
        <w:rPr>
          <w:rFonts w:ascii="宋体" w:hAnsi="宋体" w:eastAsia="宋体"/>
          <w:color w:val="000000" w:themeColor="text1"/>
        </w:rPr>
        <w:t>17.1.4 全国性、地区性、城市性或行业性罢工；</w:t>
      </w:r>
    </w:p>
    <w:p>
      <w:pPr>
        <w:spacing w:after="160" w:line="360" w:lineRule="auto"/>
        <w:ind w:firstLine="480"/>
        <w:rPr>
          <w:rFonts w:ascii="宋体" w:hAnsi="宋体" w:eastAsia="宋体"/>
          <w:color w:val="000000" w:themeColor="text1"/>
        </w:rPr>
      </w:pPr>
      <w:r>
        <w:rPr>
          <w:rFonts w:ascii="宋体" w:hAnsi="宋体" w:eastAsia="宋体"/>
          <w:color w:val="000000" w:themeColor="text1"/>
        </w:rPr>
        <w:t>17.1.5 由于不能归因于双方的原因引起的本项目连续超过一个月以上的供电中断。</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17.2 积极补救不可抗力的义务</w:t>
      </w:r>
    </w:p>
    <w:p>
      <w:pPr>
        <w:spacing w:after="160" w:line="360" w:lineRule="auto"/>
        <w:ind w:firstLine="480"/>
        <w:rPr>
          <w:rFonts w:ascii="宋体" w:hAnsi="宋体" w:eastAsia="宋体"/>
          <w:color w:val="000000" w:themeColor="text1"/>
        </w:rPr>
      </w:pPr>
      <w:r>
        <w:rPr>
          <w:rFonts w:ascii="宋体" w:hAnsi="宋体" w:eastAsia="宋体"/>
          <w:color w:val="000000" w:themeColor="text1"/>
        </w:rPr>
        <w:t>17.2.1 尽快向对方通告事件或情况的发生，对事件或情况的预计持续时间和本方在本协议项下履行义务的可能影响作出估计；</w:t>
      </w:r>
    </w:p>
    <w:p>
      <w:pPr>
        <w:spacing w:after="160" w:line="360" w:lineRule="auto"/>
        <w:ind w:firstLine="480"/>
        <w:rPr>
          <w:rFonts w:ascii="宋体" w:hAnsi="宋体" w:eastAsia="宋体"/>
          <w:color w:val="000000" w:themeColor="text1"/>
        </w:rPr>
      </w:pPr>
      <w:r>
        <w:rPr>
          <w:rFonts w:ascii="宋体" w:hAnsi="宋体" w:eastAsia="宋体"/>
          <w:color w:val="000000" w:themeColor="text1"/>
        </w:rPr>
        <w:t>17.2.2 作出一切合理努力以继续履行本方在本协议项下的义务；</w:t>
      </w:r>
    </w:p>
    <w:p>
      <w:pPr>
        <w:spacing w:after="160" w:line="360" w:lineRule="auto"/>
        <w:ind w:firstLine="480"/>
        <w:rPr>
          <w:rFonts w:ascii="宋体" w:hAnsi="宋体" w:eastAsia="宋体"/>
          <w:color w:val="000000" w:themeColor="text1"/>
        </w:rPr>
      </w:pPr>
      <w:r>
        <w:rPr>
          <w:rFonts w:ascii="宋体" w:hAnsi="宋体" w:eastAsia="宋体"/>
          <w:color w:val="000000" w:themeColor="text1"/>
        </w:rPr>
        <w:t>17.2.3 尽快采取行动纠正或补救造成免于履行义务的事件或情况；</w:t>
      </w:r>
    </w:p>
    <w:p>
      <w:pPr>
        <w:spacing w:after="160" w:line="360" w:lineRule="auto"/>
        <w:ind w:firstLine="480"/>
        <w:rPr>
          <w:rFonts w:ascii="宋体" w:hAnsi="宋体" w:eastAsia="宋体"/>
          <w:color w:val="000000" w:themeColor="text1"/>
        </w:rPr>
      </w:pPr>
      <w:r>
        <w:rPr>
          <w:rFonts w:ascii="宋体" w:hAnsi="宋体" w:eastAsia="宋体"/>
          <w:color w:val="000000" w:themeColor="text1"/>
        </w:rPr>
        <w:t>17.2.4 作出一切合理努力以减轻或限制对对方造成的损害；</w:t>
      </w:r>
    </w:p>
    <w:p>
      <w:pPr>
        <w:spacing w:after="160" w:line="360" w:lineRule="auto"/>
        <w:ind w:firstLine="480"/>
        <w:rPr>
          <w:rFonts w:ascii="宋体" w:hAnsi="宋体" w:eastAsia="宋体"/>
          <w:color w:val="000000" w:themeColor="text1"/>
        </w:rPr>
      </w:pPr>
      <w:r>
        <w:rPr>
          <w:rFonts w:ascii="宋体" w:hAnsi="宋体" w:eastAsia="宋体"/>
          <w:color w:val="000000" w:themeColor="text1"/>
        </w:rPr>
        <w:t>17.2.5 将本方根据第15.5.2 条、第15.2.3 条、第15.3.3 条采取的行动或行动计划定期通告对方，并在导致本方免于履行义务的事件或情况不再存在时立即通知对方。</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17.3 不可抗力的处理办法</w:t>
      </w:r>
    </w:p>
    <w:p>
      <w:pPr>
        <w:spacing w:after="160" w:line="360" w:lineRule="auto"/>
        <w:ind w:firstLine="480"/>
        <w:rPr>
          <w:rFonts w:ascii="宋体" w:hAnsi="宋体" w:eastAsia="宋体"/>
          <w:color w:val="000000" w:themeColor="text1"/>
        </w:rPr>
      </w:pPr>
      <w:r>
        <w:rPr>
          <w:rFonts w:ascii="宋体" w:hAnsi="宋体" w:eastAsia="宋体"/>
          <w:color w:val="000000" w:themeColor="text1"/>
        </w:rPr>
        <w:t>17.3.1 如果任何不可抗力事件阻止一方履行其义务的时间，自该不可抗力发生日起连续超过45日的，双方应本着诚信平等的原则，协商继续履行本协议的条件和重新履行本协议的时间。</w:t>
      </w:r>
    </w:p>
    <w:p>
      <w:pPr>
        <w:spacing w:after="160" w:line="360" w:lineRule="auto"/>
        <w:ind w:firstLine="480"/>
        <w:rPr>
          <w:rFonts w:ascii="宋体" w:hAnsi="宋体" w:eastAsia="宋体"/>
          <w:color w:val="000000" w:themeColor="text1"/>
        </w:rPr>
      </w:pPr>
      <w:r>
        <w:rPr>
          <w:rFonts w:ascii="宋体" w:hAnsi="宋体" w:eastAsia="宋体"/>
          <w:color w:val="000000" w:themeColor="text1"/>
        </w:rPr>
        <w:t>17.3.2 如果自不可抗力发生后150日之内双方达成一致意见的，则继续履行在本协议项下的义务。乙方项目公司因不可抗力造成的损失，应由保险获得补偿，同时甲方可依据不可抗力造成的实施时间损失给予延长特许经营期。</w:t>
      </w:r>
    </w:p>
    <w:p>
      <w:pPr>
        <w:spacing w:after="160" w:line="360" w:lineRule="auto"/>
        <w:ind w:firstLine="480"/>
        <w:rPr>
          <w:rFonts w:ascii="宋体" w:hAnsi="宋体" w:eastAsia="宋体"/>
          <w:color w:val="000000" w:themeColor="text1"/>
        </w:rPr>
      </w:pPr>
      <w:r>
        <w:rPr>
          <w:rFonts w:ascii="宋体" w:hAnsi="宋体" w:eastAsia="宋体"/>
          <w:color w:val="000000" w:themeColor="text1"/>
        </w:rPr>
        <w:t>17.3.3 如果自不可抗力发生后150日之内双方不能内达成一致意见，并且将会对本项目顺利实施造成实质性影响时，任何一方均可以按第24条书面通知另一方提前终止本协议。</w:t>
      </w:r>
    </w:p>
    <w:p>
      <w:pPr>
        <w:pStyle w:val="22"/>
        <w:spacing w:before="240" w:after="240" w:line="360" w:lineRule="auto"/>
        <w:outlineLvl w:val="2"/>
        <w:rPr>
          <w:rFonts w:ascii="宋体" w:hAnsi="宋体" w:eastAsia="宋体"/>
          <w:color w:val="000000" w:themeColor="text1"/>
        </w:rPr>
      </w:pPr>
      <w:bookmarkStart w:id="157" w:name="_Toc649"/>
      <w:bookmarkStart w:id="158" w:name="_Toc19209"/>
      <w:bookmarkStart w:id="159" w:name="_Toc17990"/>
      <w:bookmarkStart w:id="160" w:name="_Toc17225"/>
      <w:bookmarkStart w:id="161" w:name="_Toc20864"/>
      <w:r>
        <w:rPr>
          <w:rFonts w:ascii="宋体" w:hAnsi="宋体" w:eastAsia="宋体"/>
          <w:color w:val="000000" w:themeColor="text1"/>
        </w:rPr>
        <w:t>第七章 甲方和乙方项目公司共同的一般权利和义务</w:t>
      </w:r>
      <w:bookmarkEnd w:id="157"/>
      <w:bookmarkEnd w:id="158"/>
      <w:bookmarkEnd w:id="159"/>
      <w:bookmarkEnd w:id="160"/>
      <w:bookmarkEnd w:id="161"/>
    </w:p>
    <w:p>
      <w:pPr>
        <w:spacing w:after="160" w:line="360" w:lineRule="auto"/>
        <w:ind w:firstLine="482"/>
        <w:rPr>
          <w:rFonts w:ascii="宋体" w:hAnsi="宋体" w:eastAsia="宋体"/>
          <w:b/>
          <w:color w:val="000000" w:themeColor="text1"/>
        </w:rPr>
      </w:pPr>
      <w:r>
        <w:rPr>
          <w:rFonts w:ascii="宋体" w:hAnsi="宋体" w:eastAsia="宋体"/>
          <w:b/>
          <w:color w:val="000000" w:themeColor="text1"/>
        </w:rPr>
        <w:t>第18 条 甲方和乙方项目公司共同的一般权利和义务</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18.1 保密</w:t>
      </w:r>
    </w:p>
    <w:p>
      <w:pPr>
        <w:spacing w:after="160" w:line="360" w:lineRule="auto"/>
        <w:ind w:firstLine="480"/>
        <w:rPr>
          <w:rFonts w:ascii="宋体" w:hAnsi="宋体" w:eastAsia="宋体"/>
          <w:color w:val="000000" w:themeColor="text1"/>
        </w:rPr>
      </w:pPr>
      <w:r>
        <w:rPr>
          <w:rFonts w:ascii="宋体" w:hAnsi="宋体" w:eastAsia="宋体"/>
          <w:color w:val="000000" w:themeColor="text1"/>
        </w:rPr>
        <w:t>18.1.1 任何一方或其雇员、承包商、顾问或代理人获得的所有资料和文件（不论是财务、技术或其它方面，但不包括与项目进展有关的非敏感信息），如果尚未公布即应保密，未经另一方事先书面同意，在本项目特许经营期满3年期间不得向第三方透露或公开，但是适用法律要求公开的信息除外。</w:t>
      </w:r>
    </w:p>
    <w:p>
      <w:pPr>
        <w:spacing w:after="160" w:line="360" w:lineRule="auto"/>
        <w:ind w:firstLine="480"/>
        <w:rPr>
          <w:rFonts w:ascii="宋体" w:hAnsi="宋体" w:eastAsia="宋体"/>
          <w:color w:val="000000" w:themeColor="text1"/>
        </w:rPr>
      </w:pPr>
      <w:r>
        <w:rPr>
          <w:rFonts w:ascii="宋体" w:hAnsi="宋体" w:eastAsia="宋体"/>
          <w:color w:val="000000" w:themeColor="text1"/>
        </w:rPr>
        <w:t>18.1.2 本保密承诺在协议终止后仍然有效。</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18.2 合作义务，预先警告义务</w:t>
      </w:r>
    </w:p>
    <w:p>
      <w:pPr>
        <w:spacing w:after="160" w:line="360" w:lineRule="auto"/>
        <w:ind w:firstLine="480"/>
        <w:rPr>
          <w:rFonts w:ascii="宋体" w:hAnsi="宋体" w:eastAsia="宋体"/>
          <w:color w:val="000000" w:themeColor="text1"/>
        </w:rPr>
      </w:pPr>
      <w:r>
        <w:rPr>
          <w:rFonts w:ascii="宋体" w:hAnsi="宋体" w:eastAsia="宋体"/>
          <w:color w:val="000000" w:themeColor="text1"/>
        </w:rPr>
        <w:t>双方应相互合作以达到本协议的目的，并应善意地行使和履行各自在本协议项下的权利和义务。在此前提下，双方同意：</w:t>
      </w:r>
    </w:p>
    <w:p>
      <w:pPr>
        <w:spacing w:after="160" w:line="360" w:lineRule="auto"/>
        <w:ind w:firstLine="480"/>
        <w:rPr>
          <w:rFonts w:ascii="宋体" w:hAnsi="宋体" w:eastAsia="宋体"/>
          <w:color w:val="000000" w:themeColor="text1"/>
        </w:rPr>
      </w:pPr>
      <w:r>
        <w:rPr>
          <w:rFonts w:ascii="宋体" w:hAnsi="宋体" w:eastAsia="宋体"/>
          <w:color w:val="000000" w:themeColor="text1"/>
        </w:rPr>
        <w:t>18.2.1 除本协议另有规定外，当一方要求取得另一方的同意时，被要求方应在10 日或其它合理所需的时间内给予同意或批准，而不可以无理拒绝或迟延给予该等同意或批准；</w:t>
      </w:r>
    </w:p>
    <w:p>
      <w:pPr>
        <w:spacing w:after="160" w:line="360" w:lineRule="auto"/>
        <w:ind w:firstLine="480"/>
        <w:rPr>
          <w:rFonts w:ascii="宋体" w:hAnsi="宋体" w:eastAsia="宋体"/>
          <w:color w:val="000000" w:themeColor="text1"/>
        </w:rPr>
      </w:pPr>
      <w:r>
        <w:rPr>
          <w:rFonts w:ascii="宋体" w:hAnsi="宋体" w:eastAsia="宋体"/>
          <w:color w:val="000000" w:themeColor="text1"/>
        </w:rPr>
        <w:t>18.2.2 如果任何一方获悉的任何事件或情形属于：</w:t>
      </w:r>
    </w:p>
    <w:p>
      <w:pPr>
        <w:spacing w:after="160" w:line="360" w:lineRule="auto"/>
        <w:ind w:firstLine="480"/>
        <w:rPr>
          <w:rFonts w:ascii="宋体" w:hAnsi="宋体" w:eastAsia="宋体"/>
          <w:color w:val="000000" w:themeColor="text1"/>
        </w:rPr>
      </w:pPr>
      <w:r>
        <w:rPr>
          <w:rFonts w:ascii="宋体" w:hAnsi="宋体" w:eastAsia="宋体"/>
          <w:color w:val="000000" w:themeColor="text1"/>
        </w:rPr>
        <w:t>（1） 经该方合理预计将对任何一方履行其本协议项下的义务或实施项目的能力造成重大不利影响的事件或情形；</w:t>
      </w:r>
    </w:p>
    <w:p>
      <w:pPr>
        <w:spacing w:after="160" w:line="360" w:lineRule="auto"/>
        <w:ind w:firstLine="480"/>
        <w:rPr>
          <w:rFonts w:ascii="宋体" w:hAnsi="宋体" w:eastAsia="宋体"/>
          <w:color w:val="000000" w:themeColor="text1"/>
        </w:rPr>
      </w:pPr>
      <w:r>
        <w:rPr>
          <w:rFonts w:ascii="宋体" w:hAnsi="宋体" w:eastAsia="宋体"/>
          <w:color w:val="000000" w:themeColor="text1"/>
        </w:rPr>
        <w:t>（2）合理预计另一方不可能获悉该事件或情形；则该方应尽快将该事件或情形通知另一方。</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第19 条 甲方的一般义务</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19.1 不干预</w:t>
      </w:r>
    </w:p>
    <w:p>
      <w:pPr>
        <w:spacing w:after="160" w:line="360" w:lineRule="auto"/>
        <w:ind w:firstLine="480"/>
        <w:rPr>
          <w:rFonts w:ascii="宋体" w:hAnsi="宋体" w:eastAsia="宋体"/>
          <w:color w:val="000000" w:themeColor="text1"/>
        </w:rPr>
      </w:pPr>
      <w:r>
        <w:rPr>
          <w:rFonts w:ascii="宋体" w:hAnsi="宋体" w:eastAsia="宋体"/>
          <w:color w:val="000000" w:themeColor="text1"/>
        </w:rPr>
        <w:t>甲方不得干预乙方项目公司的本项目内部管理事务，除非出现第5.5.6条的紧急情况和本协议条款的执行受到影响。</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第20 条 乙方项目公司的一般义务</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20.1 遵守适用法律</w:t>
      </w:r>
    </w:p>
    <w:p>
      <w:pPr>
        <w:spacing w:after="160" w:line="360" w:lineRule="auto"/>
        <w:ind w:firstLine="480"/>
        <w:rPr>
          <w:rFonts w:ascii="宋体" w:hAnsi="宋体" w:eastAsia="宋体"/>
          <w:color w:val="000000" w:themeColor="text1"/>
        </w:rPr>
      </w:pPr>
      <w:r>
        <w:rPr>
          <w:rFonts w:ascii="宋体" w:hAnsi="宋体" w:eastAsia="宋体"/>
          <w:color w:val="000000" w:themeColor="text1"/>
        </w:rPr>
        <w:t>乙方项目公司履行本协议项下的义务时应始终遵守适用法律的规定，并承担法律责任。</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20.2 劳动与安全</w:t>
      </w:r>
    </w:p>
    <w:p>
      <w:pPr>
        <w:spacing w:after="160" w:line="360" w:lineRule="auto"/>
        <w:ind w:firstLine="480"/>
        <w:rPr>
          <w:rFonts w:ascii="宋体" w:hAnsi="宋体" w:eastAsia="宋体"/>
          <w:color w:val="000000" w:themeColor="text1"/>
        </w:rPr>
      </w:pPr>
      <w:r>
        <w:rPr>
          <w:rFonts w:ascii="宋体" w:hAnsi="宋体" w:eastAsia="宋体"/>
          <w:color w:val="000000" w:themeColor="text1"/>
        </w:rPr>
        <w:t>20.2.1 乙方项目公司按适用法律、适用标准自主聘请符合要求的建设和运营管理人员，配备与本协议工程相符的管理人数。</w:t>
      </w:r>
    </w:p>
    <w:p>
      <w:pPr>
        <w:spacing w:after="160" w:line="360" w:lineRule="auto"/>
        <w:ind w:firstLine="480"/>
        <w:rPr>
          <w:rFonts w:ascii="宋体" w:hAnsi="宋体" w:eastAsia="宋体"/>
          <w:color w:val="000000" w:themeColor="text1"/>
        </w:rPr>
      </w:pPr>
      <w:r>
        <w:rPr>
          <w:rFonts w:ascii="宋体" w:hAnsi="宋体" w:eastAsia="宋体"/>
          <w:color w:val="000000" w:themeColor="text1"/>
        </w:rPr>
        <w:t>20.2.2 乙方项目公司应严格执行安全法规及有关标准，落实安全保障措施，确保雇员的健康与安全，为雇员购买相关保险，并对雇员的健康与安全负责。</w:t>
      </w:r>
    </w:p>
    <w:p>
      <w:pPr>
        <w:spacing w:after="160" w:line="360" w:lineRule="auto"/>
        <w:ind w:firstLine="480"/>
        <w:rPr>
          <w:rFonts w:ascii="宋体" w:hAnsi="宋体" w:eastAsia="宋体"/>
          <w:color w:val="000000" w:themeColor="text1"/>
        </w:rPr>
      </w:pPr>
      <w:r>
        <w:rPr>
          <w:rFonts w:ascii="宋体" w:hAnsi="宋体" w:eastAsia="宋体"/>
          <w:color w:val="000000" w:themeColor="text1"/>
        </w:rPr>
        <w:t>20.2.3 乙方项目公司应尊重雇员的合法权利，依法签订劳动合同，按时足额发放雇员工资，保障雇员的工资、福利待遇等合法权益，无论在任何情况下不得拖欠工人工资。依法参加社会保险，缴纳社会保险费，并按照国家有关规定为雇员办理住房公积金和购买养老保险，确保管理队伍的相对稳定。</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20.3 项目文件的协调</w:t>
      </w:r>
    </w:p>
    <w:p>
      <w:pPr>
        <w:spacing w:after="160" w:line="360" w:lineRule="auto"/>
        <w:ind w:firstLine="480"/>
        <w:rPr>
          <w:rFonts w:ascii="宋体" w:hAnsi="宋体" w:eastAsia="宋体"/>
          <w:color w:val="000000" w:themeColor="text1"/>
        </w:rPr>
      </w:pPr>
      <w:r>
        <w:rPr>
          <w:rFonts w:ascii="宋体" w:hAnsi="宋体" w:eastAsia="宋体"/>
          <w:color w:val="000000" w:themeColor="text1"/>
        </w:rPr>
        <w:t>乙方项目公司应确保股东之间的任何合同、乙方项目公司章程、本协议项下的保险单以及由乙方项目公司签订的与本项目有关的任何其它合同，都能符合本协议的规定和都能够履行本协议。</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20.4 税金及收费</w:t>
      </w:r>
    </w:p>
    <w:p>
      <w:pPr>
        <w:spacing w:after="160" w:line="360" w:lineRule="auto"/>
        <w:ind w:firstLine="480"/>
        <w:rPr>
          <w:rFonts w:ascii="宋体" w:hAnsi="宋体" w:eastAsia="宋体"/>
          <w:color w:val="000000" w:themeColor="text1"/>
        </w:rPr>
      </w:pPr>
      <w:r>
        <w:rPr>
          <w:rFonts w:ascii="宋体" w:hAnsi="宋体" w:eastAsia="宋体"/>
          <w:color w:val="000000" w:themeColor="text1"/>
        </w:rPr>
        <w:t>乙方项目公司应按照适用法律缴纳所有税金及行政事业性收费。国家和地方有相关优惠规定的，及时按国家和地方相关优惠规定申请执行。</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20.5 对承包商和其雇员及代理人的责任</w:t>
      </w:r>
    </w:p>
    <w:p>
      <w:pPr>
        <w:spacing w:after="160" w:line="360" w:lineRule="auto"/>
        <w:ind w:firstLine="480"/>
        <w:rPr>
          <w:rFonts w:ascii="宋体" w:hAnsi="宋体" w:eastAsia="宋体"/>
          <w:color w:val="000000" w:themeColor="text1"/>
        </w:rPr>
      </w:pPr>
      <w:r>
        <w:rPr>
          <w:rFonts w:ascii="宋体" w:hAnsi="宋体" w:eastAsia="宋体"/>
          <w:color w:val="000000" w:themeColor="text1"/>
        </w:rPr>
        <w:t>20.5.1 乙方项目公司雇用任何承包商和其雇员及其代理人，不应解除乙方项目公司在本协议项下的任何义务。</w:t>
      </w:r>
    </w:p>
    <w:p>
      <w:pPr>
        <w:spacing w:after="160" w:line="360" w:lineRule="auto"/>
        <w:ind w:firstLine="480"/>
        <w:rPr>
          <w:rFonts w:ascii="宋体" w:hAnsi="宋体" w:eastAsia="宋体"/>
          <w:color w:val="000000" w:themeColor="text1"/>
        </w:rPr>
      </w:pPr>
      <w:r>
        <w:rPr>
          <w:rFonts w:ascii="宋体" w:hAnsi="宋体" w:eastAsia="宋体"/>
          <w:color w:val="000000" w:themeColor="text1"/>
        </w:rPr>
        <w:t>20.5.2 承包商和其雇员及其代理人为本协议目的的所有作为或不作为视同乙方项目公司的作为或不作为。</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20.6 知识产权的赔偿处理</w:t>
      </w:r>
    </w:p>
    <w:p>
      <w:pPr>
        <w:spacing w:after="160" w:line="360" w:lineRule="auto"/>
        <w:ind w:firstLine="480"/>
        <w:rPr>
          <w:rFonts w:ascii="宋体" w:hAnsi="宋体" w:eastAsia="宋体"/>
          <w:color w:val="000000" w:themeColor="text1"/>
        </w:rPr>
      </w:pPr>
      <w:r>
        <w:rPr>
          <w:rFonts w:ascii="宋体" w:hAnsi="宋体" w:eastAsia="宋体"/>
          <w:color w:val="000000" w:themeColor="text1"/>
        </w:rPr>
        <w:t>乙方项目公司应对本项目在建设、运营和管理工作中可能发生的侵犯知识产权而引起的诉讼负责应诉和赔偿。</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20.7 乙方项目公司对外借款</w:t>
      </w:r>
    </w:p>
    <w:p>
      <w:pPr>
        <w:spacing w:after="160" w:line="360" w:lineRule="auto"/>
        <w:ind w:firstLine="480"/>
        <w:rPr>
          <w:rFonts w:ascii="宋体" w:hAnsi="宋体" w:eastAsia="宋体"/>
          <w:color w:val="000000" w:themeColor="text1"/>
        </w:rPr>
      </w:pPr>
      <w:r>
        <w:rPr>
          <w:rFonts w:ascii="宋体" w:hAnsi="宋体" w:eastAsia="宋体"/>
          <w:color w:val="000000" w:themeColor="text1"/>
        </w:rPr>
        <w:t>20.7.1 乙方项目公司未经甲方书面同意不得对外借款，用于该项目建设的借款除外；</w:t>
      </w:r>
    </w:p>
    <w:p>
      <w:pPr>
        <w:spacing w:after="160" w:line="360" w:lineRule="auto"/>
        <w:ind w:firstLine="480"/>
        <w:rPr>
          <w:rFonts w:ascii="宋体" w:hAnsi="宋体" w:eastAsia="宋体"/>
          <w:color w:val="000000" w:themeColor="text1"/>
        </w:rPr>
      </w:pPr>
      <w:r>
        <w:rPr>
          <w:rFonts w:ascii="宋体" w:hAnsi="宋体" w:eastAsia="宋体"/>
          <w:color w:val="000000" w:themeColor="text1"/>
        </w:rPr>
        <w:t>20.7.2 乙方项目公司借款之前，乙方项目公司股东认缴的注册资本必须全部到位并实际运用于该项目，不得被其他企业和个人占用；</w:t>
      </w:r>
    </w:p>
    <w:p>
      <w:pPr>
        <w:spacing w:after="160" w:line="360" w:lineRule="auto"/>
        <w:ind w:firstLine="480"/>
        <w:rPr>
          <w:rFonts w:ascii="宋体" w:hAnsi="宋体" w:eastAsia="宋体"/>
          <w:color w:val="000000" w:themeColor="text1"/>
        </w:rPr>
      </w:pPr>
      <w:r>
        <w:rPr>
          <w:rFonts w:ascii="宋体" w:hAnsi="宋体" w:eastAsia="宋体"/>
          <w:color w:val="000000" w:themeColor="text1"/>
        </w:rPr>
        <w:t>20.7.3 在特许经营期内的任何时间，乙方项目公司应有证据表明自身有能力偿还借款，并始终保持具备该种还款能力；</w:t>
      </w:r>
    </w:p>
    <w:p>
      <w:pPr>
        <w:spacing w:after="160" w:line="360" w:lineRule="auto"/>
        <w:ind w:firstLine="480"/>
        <w:rPr>
          <w:rFonts w:ascii="宋体" w:hAnsi="宋体" w:eastAsia="宋体"/>
          <w:color w:val="000000" w:themeColor="text1"/>
        </w:rPr>
      </w:pPr>
      <w:r>
        <w:rPr>
          <w:rFonts w:ascii="宋体" w:hAnsi="宋体" w:eastAsia="宋体"/>
          <w:color w:val="000000" w:themeColor="text1"/>
        </w:rPr>
        <w:t>20.7.4 在特许经营期届满时，或特许经营期内乙方项目公司发生股权转让时，乙方项目公司应完全可凭自身实力偿还借款。</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20.8 乙方项目公司管理层变动报告要求</w:t>
      </w:r>
    </w:p>
    <w:p>
      <w:pPr>
        <w:spacing w:after="160" w:line="360" w:lineRule="auto"/>
        <w:ind w:firstLine="480"/>
        <w:rPr>
          <w:rFonts w:ascii="宋体" w:hAnsi="宋体" w:eastAsia="宋体"/>
          <w:color w:val="000000" w:themeColor="text1"/>
        </w:rPr>
      </w:pPr>
      <w:r>
        <w:rPr>
          <w:rFonts w:ascii="宋体" w:hAnsi="宋体" w:eastAsia="宋体"/>
          <w:color w:val="000000" w:themeColor="text1"/>
        </w:rPr>
        <w:t>乙方项目公司的法定代表人、分管总经理、副总经理、财务总监或经理等关键管理人员发生变动时，应于变动后的次月内向甲方书面告知。</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20.9 乙方项目公司账务处理要求</w:t>
      </w:r>
    </w:p>
    <w:p>
      <w:pPr>
        <w:spacing w:after="160" w:line="360" w:lineRule="auto"/>
        <w:ind w:firstLine="480"/>
        <w:rPr>
          <w:rFonts w:ascii="宋体" w:hAnsi="宋体" w:eastAsia="宋体"/>
          <w:color w:val="000000" w:themeColor="text1"/>
        </w:rPr>
      </w:pPr>
      <w:r>
        <w:rPr>
          <w:rFonts w:ascii="宋体" w:hAnsi="宋体" w:eastAsia="宋体"/>
          <w:color w:val="000000" w:themeColor="text1"/>
        </w:rPr>
        <w:t>18.9.1 乙方项目公司应按照《企业会计准则》等适用法律规定及时进行账务处理，如实反映公司财务状况、经营情况及现金流量，所编制的财务报表应加盖公章及由法定代表人、财务负责人签字。</w:t>
      </w:r>
    </w:p>
    <w:p>
      <w:pPr>
        <w:spacing w:after="160" w:line="360" w:lineRule="auto"/>
        <w:ind w:firstLine="480"/>
        <w:rPr>
          <w:rFonts w:ascii="宋体" w:hAnsi="宋体" w:eastAsia="宋体"/>
          <w:color w:val="000000" w:themeColor="text1"/>
        </w:rPr>
      </w:pPr>
      <w:r>
        <w:rPr>
          <w:rFonts w:ascii="宋体" w:hAnsi="宋体" w:eastAsia="宋体"/>
          <w:color w:val="000000" w:themeColor="text1"/>
        </w:rPr>
        <w:t>20.9.2 每年度财务报表应自行委托会计师事务所出具审计报告，且审计报告的意见类型必须为“无保留意见”。</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第21 条 保险</w:t>
      </w:r>
    </w:p>
    <w:p>
      <w:pPr>
        <w:spacing w:after="160" w:line="360" w:lineRule="auto"/>
        <w:ind w:firstLine="480"/>
        <w:rPr>
          <w:rFonts w:ascii="宋体" w:hAnsi="宋体" w:eastAsia="宋体"/>
          <w:color w:val="000000" w:themeColor="text1"/>
        </w:rPr>
      </w:pPr>
      <w:r>
        <w:rPr>
          <w:rFonts w:ascii="宋体" w:hAnsi="宋体" w:eastAsia="宋体"/>
          <w:color w:val="000000" w:themeColor="text1"/>
        </w:rPr>
        <w:t>21.1 特许经营期内，乙方项目公司必须按照适用法律的相关规定自费购买并维持保险，并向甲方提供购买相关相保险证明。</w:t>
      </w:r>
    </w:p>
    <w:p>
      <w:pPr>
        <w:spacing w:after="160" w:line="360" w:lineRule="auto"/>
        <w:ind w:firstLine="480"/>
        <w:rPr>
          <w:rFonts w:ascii="宋体" w:hAnsi="宋体" w:eastAsia="宋体"/>
          <w:color w:val="000000" w:themeColor="text1"/>
        </w:rPr>
      </w:pPr>
      <w:r>
        <w:rPr>
          <w:rFonts w:ascii="宋体" w:hAnsi="宋体" w:eastAsia="宋体"/>
          <w:color w:val="000000" w:themeColor="text1"/>
        </w:rPr>
        <w:t>21.2 乙方项目公司需购买保险包括但不限于：建筑工程一切险、安装工程一切险、第三者责任险、财产险等，并须将甲方列为保险单上的被保险人。</w:t>
      </w:r>
    </w:p>
    <w:p>
      <w:pPr>
        <w:pStyle w:val="22"/>
        <w:spacing w:before="240" w:after="240" w:line="360" w:lineRule="auto"/>
        <w:outlineLvl w:val="2"/>
        <w:rPr>
          <w:rFonts w:ascii="宋体" w:hAnsi="宋体" w:eastAsia="宋体"/>
          <w:color w:val="000000" w:themeColor="text1"/>
        </w:rPr>
      </w:pPr>
      <w:bookmarkStart w:id="162" w:name="_Toc22807"/>
      <w:bookmarkStart w:id="163" w:name="_Toc12133"/>
      <w:bookmarkStart w:id="164" w:name="_Toc16352"/>
      <w:bookmarkStart w:id="165" w:name="_Toc11646"/>
      <w:bookmarkStart w:id="166" w:name="_Toc10718"/>
      <w:r>
        <w:rPr>
          <w:rFonts w:ascii="宋体" w:hAnsi="宋体" w:eastAsia="宋体"/>
          <w:color w:val="000000" w:themeColor="text1"/>
        </w:rPr>
        <w:t>第八章 违约赔偿</w:t>
      </w:r>
      <w:bookmarkEnd w:id="162"/>
      <w:bookmarkEnd w:id="163"/>
      <w:bookmarkEnd w:id="164"/>
      <w:bookmarkEnd w:id="165"/>
      <w:bookmarkEnd w:id="166"/>
    </w:p>
    <w:p>
      <w:pPr>
        <w:spacing w:after="160" w:line="360" w:lineRule="auto"/>
        <w:ind w:firstLine="482"/>
        <w:rPr>
          <w:rFonts w:ascii="宋体" w:hAnsi="宋体" w:eastAsia="宋体"/>
          <w:b/>
          <w:color w:val="000000" w:themeColor="text1"/>
        </w:rPr>
      </w:pPr>
      <w:r>
        <w:rPr>
          <w:rFonts w:ascii="宋体" w:hAnsi="宋体" w:eastAsia="宋体"/>
          <w:b/>
          <w:color w:val="000000" w:themeColor="text1"/>
        </w:rPr>
        <w:t>第22 条 违约赔偿</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22.1 违约赔偿</w:t>
      </w:r>
    </w:p>
    <w:p>
      <w:pPr>
        <w:spacing w:after="160" w:line="360" w:lineRule="auto"/>
        <w:ind w:firstLine="480"/>
        <w:rPr>
          <w:rFonts w:ascii="宋体" w:hAnsi="宋体" w:eastAsia="宋体"/>
          <w:color w:val="000000" w:themeColor="text1"/>
        </w:rPr>
      </w:pPr>
      <w:r>
        <w:rPr>
          <w:rFonts w:ascii="宋体" w:hAnsi="宋体" w:eastAsia="宋体"/>
          <w:color w:val="000000" w:themeColor="text1"/>
        </w:rPr>
        <w:t>任一方应有权获得因违约方违约而使该方遭受的任何损失、支出和费用的赔偿，该项赔偿由违约方支付。双方的具体违约赔偿金按本协议的相关条款执行。</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22.2 减轻损失的措施</w:t>
      </w:r>
    </w:p>
    <w:p>
      <w:pPr>
        <w:spacing w:after="160" w:line="360" w:lineRule="auto"/>
        <w:ind w:firstLine="480"/>
        <w:rPr>
          <w:rFonts w:ascii="宋体" w:hAnsi="宋体" w:eastAsia="宋体"/>
          <w:color w:val="000000" w:themeColor="text1"/>
        </w:rPr>
      </w:pPr>
      <w:r>
        <w:rPr>
          <w:rFonts w:ascii="宋体" w:hAnsi="宋体" w:eastAsia="宋体"/>
          <w:color w:val="000000" w:themeColor="text1"/>
        </w:rPr>
        <w:t>22.2.1 由于另一方违约而遭受损失的一方应采取合理行动减轻损失。如果一方未能采取此类措施，违约方可以请求从赔偿金额中扣除应能够减轻或减少的损失金额。</w:t>
      </w:r>
    </w:p>
    <w:p>
      <w:pPr>
        <w:spacing w:after="160" w:line="360" w:lineRule="auto"/>
        <w:ind w:firstLine="480"/>
        <w:rPr>
          <w:rFonts w:ascii="宋体" w:hAnsi="宋体" w:eastAsia="宋体"/>
          <w:color w:val="000000" w:themeColor="text1"/>
        </w:rPr>
      </w:pPr>
      <w:r>
        <w:rPr>
          <w:rFonts w:ascii="宋体" w:hAnsi="宋体" w:eastAsia="宋体"/>
          <w:color w:val="000000" w:themeColor="text1"/>
        </w:rPr>
        <w:t>22.2.2 受损害的一方应有权从另一方获得为减轻损失而采取行动所发生的合理费用。</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22.3 部分由于受损害方造成的损失</w:t>
      </w:r>
    </w:p>
    <w:p>
      <w:pPr>
        <w:spacing w:after="160" w:line="360" w:lineRule="auto"/>
        <w:ind w:firstLine="480"/>
        <w:rPr>
          <w:rFonts w:ascii="宋体" w:hAnsi="宋体" w:eastAsia="宋体"/>
          <w:color w:val="000000" w:themeColor="text1"/>
        </w:rPr>
      </w:pPr>
      <w:r>
        <w:rPr>
          <w:rFonts w:ascii="宋体" w:hAnsi="宋体" w:eastAsia="宋体"/>
          <w:color w:val="000000" w:themeColor="text1"/>
        </w:rPr>
        <w:t>如果造成损失的部分原因是由于受损害方的作为或不作为造成的，赔偿的数额应扣除这些因素应承担的损失。</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22.4 对间接损失不负责任</w:t>
      </w:r>
    </w:p>
    <w:p>
      <w:pPr>
        <w:spacing w:after="160" w:line="360" w:lineRule="auto"/>
        <w:ind w:firstLine="480"/>
        <w:rPr>
          <w:rFonts w:ascii="宋体" w:hAnsi="宋体" w:eastAsia="宋体"/>
          <w:color w:val="000000" w:themeColor="text1"/>
        </w:rPr>
      </w:pPr>
      <w:r>
        <w:rPr>
          <w:rFonts w:ascii="宋体" w:hAnsi="宋体" w:eastAsia="宋体"/>
          <w:color w:val="000000" w:themeColor="text1"/>
        </w:rPr>
        <w:t>22.4.1 除非本协议另有规定，各方均不应对由于或根据本协议产生的或与其相关的任何索赔为对方的任何间接、特殊、利润损失或附带损失或惩罚性损害赔偿负责。</w:t>
      </w:r>
    </w:p>
    <w:p>
      <w:pPr>
        <w:spacing w:after="160" w:line="360" w:lineRule="auto"/>
        <w:ind w:firstLine="480"/>
        <w:rPr>
          <w:rFonts w:ascii="宋体" w:hAnsi="宋体" w:eastAsia="宋体"/>
          <w:color w:val="000000" w:themeColor="text1"/>
        </w:rPr>
      </w:pPr>
      <w:r>
        <w:rPr>
          <w:rFonts w:ascii="宋体" w:hAnsi="宋体" w:eastAsia="宋体"/>
          <w:color w:val="000000" w:themeColor="text1"/>
        </w:rPr>
        <w:t>22.4.2 本协议项下所引发的利息，均不计复息。</w:t>
      </w:r>
    </w:p>
    <w:p>
      <w:pPr>
        <w:pStyle w:val="22"/>
        <w:spacing w:before="240" w:after="240" w:line="360" w:lineRule="auto"/>
        <w:outlineLvl w:val="2"/>
        <w:rPr>
          <w:rFonts w:ascii="宋体" w:hAnsi="宋体" w:eastAsia="宋体"/>
          <w:color w:val="000000" w:themeColor="text1"/>
        </w:rPr>
      </w:pPr>
      <w:bookmarkStart w:id="167" w:name="_Toc26231"/>
      <w:bookmarkStart w:id="168" w:name="_Toc15109"/>
      <w:bookmarkStart w:id="169" w:name="_Toc4831"/>
      <w:bookmarkStart w:id="170" w:name="_Toc31131"/>
      <w:bookmarkStart w:id="171" w:name="_Toc53"/>
      <w:r>
        <w:rPr>
          <w:rFonts w:ascii="宋体" w:hAnsi="宋体" w:eastAsia="宋体"/>
          <w:color w:val="000000" w:themeColor="text1"/>
        </w:rPr>
        <w:t>第九章 协议终止、变更和转让</w:t>
      </w:r>
      <w:bookmarkEnd w:id="167"/>
      <w:bookmarkEnd w:id="168"/>
      <w:bookmarkEnd w:id="169"/>
      <w:bookmarkEnd w:id="170"/>
      <w:bookmarkEnd w:id="171"/>
    </w:p>
    <w:p>
      <w:pPr>
        <w:spacing w:after="160" w:line="360" w:lineRule="auto"/>
        <w:ind w:firstLine="482"/>
        <w:rPr>
          <w:rFonts w:ascii="宋体" w:hAnsi="宋体" w:eastAsia="宋体"/>
          <w:b/>
          <w:color w:val="000000" w:themeColor="text1"/>
        </w:rPr>
      </w:pPr>
      <w:r>
        <w:rPr>
          <w:rFonts w:ascii="宋体" w:hAnsi="宋体" w:eastAsia="宋体"/>
          <w:b/>
          <w:color w:val="000000" w:themeColor="text1"/>
        </w:rPr>
        <w:t>第23 条 协议终止</w:t>
      </w:r>
    </w:p>
    <w:p>
      <w:pPr>
        <w:spacing w:after="160" w:line="360" w:lineRule="auto"/>
        <w:ind w:firstLine="480"/>
        <w:rPr>
          <w:rFonts w:ascii="宋体" w:hAnsi="宋体" w:eastAsia="宋体"/>
          <w:color w:val="000000" w:themeColor="text1"/>
        </w:rPr>
      </w:pPr>
      <w:r>
        <w:rPr>
          <w:rFonts w:ascii="宋体" w:hAnsi="宋体" w:eastAsia="宋体"/>
          <w:color w:val="000000" w:themeColor="text1"/>
        </w:rPr>
        <w:t>协议任何一方如果不是由于己方的违约或由于不可抗力所致，若有允许的纠正期限而另一方在该期限内未能纠正，即构成对另一方违约事件，则该一方均有权立即发出提前终止本协议（以下统称为“终止”）。</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23.1 甲方的终止</w:t>
      </w:r>
    </w:p>
    <w:p>
      <w:pPr>
        <w:spacing w:after="160" w:line="360" w:lineRule="auto"/>
        <w:ind w:firstLine="480"/>
        <w:rPr>
          <w:rFonts w:ascii="宋体" w:hAnsi="宋体" w:eastAsia="宋体"/>
          <w:color w:val="000000" w:themeColor="text1"/>
        </w:rPr>
      </w:pPr>
      <w:r>
        <w:rPr>
          <w:rFonts w:ascii="宋体" w:hAnsi="宋体" w:eastAsia="宋体"/>
          <w:color w:val="000000" w:themeColor="text1"/>
        </w:rPr>
        <w:t>下述每一条款所述事件，如果不是由于甲方的违约或由于不可抗力所致，且乙方项目公司在允许的纠正期限内未能纠正完毕，即构成乙方项目公司违约，甲方有权立即发出终止意向通知；</w:t>
      </w:r>
    </w:p>
    <w:p>
      <w:pPr>
        <w:spacing w:after="160" w:line="360" w:lineRule="auto"/>
        <w:ind w:firstLine="480"/>
        <w:rPr>
          <w:rFonts w:ascii="宋体" w:hAnsi="宋体" w:eastAsia="宋体"/>
          <w:color w:val="000000" w:themeColor="text1"/>
        </w:rPr>
      </w:pPr>
      <w:r>
        <w:rPr>
          <w:rFonts w:ascii="宋体" w:hAnsi="宋体" w:eastAsia="宋体"/>
          <w:color w:val="000000" w:themeColor="text1"/>
        </w:rPr>
        <w:t>23.1.1 乙方项目公司在第5.2条中的任何声明后续被证明有严重错误，使乙方项目公司履行本协议的能力或信誉受到严重的不利影响；</w:t>
      </w:r>
    </w:p>
    <w:p>
      <w:pPr>
        <w:spacing w:after="160" w:line="360" w:lineRule="auto"/>
        <w:ind w:firstLine="480"/>
        <w:rPr>
          <w:rFonts w:ascii="宋体" w:hAnsi="宋体" w:eastAsia="宋体"/>
          <w:color w:val="000000" w:themeColor="text1"/>
        </w:rPr>
      </w:pPr>
      <w:r>
        <w:rPr>
          <w:rFonts w:ascii="宋体" w:hAnsi="宋体" w:eastAsia="宋体"/>
          <w:color w:val="000000" w:themeColor="text1"/>
        </w:rPr>
        <w:t>23.1.2 乙方项目公司无法证明能按协议完成本项目建投或实现正常经营；</w:t>
      </w:r>
    </w:p>
    <w:p>
      <w:pPr>
        <w:spacing w:after="160" w:line="360" w:lineRule="auto"/>
        <w:ind w:firstLine="480"/>
        <w:rPr>
          <w:rFonts w:ascii="宋体" w:hAnsi="宋体" w:eastAsia="宋体"/>
          <w:color w:val="000000" w:themeColor="text1"/>
        </w:rPr>
      </w:pPr>
      <w:r>
        <w:rPr>
          <w:rFonts w:ascii="宋体" w:hAnsi="宋体" w:eastAsia="宋体"/>
          <w:color w:val="000000" w:themeColor="text1"/>
        </w:rPr>
        <w:t>23.1.3 试运营批准之日起1年内或经批准延期截止日内未能通过验收；</w:t>
      </w:r>
    </w:p>
    <w:p>
      <w:pPr>
        <w:spacing w:after="160" w:line="360" w:lineRule="auto"/>
        <w:ind w:firstLine="480"/>
        <w:rPr>
          <w:rFonts w:ascii="宋体" w:hAnsi="宋体" w:eastAsia="宋体"/>
          <w:color w:val="000000" w:themeColor="text1"/>
        </w:rPr>
      </w:pPr>
      <w:r>
        <w:rPr>
          <w:rFonts w:ascii="宋体" w:hAnsi="宋体" w:eastAsia="宋体"/>
          <w:color w:val="000000" w:themeColor="text1"/>
        </w:rPr>
        <w:t>23.1.4 乙方项目公司将股东的股权擅自转让、质押或将特许经营权擅自转运让、出租、质押；</w:t>
      </w:r>
    </w:p>
    <w:p>
      <w:pPr>
        <w:spacing w:after="160" w:line="360" w:lineRule="auto"/>
        <w:ind w:firstLine="480"/>
        <w:rPr>
          <w:rFonts w:ascii="宋体" w:hAnsi="宋体" w:eastAsia="宋体"/>
          <w:color w:val="000000" w:themeColor="text1"/>
        </w:rPr>
      </w:pPr>
      <w:r>
        <w:rPr>
          <w:rFonts w:ascii="宋体" w:hAnsi="宋体" w:eastAsia="宋体"/>
          <w:color w:val="000000" w:themeColor="text1"/>
        </w:rPr>
        <w:t>23.1.5 乙方项目公司擅自将所经营的财产进行处置或者抵押；</w:t>
      </w:r>
    </w:p>
    <w:p>
      <w:pPr>
        <w:spacing w:after="160" w:line="360" w:lineRule="auto"/>
        <w:ind w:firstLine="480"/>
        <w:rPr>
          <w:rFonts w:ascii="宋体" w:hAnsi="宋体" w:eastAsia="宋体"/>
          <w:color w:val="000000" w:themeColor="text1"/>
        </w:rPr>
      </w:pPr>
      <w:r>
        <w:rPr>
          <w:rFonts w:ascii="宋体" w:hAnsi="宋体" w:eastAsia="宋体"/>
          <w:color w:val="000000" w:themeColor="text1"/>
        </w:rPr>
        <w:t>23.1.6 乙方项目公司因管理不善，发生特别重大质量、生产安全事故；</w:t>
      </w:r>
    </w:p>
    <w:p>
      <w:pPr>
        <w:spacing w:after="160" w:line="360" w:lineRule="auto"/>
        <w:ind w:firstLine="480"/>
        <w:rPr>
          <w:rFonts w:ascii="宋体" w:hAnsi="宋体" w:eastAsia="宋体"/>
          <w:color w:val="000000" w:themeColor="text1"/>
        </w:rPr>
      </w:pPr>
      <w:r>
        <w:rPr>
          <w:rFonts w:ascii="宋体" w:hAnsi="宋体" w:eastAsia="宋体"/>
          <w:color w:val="000000" w:themeColor="text1"/>
        </w:rPr>
        <w:t>23.1.7 乙方项目公司擅自停业、歇业，严重影响到社会公共利益和安全；</w:t>
      </w:r>
    </w:p>
    <w:p>
      <w:pPr>
        <w:spacing w:after="160" w:line="360" w:lineRule="auto"/>
        <w:ind w:firstLine="480"/>
        <w:rPr>
          <w:rFonts w:ascii="宋体" w:hAnsi="宋体" w:eastAsia="宋体"/>
          <w:color w:val="000000" w:themeColor="text1"/>
        </w:rPr>
      </w:pPr>
      <w:r>
        <w:rPr>
          <w:rFonts w:ascii="宋体" w:hAnsi="宋体" w:eastAsia="宋体"/>
          <w:color w:val="000000" w:themeColor="text1"/>
        </w:rPr>
        <w:t>23.1.8 根据中国法律乙方项目公司进行清算或资不抵债；</w:t>
      </w:r>
    </w:p>
    <w:p>
      <w:pPr>
        <w:spacing w:after="160" w:line="360" w:lineRule="auto"/>
        <w:ind w:firstLine="480"/>
        <w:rPr>
          <w:rFonts w:ascii="宋体" w:hAnsi="宋体" w:eastAsia="宋体"/>
          <w:color w:val="000000" w:themeColor="text1"/>
        </w:rPr>
      </w:pPr>
      <w:r>
        <w:rPr>
          <w:rFonts w:ascii="宋体" w:hAnsi="宋体" w:eastAsia="宋体"/>
          <w:color w:val="000000" w:themeColor="text1"/>
        </w:rPr>
        <w:t>23.1.9乙方项目公司未履行本协议项下的其它义务，构成对本协议的实质性违约，并且在收到甲方说明其违约并要求补救的书面通知120个工作日内仍未能补救完毕该实质性违约；</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23.2 乙方的终止</w:t>
      </w:r>
    </w:p>
    <w:p>
      <w:pPr>
        <w:spacing w:after="160" w:line="360" w:lineRule="auto"/>
        <w:ind w:firstLine="480"/>
        <w:rPr>
          <w:rFonts w:ascii="宋体" w:hAnsi="宋体" w:eastAsia="宋体"/>
          <w:color w:val="000000" w:themeColor="text1"/>
        </w:rPr>
      </w:pPr>
      <w:r>
        <w:rPr>
          <w:rFonts w:ascii="宋体" w:hAnsi="宋体" w:eastAsia="宋体"/>
          <w:color w:val="000000" w:themeColor="text1"/>
        </w:rPr>
        <w:t>下述每一条款所述事件，如果不是由于乙方项目公司的违约或由于不可抗力所致，且甲方在允许的纠正期限内未能纠正完毕或有效纠正，即构成甲方违约，乙方项目公司有权立即发出提前终止协议意向通知：</w:t>
      </w:r>
    </w:p>
    <w:p>
      <w:pPr>
        <w:spacing w:after="160" w:line="360" w:lineRule="auto"/>
        <w:ind w:firstLine="480"/>
        <w:rPr>
          <w:rFonts w:ascii="宋体" w:hAnsi="宋体" w:eastAsia="宋体"/>
          <w:color w:val="000000" w:themeColor="text1"/>
        </w:rPr>
      </w:pPr>
      <w:r>
        <w:rPr>
          <w:rFonts w:ascii="宋体" w:hAnsi="宋体" w:eastAsia="宋体"/>
          <w:color w:val="000000" w:themeColor="text1"/>
        </w:rPr>
        <w:t>23.2.1 甲方在第5.1条中的任何声明后续被证明有严重错误，使甲方履行本协议的能力受到严重的不利影响；</w:t>
      </w:r>
    </w:p>
    <w:p>
      <w:pPr>
        <w:spacing w:after="160" w:line="360" w:lineRule="auto"/>
        <w:ind w:firstLine="480"/>
        <w:rPr>
          <w:rFonts w:ascii="宋体" w:hAnsi="宋体" w:eastAsia="宋体"/>
          <w:color w:val="000000" w:themeColor="text1"/>
        </w:rPr>
      </w:pPr>
      <w:r>
        <w:rPr>
          <w:rFonts w:ascii="宋体" w:hAnsi="宋体" w:eastAsia="宋体"/>
          <w:color w:val="000000" w:themeColor="text1"/>
        </w:rPr>
        <w:t>23.2.2 甲方未履行其在本协议项下的任何其它义务构成对本协议的实质性违约，并且在收到乙方项目公司说明其违约并要求补救的书面通知后的90日内未能有效补救（包括提出切实可行方案并行动落实或进行有效的协商）该实质性违约。</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23.3 终止意向通知和终止通知</w:t>
      </w:r>
    </w:p>
    <w:p>
      <w:pPr>
        <w:spacing w:after="160" w:line="360" w:lineRule="auto"/>
        <w:ind w:firstLine="480"/>
        <w:rPr>
          <w:rFonts w:ascii="宋体" w:hAnsi="宋体" w:eastAsia="宋体"/>
          <w:color w:val="000000" w:themeColor="text1"/>
        </w:rPr>
      </w:pPr>
      <w:r>
        <w:rPr>
          <w:rFonts w:ascii="宋体" w:hAnsi="宋体" w:eastAsia="宋体"/>
          <w:color w:val="000000" w:themeColor="text1"/>
        </w:rPr>
        <w:t>23.3.1 终止意向通知</w:t>
      </w:r>
    </w:p>
    <w:p>
      <w:pPr>
        <w:spacing w:after="160" w:line="360" w:lineRule="auto"/>
        <w:ind w:firstLine="480"/>
        <w:rPr>
          <w:rFonts w:ascii="宋体" w:hAnsi="宋体" w:eastAsia="宋体"/>
          <w:color w:val="000000" w:themeColor="text1"/>
        </w:rPr>
      </w:pPr>
      <w:r>
        <w:rPr>
          <w:rFonts w:ascii="宋体" w:hAnsi="宋体" w:eastAsia="宋体"/>
          <w:color w:val="000000" w:themeColor="text1"/>
        </w:rPr>
        <w:t>（1）按照第21.1条或第21.2条发出的任何终止意向通知应表述违约事件的详细情况并给出必要的纠正期或协商期。</w:t>
      </w:r>
    </w:p>
    <w:p>
      <w:pPr>
        <w:spacing w:after="160" w:line="360" w:lineRule="auto"/>
        <w:ind w:firstLine="480"/>
        <w:rPr>
          <w:rFonts w:ascii="宋体" w:hAnsi="宋体" w:eastAsia="宋体"/>
          <w:color w:val="000000" w:themeColor="text1"/>
        </w:rPr>
      </w:pPr>
      <w:r>
        <w:rPr>
          <w:rFonts w:ascii="宋体" w:hAnsi="宋体" w:eastAsia="宋体"/>
          <w:color w:val="000000" w:themeColor="text1"/>
        </w:rPr>
        <w:t>（2）在终止意向通知发出之后，双方应在协商期内为避免本协议终止采取措施，如果双方就将要采取的措施达成一致意见，并且在相应的协商期内纠正了违约事件，终止意向通知应立即自动失效。</w:t>
      </w:r>
    </w:p>
    <w:p>
      <w:pPr>
        <w:spacing w:after="160" w:line="360" w:lineRule="auto"/>
        <w:ind w:firstLine="480"/>
        <w:rPr>
          <w:rFonts w:ascii="宋体" w:hAnsi="宋体" w:eastAsia="宋体"/>
          <w:color w:val="000000" w:themeColor="text1"/>
        </w:rPr>
      </w:pPr>
      <w:r>
        <w:rPr>
          <w:rFonts w:ascii="宋体" w:hAnsi="宋体" w:eastAsia="宋体"/>
          <w:color w:val="000000" w:themeColor="text1"/>
        </w:rPr>
        <w:t>23.3.2 终止通知</w:t>
      </w:r>
    </w:p>
    <w:p>
      <w:pPr>
        <w:spacing w:after="160" w:line="360" w:lineRule="auto"/>
        <w:ind w:firstLine="480"/>
        <w:rPr>
          <w:rFonts w:ascii="宋体" w:hAnsi="宋体" w:eastAsia="宋体"/>
          <w:color w:val="000000" w:themeColor="text1"/>
        </w:rPr>
      </w:pPr>
      <w:r>
        <w:rPr>
          <w:rFonts w:ascii="宋体" w:hAnsi="宋体" w:eastAsia="宋体"/>
          <w:color w:val="000000" w:themeColor="text1"/>
        </w:rPr>
        <w:t>在协商期届满之时，除非：</w:t>
      </w:r>
    </w:p>
    <w:p>
      <w:pPr>
        <w:spacing w:after="160" w:line="360" w:lineRule="auto"/>
        <w:ind w:firstLine="480"/>
        <w:rPr>
          <w:rFonts w:ascii="宋体" w:hAnsi="宋体" w:eastAsia="宋体"/>
          <w:color w:val="000000" w:themeColor="text1"/>
        </w:rPr>
      </w:pPr>
      <w:r>
        <w:rPr>
          <w:rFonts w:ascii="宋体" w:hAnsi="宋体" w:eastAsia="宋体"/>
          <w:color w:val="000000" w:themeColor="text1"/>
        </w:rPr>
        <w:t>（1）双方另外协商并达成一致；或</w:t>
      </w:r>
    </w:p>
    <w:p>
      <w:pPr>
        <w:spacing w:after="160" w:line="360" w:lineRule="auto"/>
        <w:ind w:firstLine="480"/>
        <w:rPr>
          <w:rFonts w:ascii="宋体" w:hAnsi="宋体" w:eastAsia="宋体"/>
          <w:color w:val="000000" w:themeColor="text1"/>
        </w:rPr>
      </w:pPr>
      <w:r>
        <w:rPr>
          <w:rFonts w:ascii="宋体" w:hAnsi="宋体" w:eastAsia="宋体"/>
          <w:color w:val="000000" w:themeColor="text1"/>
        </w:rPr>
        <w:t>（2）导致发出终止意向通知的违约事件得到纠正；</w:t>
      </w:r>
    </w:p>
    <w:p>
      <w:pPr>
        <w:spacing w:after="160" w:line="360" w:lineRule="auto"/>
        <w:ind w:firstLine="480"/>
        <w:rPr>
          <w:rFonts w:ascii="宋体" w:hAnsi="宋体" w:eastAsia="宋体"/>
          <w:color w:val="000000" w:themeColor="text1"/>
        </w:rPr>
      </w:pPr>
      <w:r>
        <w:rPr>
          <w:rFonts w:ascii="宋体" w:hAnsi="宋体" w:eastAsia="宋体"/>
          <w:color w:val="000000" w:themeColor="text1"/>
        </w:rPr>
        <w:t>（3）一方提出终止协议并经另一方同意的；</w:t>
      </w:r>
    </w:p>
    <w:p>
      <w:pPr>
        <w:spacing w:after="160" w:line="360" w:lineRule="auto"/>
        <w:ind w:firstLine="480"/>
        <w:rPr>
          <w:rFonts w:ascii="宋体" w:hAnsi="宋体" w:eastAsia="宋体"/>
          <w:color w:val="000000" w:themeColor="text1"/>
        </w:rPr>
      </w:pPr>
      <w:r>
        <w:rPr>
          <w:rFonts w:ascii="宋体" w:hAnsi="宋体" w:eastAsia="宋体"/>
          <w:color w:val="000000" w:themeColor="text1"/>
        </w:rPr>
        <w:t>发出终止意向通知的一方有权发出终止通知。但：</w:t>
      </w:r>
    </w:p>
    <w:p>
      <w:pPr>
        <w:spacing w:after="160" w:line="360" w:lineRule="auto"/>
        <w:ind w:firstLine="480"/>
        <w:rPr>
          <w:rFonts w:ascii="宋体" w:hAnsi="宋体" w:eastAsia="宋体"/>
          <w:color w:val="000000" w:themeColor="text1"/>
        </w:rPr>
      </w:pPr>
      <w:r>
        <w:rPr>
          <w:rFonts w:ascii="宋体" w:hAnsi="宋体" w:eastAsia="宋体"/>
          <w:color w:val="000000" w:themeColor="text1"/>
        </w:rPr>
        <w:t>如乙方项目公司存在利用本项目资产和特许经营权作为融资担保，或将本项目资产、特许经营权及相关权益向第三方转让、出租、质押或其它任何处置的，应先解除上述担保或处置后方可向甲方发出提前终止协议通知，否则乙方项目公司所发的提前终止协议通知无效（甲方因保证本项目正常运营等需要而接受的除外）。</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第24 条 变更和转让</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24.1 甲方的变更</w:t>
      </w:r>
    </w:p>
    <w:p>
      <w:pPr>
        <w:spacing w:after="160" w:line="360" w:lineRule="auto"/>
        <w:ind w:firstLine="480"/>
        <w:rPr>
          <w:rFonts w:ascii="宋体" w:hAnsi="宋体" w:eastAsia="宋体"/>
          <w:color w:val="000000" w:themeColor="text1"/>
        </w:rPr>
      </w:pPr>
      <w:r>
        <w:rPr>
          <w:rFonts w:ascii="宋体" w:hAnsi="宋体" w:eastAsia="宋体"/>
          <w:color w:val="000000" w:themeColor="text1"/>
        </w:rPr>
        <w:t>24.1.1 因体制改革、或机构改革、或行政区划调整等导致甲方更名、或撤并、或性质等变更后，甲方在本协议项下的各项权利和义务由甲方的合法继承人承接，但甲方继承人应：</w:t>
      </w:r>
    </w:p>
    <w:p>
      <w:pPr>
        <w:spacing w:after="160" w:line="360" w:lineRule="auto"/>
        <w:ind w:firstLine="480"/>
        <w:rPr>
          <w:rFonts w:ascii="宋体" w:hAnsi="宋体" w:eastAsia="宋体"/>
          <w:color w:val="000000" w:themeColor="text1"/>
        </w:rPr>
      </w:pPr>
      <w:r>
        <w:rPr>
          <w:rFonts w:ascii="宋体" w:hAnsi="宋体" w:eastAsia="宋体"/>
          <w:color w:val="000000" w:themeColor="text1"/>
        </w:rPr>
        <w:t>⑴具有承担原甲方对项目的所有权利、义务和责任的能力；</w:t>
      </w:r>
    </w:p>
    <w:p>
      <w:pPr>
        <w:spacing w:after="160" w:line="360" w:lineRule="auto"/>
        <w:ind w:firstLine="480"/>
        <w:rPr>
          <w:rFonts w:ascii="宋体" w:hAnsi="宋体" w:eastAsia="宋体"/>
          <w:color w:val="000000" w:themeColor="text1"/>
        </w:rPr>
      </w:pPr>
      <w:r>
        <w:rPr>
          <w:rFonts w:ascii="宋体" w:hAnsi="宋体" w:eastAsia="宋体"/>
          <w:color w:val="000000" w:themeColor="text1"/>
        </w:rPr>
        <w:t>⑵接受并完全承担原甲方在本协议项下义务的履行。</w:t>
      </w:r>
    </w:p>
    <w:p>
      <w:pPr>
        <w:spacing w:after="160" w:line="360" w:lineRule="auto"/>
        <w:ind w:firstLine="480"/>
        <w:rPr>
          <w:rFonts w:ascii="宋体" w:hAnsi="宋体" w:eastAsia="宋体"/>
          <w:color w:val="000000" w:themeColor="text1"/>
        </w:rPr>
      </w:pPr>
      <w:r>
        <w:rPr>
          <w:rFonts w:ascii="宋体" w:hAnsi="宋体" w:eastAsia="宋体"/>
          <w:color w:val="000000" w:themeColor="text1"/>
        </w:rPr>
        <w:t>24.1.2 甲方法人代表的变更，不影响甲方在本协议项下各项权利和义务的有效性。</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24.2 乙方项目公司的转让</w:t>
      </w:r>
    </w:p>
    <w:p>
      <w:pPr>
        <w:spacing w:after="160" w:line="360" w:lineRule="auto"/>
        <w:ind w:firstLine="480"/>
        <w:rPr>
          <w:rFonts w:ascii="宋体" w:hAnsi="宋体" w:eastAsia="宋体"/>
          <w:color w:val="000000" w:themeColor="text1"/>
        </w:rPr>
      </w:pPr>
      <w:r>
        <w:rPr>
          <w:rFonts w:ascii="宋体" w:hAnsi="宋体" w:eastAsia="宋体"/>
          <w:color w:val="000000" w:themeColor="text1"/>
        </w:rPr>
        <w:t>24.2.1 资产或合同的转让</w:t>
      </w:r>
    </w:p>
    <w:p>
      <w:pPr>
        <w:spacing w:after="160" w:line="360" w:lineRule="auto"/>
        <w:ind w:firstLine="480"/>
        <w:rPr>
          <w:rFonts w:ascii="宋体" w:hAnsi="宋体" w:eastAsia="宋体"/>
          <w:color w:val="000000" w:themeColor="text1"/>
        </w:rPr>
      </w:pPr>
      <w:r>
        <w:rPr>
          <w:rFonts w:ascii="宋体" w:hAnsi="宋体" w:eastAsia="宋体"/>
          <w:color w:val="000000" w:themeColor="text1"/>
        </w:rPr>
        <w:t>未经甲方事先书面同意，乙方项目公司不得出让、转让、抵押、质押本项目的资产，也不得在上述资产、权利和利益上设置任何留置权或担保权益或者以其它方式处置这些资产、权利或利益，但出于本项目融资目的向金融机构提供上述措施的除外。</w:t>
      </w:r>
    </w:p>
    <w:p>
      <w:pPr>
        <w:spacing w:after="160" w:line="360" w:lineRule="auto"/>
        <w:ind w:firstLine="480"/>
        <w:rPr>
          <w:rFonts w:ascii="宋体" w:hAnsi="宋体" w:eastAsia="宋体"/>
          <w:color w:val="000000" w:themeColor="text1"/>
        </w:rPr>
      </w:pPr>
      <w:r>
        <w:rPr>
          <w:rFonts w:ascii="宋体" w:hAnsi="宋体" w:eastAsia="宋体"/>
          <w:color w:val="000000" w:themeColor="text1"/>
        </w:rPr>
        <w:t>24.2.2 乙方项目公司在履行本协议所产生的合同，均应按适用法律规定报经项目所在地政府相关部门批准或备案。</w:t>
      </w:r>
    </w:p>
    <w:p>
      <w:pPr>
        <w:pStyle w:val="22"/>
        <w:spacing w:before="240" w:after="240" w:line="360" w:lineRule="auto"/>
        <w:outlineLvl w:val="2"/>
        <w:rPr>
          <w:rFonts w:ascii="宋体" w:hAnsi="宋体" w:eastAsia="宋体"/>
          <w:color w:val="000000" w:themeColor="text1"/>
        </w:rPr>
      </w:pPr>
      <w:bookmarkStart w:id="172" w:name="_Toc27009"/>
      <w:bookmarkStart w:id="173" w:name="_Toc19465"/>
      <w:bookmarkStart w:id="174" w:name="_Toc11717"/>
      <w:bookmarkStart w:id="175" w:name="_Toc14077"/>
      <w:bookmarkStart w:id="176" w:name="_Toc9291"/>
      <w:r>
        <w:rPr>
          <w:rFonts w:ascii="宋体" w:hAnsi="宋体" w:eastAsia="宋体"/>
          <w:color w:val="000000" w:themeColor="text1"/>
        </w:rPr>
        <w:t>第十章 解释和争议的解决</w:t>
      </w:r>
      <w:bookmarkEnd w:id="172"/>
      <w:bookmarkEnd w:id="173"/>
      <w:bookmarkEnd w:id="174"/>
      <w:bookmarkEnd w:id="175"/>
      <w:bookmarkEnd w:id="176"/>
    </w:p>
    <w:p>
      <w:pPr>
        <w:spacing w:after="160" w:line="360" w:lineRule="auto"/>
        <w:ind w:firstLine="482"/>
        <w:rPr>
          <w:rFonts w:ascii="宋体" w:hAnsi="宋体" w:eastAsia="宋体"/>
          <w:b/>
          <w:color w:val="000000" w:themeColor="text1"/>
        </w:rPr>
      </w:pPr>
      <w:r>
        <w:rPr>
          <w:rFonts w:ascii="宋体" w:hAnsi="宋体" w:eastAsia="宋体"/>
          <w:b/>
          <w:color w:val="000000" w:themeColor="text1"/>
        </w:rPr>
        <w:t>第25 条 解释规则</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25.1 修改</w:t>
      </w:r>
    </w:p>
    <w:p>
      <w:pPr>
        <w:spacing w:after="160" w:line="360" w:lineRule="auto"/>
        <w:ind w:firstLine="480"/>
        <w:rPr>
          <w:rFonts w:ascii="宋体" w:hAnsi="宋体" w:eastAsia="宋体"/>
          <w:color w:val="000000" w:themeColor="text1"/>
        </w:rPr>
      </w:pPr>
      <w:r>
        <w:rPr>
          <w:rFonts w:ascii="宋体" w:hAnsi="宋体" w:eastAsia="宋体"/>
          <w:color w:val="000000" w:themeColor="text1"/>
        </w:rPr>
        <w:t>本协议任何修改、补充或变更只有以书面形式并由双方合法代表签字，并加盖公章方可生效并具约束力；并在正式订立之前，甲方须事先获得鄢陵县畜牧局或其相关部门批准或同意。</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25.2 可分割性</w:t>
      </w:r>
    </w:p>
    <w:p>
      <w:pPr>
        <w:spacing w:after="160" w:line="360" w:lineRule="auto"/>
        <w:ind w:firstLine="480"/>
        <w:rPr>
          <w:rFonts w:ascii="宋体" w:hAnsi="宋体" w:eastAsia="宋体"/>
          <w:color w:val="000000" w:themeColor="text1"/>
        </w:rPr>
      </w:pPr>
      <w:r>
        <w:rPr>
          <w:rFonts w:ascii="宋体" w:hAnsi="宋体" w:eastAsia="宋体"/>
          <w:color w:val="000000" w:themeColor="text1"/>
        </w:rPr>
        <w:t>25.2.1 如果本协议任何条款不合法、无效或不能执行，或者被任何有管辖权的仲裁庭或法院宣布为不合法、无效或不能执行，则其它条款仍然有效和可执行；</w:t>
      </w:r>
    </w:p>
    <w:p>
      <w:pPr>
        <w:spacing w:after="160" w:line="360" w:lineRule="auto"/>
        <w:ind w:firstLine="480"/>
        <w:rPr>
          <w:rFonts w:ascii="宋体" w:hAnsi="宋体" w:eastAsia="宋体"/>
          <w:color w:val="000000" w:themeColor="text1"/>
        </w:rPr>
      </w:pPr>
      <w:r>
        <w:rPr>
          <w:rFonts w:ascii="宋体" w:hAnsi="宋体" w:eastAsia="宋体"/>
          <w:color w:val="000000" w:themeColor="text1"/>
        </w:rPr>
        <w:t>25.2.2 双方应对不合法、无效或不能执行的条款进行修改，使之合法、有效并可执行，并且这些修改应尽可能平衡双方之间的利益。</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第26 条 争议的解决</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26.1 双方友好协商解决</w:t>
      </w:r>
    </w:p>
    <w:p>
      <w:pPr>
        <w:spacing w:after="160" w:line="360" w:lineRule="auto"/>
        <w:ind w:firstLine="480"/>
        <w:rPr>
          <w:rFonts w:ascii="宋体" w:hAnsi="宋体" w:eastAsia="宋体"/>
          <w:color w:val="000000" w:themeColor="text1"/>
        </w:rPr>
      </w:pPr>
      <w:r>
        <w:rPr>
          <w:rFonts w:ascii="宋体" w:hAnsi="宋体" w:eastAsia="宋体"/>
          <w:color w:val="000000" w:themeColor="text1"/>
        </w:rPr>
        <w:t>若双方对本协议条款的解释（包括关于其存在、有效或终止的任何问题）产生任何争议、分歧或索赔，则应尽力通过友好协商解决该争议、分歧或索赔。若该争议未能在60 天内得到解决，则应适用第24.2 条法律途径规定。</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26.2 法律途径</w:t>
      </w:r>
    </w:p>
    <w:p>
      <w:pPr>
        <w:spacing w:after="160" w:line="360" w:lineRule="auto"/>
        <w:ind w:firstLine="480"/>
        <w:rPr>
          <w:rFonts w:ascii="宋体" w:hAnsi="宋体" w:eastAsia="宋体"/>
          <w:color w:val="000000" w:themeColor="text1"/>
        </w:rPr>
      </w:pPr>
      <w:r>
        <w:rPr>
          <w:rFonts w:ascii="宋体" w:hAnsi="宋体" w:eastAsia="宋体"/>
          <w:color w:val="000000" w:themeColor="text1"/>
        </w:rPr>
        <w:t>本协议引起的或与本协议有关的所有争议，应向通过向本项目所在地有管辖权的人民法院提起诉讼解决。</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26.3 争议解决期间的履行</w:t>
      </w:r>
    </w:p>
    <w:p>
      <w:pPr>
        <w:spacing w:after="160" w:line="360" w:lineRule="auto"/>
        <w:ind w:firstLine="480"/>
        <w:rPr>
          <w:rFonts w:ascii="宋体" w:hAnsi="宋体" w:eastAsia="宋体"/>
          <w:color w:val="000000" w:themeColor="text1"/>
        </w:rPr>
      </w:pPr>
      <w:r>
        <w:rPr>
          <w:rFonts w:ascii="宋体" w:hAnsi="宋体" w:eastAsia="宋体"/>
          <w:color w:val="000000" w:themeColor="text1"/>
        </w:rPr>
        <w:t>在争议、分歧或索赔作出最终裁决前，各方应继续履行其在本协议项下的所有义务并继续享有其在本协议项下的所有权利，在最终裁决作出后按裁决进行最终调整。</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26.4 继续有效</w:t>
      </w:r>
    </w:p>
    <w:p>
      <w:pPr>
        <w:spacing w:after="160" w:line="360" w:lineRule="auto"/>
        <w:ind w:firstLine="480"/>
        <w:rPr>
          <w:rFonts w:ascii="宋体" w:hAnsi="宋体" w:eastAsia="宋体"/>
          <w:color w:val="000000" w:themeColor="text1"/>
        </w:rPr>
        <w:sectPr>
          <w:pgSz w:w="11906" w:h="16838"/>
          <w:pgMar w:top="1134" w:right="1134" w:bottom="1134" w:left="1701" w:header="567" w:footer="454" w:gutter="0"/>
          <w:cols w:space="720" w:num="1"/>
          <w:docGrid w:linePitch="312" w:charSpace="0"/>
        </w:sectPr>
      </w:pPr>
      <w:r>
        <w:rPr>
          <w:rFonts w:ascii="宋体" w:hAnsi="宋体" w:eastAsia="宋体"/>
          <w:color w:val="000000" w:themeColor="text1"/>
        </w:rPr>
        <w:t>第27条规定的争议解决条款在本协议终止后继续有效，直至双方共同履行全部义务或另行约定无效之日终止。</w:t>
      </w:r>
    </w:p>
    <w:p>
      <w:pPr>
        <w:pStyle w:val="22"/>
        <w:spacing w:before="240" w:after="240" w:line="360" w:lineRule="auto"/>
        <w:outlineLvl w:val="2"/>
        <w:rPr>
          <w:rFonts w:ascii="宋体" w:hAnsi="宋体" w:eastAsia="宋体"/>
          <w:color w:val="000000" w:themeColor="text1"/>
        </w:rPr>
      </w:pPr>
      <w:bookmarkStart w:id="177" w:name="_Toc27710"/>
      <w:bookmarkStart w:id="178" w:name="_Toc29871"/>
      <w:bookmarkStart w:id="179" w:name="_Toc15288"/>
      <w:bookmarkStart w:id="180" w:name="_Toc26500"/>
      <w:bookmarkStart w:id="181" w:name="_Toc20749"/>
      <w:r>
        <w:rPr>
          <w:rFonts w:ascii="宋体" w:hAnsi="宋体" w:eastAsia="宋体"/>
          <w:color w:val="000000" w:themeColor="text1"/>
        </w:rPr>
        <w:t>第十一章 其它</w:t>
      </w:r>
      <w:bookmarkEnd w:id="177"/>
      <w:bookmarkEnd w:id="178"/>
      <w:bookmarkEnd w:id="179"/>
      <w:bookmarkEnd w:id="180"/>
      <w:bookmarkEnd w:id="181"/>
    </w:p>
    <w:p>
      <w:pPr>
        <w:spacing w:after="160" w:line="360" w:lineRule="auto"/>
        <w:ind w:firstLine="482"/>
        <w:rPr>
          <w:rFonts w:ascii="宋体" w:hAnsi="宋体" w:eastAsia="宋体"/>
          <w:b/>
          <w:color w:val="000000" w:themeColor="text1"/>
        </w:rPr>
      </w:pPr>
      <w:r>
        <w:rPr>
          <w:rFonts w:ascii="宋体" w:hAnsi="宋体" w:eastAsia="宋体"/>
          <w:b/>
          <w:color w:val="000000" w:themeColor="text1"/>
        </w:rPr>
        <w:t>第27 条 其他条款</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27.1 通知</w:t>
      </w:r>
    </w:p>
    <w:p>
      <w:pPr>
        <w:spacing w:after="160" w:line="360" w:lineRule="auto"/>
        <w:ind w:firstLine="480"/>
        <w:rPr>
          <w:rFonts w:ascii="宋体" w:hAnsi="宋体" w:eastAsia="宋体"/>
          <w:color w:val="000000" w:themeColor="text1"/>
        </w:rPr>
      </w:pPr>
      <w:r>
        <w:rPr>
          <w:rFonts w:ascii="宋体" w:hAnsi="宋体" w:eastAsia="宋体"/>
          <w:color w:val="000000" w:themeColor="text1"/>
        </w:rPr>
        <w:t>本协议项下的通知，通过专人递交，或快递、邮寄、传真按下述地址送达或发至对方：</w:t>
      </w:r>
    </w:p>
    <w:p>
      <w:pPr>
        <w:spacing w:after="160" w:line="360" w:lineRule="auto"/>
        <w:ind w:firstLine="480"/>
        <w:rPr>
          <w:rFonts w:ascii="宋体" w:hAnsi="宋体" w:eastAsia="宋体"/>
          <w:color w:val="000000" w:themeColor="text1"/>
        </w:rPr>
      </w:pPr>
      <w:r>
        <w:rPr>
          <w:rFonts w:ascii="宋体" w:hAnsi="宋体" w:eastAsia="宋体"/>
          <w:color w:val="000000" w:themeColor="text1"/>
        </w:rPr>
        <w:t>27.1.1甲方：</w:t>
      </w:r>
    </w:p>
    <w:p>
      <w:pPr>
        <w:spacing w:after="160" w:line="360" w:lineRule="auto"/>
        <w:ind w:firstLine="480"/>
        <w:rPr>
          <w:rFonts w:ascii="宋体" w:hAnsi="宋体" w:eastAsia="宋体"/>
          <w:color w:val="000000" w:themeColor="text1"/>
        </w:rPr>
      </w:pPr>
      <w:r>
        <w:rPr>
          <w:rFonts w:ascii="宋体" w:hAnsi="宋体" w:eastAsia="宋体"/>
          <w:color w:val="000000" w:themeColor="text1"/>
        </w:rPr>
        <w:t>详细地址：</w:t>
      </w:r>
    </w:p>
    <w:p>
      <w:pPr>
        <w:spacing w:after="160" w:line="360" w:lineRule="auto"/>
        <w:ind w:firstLine="480"/>
        <w:rPr>
          <w:rFonts w:ascii="宋体" w:hAnsi="宋体" w:eastAsia="宋体"/>
          <w:color w:val="000000" w:themeColor="text1"/>
        </w:rPr>
      </w:pPr>
      <w:r>
        <w:rPr>
          <w:rFonts w:ascii="宋体" w:hAnsi="宋体" w:eastAsia="宋体"/>
          <w:color w:val="000000" w:themeColor="text1"/>
        </w:rPr>
        <w:t>邮政编码：</w:t>
      </w:r>
    </w:p>
    <w:p>
      <w:pPr>
        <w:spacing w:after="160" w:line="360" w:lineRule="auto"/>
        <w:ind w:firstLine="480"/>
        <w:rPr>
          <w:rFonts w:ascii="宋体" w:hAnsi="宋体" w:eastAsia="宋体"/>
          <w:color w:val="000000" w:themeColor="text1"/>
        </w:rPr>
      </w:pPr>
      <w:r>
        <w:rPr>
          <w:rFonts w:ascii="宋体" w:hAnsi="宋体" w:eastAsia="宋体"/>
          <w:color w:val="000000" w:themeColor="text1"/>
        </w:rPr>
        <w:t>收件人：</w:t>
      </w:r>
    </w:p>
    <w:p>
      <w:pPr>
        <w:spacing w:after="160" w:line="360" w:lineRule="auto"/>
        <w:ind w:firstLine="480"/>
        <w:rPr>
          <w:rFonts w:ascii="宋体" w:hAnsi="宋体" w:eastAsia="宋体"/>
          <w:color w:val="000000" w:themeColor="text1"/>
        </w:rPr>
      </w:pPr>
      <w:r>
        <w:rPr>
          <w:rFonts w:ascii="宋体" w:hAnsi="宋体" w:eastAsia="宋体"/>
          <w:color w:val="000000" w:themeColor="text1"/>
        </w:rPr>
        <w:t>联系电话：</w:t>
      </w:r>
    </w:p>
    <w:p>
      <w:pPr>
        <w:spacing w:after="160" w:line="360" w:lineRule="auto"/>
        <w:ind w:firstLine="480"/>
        <w:rPr>
          <w:rFonts w:ascii="宋体" w:hAnsi="宋体" w:eastAsia="宋体"/>
          <w:color w:val="000000" w:themeColor="text1"/>
        </w:rPr>
      </w:pPr>
      <w:r>
        <w:rPr>
          <w:rFonts w:ascii="宋体" w:hAnsi="宋体" w:eastAsia="宋体"/>
          <w:color w:val="000000" w:themeColor="text1"/>
        </w:rPr>
        <w:t>传真：</w:t>
      </w:r>
    </w:p>
    <w:p>
      <w:pPr>
        <w:spacing w:after="160" w:line="360" w:lineRule="auto"/>
        <w:ind w:firstLine="480"/>
        <w:rPr>
          <w:rFonts w:ascii="宋体" w:hAnsi="宋体" w:eastAsia="宋体"/>
          <w:color w:val="000000" w:themeColor="text1"/>
        </w:rPr>
      </w:pPr>
      <w:r>
        <w:rPr>
          <w:rFonts w:ascii="宋体" w:hAnsi="宋体" w:eastAsia="宋体"/>
          <w:color w:val="000000" w:themeColor="text1"/>
        </w:rPr>
        <w:t>27.1.2乙方：</w:t>
      </w:r>
    </w:p>
    <w:p>
      <w:pPr>
        <w:spacing w:after="160" w:line="360" w:lineRule="auto"/>
        <w:ind w:firstLine="480"/>
        <w:rPr>
          <w:rFonts w:ascii="宋体" w:hAnsi="宋体" w:eastAsia="宋体"/>
          <w:color w:val="000000" w:themeColor="text1"/>
        </w:rPr>
      </w:pPr>
      <w:r>
        <w:rPr>
          <w:rFonts w:ascii="宋体" w:hAnsi="宋体" w:eastAsia="宋体"/>
          <w:color w:val="000000" w:themeColor="text1"/>
        </w:rPr>
        <w:t>详细地址：</w:t>
      </w:r>
    </w:p>
    <w:p>
      <w:pPr>
        <w:spacing w:after="160" w:line="360" w:lineRule="auto"/>
        <w:ind w:firstLine="480"/>
        <w:rPr>
          <w:rFonts w:ascii="宋体" w:hAnsi="宋体" w:eastAsia="宋体"/>
          <w:color w:val="000000" w:themeColor="text1"/>
        </w:rPr>
      </w:pPr>
      <w:r>
        <w:rPr>
          <w:rFonts w:ascii="宋体" w:hAnsi="宋体" w:eastAsia="宋体"/>
          <w:color w:val="000000" w:themeColor="text1"/>
        </w:rPr>
        <w:t>邮政编码：</w:t>
      </w:r>
    </w:p>
    <w:p>
      <w:pPr>
        <w:spacing w:after="160" w:line="360" w:lineRule="auto"/>
        <w:ind w:firstLine="480"/>
        <w:rPr>
          <w:rFonts w:ascii="宋体" w:hAnsi="宋体" w:eastAsia="宋体"/>
          <w:color w:val="000000" w:themeColor="text1"/>
        </w:rPr>
      </w:pPr>
      <w:r>
        <w:rPr>
          <w:rFonts w:ascii="宋体" w:hAnsi="宋体" w:eastAsia="宋体"/>
          <w:color w:val="000000" w:themeColor="text1"/>
        </w:rPr>
        <w:t>收件人：</w:t>
      </w:r>
    </w:p>
    <w:p>
      <w:pPr>
        <w:spacing w:after="160" w:line="360" w:lineRule="auto"/>
        <w:ind w:firstLine="480"/>
        <w:rPr>
          <w:rFonts w:ascii="宋体" w:hAnsi="宋体" w:eastAsia="宋体"/>
          <w:color w:val="000000" w:themeColor="text1"/>
        </w:rPr>
      </w:pPr>
      <w:r>
        <w:rPr>
          <w:rFonts w:ascii="宋体" w:hAnsi="宋体" w:eastAsia="宋体"/>
          <w:color w:val="000000" w:themeColor="text1"/>
        </w:rPr>
        <w:t>联系电话：</w:t>
      </w:r>
    </w:p>
    <w:p>
      <w:pPr>
        <w:spacing w:after="160" w:line="360" w:lineRule="auto"/>
        <w:ind w:firstLine="480"/>
        <w:rPr>
          <w:rFonts w:ascii="宋体" w:hAnsi="宋体" w:eastAsia="宋体"/>
          <w:color w:val="000000" w:themeColor="text1"/>
        </w:rPr>
      </w:pPr>
      <w:r>
        <w:rPr>
          <w:rFonts w:ascii="宋体" w:hAnsi="宋体" w:eastAsia="宋体"/>
          <w:color w:val="000000" w:themeColor="text1"/>
        </w:rPr>
        <w:t>传真：</w:t>
      </w:r>
    </w:p>
    <w:p>
      <w:pPr>
        <w:spacing w:after="160" w:line="360" w:lineRule="auto"/>
        <w:ind w:firstLine="480"/>
        <w:rPr>
          <w:rFonts w:ascii="宋体" w:hAnsi="宋体" w:eastAsia="宋体"/>
          <w:color w:val="000000" w:themeColor="text1"/>
        </w:rPr>
      </w:pPr>
      <w:r>
        <w:rPr>
          <w:rFonts w:ascii="宋体" w:hAnsi="宋体" w:eastAsia="宋体"/>
          <w:color w:val="000000" w:themeColor="text1"/>
        </w:rPr>
        <w:t>27.1.4 一方的收件人地址、联系电话和传真号码若有变更，应及时以书面形式通知另一方。下述情况应视为已送达：（1）如用信件进行任何通讯，在由专人递交、或快递或邮寄方式（挂号、要求回执）发送至上述地址时；（2）如用传真形式，在准确发送至上述传真号码时。</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27.2 协议份数</w:t>
      </w:r>
    </w:p>
    <w:p>
      <w:pPr>
        <w:spacing w:after="160" w:line="360" w:lineRule="auto"/>
        <w:ind w:firstLine="480"/>
        <w:rPr>
          <w:rFonts w:ascii="宋体" w:hAnsi="宋体" w:eastAsia="宋体"/>
          <w:color w:val="000000" w:themeColor="text1"/>
        </w:rPr>
      </w:pPr>
      <w:r>
        <w:rPr>
          <w:rFonts w:ascii="宋体" w:hAnsi="宋体" w:eastAsia="宋体"/>
          <w:color w:val="000000" w:themeColor="text1"/>
        </w:rPr>
        <w:t>27.2.1 本协议共壹式拾贰份，甲方执柒份，乙方及其项目公司共执伍份，每份具有同等法律效力。</w:t>
      </w:r>
    </w:p>
    <w:p>
      <w:pPr>
        <w:spacing w:after="160" w:line="360" w:lineRule="auto"/>
        <w:ind w:firstLine="480"/>
        <w:rPr>
          <w:rFonts w:ascii="宋体" w:hAnsi="宋体" w:eastAsia="宋体"/>
          <w:color w:val="000000" w:themeColor="text1"/>
        </w:rPr>
      </w:pPr>
      <w:r>
        <w:rPr>
          <w:rFonts w:ascii="宋体" w:hAnsi="宋体" w:eastAsia="宋体"/>
          <w:color w:val="000000" w:themeColor="text1"/>
        </w:rPr>
        <w:t>27.2.2 本协议由三方各自合法代表签署。如非法定代表人签署的，须有法人及其法定代表人的共同授权委托书。</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27.5 生效日期</w:t>
      </w:r>
    </w:p>
    <w:p>
      <w:pPr>
        <w:spacing w:after="160" w:line="360" w:lineRule="auto"/>
        <w:ind w:firstLine="480"/>
        <w:rPr>
          <w:rFonts w:ascii="宋体" w:hAnsi="宋体" w:eastAsia="宋体"/>
          <w:color w:val="000000" w:themeColor="text1"/>
        </w:rPr>
      </w:pPr>
      <w:r>
        <w:rPr>
          <w:rFonts w:ascii="宋体" w:hAnsi="宋体" w:eastAsia="宋体"/>
          <w:color w:val="000000" w:themeColor="text1"/>
        </w:rPr>
        <w:t>本协议在满足下列全部条件之日起生效，各方愿受本协议的法律约束：</w:t>
      </w:r>
    </w:p>
    <w:p>
      <w:pPr>
        <w:spacing w:after="160" w:line="360" w:lineRule="auto"/>
        <w:ind w:firstLine="480"/>
        <w:rPr>
          <w:rFonts w:ascii="宋体" w:hAnsi="宋体" w:eastAsia="宋体"/>
          <w:color w:val="000000" w:themeColor="text1"/>
        </w:rPr>
      </w:pPr>
      <w:r>
        <w:rPr>
          <w:rFonts w:ascii="宋体" w:hAnsi="宋体" w:eastAsia="宋体"/>
          <w:color w:val="000000" w:themeColor="text1"/>
        </w:rPr>
        <w:t>27.5.1 各方合法代表签字且盖公章；</w:t>
      </w:r>
    </w:p>
    <w:p>
      <w:pPr>
        <w:spacing w:after="160" w:line="360" w:lineRule="auto"/>
        <w:ind w:firstLine="482"/>
        <w:rPr>
          <w:rFonts w:ascii="宋体" w:hAnsi="宋体" w:eastAsia="宋体"/>
          <w:b/>
          <w:color w:val="000000" w:themeColor="text1"/>
        </w:rPr>
      </w:pPr>
      <w:r>
        <w:rPr>
          <w:rFonts w:ascii="宋体" w:hAnsi="宋体" w:eastAsia="宋体"/>
          <w:b/>
          <w:color w:val="000000" w:themeColor="text1"/>
        </w:rPr>
        <w:t>27.6 协议的组成文件</w:t>
      </w:r>
    </w:p>
    <w:p>
      <w:pPr>
        <w:spacing w:after="160" w:line="360" w:lineRule="auto"/>
        <w:ind w:firstLine="480"/>
        <w:rPr>
          <w:rFonts w:ascii="宋体" w:hAnsi="宋体" w:eastAsia="宋体"/>
          <w:color w:val="000000" w:themeColor="text1"/>
        </w:rPr>
      </w:pPr>
      <w:r>
        <w:rPr>
          <w:rFonts w:ascii="宋体" w:hAnsi="宋体" w:eastAsia="宋体"/>
          <w:color w:val="000000" w:themeColor="text1"/>
        </w:rPr>
        <w:t>本协议由以下文件组成，彼此能相互解释，互为说明。如出现相互矛盾时，组成本协议文件的优先解释顺序如下：</w:t>
      </w:r>
    </w:p>
    <w:p>
      <w:pPr>
        <w:spacing w:after="160" w:line="360" w:lineRule="auto"/>
        <w:ind w:firstLine="480"/>
        <w:rPr>
          <w:rFonts w:ascii="宋体" w:hAnsi="宋体" w:eastAsia="宋体"/>
          <w:color w:val="000000" w:themeColor="text1"/>
        </w:rPr>
      </w:pPr>
      <w:r>
        <w:rPr>
          <w:rFonts w:ascii="宋体" w:hAnsi="宋体" w:eastAsia="宋体"/>
          <w:color w:val="000000" w:themeColor="text1"/>
        </w:rPr>
        <w:t>（1） 本协议；</w:t>
      </w:r>
    </w:p>
    <w:p>
      <w:pPr>
        <w:spacing w:after="160" w:line="360" w:lineRule="auto"/>
        <w:ind w:firstLine="480"/>
        <w:rPr>
          <w:rFonts w:ascii="宋体" w:hAnsi="宋体" w:eastAsia="宋体"/>
          <w:color w:val="000000" w:themeColor="text1"/>
        </w:rPr>
      </w:pPr>
      <w:r>
        <w:rPr>
          <w:rFonts w:ascii="宋体" w:hAnsi="宋体" w:eastAsia="宋体"/>
          <w:color w:val="000000" w:themeColor="text1"/>
        </w:rPr>
        <w:t>（2） 履行本协议的相关补充协议；</w:t>
      </w:r>
    </w:p>
    <w:p>
      <w:pPr>
        <w:spacing w:after="160" w:line="360" w:lineRule="auto"/>
        <w:ind w:firstLine="480"/>
        <w:rPr>
          <w:rFonts w:ascii="宋体" w:hAnsi="宋体" w:eastAsia="宋体"/>
          <w:color w:val="000000" w:themeColor="text1"/>
        </w:rPr>
      </w:pPr>
      <w:r>
        <w:rPr>
          <w:rFonts w:ascii="宋体" w:hAnsi="宋体" w:eastAsia="宋体"/>
          <w:color w:val="000000" w:themeColor="text1"/>
        </w:rPr>
        <w:t>（3） 中标通知书；</w:t>
      </w:r>
    </w:p>
    <w:p>
      <w:pPr>
        <w:spacing w:after="160" w:line="360" w:lineRule="auto"/>
        <w:ind w:firstLine="480"/>
        <w:rPr>
          <w:rFonts w:ascii="宋体" w:hAnsi="宋体" w:eastAsia="宋体"/>
          <w:color w:val="000000" w:themeColor="text1"/>
        </w:rPr>
      </w:pPr>
      <w:r>
        <w:rPr>
          <w:rFonts w:ascii="宋体" w:hAnsi="宋体" w:eastAsia="宋体"/>
          <w:color w:val="000000" w:themeColor="text1"/>
        </w:rPr>
        <w:t>（4） 招标文件中要求投标人必须响应的内容；</w:t>
      </w:r>
    </w:p>
    <w:p>
      <w:pPr>
        <w:spacing w:after="160" w:line="360" w:lineRule="auto"/>
        <w:ind w:firstLine="480"/>
        <w:rPr>
          <w:rFonts w:ascii="宋体" w:hAnsi="宋体" w:eastAsia="宋体"/>
          <w:color w:val="000000" w:themeColor="text1"/>
        </w:rPr>
      </w:pPr>
      <w:r>
        <w:rPr>
          <w:rFonts w:ascii="宋体" w:hAnsi="宋体" w:eastAsia="宋体"/>
          <w:color w:val="000000" w:themeColor="text1"/>
        </w:rPr>
        <w:t>（5） 乙方的投标文件；</w:t>
      </w:r>
    </w:p>
    <w:p>
      <w:pPr>
        <w:spacing w:after="160" w:line="360" w:lineRule="auto"/>
        <w:ind w:firstLine="480"/>
        <w:rPr>
          <w:rFonts w:ascii="宋体" w:hAnsi="宋体" w:eastAsia="宋体"/>
          <w:color w:val="000000" w:themeColor="text1"/>
        </w:rPr>
      </w:pPr>
      <w:r>
        <w:rPr>
          <w:rFonts w:ascii="宋体" w:hAnsi="宋体" w:eastAsia="宋体"/>
          <w:color w:val="000000" w:themeColor="text1"/>
        </w:rPr>
        <w:t>（6） 其它文件。</w:t>
      </w:r>
    </w:p>
    <w:p>
      <w:pPr>
        <w:spacing w:after="160" w:line="360" w:lineRule="auto"/>
        <w:ind w:firstLine="480"/>
        <w:rPr>
          <w:rFonts w:ascii="宋体" w:hAnsi="宋体" w:eastAsia="宋体"/>
          <w:color w:val="000000" w:themeColor="text1"/>
        </w:rPr>
      </w:pPr>
      <w:r>
        <w:rPr>
          <w:rFonts w:ascii="宋体" w:hAnsi="宋体" w:eastAsia="宋体"/>
          <w:color w:val="000000" w:themeColor="text1"/>
        </w:rPr>
        <w:t>甲方（盖公章）：                  乙方（盖公章）：</w:t>
      </w:r>
    </w:p>
    <w:p>
      <w:pPr>
        <w:spacing w:after="160" w:line="360" w:lineRule="auto"/>
        <w:rPr>
          <w:rFonts w:ascii="宋体" w:hAnsi="宋体" w:eastAsia="宋体"/>
          <w:color w:val="000000" w:themeColor="text1"/>
        </w:rPr>
      </w:pPr>
    </w:p>
    <w:p>
      <w:pPr>
        <w:spacing w:after="160" w:line="360" w:lineRule="auto"/>
        <w:ind w:firstLine="480"/>
        <w:rPr>
          <w:rFonts w:ascii="宋体" w:hAnsi="宋体" w:eastAsia="宋体"/>
          <w:color w:val="000000" w:themeColor="text1"/>
        </w:rPr>
      </w:pPr>
      <w:r>
        <w:rPr>
          <w:rFonts w:ascii="宋体" w:hAnsi="宋体" w:eastAsia="宋体"/>
          <w:color w:val="000000" w:themeColor="text1"/>
        </w:rPr>
        <w:t>法定代表人（签字）：              法定代表人（签字）：</w:t>
      </w:r>
    </w:p>
    <w:p>
      <w:pPr>
        <w:spacing w:after="160" w:line="360" w:lineRule="auto"/>
        <w:ind w:firstLine="480"/>
        <w:rPr>
          <w:rFonts w:ascii="宋体" w:hAnsi="宋体" w:eastAsia="宋体"/>
          <w:color w:val="000000" w:themeColor="text1"/>
        </w:rPr>
      </w:pPr>
      <w:r>
        <w:rPr>
          <w:rFonts w:ascii="宋体" w:hAnsi="宋体" w:eastAsia="宋体"/>
          <w:color w:val="000000" w:themeColor="text1"/>
        </w:rPr>
        <w:t>或委托代理人                     或委托代理人</w:t>
      </w:r>
    </w:p>
    <w:p>
      <w:pPr>
        <w:spacing w:after="160" w:line="360" w:lineRule="auto"/>
        <w:ind w:firstLine="480"/>
        <w:rPr>
          <w:rFonts w:ascii="宋体" w:hAnsi="宋体" w:eastAsia="宋体"/>
          <w:color w:val="000000" w:themeColor="text1"/>
        </w:rPr>
      </w:pPr>
    </w:p>
    <w:p>
      <w:pPr>
        <w:spacing w:after="160" w:line="360" w:lineRule="auto"/>
        <w:ind w:firstLine="480"/>
        <w:rPr>
          <w:rFonts w:ascii="宋体" w:hAnsi="宋体" w:eastAsia="宋体"/>
          <w:color w:val="000000" w:themeColor="text1"/>
        </w:rPr>
        <w:sectPr>
          <w:pgSz w:w="11906" w:h="16838"/>
          <w:pgMar w:top="1134" w:right="1134" w:bottom="1134" w:left="1701" w:header="567" w:footer="567" w:gutter="0"/>
          <w:cols w:space="720" w:num="1"/>
          <w:docGrid w:linePitch="312" w:charSpace="0"/>
        </w:sectPr>
      </w:pPr>
      <w:r>
        <w:rPr>
          <w:rFonts w:ascii="宋体" w:hAnsi="宋体" w:eastAsia="宋体"/>
          <w:color w:val="000000" w:themeColor="text1"/>
        </w:rPr>
        <w:t>订立地点：鄢陵县畜牧局</w:t>
      </w:r>
    </w:p>
    <w:p>
      <w:pPr>
        <w:spacing w:after="160" w:line="360" w:lineRule="auto"/>
        <w:rPr>
          <w:rFonts w:ascii="宋体" w:hAnsi="宋体" w:eastAsia="宋体"/>
          <w:color w:val="000000" w:themeColor="text1"/>
        </w:rPr>
      </w:pPr>
    </w:p>
    <w:p>
      <w:pPr>
        <w:spacing w:after="160" w:line="360" w:lineRule="auto"/>
        <w:rPr>
          <w:rFonts w:ascii="宋体" w:hAnsi="宋体" w:eastAsia="宋体"/>
          <w:color w:val="000000" w:themeColor="text1"/>
        </w:rPr>
      </w:pPr>
    </w:p>
    <w:p>
      <w:pPr>
        <w:spacing w:after="160" w:line="360" w:lineRule="auto"/>
        <w:rPr>
          <w:rFonts w:ascii="宋体" w:hAnsi="宋体" w:eastAsia="宋体"/>
          <w:color w:val="000000" w:themeColor="text1"/>
        </w:rPr>
      </w:pPr>
    </w:p>
    <w:p>
      <w:pPr>
        <w:spacing w:after="160" w:line="360" w:lineRule="auto"/>
        <w:rPr>
          <w:rFonts w:ascii="宋体" w:hAnsi="宋体" w:eastAsia="宋体"/>
          <w:color w:val="000000" w:themeColor="text1"/>
        </w:rPr>
      </w:pPr>
      <w:bookmarkStart w:id="182" w:name="_Toc533769437"/>
      <w:bookmarkStart w:id="183" w:name="_Toc12641"/>
      <w:r>
        <w:rPr>
          <w:rFonts w:ascii="宋体" w:hAnsi="宋体" w:eastAsia="宋体"/>
          <w:color w:val="000000" w:themeColor="text1"/>
        </w:rPr>
        <w:br w:type="textWrapping" w:clear="all"/>
      </w:r>
    </w:p>
    <w:p>
      <w:pPr>
        <w:spacing w:after="160" w:line="360" w:lineRule="auto"/>
        <w:rPr>
          <w:rFonts w:ascii="宋体" w:hAnsi="宋体" w:eastAsia="宋体"/>
          <w:color w:val="000000" w:themeColor="text1"/>
        </w:rPr>
      </w:pPr>
    </w:p>
    <w:p>
      <w:pPr>
        <w:spacing w:after="160" w:line="360" w:lineRule="auto"/>
        <w:rPr>
          <w:rFonts w:ascii="宋体" w:hAnsi="宋体" w:eastAsia="宋体"/>
          <w:color w:val="000000" w:themeColor="text1"/>
        </w:rPr>
      </w:pPr>
    </w:p>
    <w:p>
      <w:pPr>
        <w:spacing w:after="160" w:line="360" w:lineRule="auto"/>
        <w:rPr>
          <w:rFonts w:ascii="宋体" w:hAnsi="宋体" w:eastAsia="宋体"/>
          <w:color w:val="000000" w:themeColor="text1"/>
        </w:rPr>
      </w:pPr>
    </w:p>
    <w:p>
      <w:pPr>
        <w:spacing w:after="160" w:line="360" w:lineRule="auto"/>
        <w:rPr>
          <w:rFonts w:ascii="宋体" w:hAnsi="宋体" w:eastAsia="宋体"/>
          <w:color w:val="000000" w:themeColor="text1"/>
        </w:rPr>
      </w:pPr>
    </w:p>
    <w:p>
      <w:pPr>
        <w:spacing w:after="160" w:line="360" w:lineRule="auto"/>
        <w:rPr>
          <w:rFonts w:ascii="宋体" w:hAnsi="宋体" w:eastAsia="宋体"/>
          <w:color w:val="000000" w:themeColor="text1"/>
        </w:rPr>
      </w:pPr>
    </w:p>
    <w:p>
      <w:pPr>
        <w:spacing w:after="160" w:line="360" w:lineRule="auto"/>
        <w:rPr>
          <w:rFonts w:ascii="宋体" w:hAnsi="宋体" w:eastAsia="宋体"/>
          <w:color w:val="000000" w:themeColor="text1"/>
        </w:rPr>
      </w:pPr>
    </w:p>
    <w:p>
      <w:pPr>
        <w:spacing w:after="160" w:line="360" w:lineRule="auto"/>
        <w:rPr>
          <w:rFonts w:ascii="宋体" w:hAnsi="宋体" w:eastAsia="宋体"/>
          <w:color w:val="000000" w:themeColor="text1"/>
        </w:rPr>
      </w:pPr>
    </w:p>
    <w:p>
      <w:pPr>
        <w:pStyle w:val="2"/>
        <w:spacing w:before="320" w:after="200" w:line="360" w:lineRule="auto"/>
        <w:rPr>
          <w:rFonts w:eastAsia="宋体"/>
          <w:color w:val="000000" w:themeColor="text1"/>
        </w:rPr>
      </w:pPr>
      <w:bookmarkStart w:id="184" w:name="_Toc15596"/>
      <w:bookmarkStart w:id="185" w:name="_Toc6375"/>
      <w:bookmarkStart w:id="186" w:name="_Toc16234"/>
      <w:bookmarkStart w:id="187" w:name="_Toc16778"/>
      <w:r>
        <w:rPr>
          <w:rFonts w:eastAsia="宋体"/>
          <w:color w:val="000000" w:themeColor="text1"/>
        </w:rPr>
        <w:t>第 二 卷</w:t>
      </w:r>
      <w:bookmarkEnd w:id="182"/>
      <w:bookmarkEnd w:id="183"/>
      <w:bookmarkEnd w:id="184"/>
      <w:bookmarkEnd w:id="185"/>
      <w:bookmarkEnd w:id="186"/>
      <w:bookmarkEnd w:id="187"/>
    </w:p>
    <w:p>
      <w:pPr>
        <w:spacing w:before="320" w:after="200" w:line="360" w:lineRule="auto"/>
        <w:jc w:val="center"/>
        <w:outlineLvl w:val="0"/>
        <w:rPr>
          <w:rFonts w:ascii="宋体" w:hAnsi="宋体" w:eastAsia="宋体"/>
          <w:color w:val="000000" w:themeColor="text1"/>
        </w:rPr>
        <w:sectPr>
          <w:pgSz w:w="11906" w:h="16838"/>
          <w:pgMar w:top="1134" w:right="1134" w:bottom="1134" w:left="1701" w:header="567" w:footer="567" w:gutter="0"/>
          <w:cols w:space="720" w:num="1"/>
          <w:docGrid w:linePitch="312" w:charSpace="0"/>
        </w:sectPr>
      </w:pPr>
    </w:p>
    <w:p>
      <w:pPr>
        <w:pStyle w:val="27"/>
        <w:spacing w:before="320" w:after="200" w:line="360" w:lineRule="auto"/>
        <w:outlineLvl w:val="1"/>
        <w:rPr>
          <w:rFonts w:ascii="宋体" w:hAnsi="宋体" w:eastAsia="宋体"/>
          <w:color w:val="000000" w:themeColor="text1"/>
        </w:rPr>
      </w:pPr>
      <w:bookmarkStart w:id="188" w:name="_Toc6478"/>
      <w:bookmarkStart w:id="189" w:name="_Toc1284"/>
      <w:bookmarkStart w:id="190" w:name="_Toc27443"/>
      <w:bookmarkStart w:id="191" w:name="_Toc2747"/>
      <w:bookmarkStart w:id="192" w:name="_Toc19290"/>
      <w:r>
        <w:rPr>
          <w:rFonts w:ascii="宋体" w:hAnsi="宋体" w:eastAsia="宋体"/>
          <w:color w:val="000000" w:themeColor="text1"/>
        </w:rPr>
        <w:t>第五章 投资方案及财务评价编制要点</w:t>
      </w:r>
      <w:bookmarkEnd w:id="188"/>
      <w:bookmarkEnd w:id="189"/>
      <w:bookmarkEnd w:id="190"/>
      <w:bookmarkEnd w:id="191"/>
      <w:bookmarkEnd w:id="192"/>
    </w:p>
    <w:p>
      <w:pPr>
        <w:spacing w:after="160" w:line="360" w:lineRule="auto"/>
        <w:ind w:firstLine="480"/>
        <w:jc w:val="left"/>
        <w:rPr>
          <w:rFonts w:ascii="宋体" w:hAnsi="宋体" w:eastAsia="宋体"/>
          <w:color w:val="000000" w:themeColor="text1"/>
        </w:rPr>
      </w:pPr>
      <w:r>
        <w:rPr>
          <w:rFonts w:ascii="宋体" w:hAnsi="宋体" w:eastAsia="宋体"/>
          <w:color w:val="000000" w:themeColor="text1"/>
        </w:rPr>
        <w:t>项目投资方案及财务评价范围为本次招标项目的特许经营期限内，应包括投资估算、财务评价、主要技术经济指标表。</w:t>
      </w:r>
    </w:p>
    <w:p>
      <w:pPr>
        <w:spacing w:after="160" w:line="360" w:lineRule="auto"/>
        <w:ind w:firstLine="480"/>
        <w:jc w:val="left"/>
        <w:rPr>
          <w:rFonts w:ascii="宋体" w:hAnsi="宋体" w:eastAsia="宋体"/>
          <w:color w:val="000000" w:themeColor="text1"/>
        </w:rPr>
      </w:pPr>
      <w:r>
        <w:rPr>
          <w:rFonts w:ascii="宋体" w:hAnsi="宋体" w:eastAsia="宋体"/>
          <w:color w:val="000000" w:themeColor="text1"/>
        </w:rPr>
        <w:t>一、投资估算</w:t>
      </w:r>
    </w:p>
    <w:p>
      <w:pPr>
        <w:spacing w:after="160" w:line="360" w:lineRule="auto"/>
        <w:ind w:firstLine="480"/>
        <w:jc w:val="left"/>
        <w:rPr>
          <w:rFonts w:ascii="宋体" w:hAnsi="宋体" w:eastAsia="宋体"/>
          <w:color w:val="000000" w:themeColor="text1"/>
        </w:rPr>
      </w:pPr>
      <w:bookmarkStart w:id="193" w:name="_Toc172102110"/>
      <w:r>
        <w:rPr>
          <w:rFonts w:ascii="宋体" w:hAnsi="宋体" w:eastAsia="宋体"/>
          <w:color w:val="000000" w:themeColor="text1"/>
        </w:rPr>
        <w:t>1.1</w:t>
      </w:r>
      <w:bookmarkEnd w:id="193"/>
      <w:r>
        <w:rPr>
          <w:rFonts w:ascii="宋体" w:hAnsi="宋体" w:eastAsia="宋体"/>
          <w:color w:val="000000" w:themeColor="text1"/>
        </w:rPr>
        <w:t>估算的依据与要求</w:t>
      </w:r>
    </w:p>
    <w:p>
      <w:pPr>
        <w:spacing w:after="160" w:line="360" w:lineRule="auto"/>
        <w:ind w:firstLine="480"/>
        <w:jc w:val="left"/>
        <w:rPr>
          <w:rFonts w:ascii="宋体" w:hAnsi="宋体" w:eastAsia="宋体"/>
          <w:color w:val="000000" w:themeColor="text1"/>
        </w:rPr>
      </w:pPr>
      <w:r>
        <w:rPr>
          <w:rFonts w:ascii="宋体" w:hAnsi="宋体" w:eastAsia="宋体"/>
          <w:color w:val="000000" w:themeColor="text1"/>
        </w:rPr>
        <w:t>1.1.1投资估算应做到方法科学、依据充分。主要依据为：</w:t>
      </w:r>
    </w:p>
    <w:p>
      <w:pPr>
        <w:spacing w:after="160" w:line="360" w:lineRule="auto"/>
        <w:ind w:firstLine="480"/>
        <w:jc w:val="left"/>
        <w:rPr>
          <w:rFonts w:ascii="宋体" w:hAnsi="宋体" w:eastAsia="宋体"/>
          <w:color w:val="000000" w:themeColor="text1"/>
        </w:rPr>
      </w:pPr>
      <w:r>
        <w:rPr>
          <w:rFonts w:ascii="宋体" w:hAnsi="宋体" w:eastAsia="宋体"/>
          <w:color w:val="000000" w:themeColor="text1"/>
        </w:rPr>
        <w:t>（1）招标文件中有关本项目条件、回报方式和《特许经营协议》有关条款的规定，以及招标人提供的相关图纸和资料、建设用地现场情况和招标边界条件、相关配套服务等；</w:t>
      </w:r>
    </w:p>
    <w:p>
      <w:pPr>
        <w:spacing w:after="160" w:line="360" w:lineRule="auto"/>
        <w:ind w:firstLine="480"/>
        <w:jc w:val="left"/>
        <w:rPr>
          <w:rFonts w:ascii="宋体" w:hAnsi="宋体" w:eastAsia="宋体"/>
          <w:color w:val="000000" w:themeColor="text1"/>
        </w:rPr>
      </w:pPr>
      <w:r>
        <w:rPr>
          <w:rFonts w:ascii="宋体" w:hAnsi="宋体" w:eastAsia="宋体"/>
          <w:color w:val="000000" w:themeColor="text1"/>
        </w:rPr>
        <w:t>（2）投标文件《技术及建设方案》中关于项目各单项工程的建设内容及设备材料清单、工程进度计划、工艺流程；</w:t>
      </w:r>
    </w:p>
    <w:p>
      <w:pPr>
        <w:spacing w:after="160" w:line="360" w:lineRule="auto"/>
        <w:ind w:firstLine="480"/>
        <w:jc w:val="left"/>
        <w:rPr>
          <w:rFonts w:ascii="宋体" w:hAnsi="宋体" w:eastAsia="宋体"/>
          <w:color w:val="000000" w:themeColor="text1"/>
        </w:rPr>
      </w:pPr>
      <w:r>
        <w:rPr>
          <w:rFonts w:ascii="宋体" w:hAnsi="宋体" w:eastAsia="宋体"/>
          <w:color w:val="000000" w:themeColor="text1"/>
        </w:rPr>
        <w:t>（3）建设管理部门颁发的建设工程造价费用构成、计算方法和定额及其他有关计算工程造价的文件。</w:t>
      </w:r>
    </w:p>
    <w:p>
      <w:pPr>
        <w:spacing w:after="160" w:line="360" w:lineRule="auto"/>
        <w:ind w:firstLine="480"/>
        <w:jc w:val="left"/>
        <w:rPr>
          <w:rFonts w:ascii="宋体" w:hAnsi="宋体" w:eastAsia="宋体"/>
          <w:color w:val="000000" w:themeColor="text1"/>
        </w:rPr>
      </w:pPr>
      <w:r>
        <w:rPr>
          <w:rFonts w:ascii="宋体" w:hAnsi="宋体" w:eastAsia="宋体"/>
          <w:color w:val="000000" w:themeColor="text1"/>
        </w:rPr>
        <w:t>（4）有关部门制定的工程建设其他费用的计算办法和费用标准。</w:t>
      </w:r>
    </w:p>
    <w:p>
      <w:pPr>
        <w:spacing w:after="160" w:line="360" w:lineRule="auto"/>
        <w:ind w:firstLine="480"/>
        <w:jc w:val="left"/>
        <w:rPr>
          <w:rFonts w:ascii="宋体" w:hAnsi="宋体" w:eastAsia="宋体"/>
          <w:color w:val="000000" w:themeColor="text1"/>
        </w:rPr>
      </w:pPr>
      <w:r>
        <w:rPr>
          <w:rFonts w:ascii="宋体" w:hAnsi="宋体" w:eastAsia="宋体"/>
          <w:color w:val="000000" w:themeColor="text1"/>
        </w:rPr>
        <w:t>1.1.2估算精度要求</w:t>
      </w:r>
    </w:p>
    <w:p>
      <w:pPr>
        <w:spacing w:after="160" w:line="360" w:lineRule="auto"/>
        <w:ind w:firstLine="480"/>
        <w:jc w:val="left"/>
        <w:rPr>
          <w:rFonts w:ascii="宋体" w:hAnsi="宋体" w:eastAsia="宋体"/>
          <w:color w:val="000000" w:themeColor="text1"/>
        </w:rPr>
      </w:pPr>
      <w:r>
        <w:rPr>
          <w:rFonts w:ascii="宋体" w:hAnsi="宋体" w:eastAsia="宋体"/>
          <w:color w:val="000000" w:themeColor="text1"/>
        </w:rPr>
        <w:t>（1）工程内容和费用构成齐全、计算合理，不重复计算、不提高或降低估算标准，不漏项不少算；</w:t>
      </w:r>
    </w:p>
    <w:p>
      <w:pPr>
        <w:spacing w:after="160" w:line="360" w:lineRule="auto"/>
        <w:ind w:firstLine="480"/>
        <w:jc w:val="left"/>
        <w:rPr>
          <w:rFonts w:ascii="宋体" w:hAnsi="宋体" w:eastAsia="宋体"/>
          <w:color w:val="000000" w:themeColor="text1"/>
        </w:rPr>
      </w:pPr>
      <w:r>
        <w:rPr>
          <w:rFonts w:ascii="宋体" w:hAnsi="宋体" w:eastAsia="宋体"/>
          <w:color w:val="000000" w:themeColor="text1"/>
        </w:rPr>
        <w:t>（2）若选用的指标与具体工程之间的标准或条件有差异，应进行必要的换算或调整；</w:t>
      </w:r>
    </w:p>
    <w:p>
      <w:pPr>
        <w:spacing w:after="160" w:line="360" w:lineRule="auto"/>
        <w:ind w:firstLine="480"/>
        <w:jc w:val="left"/>
        <w:rPr>
          <w:rFonts w:ascii="宋体" w:hAnsi="宋体" w:eastAsia="宋体"/>
          <w:color w:val="000000" w:themeColor="text1"/>
        </w:rPr>
      </w:pPr>
      <w:r>
        <w:rPr>
          <w:rFonts w:ascii="宋体" w:hAnsi="宋体" w:eastAsia="宋体"/>
          <w:color w:val="000000" w:themeColor="text1"/>
        </w:rPr>
        <w:t>（3）投资估算深度应能满足控制设计概算的要求。</w:t>
      </w:r>
    </w:p>
    <w:p>
      <w:pPr>
        <w:spacing w:after="160" w:line="360" w:lineRule="auto"/>
        <w:ind w:firstLine="480"/>
        <w:jc w:val="left"/>
        <w:rPr>
          <w:rFonts w:ascii="宋体" w:hAnsi="宋体" w:eastAsia="宋体"/>
          <w:color w:val="000000" w:themeColor="text1"/>
        </w:rPr>
      </w:pPr>
      <w:bookmarkStart w:id="194" w:name="_Toc172102111"/>
      <w:r>
        <w:rPr>
          <w:rFonts w:ascii="宋体" w:hAnsi="宋体" w:eastAsia="宋体"/>
          <w:color w:val="000000" w:themeColor="text1"/>
        </w:rPr>
        <w:t>1.2</w:t>
      </w:r>
      <w:bookmarkEnd w:id="194"/>
      <w:r>
        <w:rPr>
          <w:rFonts w:ascii="宋体" w:hAnsi="宋体" w:eastAsia="宋体"/>
          <w:color w:val="000000" w:themeColor="text1"/>
        </w:rPr>
        <w:t>投资估算范围与内容</w:t>
      </w:r>
    </w:p>
    <w:p>
      <w:pPr>
        <w:spacing w:after="160" w:line="360" w:lineRule="auto"/>
        <w:ind w:firstLine="480"/>
        <w:jc w:val="left"/>
        <w:rPr>
          <w:rFonts w:ascii="宋体" w:hAnsi="宋体" w:eastAsia="宋体"/>
          <w:color w:val="000000" w:themeColor="text1"/>
        </w:rPr>
      </w:pPr>
      <w:r>
        <w:rPr>
          <w:rFonts w:ascii="宋体" w:hAnsi="宋体" w:eastAsia="宋体"/>
          <w:color w:val="000000" w:themeColor="text1"/>
        </w:rPr>
        <w:t>投资估算应对项目建设和运营所需投入的全部资金即项目总投资进行估算,包括建设投资和流动资金两部分。</w:t>
      </w:r>
    </w:p>
    <w:p>
      <w:pPr>
        <w:spacing w:after="160" w:line="360" w:lineRule="auto"/>
        <w:ind w:firstLine="480"/>
        <w:jc w:val="left"/>
        <w:rPr>
          <w:rFonts w:ascii="宋体" w:hAnsi="宋体" w:eastAsia="宋体"/>
          <w:color w:val="000000" w:themeColor="text1"/>
        </w:rPr>
      </w:pPr>
      <w:r>
        <w:rPr>
          <w:rFonts w:ascii="宋体" w:hAnsi="宋体" w:eastAsia="宋体"/>
          <w:color w:val="000000" w:themeColor="text1"/>
        </w:rPr>
        <w:t>1.2.1建设投资</w:t>
      </w:r>
    </w:p>
    <w:p>
      <w:pPr>
        <w:spacing w:after="160" w:line="360" w:lineRule="auto"/>
        <w:ind w:firstLine="480"/>
        <w:jc w:val="left"/>
        <w:rPr>
          <w:rFonts w:ascii="宋体" w:hAnsi="宋体" w:eastAsia="宋体"/>
          <w:color w:val="000000" w:themeColor="text1"/>
        </w:rPr>
      </w:pPr>
      <w:r>
        <w:rPr>
          <w:rFonts w:ascii="宋体" w:hAnsi="宋体" w:eastAsia="宋体"/>
          <w:color w:val="000000" w:themeColor="text1"/>
        </w:rPr>
        <w:t>建设投资由建筑安装工程费用、工程建设其他费用、预备费和建设期利息组成，投标人应按附表1格式编制“项目投资估算表”。</w:t>
      </w:r>
    </w:p>
    <w:p>
      <w:pPr>
        <w:spacing w:after="160" w:line="360" w:lineRule="auto"/>
        <w:ind w:firstLine="480"/>
        <w:jc w:val="left"/>
        <w:rPr>
          <w:rFonts w:ascii="宋体" w:hAnsi="宋体" w:eastAsia="宋体"/>
          <w:color w:val="000000" w:themeColor="text1"/>
        </w:rPr>
      </w:pPr>
      <w:r>
        <w:rPr>
          <w:rFonts w:ascii="宋体" w:hAnsi="宋体" w:eastAsia="宋体"/>
          <w:color w:val="000000" w:themeColor="text1"/>
        </w:rPr>
        <w:t>（1）工程费用：包括建筑安装工程费、设备及工器具购置费等。</w:t>
      </w:r>
    </w:p>
    <w:p>
      <w:pPr>
        <w:spacing w:after="160" w:line="360" w:lineRule="auto"/>
        <w:ind w:firstLine="480"/>
        <w:jc w:val="left"/>
        <w:rPr>
          <w:rFonts w:ascii="宋体" w:hAnsi="宋体" w:eastAsia="宋体"/>
          <w:color w:val="000000" w:themeColor="text1"/>
        </w:rPr>
      </w:pPr>
      <w:r>
        <w:rPr>
          <w:rFonts w:ascii="宋体" w:hAnsi="宋体" w:eastAsia="宋体"/>
          <w:color w:val="000000" w:themeColor="text1"/>
        </w:rPr>
        <w:t>（2）工程建设其他费用：包括建设用地费、建设单位管理费、勘察设计费、工程建设监理费、施工图审查费、工程质量监督费、前期工作及技术咨询费、引进技术和进口设备其他费用、项目交易费、工程保险费、考察和培训费、联合试运转费、招投标代理服务费、办公和生活家具购置费等。</w:t>
      </w:r>
    </w:p>
    <w:p>
      <w:pPr>
        <w:spacing w:after="160" w:line="360" w:lineRule="auto"/>
        <w:ind w:firstLine="480"/>
        <w:jc w:val="left"/>
        <w:rPr>
          <w:rFonts w:ascii="宋体" w:hAnsi="宋体" w:eastAsia="宋体"/>
          <w:color w:val="000000" w:themeColor="text1"/>
        </w:rPr>
      </w:pPr>
      <w:r>
        <w:rPr>
          <w:rFonts w:ascii="宋体" w:hAnsi="宋体" w:eastAsia="宋体"/>
          <w:color w:val="000000" w:themeColor="text1"/>
        </w:rPr>
        <w:t>（3）基本预备费：以工程费用及工程建设其他费用之和为基数，按照国家相关规定、规范计取。</w:t>
      </w:r>
    </w:p>
    <w:p>
      <w:pPr>
        <w:spacing w:after="160" w:line="360" w:lineRule="auto"/>
        <w:ind w:firstLine="480"/>
        <w:jc w:val="left"/>
        <w:rPr>
          <w:rFonts w:ascii="宋体" w:hAnsi="宋体" w:eastAsia="宋体"/>
          <w:color w:val="000000" w:themeColor="text1"/>
        </w:rPr>
      </w:pPr>
      <w:r>
        <w:rPr>
          <w:rFonts w:ascii="宋体" w:hAnsi="宋体" w:eastAsia="宋体"/>
          <w:color w:val="000000" w:themeColor="text1"/>
        </w:rPr>
        <w:t>（4）建设期利息：结合投标人的投资计划与资金筹措方案，计算项目建设期内发生的贷款利息。</w:t>
      </w:r>
    </w:p>
    <w:p>
      <w:pPr>
        <w:spacing w:after="160" w:line="360" w:lineRule="auto"/>
        <w:ind w:firstLine="480"/>
        <w:jc w:val="left"/>
        <w:rPr>
          <w:rFonts w:ascii="宋体" w:hAnsi="宋体" w:eastAsia="宋体"/>
          <w:color w:val="000000" w:themeColor="text1"/>
        </w:rPr>
      </w:pPr>
      <w:r>
        <w:rPr>
          <w:rFonts w:ascii="宋体" w:hAnsi="宋体" w:eastAsia="宋体"/>
          <w:color w:val="000000" w:themeColor="text1"/>
        </w:rPr>
        <w:t>1.2.2流动资金</w:t>
      </w:r>
    </w:p>
    <w:p>
      <w:pPr>
        <w:spacing w:after="160" w:line="360" w:lineRule="auto"/>
        <w:ind w:firstLine="480"/>
        <w:jc w:val="left"/>
        <w:rPr>
          <w:rFonts w:ascii="宋体" w:hAnsi="宋体" w:eastAsia="宋体"/>
          <w:color w:val="000000" w:themeColor="text1"/>
        </w:rPr>
      </w:pPr>
      <w:r>
        <w:rPr>
          <w:rFonts w:ascii="宋体" w:hAnsi="宋体" w:eastAsia="宋体"/>
          <w:color w:val="000000" w:themeColor="text1"/>
        </w:rPr>
        <w:t>流动资金估算可参照同类项目流动资金所占比例。</w:t>
      </w:r>
    </w:p>
    <w:p>
      <w:pPr>
        <w:spacing w:after="160" w:line="360" w:lineRule="auto"/>
        <w:ind w:firstLine="480"/>
        <w:jc w:val="left"/>
        <w:rPr>
          <w:rFonts w:ascii="宋体" w:hAnsi="宋体" w:eastAsia="宋体"/>
          <w:color w:val="000000" w:themeColor="text1"/>
        </w:rPr>
      </w:pPr>
      <w:r>
        <w:rPr>
          <w:rFonts w:ascii="宋体" w:hAnsi="宋体" w:eastAsia="宋体"/>
          <w:color w:val="000000" w:themeColor="text1"/>
        </w:rPr>
        <w:t>二、财务评价</w:t>
      </w:r>
    </w:p>
    <w:p>
      <w:pPr>
        <w:spacing w:after="160" w:line="360" w:lineRule="auto"/>
        <w:ind w:firstLine="480"/>
        <w:jc w:val="left"/>
        <w:rPr>
          <w:rFonts w:ascii="宋体" w:hAnsi="宋体" w:eastAsia="宋体"/>
          <w:color w:val="000000" w:themeColor="text1"/>
        </w:rPr>
      </w:pPr>
      <w:bookmarkStart w:id="195" w:name="_Toc172102117"/>
      <w:r>
        <w:rPr>
          <w:rFonts w:ascii="宋体" w:hAnsi="宋体" w:eastAsia="宋体"/>
          <w:color w:val="000000" w:themeColor="text1"/>
        </w:rPr>
        <w:t>2.1</w:t>
      </w:r>
      <w:bookmarkEnd w:id="195"/>
      <w:r>
        <w:rPr>
          <w:rFonts w:ascii="宋体" w:hAnsi="宋体" w:eastAsia="宋体"/>
          <w:color w:val="000000" w:themeColor="text1"/>
        </w:rPr>
        <w:t>评价依据和参数</w:t>
      </w:r>
    </w:p>
    <w:p>
      <w:pPr>
        <w:spacing w:after="160" w:line="360" w:lineRule="auto"/>
        <w:ind w:firstLine="480"/>
        <w:jc w:val="left"/>
        <w:rPr>
          <w:rFonts w:ascii="宋体" w:hAnsi="宋体" w:eastAsia="宋体"/>
          <w:color w:val="000000" w:themeColor="text1"/>
        </w:rPr>
      </w:pPr>
      <w:r>
        <w:rPr>
          <w:rFonts w:ascii="宋体" w:hAnsi="宋体" w:eastAsia="宋体"/>
          <w:color w:val="000000" w:themeColor="text1"/>
        </w:rPr>
        <w:t>2.1.1评价依据</w:t>
      </w:r>
    </w:p>
    <w:p>
      <w:pPr>
        <w:spacing w:after="160" w:line="360" w:lineRule="auto"/>
        <w:ind w:firstLine="480"/>
        <w:jc w:val="left"/>
        <w:rPr>
          <w:rFonts w:ascii="宋体" w:hAnsi="宋体" w:eastAsia="宋体"/>
          <w:color w:val="000000" w:themeColor="text1"/>
        </w:rPr>
      </w:pPr>
      <w:r>
        <w:rPr>
          <w:rFonts w:ascii="宋体" w:hAnsi="宋体" w:eastAsia="宋体"/>
          <w:color w:val="000000" w:themeColor="text1"/>
        </w:rPr>
        <w:t>（1）《建设项目经济评价方法与参数》（第三版）</w:t>
      </w:r>
    </w:p>
    <w:p>
      <w:pPr>
        <w:spacing w:after="160" w:line="360" w:lineRule="auto"/>
        <w:ind w:firstLine="480"/>
        <w:jc w:val="left"/>
        <w:rPr>
          <w:rFonts w:ascii="宋体" w:hAnsi="宋体" w:eastAsia="宋体"/>
          <w:color w:val="000000" w:themeColor="text1"/>
        </w:rPr>
      </w:pPr>
      <w:r>
        <w:rPr>
          <w:rFonts w:ascii="宋体" w:hAnsi="宋体" w:eastAsia="宋体"/>
          <w:color w:val="000000" w:themeColor="text1"/>
        </w:rPr>
        <w:t>（2）投标人制定的技术及建设方案、投资估算和融资方案；</w:t>
      </w:r>
    </w:p>
    <w:p>
      <w:pPr>
        <w:spacing w:after="160" w:line="360" w:lineRule="auto"/>
        <w:ind w:firstLine="480"/>
        <w:jc w:val="left"/>
        <w:rPr>
          <w:rFonts w:ascii="宋体" w:hAnsi="宋体" w:eastAsia="宋体"/>
          <w:color w:val="000000" w:themeColor="text1"/>
        </w:rPr>
      </w:pPr>
      <w:r>
        <w:rPr>
          <w:rFonts w:ascii="宋体" w:hAnsi="宋体" w:eastAsia="宋体"/>
          <w:color w:val="000000" w:themeColor="text1"/>
        </w:rPr>
        <w:t>（3）国家现行财税制度、产业政策和市场价格。</w:t>
      </w:r>
    </w:p>
    <w:p>
      <w:pPr>
        <w:spacing w:after="160" w:line="360" w:lineRule="auto"/>
        <w:ind w:firstLine="480"/>
        <w:jc w:val="left"/>
        <w:rPr>
          <w:rFonts w:ascii="宋体" w:hAnsi="宋体" w:eastAsia="宋体"/>
          <w:color w:val="000000" w:themeColor="text1"/>
        </w:rPr>
      </w:pPr>
      <w:r>
        <w:rPr>
          <w:rFonts w:ascii="宋体" w:hAnsi="宋体" w:eastAsia="宋体"/>
          <w:color w:val="000000" w:themeColor="text1"/>
        </w:rPr>
        <w:t>2.1.2主要参数</w:t>
      </w:r>
    </w:p>
    <w:p>
      <w:pPr>
        <w:spacing w:after="160" w:line="360" w:lineRule="auto"/>
        <w:ind w:firstLine="480"/>
        <w:jc w:val="left"/>
        <w:rPr>
          <w:rFonts w:ascii="宋体" w:hAnsi="宋体" w:eastAsia="宋体"/>
          <w:color w:val="000000" w:themeColor="text1"/>
        </w:rPr>
      </w:pPr>
      <w:r>
        <w:rPr>
          <w:rFonts w:ascii="宋体" w:hAnsi="宋体" w:eastAsia="宋体"/>
          <w:color w:val="000000" w:themeColor="text1"/>
        </w:rPr>
        <w:t>（1）税费：根据项目招标时适用的税收政策编写</w:t>
      </w:r>
    </w:p>
    <w:p>
      <w:pPr>
        <w:spacing w:after="160" w:line="360" w:lineRule="auto"/>
        <w:ind w:firstLine="480"/>
        <w:jc w:val="left"/>
        <w:rPr>
          <w:rFonts w:ascii="宋体" w:hAnsi="宋体" w:eastAsia="宋体"/>
          <w:color w:val="000000" w:themeColor="text1"/>
        </w:rPr>
      </w:pPr>
      <w:r>
        <w:rPr>
          <w:rFonts w:ascii="宋体" w:hAnsi="宋体" w:eastAsia="宋体"/>
          <w:color w:val="000000" w:themeColor="text1"/>
        </w:rPr>
        <w:t>（2）利息：按照国家规定的同期利率计算利息。</w:t>
      </w:r>
    </w:p>
    <w:p>
      <w:pPr>
        <w:spacing w:after="160" w:line="360" w:lineRule="auto"/>
        <w:ind w:firstLine="480"/>
        <w:jc w:val="left"/>
        <w:rPr>
          <w:rFonts w:ascii="宋体" w:hAnsi="宋体" w:eastAsia="宋体"/>
          <w:color w:val="000000" w:themeColor="text1"/>
        </w:rPr>
      </w:pPr>
      <w:r>
        <w:rPr>
          <w:rFonts w:ascii="宋体" w:hAnsi="宋体" w:eastAsia="宋体"/>
          <w:color w:val="000000" w:themeColor="text1"/>
        </w:rPr>
        <w:t>（3）计算期：与《特许经营协议》规定的特许经营期和建设期一致。</w:t>
      </w:r>
    </w:p>
    <w:p>
      <w:pPr>
        <w:spacing w:after="160" w:line="360" w:lineRule="auto"/>
        <w:ind w:firstLine="480"/>
        <w:jc w:val="left"/>
        <w:rPr>
          <w:rFonts w:ascii="宋体" w:hAnsi="宋体" w:eastAsia="宋体"/>
          <w:color w:val="000000" w:themeColor="text1"/>
        </w:rPr>
      </w:pPr>
      <w:r>
        <w:rPr>
          <w:rFonts w:ascii="宋体" w:hAnsi="宋体" w:eastAsia="宋体"/>
          <w:color w:val="000000" w:themeColor="text1"/>
        </w:rPr>
        <w:t>（4）财务基准收益率（i</w:t>
      </w:r>
      <w:r>
        <w:rPr>
          <w:rFonts w:ascii="宋体" w:hAnsi="宋体" w:eastAsia="宋体"/>
          <w:color w:val="000000" w:themeColor="text1"/>
          <w:vertAlign w:val="subscript"/>
        </w:rPr>
        <w:t>c</w:t>
      </w:r>
      <w:r>
        <w:rPr>
          <w:rFonts w:ascii="宋体" w:hAnsi="宋体" w:eastAsia="宋体"/>
          <w:color w:val="000000" w:themeColor="text1"/>
        </w:rPr>
        <w:t>）：由投标人自行计算。</w:t>
      </w:r>
    </w:p>
    <w:p>
      <w:pPr>
        <w:spacing w:after="160" w:line="360" w:lineRule="auto"/>
        <w:ind w:firstLine="480"/>
        <w:jc w:val="left"/>
        <w:rPr>
          <w:rFonts w:ascii="宋体" w:hAnsi="宋体" w:eastAsia="宋体"/>
          <w:color w:val="000000" w:themeColor="text1"/>
        </w:rPr>
      </w:pPr>
      <w:bookmarkStart w:id="196" w:name="_Toc172102118"/>
      <w:r>
        <w:rPr>
          <w:rFonts w:ascii="宋体" w:hAnsi="宋体" w:eastAsia="宋体"/>
          <w:color w:val="000000" w:themeColor="text1"/>
        </w:rPr>
        <w:t>2.2</w:t>
      </w:r>
      <w:bookmarkEnd w:id="196"/>
      <w:r>
        <w:rPr>
          <w:rFonts w:ascii="宋体" w:hAnsi="宋体" w:eastAsia="宋体"/>
          <w:color w:val="000000" w:themeColor="text1"/>
        </w:rPr>
        <w:t>销售（营业）收入估算</w:t>
      </w:r>
    </w:p>
    <w:p>
      <w:pPr>
        <w:spacing w:after="160" w:line="360" w:lineRule="auto"/>
        <w:ind w:firstLine="480"/>
        <w:jc w:val="left"/>
        <w:rPr>
          <w:rFonts w:ascii="宋体" w:hAnsi="宋体" w:eastAsia="宋体"/>
          <w:color w:val="000000" w:themeColor="text1"/>
        </w:rPr>
      </w:pPr>
      <w:r>
        <w:rPr>
          <w:rFonts w:ascii="宋体" w:hAnsi="宋体" w:eastAsia="宋体"/>
          <w:color w:val="000000" w:themeColor="text1"/>
        </w:rPr>
        <w:t>2.2.1销售额</w:t>
      </w:r>
    </w:p>
    <w:p>
      <w:pPr>
        <w:spacing w:after="160" w:line="360" w:lineRule="auto"/>
        <w:ind w:firstLine="480"/>
        <w:jc w:val="left"/>
        <w:rPr>
          <w:rFonts w:ascii="宋体" w:hAnsi="宋体" w:eastAsia="宋体"/>
          <w:color w:val="000000" w:themeColor="text1"/>
        </w:rPr>
      </w:pPr>
      <w:r>
        <w:rPr>
          <w:rFonts w:ascii="宋体" w:hAnsi="宋体" w:eastAsia="宋体"/>
          <w:color w:val="000000" w:themeColor="text1"/>
        </w:rPr>
        <w:t>规模化养殖场达到设计生产能力时，计算年生产有机肥销售额。</w:t>
      </w:r>
    </w:p>
    <w:p>
      <w:pPr>
        <w:spacing w:after="160" w:line="360" w:lineRule="auto"/>
        <w:ind w:firstLine="480"/>
        <w:jc w:val="left"/>
        <w:rPr>
          <w:rFonts w:ascii="宋体" w:hAnsi="宋体" w:eastAsia="宋体"/>
          <w:color w:val="000000" w:themeColor="text1"/>
        </w:rPr>
      </w:pPr>
      <w:bookmarkStart w:id="197" w:name="_Toc172102119"/>
      <w:r>
        <w:rPr>
          <w:rFonts w:ascii="宋体" w:hAnsi="宋体" w:eastAsia="宋体"/>
          <w:color w:val="000000" w:themeColor="text1"/>
        </w:rPr>
        <w:t>2.3</w:t>
      </w:r>
      <w:bookmarkEnd w:id="197"/>
      <w:r>
        <w:rPr>
          <w:rFonts w:ascii="宋体" w:hAnsi="宋体" w:eastAsia="宋体"/>
          <w:color w:val="000000" w:themeColor="text1"/>
        </w:rPr>
        <w:t>成本费用估算</w:t>
      </w:r>
    </w:p>
    <w:p>
      <w:pPr>
        <w:spacing w:after="160" w:line="360" w:lineRule="auto"/>
        <w:ind w:firstLine="480"/>
        <w:jc w:val="left"/>
        <w:rPr>
          <w:rFonts w:ascii="宋体" w:hAnsi="宋体" w:eastAsia="宋体"/>
          <w:color w:val="000000" w:themeColor="text1"/>
        </w:rPr>
      </w:pPr>
      <w:r>
        <w:rPr>
          <w:rFonts w:ascii="宋体" w:hAnsi="宋体" w:eastAsia="宋体"/>
          <w:color w:val="000000" w:themeColor="text1"/>
        </w:rPr>
        <w:t>2.3.1总运营成本费用估算</w:t>
      </w:r>
    </w:p>
    <w:p>
      <w:pPr>
        <w:spacing w:after="160" w:line="360" w:lineRule="auto"/>
        <w:ind w:firstLine="480"/>
        <w:jc w:val="left"/>
        <w:rPr>
          <w:rFonts w:ascii="宋体" w:hAnsi="宋体" w:eastAsia="宋体"/>
          <w:color w:val="000000" w:themeColor="text1"/>
        </w:rPr>
      </w:pPr>
      <w:r>
        <w:rPr>
          <w:rFonts w:ascii="宋体" w:hAnsi="宋体" w:eastAsia="宋体"/>
          <w:color w:val="000000" w:themeColor="text1"/>
        </w:rPr>
        <w:t>总运营成本费用包括电费、水费、外购材料费、人员工资及福利费、设备修理费、折旧费、摊销费、财务费用和其他费用等。</w:t>
      </w:r>
    </w:p>
    <w:p>
      <w:pPr>
        <w:spacing w:after="160" w:line="360" w:lineRule="auto"/>
        <w:ind w:firstLine="480"/>
        <w:jc w:val="left"/>
        <w:rPr>
          <w:rFonts w:ascii="宋体" w:hAnsi="宋体" w:eastAsia="宋体"/>
          <w:color w:val="000000" w:themeColor="text1"/>
        </w:rPr>
      </w:pPr>
      <w:bookmarkStart w:id="198" w:name="_Toc172102120"/>
      <w:r>
        <w:rPr>
          <w:rFonts w:ascii="宋体" w:hAnsi="宋体" w:eastAsia="宋体"/>
          <w:color w:val="000000" w:themeColor="text1"/>
        </w:rPr>
        <w:t>2.4</w:t>
      </w:r>
      <w:bookmarkEnd w:id="198"/>
      <w:r>
        <w:rPr>
          <w:rFonts w:ascii="宋体" w:hAnsi="宋体" w:eastAsia="宋体"/>
          <w:color w:val="000000" w:themeColor="text1"/>
        </w:rPr>
        <w:t>财务评价指标</w:t>
      </w:r>
    </w:p>
    <w:p>
      <w:pPr>
        <w:spacing w:after="160" w:line="360" w:lineRule="auto"/>
        <w:ind w:firstLine="480"/>
        <w:jc w:val="left"/>
        <w:rPr>
          <w:rFonts w:ascii="宋体" w:hAnsi="宋体" w:eastAsia="宋体"/>
          <w:color w:val="000000" w:themeColor="text1"/>
        </w:rPr>
      </w:pPr>
      <w:r>
        <w:rPr>
          <w:rFonts w:ascii="宋体" w:hAnsi="宋体" w:eastAsia="宋体"/>
          <w:color w:val="000000" w:themeColor="text1"/>
        </w:rPr>
        <w:t>在计算现金流量表的基础上计算财务内部收益率、财务净现值、投资回收期和资本金财务内部收益率指标，由借款还本付息计划表计算偿债能力（利息备付率、偿债备付率）指标。</w:t>
      </w:r>
    </w:p>
    <w:p>
      <w:pPr>
        <w:spacing w:after="160" w:line="360" w:lineRule="auto"/>
        <w:ind w:firstLine="480"/>
        <w:jc w:val="left"/>
        <w:rPr>
          <w:rFonts w:ascii="宋体" w:hAnsi="宋体" w:eastAsia="宋体"/>
          <w:color w:val="000000" w:themeColor="text1"/>
        </w:rPr>
      </w:pPr>
      <w:r>
        <w:rPr>
          <w:rFonts w:ascii="宋体" w:hAnsi="宋体" w:eastAsia="宋体"/>
          <w:color w:val="000000" w:themeColor="text1"/>
        </w:rPr>
        <w:t>三、主要技术经济指标表</w:t>
      </w:r>
    </w:p>
    <w:p>
      <w:pPr>
        <w:spacing w:after="160" w:line="360" w:lineRule="auto"/>
        <w:ind w:firstLine="480"/>
        <w:jc w:val="left"/>
        <w:rPr>
          <w:rFonts w:ascii="宋体" w:hAnsi="宋体" w:eastAsia="宋体"/>
          <w:color w:val="000000" w:themeColor="text1"/>
        </w:rPr>
        <w:sectPr>
          <w:pgSz w:w="11906" w:h="16838"/>
          <w:pgMar w:top="1134" w:right="1134" w:bottom="1134" w:left="1701" w:header="567" w:footer="567" w:gutter="0"/>
          <w:cols w:space="720" w:num="1"/>
          <w:docGrid w:linePitch="312" w:charSpace="0"/>
        </w:sectPr>
      </w:pPr>
      <w:r>
        <w:rPr>
          <w:rFonts w:ascii="宋体" w:hAnsi="宋体" w:eastAsia="宋体"/>
          <w:color w:val="000000" w:themeColor="text1"/>
        </w:rPr>
        <w:t>根据上述投资方案及财务评价、技术方案，编制项目主要技术经济指标表（附表8）。</w:t>
      </w:r>
    </w:p>
    <w:p>
      <w:pPr>
        <w:pStyle w:val="22"/>
        <w:spacing w:before="240" w:after="240" w:line="360" w:lineRule="auto"/>
        <w:outlineLvl w:val="2"/>
        <w:rPr>
          <w:rFonts w:ascii="宋体" w:hAnsi="宋体" w:eastAsia="宋体"/>
          <w:color w:val="000000" w:themeColor="text1"/>
        </w:rPr>
      </w:pPr>
      <w:bookmarkStart w:id="199" w:name="_Toc28215"/>
      <w:bookmarkStart w:id="200" w:name="_Toc296"/>
      <w:bookmarkStart w:id="201" w:name="_Toc17317"/>
      <w:bookmarkStart w:id="202" w:name="_Toc16750"/>
      <w:bookmarkStart w:id="203" w:name="_Toc21992"/>
      <w:r>
        <w:rPr>
          <w:rFonts w:ascii="宋体" w:hAnsi="宋体" w:eastAsia="宋体"/>
          <w:color w:val="000000" w:themeColor="text1"/>
        </w:rPr>
        <w:t>附表1 项目投资估算表</w:t>
      </w:r>
      <w:bookmarkEnd w:id="199"/>
      <w:bookmarkEnd w:id="200"/>
      <w:bookmarkEnd w:id="201"/>
      <w:bookmarkEnd w:id="202"/>
      <w:bookmarkEnd w:id="203"/>
    </w:p>
    <w:p>
      <w:pPr>
        <w:spacing w:after="160" w:line="360" w:lineRule="auto"/>
        <w:jc w:val="right"/>
        <w:rPr>
          <w:rFonts w:ascii="宋体" w:hAnsi="宋体" w:eastAsia="宋体"/>
          <w:color w:val="000000" w:themeColor="text1"/>
        </w:rPr>
      </w:pPr>
      <w:r>
        <w:rPr>
          <w:rFonts w:ascii="宋体" w:hAnsi="宋体" w:eastAsia="宋体"/>
          <w:color w:val="000000" w:themeColor="text1"/>
        </w:rPr>
        <w:t>人民币单位：万元</w:t>
      </w:r>
    </w:p>
    <w:tbl>
      <w:tblPr>
        <w:tblStyle w:val="30"/>
        <w:tblW w:w="0" w:type="auto"/>
        <w:jc w:val="center"/>
        <w:tblLayout w:type="autofit"/>
        <w:tblCellMar>
          <w:top w:w="0" w:type="dxa"/>
          <w:left w:w="108" w:type="dxa"/>
          <w:bottom w:w="0" w:type="dxa"/>
          <w:right w:w="108" w:type="dxa"/>
        </w:tblCellMar>
      </w:tblPr>
      <w:tblGrid>
        <w:gridCol w:w="536"/>
        <w:gridCol w:w="1692"/>
        <w:gridCol w:w="1520"/>
        <w:gridCol w:w="1312"/>
        <w:gridCol w:w="1442"/>
        <w:gridCol w:w="1339"/>
        <w:gridCol w:w="1097"/>
      </w:tblGrid>
      <w:tr>
        <w:tblPrEx>
          <w:tblCellMar>
            <w:top w:w="0" w:type="dxa"/>
            <w:left w:w="108" w:type="dxa"/>
            <w:bottom w:w="0" w:type="dxa"/>
            <w:right w:w="108" w:type="dxa"/>
          </w:tblCellMar>
        </w:tblPrEx>
        <w:trPr>
          <w:trHeight w:val="454" w:hRule="atLeast"/>
          <w:tblHeader/>
          <w:jc w:val="center"/>
        </w:trPr>
        <w:tc>
          <w:tcPr>
            <w:tcW w:w="536" w:type="dxa"/>
            <w:vMerge w:val="restart"/>
            <w:tcBorders>
              <w:top w:val="single" w:color="auto" w:sz="4" w:space="0"/>
              <w:left w:val="single" w:color="auto" w:sz="4" w:space="0"/>
              <w:bottom w:val="single" w:color="auto" w:sz="4" w:space="0"/>
              <w:right w:val="single" w:color="auto" w:sz="4" w:space="0"/>
            </w:tcBorders>
            <w:vAlign w:val="center"/>
          </w:tcPr>
          <w:p>
            <w:pPr>
              <w:spacing w:after="160"/>
              <w:rPr>
                <w:rFonts w:ascii="宋体" w:hAnsi="宋体" w:eastAsia="宋体"/>
                <w:color w:val="000000" w:themeColor="text1"/>
                <w:sz w:val="21"/>
                <w:szCs w:val="21"/>
              </w:rPr>
            </w:pPr>
            <w:r>
              <w:rPr>
                <w:rFonts w:ascii="宋体" w:hAnsi="宋体" w:eastAsia="宋体"/>
                <w:color w:val="000000" w:themeColor="text1"/>
              </w:rPr>
              <w:tab/>
            </w:r>
            <w:r>
              <w:rPr>
                <w:rFonts w:ascii="宋体" w:hAnsi="宋体" w:eastAsia="宋体"/>
                <w:color w:val="000000" w:themeColor="text1"/>
                <w:sz w:val="21"/>
                <w:szCs w:val="21"/>
              </w:rPr>
              <w:t>序号</w:t>
            </w:r>
          </w:p>
        </w:tc>
        <w:tc>
          <w:tcPr>
            <w:tcW w:w="1692" w:type="dxa"/>
            <w:vMerge w:val="restart"/>
            <w:tcBorders>
              <w:top w:val="single" w:color="auto" w:sz="4" w:space="0"/>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工程和费用名称</w:t>
            </w:r>
          </w:p>
        </w:tc>
        <w:tc>
          <w:tcPr>
            <w:tcW w:w="6710" w:type="dxa"/>
            <w:gridSpan w:val="5"/>
            <w:tcBorders>
              <w:top w:val="single" w:color="auto" w:sz="4" w:space="0"/>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估算费用</w:t>
            </w:r>
          </w:p>
        </w:tc>
      </w:tr>
      <w:tr>
        <w:tblPrEx>
          <w:tblCellMar>
            <w:top w:w="0" w:type="dxa"/>
            <w:left w:w="108" w:type="dxa"/>
            <w:bottom w:w="0" w:type="dxa"/>
            <w:right w:w="108" w:type="dxa"/>
          </w:tblCellMar>
        </w:tblPrEx>
        <w:trPr>
          <w:trHeight w:val="454" w:hRule="atLeast"/>
          <w:jc w:val="center"/>
        </w:trPr>
        <w:tc>
          <w:tcPr>
            <w:tcW w:w="536"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692"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520"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建筑工程</w:t>
            </w:r>
          </w:p>
        </w:tc>
        <w:tc>
          <w:tcPr>
            <w:tcW w:w="131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安装工程</w:t>
            </w:r>
          </w:p>
        </w:tc>
        <w:tc>
          <w:tcPr>
            <w:tcW w:w="144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设备及工器具购置费</w:t>
            </w:r>
          </w:p>
        </w:tc>
        <w:tc>
          <w:tcPr>
            <w:tcW w:w="1339"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其他费用</w:t>
            </w:r>
          </w:p>
        </w:tc>
        <w:tc>
          <w:tcPr>
            <w:tcW w:w="1097"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合计</w:t>
            </w:r>
          </w:p>
        </w:tc>
      </w:tr>
      <w:tr>
        <w:tblPrEx>
          <w:tblCellMar>
            <w:top w:w="0" w:type="dxa"/>
            <w:left w:w="108" w:type="dxa"/>
            <w:bottom w:w="0" w:type="dxa"/>
            <w:right w:w="108" w:type="dxa"/>
          </w:tblCellMar>
        </w:tblPrEx>
        <w:trPr>
          <w:trHeight w:val="454" w:hRule="atLeast"/>
          <w:jc w:val="center"/>
        </w:trPr>
        <w:tc>
          <w:tcPr>
            <w:tcW w:w="536" w:type="dxa"/>
            <w:tcBorders>
              <w:top w:val="nil"/>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一</w:t>
            </w:r>
          </w:p>
        </w:tc>
        <w:tc>
          <w:tcPr>
            <w:tcW w:w="169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工程费用</w:t>
            </w:r>
          </w:p>
        </w:tc>
        <w:tc>
          <w:tcPr>
            <w:tcW w:w="1520"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1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44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39"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097"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r>
      <w:tr>
        <w:tblPrEx>
          <w:tblCellMar>
            <w:top w:w="0" w:type="dxa"/>
            <w:left w:w="108" w:type="dxa"/>
            <w:bottom w:w="0" w:type="dxa"/>
            <w:right w:w="108" w:type="dxa"/>
          </w:tblCellMar>
        </w:tblPrEx>
        <w:trPr>
          <w:trHeight w:val="454" w:hRule="atLeast"/>
          <w:jc w:val="center"/>
        </w:trPr>
        <w:tc>
          <w:tcPr>
            <w:tcW w:w="536" w:type="dxa"/>
            <w:tcBorders>
              <w:top w:val="nil"/>
              <w:left w:val="single" w:color="auto" w:sz="4" w:space="0"/>
              <w:bottom w:val="single" w:color="auto" w:sz="4" w:space="0"/>
              <w:right w:val="single" w:color="auto" w:sz="4" w:space="0"/>
            </w:tcBorders>
            <w:shd w:val="clear" w:color="000000" w:fill="auto"/>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1</w:t>
            </w:r>
          </w:p>
        </w:tc>
        <w:tc>
          <w:tcPr>
            <w:tcW w:w="1692" w:type="dxa"/>
            <w:tcBorders>
              <w:top w:val="nil"/>
              <w:left w:val="nil"/>
              <w:bottom w:val="single" w:color="auto" w:sz="4" w:space="0"/>
              <w:right w:val="single" w:color="auto" w:sz="4" w:space="0"/>
            </w:tcBorders>
            <w:shd w:val="clear" w:color="FFFFFF" w:fill="FFFFFF"/>
            <w:vAlign w:val="center"/>
          </w:tcPr>
          <w:p>
            <w:pPr>
              <w:spacing w:after="160"/>
              <w:jc w:val="center"/>
              <w:rPr>
                <w:rFonts w:ascii="宋体" w:hAnsi="宋体" w:eastAsia="宋体"/>
                <w:color w:val="000000" w:themeColor="text1"/>
                <w:sz w:val="21"/>
                <w:szCs w:val="21"/>
              </w:rPr>
            </w:pPr>
          </w:p>
        </w:tc>
        <w:tc>
          <w:tcPr>
            <w:tcW w:w="1520"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1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44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39"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097"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r>
      <w:tr>
        <w:tblPrEx>
          <w:tblCellMar>
            <w:top w:w="0" w:type="dxa"/>
            <w:left w:w="108" w:type="dxa"/>
            <w:bottom w:w="0" w:type="dxa"/>
            <w:right w:w="108" w:type="dxa"/>
          </w:tblCellMar>
        </w:tblPrEx>
        <w:trPr>
          <w:trHeight w:val="454" w:hRule="atLeast"/>
          <w:jc w:val="center"/>
        </w:trPr>
        <w:tc>
          <w:tcPr>
            <w:tcW w:w="536" w:type="dxa"/>
            <w:tcBorders>
              <w:top w:val="nil"/>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2</w:t>
            </w:r>
          </w:p>
        </w:tc>
        <w:tc>
          <w:tcPr>
            <w:tcW w:w="169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520"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1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44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39"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097"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r>
      <w:tr>
        <w:tblPrEx>
          <w:tblCellMar>
            <w:top w:w="0" w:type="dxa"/>
            <w:left w:w="108" w:type="dxa"/>
            <w:bottom w:w="0" w:type="dxa"/>
            <w:right w:w="108" w:type="dxa"/>
          </w:tblCellMar>
        </w:tblPrEx>
        <w:trPr>
          <w:trHeight w:val="454" w:hRule="atLeast"/>
          <w:jc w:val="center"/>
        </w:trPr>
        <w:tc>
          <w:tcPr>
            <w:tcW w:w="536" w:type="dxa"/>
            <w:tcBorders>
              <w:top w:val="nil"/>
              <w:left w:val="single" w:color="auto" w:sz="4" w:space="0"/>
              <w:bottom w:val="single" w:color="auto" w:sz="4" w:space="0"/>
              <w:right w:val="single" w:color="auto" w:sz="4" w:space="0"/>
            </w:tcBorders>
            <w:shd w:val="clear" w:color="000000" w:fill="FFFFFF"/>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w:t>
            </w:r>
          </w:p>
        </w:tc>
        <w:tc>
          <w:tcPr>
            <w:tcW w:w="1692" w:type="dxa"/>
            <w:tcBorders>
              <w:top w:val="nil"/>
              <w:left w:val="nil"/>
              <w:bottom w:val="single" w:color="auto" w:sz="4" w:space="0"/>
              <w:right w:val="single" w:color="auto" w:sz="4" w:space="0"/>
            </w:tcBorders>
            <w:shd w:val="clear" w:color="000000" w:fill="FFFFFF"/>
            <w:vAlign w:val="center"/>
          </w:tcPr>
          <w:p>
            <w:pPr>
              <w:spacing w:after="160"/>
              <w:jc w:val="center"/>
              <w:rPr>
                <w:rFonts w:ascii="宋体" w:hAnsi="宋体" w:eastAsia="宋体"/>
                <w:color w:val="000000" w:themeColor="text1"/>
                <w:sz w:val="21"/>
                <w:szCs w:val="21"/>
              </w:rPr>
            </w:pPr>
          </w:p>
        </w:tc>
        <w:tc>
          <w:tcPr>
            <w:tcW w:w="1520"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1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44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39"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097"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r>
      <w:tr>
        <w:tblPrEx>
          <w:tblCellMar>
            <w:top w:w="0" w:type="dxa"/>
            <w:left w:w="108" w:type="dxa"/>
            <w:bottom w:w="0" w:type="dxa"/>
            <w:right w:w="108" w:type="dxa"/>
          </w:tblCellMar>
        </w:tblPrEx>
        <w:trPr>
          <w:trHeight w:val="454" w:hRule="atLeast"/>
          <w:jc w:val="center"/>
        </w:trPr>
        <w:tc>
          <w:tcPr>
            <w:tcW w:w="536" w:type="dxa"/>
            <w:tcBorders>
              <w:top w:val="nil"/>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二</w:t>
            </w:r>
          </w:p>
        </w:tc>
        <w:tc>
          <w:tcPr>
            <w:tcW w:w="169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其他费用</w:t>
            </w:r>
          </w:p>
        </w:tc>
        <w:tc>
          <w:tcPr>
            <w:tcW w:w="1520"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1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44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39"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097"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r>
      <w:tr>
        <w:tblPrEx>
          <w:tblCellMar>
            <w:top w:w="0" w:type="dxa"/>
            <w:left w:w="108" w:type="dxa"/>
            <w:bottom w:w="0" w:type="dxa"/>
            <w:right w:w="108" w:type="dxa"/>
          </w:tblCellMar>
        </w:tblPrEx>
        <w:trPr>
          <w:trHeight w:val="454" w:hRule="atLeast"/>
          <w:jc w:val="center"/>
        </w:trPr>
        <w:tc>
          <w:tcPr>
            <w:tcW w:w="536" w:type="dxa"/>
            <w:tcBorders>
              <w:top w:val="nil"/>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1</w:t>
            </w:r>
          </w:p>
        </w:tc>
        <w:tc>
          <w:tcPr>
            <w:tcW w:w="169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建设用地费</w:t>
            </w:r>
          </w:p>
        </w:tc>
        <w:tc>
          <w:tcPr>
            <w:tcW w:w="1520"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1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44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39"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097"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r>
      <w:tr>
        <w:tblPrEx>
          <w:tblCellMar>
            <w:top w:w="0" w:type="dxa"/>
            <w:left w:w="108" w:type="dxa"/>
            <w:bottom w:w="0" w:type="dxa"/>
            <w:right w:w="108" w:type="dxa"/>
          </w:tblCellMar>
        </w:tblPrEx>
        <w:trPr>
          <w:trHeight w:val="454" w:hRule="atLeast"/>
          <w:jc w:val="center"/>
        </w:trPr>
        <w:tc>
          <w:tcPr>
            <w:tcW w:w="536" w:type="dxa"/>
            <w:tcBorders>
              <w:top w:val="nil"/>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2</w:t>
            </w:r>
          </w:p>
        </w:tc>
        <w:tc>
          <w:tcPr>
            <w:tcW w:w="169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建设单位管理费</w:t>
            </w:r>
          </w:p>
        </w:tc>
        <w:tc>
          <w:tcPr>
            <w:tcW w:w="1520"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1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44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39"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097"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r>
      <w:tr>
        <w:tblPrEx>
          <w:tblCellMar>
            <w:top w:w="0" w:type="dxa"/>
            <w:left w:w="108" w:type="dxa"/>
            <w:bottom w:w="0" w:type="dxa"/>
            <w:right w:w="108" w:type="dxa"/>
          </w:tblCellMar>
        </w:tblPrEx>
        <w:trPr>
          <w:trHeight w:val="454" w:hRule="atLeast"/>
          <w:jc w:val="center"/>
        </w:trPr>
        <w:tc>
          <w:tcPr>
            <w:tcW w:w="536" w:type="dxa"/>
            <w:tcBorders>
              <w:top w:val="nil"/>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3</w:t>
            </w:r>
          </w:p>
        </w:tc>
        <w:tc>
          <w:tcPr>
            <w:tcW w:w="169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工程监理费</w:t>
            </w:r>
          </w:p>
        </w:tc>
        <w:tc>
          <w:tcPr>
            <w:tcW w:w="1520"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1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44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39"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097"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r>
      <w:tr>
        <w:tblPrEx>
          <w:tblCellMar>
            <w:top w:w="0" w:type="dxa"/>
            <w:left w:w="108" w:type="dxa"/>
            <w:bottom w:w="0" w:type="dxa"/>
            <w:right w:w="108" w:type="dxa"/>
          </w:tblCellMar>
        </w:tblPrEx>
        <w:trPr>
          <w:trHeight w:val="454" w:hRule="atLeast"/>
          <w:jc w:val="center"/>
        </w:trPr>
        <w:tc>
          <w:tcPr>
            <w:tcW w:w="536" w:type="dxa"/>
            <w:tcBorders>
              <w:top w:val="nil"/>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4</w:t>
            </w:r>
          </w:p>
        </w:tc>
        <w:tc>
          <w:tcPr>
            <w:tcW w:w="169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建设项目前期工作咨询费</w:t>
            </w:r>
          </w:p>
        </w:tc>
        <w:tc>
          <w:tcPr>
            <w:tcW w:w="1520"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1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44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39"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097"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r>
      <w:tr>
        <w:tblPrEx>
          <w:tblCellMar>
            <w:top w:w="0" w:type="dxa"/>
            <w:left w:w="108" w:type="dxa"/>
            <w:bottom w:w="0" w:type="dxa"/>
            <w:right w:w="108" w:type="dxa"/>
          </w:tblCellMar>
        </w:tblPrEx>
        <w:trPr>
          <w:trHeight w:val="454" w:hRule="atLeast"/>
          <w:jc w:val="center"/>
        </w:trPr>
        <w:tc>
          <w:tcPr>
            <w:tcW w:w="536" w:type="dxa"/>
            <w:tcBorders>
              <w:top w:val="nil"/>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5</w:t>
            </w:r>
          </w:p>
        </w:tc>
        <w:tc>
          <w:tcPr>
            <w:tcW w:w="169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研究试验费</w:t>
            </w:r>
          </w:p>
        </w:tc>
        <w:tc>
          <w:tcPr>
            <w:tcW w:w="1520"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1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44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39"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097"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r>
      <w:tr>
        <w:tblPrEx>
          <w:tblCellMar>
            <w:top w:w="0" w:type="dxa"/>
            <w:left w:w="108" w:type="dxa"/>
            <w:bottom w:w="0" w:type="dxa"/>
            <w:right w:w="108" w:type="dxa"/>
          </w:tblCellMar>
        </w:tblPrEx>
        <w:trPr>
          <w:trHeight w:val="454" w:hRule="atLeast"/>
          <w:jc w:val="center"/>
        </w:trPr>
        <w:tc>
          <w:tcPr>
            <w:tcW w:w="536" w:type="dxa"/>
            <w:tcBorders>
              <w:top w:val="nil"/>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6</w:t>
            </w:r>
          </w:p>
        </w:tc>
        <w:tc>
          <w:tcPr>
            <w:tcW w:w="169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工程勘察设计费</w:t>
            </w:r>
          </w:p>
        </w:tc>
        <w:tc>
          <w:tcPr>
            <w:tcW w:w="1520"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1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44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39"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097"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r>
      <w:tr>
        <w:tblPrEx>
          <w:tblCellMar>
            <w:top w:w="0" w:type="dxa"/>
            <w:left w:w="108" w:type="dxa"/>
            <w:bottom w:w="0" w:type="dxa"/>
            <w:right w:w="108" w:type="dxa"/>
          </w:tblCellMar>
        </w:tblPrEx>
        <w:trPr>
          <w:trHeight w:val="454" w:hRule="atLeast"/>
          <w:jc w:val="center"/>
        </w:trPr>
        <w:tc>
          <w:tcPr>
            <w:tcW w:w="536" w:type="dxa"/>
            <w:tcBorders>
              <w:top w:val="nil"/>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7</w:t>
            </w:r>
          </w:p>
        </w:tc>
        <w:tc>
          <w:tcPr>
            <w:tcW w:w="169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环境影响咨询服务费</w:t>
            </w:r>
          </w:p>
        </w:tc>
        <w:tc>
          <w:tcPr>
            <w:tcW w:w="1520"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1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44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39"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097"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r>
      <w:tr>
        <w:tblPrEx>
          <w:tblCellMar>
            <w:top w:w="0" w:type="dxa"/>
            <w:left w:w="108" w:type="dxa"/>
            <w:bottom w:w="0" w:type="dxa"/>
            <w:right w:w="108" w:type="dxa"/>
          </w:tblCellMar>
        </w:tblPrEx>
        <w:trPr>
          <w:trHeight w:val="454" w:hRule="atLeast"/>
          <w:jc w:val="center"/>
        </w:trPr>
        <w:tc>
          <w:tcPr>
            <w:tcW w:w="536" w:type="dxa"/>
            <w:tcBorders>
              <w:top w:val="nil"/>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8</w:t>
            </w:r>
          </w:p>
        </w:tc>
        <w:tc>
          <w:tcPr>
            <w:tcW w:w="169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劳动安全卫生评审费</w:t>
            </w:r>
          </w:p>
        </w:tc>
        <w:tc>
          <w:tcPr>
            <w:tcW w:w="1520"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1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44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39"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097"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r>
      <w:tr>
        <w:tblPrEx>
          <w:tblCellMar>
            <w:top w:w="0" w:type="dxa"/>
            <w:left w:w="108" w:type="dxa"/>
            <w:bottom w:w="0" w:type="dxa"/>
            <w:right w:w="108" w:type="dxa"/>
          </w:tblCellMar>
        </w:tblPrEx>
        <w:trPr>
          <w:trHeight w:val="454" w:hRule="atLeast"/>
          <w:jc w:val="center"/>
        </w:trPr>
        <w:tc>
          <w:tcPr>
            <w:tcW w:w="536" w:type="dxa"/>
            <w:tcBorders>
              <w:top w:val="nil"/>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9</w:t>
            </w:r>
          </w:p>
        </w:tc>
        <w:tc>
          <w:tcPr>
            <w:tcW w:w="169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场地准备及临时设施费</w:t>
            </w:r>
          </w:p>
        </w:tc>
        <w:tc>
          <w:tcPr>
            <w:tcW w:w="1520"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1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44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39"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097"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r>
      <w:tr>
        <w:tblPrEx>
          <w:tblCellMar>
            <w:top w:w="0" w:type="dxa"/>
            <w:left w:w="108" w:type="dxa"/>
            <w:bottom w:w="0" w:type="dxa"/>
            <w:right w:w="108" w:type="dxa"/>
          </w:tblCellMar>
        </w:tblPrEx>
        <w:trPr>
          <w:trHeight w:val="454" w:hRule="atLeast"/>
          <w:jc w:val="center"/>
        </w:trPr>
        <w:tc>
          <w:tcPr>
            <w:tcW w:w="536" w:type="dxa"/>
            <w:tcBorders>
              <w:top w:val="nil"/>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10</w:t>
            </w:r>
          </w:p>
        </w:tc>
        <w:tc>
          <w:tcPr>
            <w:tcW w:w="169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工程保险费</w:t>
            </w:r>
          </w:p>
        </w:tc>
        <w:tc>
          <w:tcPr>
            <w:tcW w:w="1520"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1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44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39"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097"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r>
      <w:tr>
        <w:tblPrEx>
          <w:tblCellMar>
            <w:top w:w="0" w:type="dxa"/>
            <w:left w:w="108" w:type="dxa"/>
            <w:bottom w:w="0" w:type="dxa"/>
            <w:right w:w="108" w:type="dxa"/>
          </w:tblCellMar>
        </w:tblPrEx>
        <w:trPr>
          <w:trHeight w:val="454" w:hRule="atLeast"/>
          <w:jc w:val="center"/>
        </w:trPr>
        <w:tc>
          <w:tcPr>
            <w:tcW w:w="536" w:type="dxa"/>
            <w:tcBorders>
              <w:top w:val="nil"/>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11</w:t>
            </w:r>
          </w:p>
        </w:tc>
        <w:tc>
          <w:tcPr>
            <w:tcW w:w="169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特殊设备安全监督检验费</w:t>
            </w:r>
          </w:p>
        </w:tc>
        <w:tc>
          <w:tcPr>
            <w:tcW w:w="1520"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1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44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39"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097"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r>
      <w:tr>
        <w:tblPrEx>
          <w:tblCellMar>
            <w:top w:w="0" w:type="dxa"/>
            <w:left w:w="108" w:type="dxa"/>
            <w:bottom w:w="0" w:type="dxa"/>
            <w:right w:w="108" w:type="dxa"/>
          </w:tblCellMar>
        </w:tblPrEx>
        <w:trPr>
          <w:trHeight w:val="454" w:hRule="atLeast"/>
          <w:jc w:val="center"/>
        </w:trPr>
        <w:tc>
          <w:tcPr>
            <w:tcW w:w="536" w:type="dxa"/>
            <w:tcBorders>
              <w:top w:val="nil"/>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12</w:t>
            </w:r>
          </w:p>
        </w:tc>
        <w:tc>
          <w:tcPr>
            <w:tcW w:w="169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生产准备费</w:t>
            </w:r>
          </w:p>
        </w:tc>
        <w:tc>
          <w:tcPr>
            <w:tcW w:w="1520"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1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44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39"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097"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r>
      <w:tr>
        <w:tblPrEx>
          <w:tblCellMar>
            <w:top w:w="0" w:type="dxa"/>
            <w:left w:w="108" w:type="dxa"/>
            <w:bottom w:w="0" w:type="dxa"/>
            <w:right w:w="108" w:type="dxa"/>
          </w:tblCellMar>
        </w:tblPrEx>
        <w:trPr>
          <w:trHeight w:val="454" w:hRule="atLeast"/>
          <w:jc w:val="center"/>
        </w:trPr>
        <w:tc>
          <w:tcPr>
            <w:tcW w:w="536" w:type="dxa"/>
            <w:tcBorders>
              <w:top w:val="nil"/>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13</w:t>
            </w:r>
          </w:p>
        </w:tc>
        <w:tc>
          <w:tcPr>
            <w:tcW w:w="169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工器具及生产家具购置费</w:t>
            </w:r>
          </w:p>
        </w:tc>
        <w:tc>
          <w:tcPr>
            <w:tcW w:w="1520"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1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44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39"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097"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r>
      <w:tr>
        <w:tblPrEx>
          <w:tblCellMar>
            <w:top w:w="0" w:type="dxa"/>
            <w:left w:w="108" w:type="dxa"/>
            <w:bottom w:w="0" w:type="dxa"/>
            <w:right w:w="108" w:type="dxa"/>
          </w:tblCellMar>
        </w:tblPrEx>
        <w:trPr>
          <w:trHeight w:val="454" w:hRule="atLeast"/>
          <w:jc w:val="center"/>
        </w:trPr>
        <w:tc>
          <w:tcPr>
            <w:tcW w:w="536" w:type="dxa"/>
            <w:tcBorders>
              <w:top w:val="nil"/>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14</w:t>
            </w:r>
          </w:p>
        </w:tc>
        <w:tc>
          <w:tcPr>
            <w:tcW w:w="169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联合试运转费</w:t>
            </w:r>
          </w:p>
        </w:tc>
        <w:tc>
          <w:tcPr>
            <w:tcW w:w="1520"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1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44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39"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097"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r>
      <w:tr>
        <w:tblPrEx>
          <w:tblCellMar>
            <w:top w:w="0" w:type="dxa"/>
            <w:left w:w="108" w:type="dxa"/>
            <w:bottom w:w="0" w:type="dxa"/>
            <w:right w:w="108" w:type="dxa"/>
          </w:tblCellMar>
        </w:tblPrEx>
        <w:trPr>
          <w:trHeight w:val="454" w:hRule="atLeast"/>
          <w:jc w:val="center"/>
        </w:trPr>
        <w:tc>
          <w:tcPr>
            <w:tcW w:w="536" w:type="dxa"/>
            <w:tcBorders>
              <w:top w:val="nil"/>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15</w:t>
            </w:r>
          </w:p>
        </w:tc>
        <w:tc>
          <w:tcPr>
            <w:tcW w:w="169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招标代理服务费</w:t>
            </w:r>
          </w:p>
        </w:tc>
        <w:tc>
          <w:tcPr>
            <w:tcW w:w="1520"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1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44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39"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097"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r>
      <w:tr>
        <w:tblPrEx>
          <w:tblCellMar>
            <w:top w:w="0" w:type="dxa"/>
            <w:left w:w="108" w:type="dxa"/>
            <w:bottom w:w="0" w:type="dxa"/>
            <w:right w:w="108" w:type="dxa"/>
          </w:tblCellMar>
        </w:tblPrEx>
        <w:trPr>
          <w:trHeight w:val="454" w:hRule="atLeast"/>
          <w:jc w:val="center"/>
        </w:trPr>
        <w:tc>
          <w:tcPr>
            <w:tcW w:w="536" w:type="dxa"/>
            <w:tcBorders>
              <w:top w:val="nil"/>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16</w:t>
            </w:r>
          </w:p>
        </w:tc>
        <w:tc>
          <w:tcPr>
            <w:tcW w:w="169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市政公用设施费</w:t>
            </w:r>
          </w:p>
        </w:tc>
        <w:tc>
          <w:tcPr>
            <w:tcW w:w="1520"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1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44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39"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097"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r>
      <w:tr>
        <w:tblPrEx>
          <w:tblCellMar>
            <w:top w:w="0" w:type="dxa"/>
            <w:left w:w="108" w:type="dxa"/>
            <w:bottom w:w="0" w:type="dxa"/>
            <w:right w:w="108" w:type="dxa"/>
          </w:tblCellMar>
        </w:tblPrEx>
        <w:trPr>
          <w:trHeight w:val="454" w:hRule="atLeast"/>
          <w:jc w:val="center"/>
        </w:trPr>
        <w:tc>
          <w:tcPr>
            <w:tcW w:w="536" w:type="dxa"/>
            <w:tcBorders>
              <w:top w:val="nil"/>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17</w:t>
            </w:r>
          </w:p>
        </w:tc>
        <w:tc>
          <w:tcPr>
            <w:tcW w:w="169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引进技术和进口设备项目的其他费用</w:t>
            </w:r>
          </w:p>
        </w:tc>
        <w:tc>
          <w:tcPr>
            <w:tcW w:w="1520"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1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44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39"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097"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r>
      <w:tr>
        <w:tblPrEx>
          <w:tblCellMar>
            <w:top w:w="0" w:type="dxa"/>
            <w:left w:w="108" w:type="dxa"/>
            <w:bottom w:w="0" w:type="dxa"/>
            <w:right w:w="108" w:type="dxa"/>
          </w:tblCellMar>
        </w:tblPrEx>
        <w:trPr>
          <w:trHeight w:val="454" w:hRule="atLeast"/>
          <w:jc w:val="center"/>
        </w:trPr>
        <w:tc>
          <w:tcPr>
            <w:tcW w:w="536" w:type="dxa"/>
            <w:tcBorders>
              <w:top w:val="nil"/>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三</w:t>
            </w:r>
          </w:p>
        </w:tc>
        <w:tc>
          <w:tcPr>
            <w:tcW w:w="169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一、二类费用合计</w:t>
            </w:r>
          </w:p>
        </w:tc>
        <w:tc>
          <w:tcPr>
            <w:tcW w:w="1520"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1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44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39"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097"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r>
      <w:tr>
        <w:tblPrEx>
          <w:tblCellMar>
            <w:top w:w="0" w:type="dxa"/>
            <w:left w:w="108" w:type="dxa"/>
            <w:bottom w:w="0" w:type="dxa"/>
            <w:right w:w="108" w:type="dxa"/>
          </w:tblCellMar>
        </w:tblPrEx>
        <w:trPr>
          <w:trHeight w:val="454" w:hRule="atLeast"/>
          <w:jc w:val="center"/>
        </w:trPr>
        <w:tc>
          <w:tcPr>
            <w:tcW w:w="536" w:type="dxa"/>
            <w:tcBorders>
              <w:top w:val="nil"/>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四</w:t>
            </w:r>
          </w:p>
        </w:tc>
        <w:tc>
          <w:tcPr>
            <w:tcW w:w="169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预备费</w:t>
            </w:r>
          </w:p>
        </w:tc>
        <w:tc>
          <w:tcPr>
            <w:tcW w:w="1520"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1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44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39"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097"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r>
      <w:tr>
        <w:tblPrEx>
          <w:tblCellMar>
            <w:top w:w="0" w:type="dxa"/>
            <w:left w:w="108" w:type="dxa"/>
            <w:bottom w:w="0" w:type="dxa"/>
            <w:right w:w="108" w:type="dxa"/>
          </w:tblCellMar>
        </w:tblPrEx>
        <w:trPr>
          <w:trHeight w:val="454" w:hRule="atLeast"/>
          <w:jc w:val="center"/>
        </w:trPr>
        <w:tc>
          <w:tcPr>
            <w:tcW w:w="536" w:type="dxa"/>
            <w:tcBorders>
              <w:top w:val="nil"/>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五</w:t>
            </w:r>
          </w:p>
        </w:tc>
        <w:tc>
          <w:tcPr>
            <w:tcW w:w="169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静态总投资</w:t>
            </w:r>
          </w:p>
        </w:tc>
        <w:tc>
          <w:tcPr>
            <w:tcW w:w="1520"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1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44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39"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097"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r>
      <w:tr>
        <w:tblPrEx>
          <w:tblCellMar>
            <w:top w:w="0" w:type="dxa"/>
            <w:left w:w="108" w:type="dxa"/>
            <w:bottom w:w="0" w:type="dxa"/>
            <w:right w:w="108" w:type="dxa"/>
          </w:tblCellMar>
        </w:tblPrEx>
        <w:trPr>
          <w:trHeight w:val="454" w:hRule="atLeast"/>
          <w:jc w:val="center"/>
        </w:trPr>
        <w:tc>
          <w:tcPr>
            <w:tcW w:w="536" w:type="dxa"/>
            <w:tcBorders>
              <w:top w:val="nil"/>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六</w:t>
            </w:r>
          </w:p>
        </w:tc>
        <w:tc>
          <w:tcPr>
            <w:tcW w:w="169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建设期利息</w:t>
            </w:r>
          </w:p>
        </w:tc>
        <w:tc>
          <w:tcPr>
            <w:tcW w:w="1520"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1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44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39"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097"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r>
      <w:tr>
        <w:tblPrEx>
          <w:tblCellMar>
            <w:top w:w="0" w:type="dxa"/>
            <w:left w:w="108" w:type="dxa"/>
            <w:bottom w:w="0" w:type="dxa"/>
            <w:right w:w="108" w:type="dxa"/>
          </w:tblCellMar>
        </w:tblPrEx>
        <w:trPr>
          <w:trHeight w:val="454" w:hRule="atLeast"/>
          <w:jc w:val="center"/>
        </w:trPr>
        <w:tc>
          <w:tcPr>
            <w:tcW w:w="536" w:type="dxa"/>
            <w:tcBorders>
              <w:top w:val="nil"/>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七</w:t>
            </w:r>
          </w:p>
        </w:tc>
        <w:tc>
          <w:tcPr>
            <w:tcW w:w="169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动态总投资</w:t>
            </w:r>
          </w:p>
        </w:tc>
        <w:tc>
          <w:tcPr>
            <w:tcW w:w="1520"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1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44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39"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097"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r>
      <w:tr>
        <w:tblPrEx>
          <w:tblCellMar>
            <w:top w:w="0" w:type="dxa"/>
            <w:left w:w="108" w:type="dxa"/>
            <w:bottom w:w="0" w:type="dxa"/>
            <w:right w:w="108" w:type="dxa"/>
          </w:tblCellMar>
        </w:tblPrEx>
        <w:trPr>
          <w:trHeight w:val="454" w:hRule="atLeast"/>
          <w:jc w:val="center"/>
        </w:trPr>
        <w:tc>
          <w:tcPr>
            <w:tcW w:w="536" w:type="dxa"/>
            <w:tcBorders>
              <w:top w:val="nil"/>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八</w:t>
            </w:r>
          </w:p>
        </w:tc>
        <w:tc>
          <w:tcPr>
            <w:tcW w:w="169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铺底流动资金</w:t>
            </w:r>
          </w:p>
        </w:tc>
        <w:tc>
          <w:tcPr>
            <w:tcW w:w="1520"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1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44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39"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097"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r>
      <w:tr>
        <w:tblPrEx>
          <w:tblCellMar>
            <w:top w:w="0" w:type="dxa"/>
            <w:left w:w="108" w:type="dxa"/>
            <w:bottom w:w="0" w:type="dxa"/>
            <w:right w:w="108" w:type="dxa"/>
          </w:tblCellMar>
        </w:tblPrEx>
        <w:trPr>
          <w:trHeight w:val="454" w:hRule="atLeast"/>
          <w:jc w:val="center"/>
        </w:trPr>
        <w:tc>
          <w:tcPr>
            <w:tcW w:w="536" w:type="dxa"/>
            <w:tcBorders>
              <w:top w:val="nil"/>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九</w:t>
            </w:r>
          </w:p>
        </w:tc>
        <w:tc>
          <w:tcPr>
            <w:tcW w:w="169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项目总投资</w:t>
            </w:r>
          </w:p>
        </w:tc>
        <w:tc>
          <w:tcPr>
            <w:tcW w:w="1520"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1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442"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339"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c>
          <w:tcPr>
            <w:tcW w:w="1097" w:type="dxa"/>
            <w:tcBorders>
              <w:top w:val="nil"/>
              <w:left w:val="nil"/>
              <w:bottom w:val="single" w:color="auto" w:sz="4" w:space="0"/>
              <w:right w:val="single" w:color="auto" w:sz="4" w:space="0"/>
            </w:tcBorders>
            <w:vAlign w:val="center"/>
          </w:tcPr>
          <w:p>
            <w:pPr>
              <w:spacing w:after="160"/>
              <w:jc w:val="center"/>
              <w:rPr>
                <w:rFonts w:ascii="宋体" w:hAnsi="宋体" w:eastAsia="宋体"/>
                <w:color w:val="000000" w:themeColor="text1"/>
                <w:sz w:val="21"/>
                <w:szCs w:val="21"/>
              </w:rPr>
            </w:pPr>
          </w:p>
        </w:tc>
      </w:tr>
    </w:tbl>
    <w:p>
      <w:pPr>
        <w:pStyle w:val="22"/>
        <w:pBdr>
          <w:top w:val="single" w:color="auto" w:sz="4" w:space="0"/>
          <w:left w:val="single" w:color="auto" w:sz="4" w:space="0"/>
          <w:bottom w:val="single" w:color="auto" w:sz="4" w:space="0"/>
          <w:right w:val="single" w:color="auto" w:sz="4" w:space="0"/>
          <w:between w:val="single" w:color="auto" w:sz="4" w:space="0"/>
        </w:pBdr>
        <w:spacing w:before="240" w:after="240" w:line="360" w:lineRule="auto"/>
        <w:outlineLvl w:val="2"/>
        <w:rPr>
          <w:rFonts w:ascii="宋体" w:hAnsi="宋体" w:eastAsia="宋体"/>
          <w:color w:val="000000" w:themeColor="text1"/>
        </w:rPr>
      </w:pPr>
      <w:bookmarkStart w:id="204" w:name="_Toc10994"/>
      <w:bookmarkStart w:id="205" w:name="_Toc5590"/>
      <w:bookmarkStart w:id="206" w:name="_Toc21916"/>
      <w:bookmarkStart w:id="207" w:name="_Toc8926"/>
      <w:bookmarkStart w:id="208" w:name="_Toc30654"/>
      <w:r>
        <w:rPr>
          <w:rFonts w:ascii="宋体" w:hAnsi="宋体" w:eastAsia="宋体"/>
          <w:color w:val="000000" w:themeColor="text1"/>
        </w:rPr>
        <w:t>附表2 项目总投资使用计划与资金筹措表</w:t>
      </w:r>
      <w:bookmarkEnd w:id="204"/>
      <w:bookmarkEnd w:id="205"/>
      <w:bookmarkEnd w:id="206"/>
      <w:bookmarkEnd w:id="207"/>
      <w:bookmarkEnd w:id="208"/>
    </w:p>
    <w:p>
      <w:pPr>
        <w:pBdr>
          <w:top w:val="single" w:color="auto" w:sz="4" w:space="0"/>
          <w:left w:val="single" w:color="auto" w:sz="4" w:space="0"/>
          <w:bottom w:val="single" w:color="auto" w:sz="4" w:space="0"/>
          <w:right w:val="single" w:color="auto" w:sz="4" w:space="0"/>
          <w:between w:val="single" w:color="auto" w:sz="4" w:space="0"/>
        </w:pBdr>
        <w:spacing w:after="160" w:line="360" w:lineRule="auto"/>
        <w:jc w:val="right"/>
        <w:rPr>
          <w:rFonts w:ascii="宋体" w:hAnsi="宋体" w:eastAsia="宋体"/>
          <w:color w:val="000000" w:themeColor="text1"/>
        </w:rPr>
      </w:pPr>
      <w:r>
        <w:rPr>
          <w:rFonts w:ascii="宋体" w:hAnsi="宋体" w:eastAsia="宋体"/>
          <w:color w:val="000000" w:themeColor="text1"/>
        </w:rPr>
        <w:t>人民币单位：万元   外币按单位：万元</w:t>
      </w:r>
    </w:p>
    <w:tbl>
      <w:tblPr>
        <w:tblStyle w:val="3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9"/>
        <w:gridCol w:w="1371"/>
        <w:gridCol w:w="991"/>
        <w:gridCol w:w="679"/>
        <w:gridCol w:w="679"/>
        <w:gridCol w:w="967"/>
        <w:gridCol w:w="662"/>
        <w:gridCol w:w="662"/>
        <w:gridCol w:w="967"/>
        <w:gridCol w:w="662"/>
        <w:gridCol w:w="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09" w:type="dxa"/>
            <w:vMerge w:val="restart"/>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序号</w:t>
            </w:r>
          </w:p>
        </w:tc>
        <w:tc>
          <w:tcPr>
            <w:tcW w:w="1423" w:type="dxa"/>
            <w:vMerge w:val="restart"/>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项   目</w:t>
            </w:r>
          </w:p>
        </w:tc>
        <w:tc>
          <w:tcPr>
            <w:tcW w:w="2498" w:type="dxa"/>
            <w:gridSpan w:val="3"/>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合    计</w:t>
            </w:r>
          </w:p>
        </w:tc>
        <w:tc>
          <w:tcPr>
            <w:tcW w:w="2495" w:type="dxa"/>
            <w:gridSpan w:val="3"/>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1</w:t>
            </w:r>
          </w:p>
        </w:tc>
        <w:tc>
          <w:tcPr>
            <w:tcW w:w="2495" w:type="dxa"/>
            <w:gridSpan w:val="3"/>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09" w:type="dxa"/>
            <w:vMerge w:val="continue"/>
            <w:vAlign w:val="center"/>
          </w:tcPr>
          <w:p>
            <w:pPr>
              <w:pBdr>
                <w:top w:val="single" w:color="auto" w:sz="4" w:space="0"/>
                <w:left w:val="single" w:color="auto" w:sz="4" w:space="0"/>
                <w:bottom w:val="single" w:color="auto" w:sz="4" w:space="0"/>
                <w:right w:val="single" w:color="auto" w:sz="4" w:space="0"/>
                <w:between w:val="single" w:color="auto" w:sz="4" w:space="0"/>
              </w:pBdr>
              <w:rPr>
                <w:color w:val="000000" w:themeColor="text1"/>
              </w:rPr>
            </w:pPr>
          </w:p>
        </w:tc>
        <w:tc>
          <w:tcPr>
            <w:tcW w:w="1423" w:type="dxa"/>
            <w:vMerge w:val="continue"/>
            <w:vAlign w:val="center"/>
          </w:tcPr>
          <w:p>
            <w:pPr>
              <w:pBdr>
                <w:top w:val="single" w:color="auto" w:sz="4" w:space="0"/>
                <w:left w:val="single" w:color="auto" w:sz="4" w:space="0"/>
                <w:bottom w:val="single" w:color="auto" w:sz="4" w:space="0"/>
                <w:right w:val="single" w:color="auto" w:sz="4" w:space="0"/>
                <w:between w:val="single" w:color="auto" w:sz="4" w:space="0"/>
              </w:pBdr>
              <w:rPr>
                <w:color w:val="000000" w:themeColor="text1"/>
              </w:rPr>
            </w:pPr>
          </w:p>
        </w:tc>
        <w:tc>
          <w:tcPr>
            <w:tcW w:w="1062"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人民币</w:t>
            </w:r>
          </w:p>
        </w:tc>
        <w:tc>
          <w:tcPr>
            <w:tcW w:w="718"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外币</w:t>
            </w:r>
          </w:p>
        </w:tc>
        <w:tc>
          <w:tcPr>
            <w:tcW w:w="718"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小计</w:t>
            </w:r>
          </w:p>
        </w:tc>
        <w:tc>
          <w:tcPr>
            <w:tcW w:w="1061"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人民币</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外币</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小计</w:t>
            </w:r>
          </w:p>
        </w:tc>
        <w:tc>
          <w:tcPr>
            <w:tcW w:w="1061"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人民币</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外币</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09"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1</w:t>
            </w:r>
          </w:p>
        </w:tc>
        <w:tc>
          <w:tcPr>
            <w:tcW w:w="1423"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总投资</w:t>
            </w:r>
          </w:p>
        </w:tc>
        <w:tc>
          <w:tcPr>
            <w:tcW w:w="1062"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8"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8"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1061"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1061"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09"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1.1</w:t>
            </w:r>
          </w:p>
        </w:tc>
        <w:tc>
          <w:tcPr>
            <w:tcW w:w="1423"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建设投资</w:t>
            </w:r>
          </w:p>
        </w:tc>
        <w:tc>
          <w:tcPr>
            <w:tcW w:w="1062"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8"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8"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1061"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1061"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09"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1.2</w:t>
            </w:r>
          </w:p>
        </w:tc>
        <w:tc>
          <w:tcPr>
            <w:tcW w:w="1423"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建设期利息</w:t>
            </w:r>
          </w:p>
        </w:tc>
        <w:tc>
          <w:tcPr>
            <w:tcW w:w="1062"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8"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8"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1061"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1061"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09"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1.3</w:t>
            </w:r>
          </w:p>
        </w:tc>
        <w:tc>
          <w:tcPr>
            <w:tcW w:w="1423"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流动资金</w:t>
            </w:r>
          </w:p>
        </w:tc>
        <w:tc>
          <w:tcPr>
            <w:tcW w:w="1062"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8"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8"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1061"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1061"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09"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2</w:t>
            </w:r>
          </w:p>
        </w:tc>
        <w:tc>
          <w:tcPr>
            <w:tcW w:w="1423"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资金筹措</w:t>
            </w:r>
          </w:p>
        </w:tc>
        <w:tc>
          <w:tcPr>
            <w:tcW w:w="1062"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8"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8"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1061"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1061"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09"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2.1</w:t>
            </w:r>
          </w:p>
        </w:tc>
        <w:tc>
          <w:tcPr>
            <w:tcW w:w="1423"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项目资本金</w:t>
            </w:r>
          </w:p>
        </w:tc>
        <w:tc>
          <w:tcPr>
            <w:tcW w:w="1062"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8"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8"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1061"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1061"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09"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2.1.1</w:t>
            </w:r>
          </w:p>
        </w:tc>
        <w:tc>
          <w:tcPr>
            <w:tcW w:w="1423"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用于</w:t>
            </w:r>
          </w:p>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建设投资</w:t>
            </w:r>
          </w:p>
        </w:tc>
        <w:tc>
          <w:tcPr>
            <w:tcW w:w="1062"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8"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8"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1061"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1061"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09"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2.1.2</w:t>
            </w:r>
          </w:p>
        </w:tc>
        <w:tc>
          <w:tcPr>
            <w:tcW w:w="1423"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用于</w:t>
            </w:r>
          </w:p>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流动资金</w:t>
            </w:r>
          </w:p>
        </w:tc>
        <w:tc>
          <w:tcPr>
            <w:tcW w:w="1062"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8"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8"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1061"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1061"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09"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2.1.3</w:t>
            </w:r>
          </w:p>
        </w:tc>
        <w:tc>
          <w:tcPr>
            <w:tcW w:w="1423"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用于</w:t>
            </w:r>
          </w:p>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建设期利息</w:t>
            </w:r>
          </w:p>
        </w:tc>
        <w:tc>
          <w:tcPr>
            <w:tcW w:w="1062"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8"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8"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1061"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1061"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09"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2.2</w:t>
            </w:r>
          </w:p>
        </w:tc>
        <w:tc>
          <w:tcPr>
            <w:tcW w:w="1423"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债务资金</w:t>
            </w:r>
          </w:p>
        </w:tc>
        <w:tc>
          <w:tcPr>
            <w:tcW w:w="1062"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8"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8"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1061"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1061"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09"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2.2.1</w:t>
            </w:r>
          </w:p>
        </w:tc>
        <w:tc>
          <w:tcPr>
            <w:tcW w:w="1423"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用于</w:t>
            </w:r>
          </w:p>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建设投资</w:t>
            </w:r>
          </w:p>
        </w:tc>
        <w:tc>
          <w:tcPr>
            <w:tcW w:w="1062"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8"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8"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1061"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1061"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09"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2.2.2</w:t>
            </w:r>
          </w:p>
        </w:tc>
        <w:tc>
          <w:tcPr>
            <w:tcW w:w="1423"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用于</w:t>
            </w:r>
          </w:p>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建设期利息</w:t>
            </w:r>
          </w:p>
        </w:tc>
        <w:tc>
          <w:tcPr>
            <w:tcW w:w="1062"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8"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8"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1061"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1061"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09"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2.2.3</w:t>
            </w:r>
          </w:p>
        </w:tc>
        <w:tc>
          <w:tcPr>
            <w:tcW w:w="1423"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用于</w:t>
            </w:r>
          </w:p>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流动资金</w:t>
            </w:r>
          </w:p>
        </w:tc>
        <w:tc>
          <w:tcPr>
            <w:tcW w:w="1062"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8"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8"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1061"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1061"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09"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2.3</w:t>
            </w:r>
          </w:p>
        </w:tc>
        <w:tc>
          <w:tcPr>
            <w:tcW w:w="1423"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其他资金</w:t>
            </w:r>
          </w:p>
        </w:tc>
        <w:tc>
          <w:tcPr>
            <w:tcW w:w="1062"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8"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8"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1061"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1061"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c>
          <w:tcPr>
            <w:tcW w:w="717" w:type="dxa"/>
            <w:vAlign w:val="center"/>
          </w:tcPr>
          <w:p>
            <w:pPr>
              <w:pBdr>
                <w:top w:val="single" w:color="auto" w:sz="4" w:space="0"/>
                <w:left w:val="single" w:color="auto" w:sz="4" w:space="0"/>
                <w:bottom w:val="single" w:color="auto" w:sz="4" w:space="0"/>
                <w:right w:val="single" w:color="auto" w:sz="4" w:space="0"/>
                <w:between w:val="single" w:color="auto" w:sz="4" w:space="0"/>
              </w:pBd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 </w:t>
            </w:r>
          </w:p>
        </w:tc>
      </w:tr>
    </w:tbl>
    <w:p>
      <w:pPr>
        <w:pStyle w:val="22"/>
        <w:spacing w:before="240" w:after="240" w:line="360" w:lineRule="auto"/>
        <w:outlineLvl w:val="2"/>
        <w:rPr>
          <w:rFonts w:ascii="宋体" w:hAnsi="宋体" w:eastAsia="宋体"/>
          <w:color w:val="000000" w:themeColor="text1"/>
        </w:rPr>
      </w:pPr>
      <w:bookmarkStart w:id="209" w:name="_Toc8198"/>
      <w:bookmarkStart w:id="210" w:name="_Toc32026"/>
      <w:bookmarkStart w:id="211" w:name="_Toc16738"/>
      <w:bookmarkStart w:id="212" w:name="_Toc98"/>
      <w:bookmarkStart w:id="213" w:name="_Toc22465"/>
      <w:r>
        <w:rPr>
          <w:rFonts w:ascii="宋体" w:hAnsi="宋体" w:eastAsia="宋体"/>
          <w:color w:val="000000" w:themeColor="text1"/>
        </w:rPr>
        <w:t>附表3 主要技术经济指标</w:t>
      </w:r>
      <w:bookmarkEnd w:id="209"/>
      <w:bookmarkEnd w:id="210"/>
      <w:bookmarkEnd w:id="211"/>
      <w:bookmarkEnd w:id="212"/>
      <w:bookmarkEnd w:id="213"/>
    </w:p>
    <w:p>
      <w:pPr>
        <w:spacing w:after="160" w:line="360" w:lineRule="auto"/>
        <w:jc w:val="right"/>
        <w:rPr>
          <w:rFonts w:ascii="宋体" w:hAnsi="宋体" w:eastAsia="宋体"/>
          <w:color w:val="000000" w:themeColor="text1"/>
        </w:rPr>
      </w:pPr>
      <w:r>
        <w:rPr>
          <w:rFonts w:ascii="宋体" w:hAnsi="宋体" w:eastAsia="宋体"/>
          <w:color w:val="000000" w:themeColor="text1"/>
        </w:rPr>
        <w:t>人民币单位：万元</w:t>
      </w:r>
    </w:p>
    <w:tbl>
      <w:tblPr>
        <w:tblStyle w:val="30"/>
        <w:tblW w:w="0" w:type="auto"/>
        <w:tblInd w:w="-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949"/>
        <w:gridCol w:w="3927"/>
        <w:gridCol w:w="1245"/>
        <w:gridCol w:w="1447"/>
        <w:gridCol w:w="1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trPr>
        <w:tc>
          <w:tcPr>
            <w:tcW w:w="957" w:type="dxa"/>
            <w:vAlign w:val="center"/>
          </w:tcPr>
          <w:p>
            <w:pPr>
              <w:spacing w:after="160"/>
              <w:jc w:val="center"/>
              <w:rPr>
                <w:rFonts w:ascii="宋体" w:hAnsi="黑体" w:eastAsia="黑体"/>
                <w:color w:val="000000" w:themeColor="text1"/>
                <w:sz w:val="21"/>
                <w:szCs w:val="21"/>
              </w:rPr>
            </w:pPr>
            <w:r>
              <w:rPr>
                <w:rFonts w:ascii="宋体" w:hAnsi="黑体" w:eastAsia="黑体"/>
                <w:color w:val="000000" w:themeColor="text1"/>
                <w:sz w:val="21"/>
                <w:szCs w:val="21"/>
              </w:rPr>
              <w:t>序号</w:t>
            </w:r>
          </w:p>
        </w:tc>
        <w:tc>
          <w:tcPr>
            <w:tcW w:w="3969" w:type="dxa"/>
            <w:vAlign w:val="center"/>
          </w:tcPr>
          <w:p>
            <w:pPr>
              <w:spacing w:after="160"/>
              <w:jc w:val="center"/>
              <w:rPr>
                <w:rFonts w:ascii="宋体" w:hAnsi="黑体" w:eastAsia="黑体"/>
                <w:color w:val="000000" w:themeColor="text1"/>
                <w:sz w:val="21"/>
                <w:szCs w:val="21"/>
              </w:rPr>
            </w:pPr>
            <w:r>
              <w:rPr>
                <w:rFonts w:ascii="宋体" w:hAnsi="黑体" w:eastAsia="黑体"/>
                <w:color w:val="000000" w:themeColor="text1"/>
                <w:sz w:val="21"/>
                <w:szCs w:val="21"/>
              </w:rPr>
              <w:t>项目名称</w:t>
            </w:r>
          </w:p>
        </w:tc>
        <w:tc>
          <w:tcPr>
            <w:tcW w:w="1258" w:type="dxa"/>
            <w:vAlign w:val="center"/>
          </w:tcPr>
          <w:p>
            <w:pPr>
              <w:spacing w:after="160"/>
              <w:jc w:val="center"/>
              <w:rPr>
                <w:rFonts w:ascii="宋体" w:hAnsi="黑体" w:eastAsia="黑体"/>
                <w:color w:val="000000" w:themeColor="text1"/>
                <w:sz w:val="21"/>
                <w:szCs w:val="21"/>
              </w:rPr>
            </w:pPr>
            <w:r>
              <w:rPr>
                <w:rFonts w:ascii="宋体" w:hAnsi="黑体" w:eastAsia="黑体"/>
                <w:color w:val="000000" w:themeColor="text1"/>
                <w:sz w:val="21"/>
                <w:szCs w:val="21"/>
              </w:rPr>
              <w:t>单位</w:t>
            </w:r>
          </w:p>
        </w:tc>
        <w:tc>
          <w:tcPr>
            <w:tcW w:w="1462" w:type="dxa"/>
            <w:vAlign w:val="center"/>
          </w:tcPr>
          <w:p>
            <w:pPr>
              <w:spacing w:after="160"/>
              <w:jc w:val="center"/>
              <w:rPr>
                <w:rFonts w:ascii="宋体" w:hAnsi="黑体" w:eastAsia="黑体"/>
                <w:color w:val="000000" w:themeColor="text1"/>
                <w:sz w:val="21"/>
                <w:szCs w:val="21"/>
              </w:rPr>
            </w:pPr>
            <w:r>
              <w:rPr>
                <w:rFonts w:ascii="宋体" w:hAnsi="黑体" w:eastAsia="黑体"/>
                <w:color w:val="000000" w:themeColor="text1"/>
                <w:sz w:val="21"/>
                <w:szCs w:val="21"/>
              </w:rPr>
              <w:t>数量</w:t>
            </w:r>
          </w:p>
        </w:tc>
        <w:tc>
          <w:tcPr>
            <w:tcW w:w="1531" w:type="dxa"/>
            <w:vAlign w:val="center"/>
          </w:tcPr>
          <w:p>
            <w:pPr>
              <w:spacing w:after="160"/>
              <w:jc w:val="center"/>
              <w:rPr>
                <w:rFonts w:ascii="宋体" w:hAnsi="黑体" w:eastAsia="黑体"/>
                <w:color w:val="000000" w:themeColor="text1"/>
                <w:sz w:val="21"/>
                <w:szCs w:val="21"/>
              </w:rPr>
            </w:pPr>
            <w:r>
              <w:rPr>
                <w:rFonts w:ascii="宋体" w:hAnsi="黑体" w:eastAsia="黑体"/>
                <w:color w:val="000000" w:themeColor="text1"/>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957"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一</w:t>
            </w:r>
          </w:p>
        </w:tc>
        <w:tc>
          <w:tcPr>
            <w:tcW w:w="3969"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生产规模</w:t>
            </w:r>
          </w:p>
        </w:tc>
        <w:tc>
          <w:tcPr>
            <w:tcW w:w="1258" w:type="dxa"/>
            <w:vAlign w:val="center"/>
          </w:tcPr>
          <w:p>
            <w:pPr>
              <w:spacing w:after="160"/>
              <w:jc w:val="center"/>
              <w:rPr>
                <w:rFonts w:ascii="宋体" w:hAnsi="宋体" w:eastAsia="宋体"/>
                <w:color w:val="000000" w:themeColor="text1"/>
                <w:sz w:val="21"/>
                <w:szCs w:val="21"/>
              </w:rPr>
            </w:pPr>
          </w:p>
        </w:tc>
        <w:tc>
          <w:tcPr>
            <w:tcW w:w="1462" w:type="dxa"/>
            <w:vAlign w:val="center"/>
          </w:tcPr>
          <w:p>
            <w:pPr>
              <w:spacing w:after="160"/>
              <w:jc w:val="center"/>
              <w:rPr>
                <w:rFonts w:ascii="宋体" w:hAnsi="宋体" w:eastAsia="宋体"/>
                <w:color w:val="000000" w:themeColor="text1"/>
                <w:sz w:val="21"/>
                <w:szCs w:val="21"/>
              </w:rPr>
            </w:pPr>
          </w:p>
        </w:tc>
        <w:tc>
          <w:tcPr>
            <w:tcW w:w="1531" w:type="dxa"/>
            <w:vAlign w:val="center"/>
          </w:tcPr>
          <w:p>
            <w:pPr>
              <w:spacing w:after="160"/>
              <w:jc w:val="center"/>
              <w:rPr>
                <w:rFonts w:ascii="宋体" w:hAnsi="宋体" w:eastAsia="宋体"/>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957"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二</w:t>
            </w:r>
          </w:p>
        </w:tc>
        <w:tc>
          <w:tcPr>
            <w:tcW w:w="3969"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产品方案</w:t>
            </w:r>
          </w:p>
        </w:tc>
        <w:tc>
          <w:tcPr>
            <w:tcW w:w="1258" w:type="dxa"/>
            <w:vAlign w:val="center"/>
          </w:tcPr>
          <w:p>
            <w:pPr>
              <w:spacing w:after="160"/>
              <w:jc w:val="center"/>
              <w:rPr>
                <w:rFonts w:ascii="宋体" w:hAnsi="宋体" w:eastAsia="宋体"/>
                <w:color w:val="000000" w:themeColor="text1"/>
                <w:sz w:val="21"/>
                <w:szCs w:val="21"/>
              </w:rPr>
            </w:pPr>
          </w:p>
        </w:tc>
        <w:tc>
          <w:tcPr>
            <w:tcW w:w="1462" w:type="dxa"/>
            <w:vAlign w:val="center"/>
          </w:tcPr>
          <w:p>
            <w:pPr>
              <w:spacing w:after="160"/>
              <w:jc w:val="center"/>
              <w:rPr>
                <w:rFonts w:ascii="宋体" w:hAnsi="宋体" w:eastAsia="宋体"/>
                <w:color w:val="000000" w:themeColor="text1"/>
                <w:sz w:val="21"/>
                <w:szCs w:val="21"/>
              </w:rPr>
            </w:pPr>
          </w:p>
        </w:tc>
        <w:tc>
          <w:tcPr>
            <w:tcW w:w="1531" w:type="dxa"/>
            <w:vAlign w:val="center"/>
          </w:tcPr>
          <w:p>
            <w:pPr>
              <w:spacing w:after="160"/>
              <w:jc w:val="center"/>
              <w:rPr>
                <w:rFonts w:ascii="宋体" w:hAnsi="宋体" w:eastAsia="宋体"/>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957"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1</w:t>
            </w:r>
          </w:p>
        </w:tc>
        <w:tc>
          <w:tcPr>
            <w:tcW w:w="3969" w:type="dxa"/>
            <w:vAlign w:val="center"/>
          </w:tcPr>
          <w:p>
            <w:pPr>
              <w:spacing w:after="160"/>
              <w:jc w:val="center"/>
              <w:rPr>
                <w:rFonts w:ascii="宋体" w:hAnsi="宋体" w:eastAsia="宋体"/>
                <w:color w:val="000000" w:themeColor="text1"/>
                <w:sz w:val="21"/>
                <w:szCs w:val="21"/>
              </w:rPr>
            </w:pPr>
          </w:p>
        </w:tc>
        <w:tc>
          <w:tcPr>
            <w:tcW w:w="1258" w:type="dxa"/>
            <w:vAlign w:val="center"/>
          </w:tcPr>
          <w:p>
            <w:pPr>
              <w:spacing w:after="160"/>
              <w:jc w:val="center"/>
              <w:rPr>
                <w:rFonts w:ascii="宋体" w:hAnsi="宋体" w:eastAsia="宋体"/>
                <w:color w:val="000000" w:themeColor="text1"/>
                <w:sz w:val="21"/>
                <w:szCs w:val="21"/>
              </w:rPr>
            </w:pPr>
          </w:p>
        </w:tc>
        <w:tc>
          <w:tcPr>
            <w:tcW w:w="1462" w:type="dxa"/>
            <w:vAlign w:val="center"/>
          </w:tcPr>
          <w:p>
            <w:pPr>
              <w:spacing w:after="160"/>
              <w:jc w:val="center"/>
              <w:rPr>
                <w:rFonts w:ascii="宋体" w:hAnsi="宋体" w:eastAsia="宋体"/>
                <w:color w:val="000000" w:themeColor="text1"/>
                <w:sz w:val="21"/>
                <w:szCs w:val="21"/>
              </w:rPr>
            </w:pPr>
          </w:p>
        </w:tc>
        <w:tc>
          <w:tcPr>
            <w:tcW w:w="1531" w:type="dxa"/>
            <w:vAlign w:val="center"/>
          </w:tcPr>
          <w:p>
            <w:pPr>
              <w:spacing w:after="160"/>
              <w:jc w:val="center"/>
              <w:rPr>
                <w:rFonts w:ascii="宋体" w:hAnsi="宋体" w:eastAsia="宋体"/>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957"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2</w:t>
            </w:r>
          </w:p>
        </w:tc>
        <w:tc>
          <w:tcPr>
            <w:tcW w:w="3969" w:type="dxa"/>
            <w:vAlign w:val="center"/>
          </w:tcPr>
          <w:p>
            <w:pPr>
              <w:spacing w:after="160"/>
              <w:jc w:val="center"/>
              <w:rPr>
                <w:rFonts w:ascii="宋体" w:hAnsi="宋体" w:eastAsia="宋体"/>
                <w:color w:val="000000" w:themeColor="text1"/>
                <w:sz w:val="21"/>
                <w:szCs w:val="21"/>
              </w:rPr>
            </w:pPr>
          </w:p>
        </w:tc>
        <w:tc>
          <w:tcPr>
            <w:tcW w:w="1258" w:type="dxa"/>
            <w:vAlign w:val="center"/>
          </w:tcPr>
          <w:p>
            <w:pPr>
              <w:spacing w:after="160"/>
              <w:jc w:val="center"/>
              <w:rPr>
                <w:rFonts w:ascii="宋体" w:hAnsi="宋体" w:eastAsia="宋体"/>
                <w:color w:val="000000" w:themeColor="text1"/>
                <w:sz w:val="21"/>
                <w:szCs w:val="21"/>
              </w:rPr>
            </w:pPr>
          </w:p>
        </w:tc>
        <w:tc>
          <w:tcPr>
            <w:tcW w:w="1462" w:type="dxa"/>
            <w:vAlign w:val="center"/>
          </w:tcPr>
          <w:p>
            <w:pPr>
              <w:spacing w:after="160"/>
              <w:jc w:val="center"/>
              <w:rPr>
                <w:rFonts w:ascii="宋体" w:hAnsi="宋体" w:eastAsia="宋体"/>
                <w:color w:val="000000" w:themeColor="text1"/>
                <w:sz w:val="21"/>
                <w:szCs w:val="21"/>
              </w:rPr>
            </w:pPr>
          </w:p>
        </w:tc>
        <w:tc>
          <w:tcPr>
            <w:tcW w:w="1531" w:type="dxa"/>
            <w:vAlign w:val="center"/>
          </w:tcPr>
          <w:p>
            <w:pPr>
              <w:spacing w:after="160"/>
              <w:jc w:val="center"/>
              <w:rPr>
                <w:rFonts w:ascii="宋体" w:hAnsi="宋体" w:eastAsia="宋体"/>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957"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w:t>
            </w:r>
          </w:p>
        </w:tc>
        <w:tc>
          <w:tcPr>
            <w:tcW w:w="3969" w:type="dxa"/>
            <w:vAlign w:val="center"/>
          </w:tcPr>
          <w:p>
            <w:pPr>
              <w:spacing w:after="160"/>
              <w:jc w:val="center"/>
              <w:rPr>
                <w:rFonts w:ascii="宋体" w:hAnsi="宋体" w:eastAsia="宋体"/>
                <w:color w:val="000000" w:themeColor="text1"/>
                <w:sz w:val="21"/>
                <w:szCs w:val="21"/>
              </w:rPr>
            </w:pPr>
          </w:p>
        </w:tc>
        <w:tc>
          <w:tcPr>
            <w:tcW w:w="1258" w:type="dxa"/>
            <w:vAlign w:val="center"/>
          </w:tcPr>
          <w:p>
            <w:pPr>
              <w:spacing w:after="160"/>
              <w:jc w:val="center"/>
              <w:rPr>
                <w:rFonts w:ascii="宋体" w:hAnsi="宋体" w:eastAsia="宋体"/>
                <w:color w:val="000000" w:themeColor="text1"/>
                <w:sz w:val="21"/>
                <w:szCs w:val="21"/>
              </w:rPr>
            </w:pPr>
          </w:p>
        </w:tc>
        <w:tc>
          <w:tcPr>
            <w:tcW w:w="1462" w:type="dxa"/>
            <w:vAlign w:val="center"/>
          </w:tcPr>
          <w:p>
            <w:pPr>
              <w:spacing w:after="160"/>
              <w:jc w:val="center"/>
              <w:rPr>
                <w:rFonts w:ascii="宋体" w:hAnsi="宋体" w:eastAsia="宋体"/>
                <w:color w:val="000000" w:themeColor="text1"/>
                <w:sz w:val="21"/>
                <w:szCs w:val="21"/>
              </w:rPr>
            </w:pPr>
          </w:p>
        </w:tc>
        <w:tc>
          <w:tcPr>
            <w:tcW w:w="1531" w:type="dxa"/>
            <w:vAlign w:val="center"/>
          </w:tcPr>
          <w:p>
            <w:pPr>
              <w:spacing w:after="160"/>
              <w:jc w:val="center"/>
              <w:rPr>
                <w:rFonts w:ascii="宋体" w:hAnsi="宋体" w:eastAsia="宋体"/>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957"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三</w:t>
            </w:r>
          </w:p>
        </w:tc>
        <w:tc>
          <w:tcPr>
            <w:tcW w:w="3969"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年操作时间</w:t>
            </w:r>
          </w:p>
        </w:tc>
        <w:tc>
          <w:tcPr>
            <w:tcW w:w="1258"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天</w:t>
            </w:r>
          </w:p>
        </w:tc>
        <w:tc>
          <w:tcPr>
            <w:tcW w:w="1462" w:type="dxa"/>
            <w:vAlign w:val="center"/>
          </w:tcPr>
          <w:p>
            <w:pPr>
              <w:spacing w:after="160"/>
              <w:jc w:val="center"/>
              <w:rPr>
                <w:rFonts w:ascii="宋体" w:hAnsi="宋体" w:eastAsia="宋体"/>
                <w:color w:val="000000" w:themeColor="text1"/>
                <w:sz w:val="21"/>
                <w:szCs w:val="21"/>
              </w:rPr>
            </w:pPr>
          </w:p>
        </w:tc>
        <w:tc>
          <w:tcPr>
            <w:tcW w:w="1531" w:type="dxa"/>
            <w:vAlign w:val="center"/>
          </w:tcPr>
          <w:p>
            <w:pPr>
              <w:spacing w:after="160"/>
              <w:jc w:val="center"/>
              <w:rPr>
                <w:rFonts w:ascii="宋体" w:hAnsi="宋体" w:eastAsia="宋体"/>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957"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十一</w:t>
            </w:r>
          </w:p>
        </w:tc>
        <w:tc>
          <w:tcPr>
            <w:tcW w:w="3969"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工程项目总投资</w:t>
            </w:r>
          </w:p>
        </w:tc>
        <w:tc>
          <w:tcPr>
            <w:tcW w:w="1258"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万元</w:t>
            </w:r>
          </w:p>
        </w:tc>
        <w:tc>
          <w:tcPr>
            <w:tcW w:w="1462" w:type="dxa"/>
            <w:vAlign w:val="center"/>
          </w:tcPr>
          <w:p>
            <w:pPr>
              <w:spacing w:after="160"/>
              <w:jc w:val="center"/>
              <w:rPr>
                <w:rFonts w:ascii="宋体" w:hAnsi="宋体" w:eastAsia="宋体"/>
                <w:color w:val="000000" w:themeColor="text1"/>
                <w:sz w:val="21"/>
                <w:szCs w:val="21"/>
              </w:rPr>
            </w:pPr>
          </w:p>
        </w:tc>
        <w:tc>
          <w:tcPr>
            <w:tcW w:w="1531" w:type="dxa"/>
            <w:vAlign w:val="center"/>
          </w:tcPr>
          <w:p>
            <w:pPr>
              <w:spacing w:after="160"/>
              <w:jc w:val="center"/>
              <w:rPr>
                <w:rFonts w:ascii="宋体" w:hAnsi="宋体" w:eastAsia="宋体"/>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957"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1</w:t>
            </w:r>
          </w:p>
        </w:tc>
        <w:tc>
          <w:tcPr>
            <w:tcW w:w="3969"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工程费用</w:t>
            </w:r>
          </w:p>
        </w:tc>
        <w:tc>
          <w:tcPr>
            <w:tcW w:w="1258"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万元</w:t>
            </w:r>
          </w:p>
        </w:tc>
        <w:tc>
          <w:tcPr>
            <w:tcW w:w="1462" w:type="dxa"/>
            <w:vAlign w:val="center"/>
          </w:tcPr>
          <w:p>
            <w:pPr>
              <w:spacing w:after="160"/>
              <w:jc w:val="center"/>
              <w:rPr>
                <w:rFonts w:ascii="宋体" w:hAnsi="宋体" w:eastAsia="宋体"/>
                <w:color w:val="000000" w:themeColor="text1"/>
                <w:sz w:val="21"/>
                <w:szCs w:val="21"/>
              </w:rPr>
            </w:pPr>
          </w:p>
        </w:tc>
        <w:tc>
          <w:tcPr>
            <w:tcW w:w="1531" w:type="dxa"/>
            <w:vAlign w:val="center"/>
          </w:tcPr>
          <w:p>
            <w:pPr>
              <w:spacing w:after="160"/>
              <w:jc w:val="center"/>
              <w:rPr>
                <w:rFonts w:ascii="宋体" w:hAnsi="宋体" w:eastAsia="宋体"/>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957"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2</w:t>
            </w:r>
          </w:p>
        </w:tc>
        <w:tc>
          <w:tcPr>
            <w:tcW w:w="3969"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工程建设其他费用</w:t>
            </w:r>
          </w:p>
        </w:tc>
        <w:tc>
          <w:tcPr>
            <w:tcW w:w="1258"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万元</w:t>
            </w:r>
          </w:p>
        </w:tc>
        <w:tc>
          <w:tcPr>
            <w:tcW w:w="1462" w:type="dxa"/>
            <w:vAlign w:val="center"/>
          </w:tcPr>
          <w:p>
            <w:pPr>
              <w:spacing w:after="160"/>
              <w:jc w:val="center"/>
              <w:rPr>
                <w:rFonts w:ascii="宋体" w:hAnsi="宋体" w:eastAsia="宋体"/>
                <w:color w:val="000000" w:themeColor="text1"/>
                <w:sz w:val="21"/>
                <w:szCs w:val="21"/>
              </w:rPr>
            </w:pPr>
          </w:p>
        </w:tc>
        <w:tc>
          <w:tcPr>
            <w:tcW w:w="1531" w:type="dxa"/>
            <w:vAlign w:val="center"/>
          </w:tcPr>
          <w:p>
            <w:pPr>
              <w:spacing w:after="160"/>
              <w:jc w:val="center"/>
              <w:rPr>
                <w:rFonts w:ascii="宋体" w:hAnsi="宋体" w:eastAsia="宋体"/>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957"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3</w:t>
            </w:r>
          </w:p>
        </w:tc>
        <w:tc>
          <w:tcPr>
            <w:tcW w:w="3969"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预备费</w:t>
            </w:r>
          </w:p>
        </w:tc>
        <w:tc>
          <w:tcPr>
            <w:tcW w:w="1258"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万元</w:t>
            </w:r>
          </w:p>
        </w:tc>
        <w:tc>
          <w:tcPr>
            <w:tcW w:w="1462" w:type="dxa"/>
            <w:vAlign w:val="center"/>
          </w:tcPr>
          <w:p>
            <w:pPr>
              <w:spacing w:after="160"/>
              <w:jc w:val="center"/>
              <w:rPr>
                <w:rFonts w:ascii="宋体" w:hAnsi="宋体" w:eastAsia="宋体"/>
                <w:color w:val="000000" w:themeColor="text1"/>
                <w:sz w:val="21"/>
                <w:szCs w:val="21"/>
              </w:rPr>
            </w:pPr>
          </w:p>
        </w:tc>
        <w:tc>
          <w:tcPr>
            <w:tcW w:w="1531" w:type="dxa"/>
            <w:vAlign w:val="center"/>
          </w:tcPr>
          <w:p>
            <w:pPr>
              <w:spacing w:after="160"/>
              <w:jc w:val="center"/>
              <w:rPr>
                <w:rFonts w:ascii="宋体" w:hAnsi="宋体" w:eastAsia="宋体"/>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957"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4</w:t>
            </w:r>
          </w:p>
        </w:tc>
        <w:tc>
          <w:tcPr>
            <w:tcW w:w="3969"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建设期利息</w:t>
            </w:r>
          </w:p>
        </w:tc>
        <w:tc>
          <w:tcPr>
            <w:tcW w:w="1258"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万元</w:t>
            </w:r>
          </w:p>
        </w:tc>
        <w:tc>
          <w:tcPr>
            <w:tcW w:w="1462" w:type="dxa"/>
            <w:vAlign w:val="center"/>
          </w:tcPr>
          <w:p>
            <w:pPr>
              <w:spacing w:after="160"/>
              <w:jc w:val="center"/>
              <w:rPr>
                <w:rFonts w:ascii="宋体" w:hAnsi="宋体" w:eastAsia="宋体"/>
                <w:color w:val="000000" w:themeColor="text1"/>
                <w:sz w:val="21"/>
                <w:szCs w:val="21"/>
              </w:rPr>
            </w:pPr>
          </w:p>
        </w:tc>
        <w:tc>
          <w:tcPr>
            <w:tcW w:w="1531" w:type="dxa"/>
            <w:vAlign w:val="center"/>
          </w:tcPr>
          <w:p>
            <w:pPr>
              <w:spacing w:after="160"/>
              <w:jc w:val="center"/>
              <w:rPr>
                <w:rFonts w:ascii="宋体" w:hAnsi="宋体" w:eastAsia="宋体"/>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957"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5</w:t>
            </w:r>
          </w:p>
        </w:tc>
        <w:tc>
          <w:tcPr>
            <w:tcW w:w="3969"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铺底流动资金</w:t>
            </w:r>
          </w:p>
        </w:tc>
        <w:tc>
          <w:tcPr>
            <w:tcW w:w="1258"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万元</w:t>
            </w:r>
          </w:p>
        </w:tc>
        <w:tc>
          <w:tcPr>
            <w:tcW w:w="1462" w:type="dxa"/>
            <w:vAlign w:val="center"/>
          </w:tcPr>
          <w:p>
            <w:pPr>
              <w:spacing w:after="160"/>
              <w:jc w:val="center"/>
              <w:rPr>
                <w:rFonts w:ascii="宋体" w:hAnsi="宋体" w:eastAsia="宋体"/>
                <w:color w:val="000000" w:themeColor="text1"/>
                <w:sz w:val="21"/>
                <w:szCs w:val="21"/>
              </w:rPr>
            </w:pPr>
          </w:p>
        </w:tc>
        <w:tc>
          <w:tcPr>
            <w:tcW w:w="1531" w:type="dxa"/>
            <w:vAlign w:val="center"/>
          </w:tcPr>
          <w:p>
            <w:pPr>
              <w:spacing w:after="160"/>
              <w:jc w:val="center"/>
              <w:rPr>
                <w:rFonts w:ascii="宋体" w:hAnsi="宋体" w:eastAsia="宋体"/>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957"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十二</w:t>
            </w:r>
          </w:p>
        </w:tc>
        <w:tc>
          <w:tcPr>
            <w:tcW w:w="3969"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年均销售收入</w:t>
            </w:r>
          </w:p>
        </w:tc>
        <w:tc>
          <w:tcPr>
            <w:tcW w:w="1258"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万元</w:t>
            </w:r>
          </w:p>
        </w:tc>
        <w:tc>
          <w:tcPr>
            <w:tcW w:w="1462" w:type="dxa"/>
            <w:vAlign w:val="center"/>
          </w:tcPr>
          <w:p>
            <w:pPr>
              <w:spacing w:after="160"/>
              <w:jc w:val="center"/>
              <w:rPr>
                <w:rFonts w:ascii="宋体" w:hAnsi="宋体" w:eastAsia="宋体"/>
                <w:color w:val="000000" w:themeColor="text1"/>
                <w:sz w:val="21"/>
                <w:szCs w:val="21"/>
              </w:rPr>
            </w:pPr>
          </w:p>
        </w:tc>
        <w:tc>
          <w:tcPr>
            <w:tcW w:w="1531" w:type="dxa"/>
            <w:vAlign w:val="center"/>
          </w:tcPr>
          <w:p>
            <w:pPr>
              <w:spacing w:after="160"/>
              <w:jc w:val="center"/>
              <w:rPr>
                <w:rFonts w:ascii="宋体" w:hAnsi="宋体" w:eastAsia="宋体"/>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957"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1</w:t>
            </w:r>
          </w:p>
        </w:tc>
        <w:tc>
          <w:tcPr>
            <w:tcW w:w="3969"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生物天然气</w:t>
            </w:r>
          </w:p>
        </w:tc>
        <w:tc>
          <w:tcPr>
            <w:tcW w:w="1258"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万元</w:t>
            </w:r>
          </w:p>
        </w:tc>
        <w:tc>
          <w:tcPr>
            <w:tcW w:w="1462" w:type="dxa"/>
            <w:vAlign w:val="center"/>
          </w:tcPr>
          <w:p>
            <w:pPr>
              <w:spacing w:after="160"/>
              <w:jc w:val="center"/>
              <w:rPr>
                <w:rFonts w:ascii="宋体" w:hAnsi="宋体" w:eastAsia="宋体"/>
                <w:color w:val="000000" w:themeColor="text1"/>
                <w:sz w:val="21"/>
                <w:szCs w:val="21"/>
              </w:rPr>
            </w:pPr>
          </w:p>
        </w:tc>
        <w:tc>
          <w:tcPr>
            <w:tcW w:w="1531" w:type="dxa"/>
            <w:vAlign w:val="center"/>
          </w:tcPr>
          <w:p>
            <w:pPr>
              <w:spacing w:after="160"/>
              <w:jc w:val="center"/>
              <w:rPr>
                <w:rFonts w:ascii="宋体" w:hAnsi="宋体" w:eastAsia="宋体"/>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957"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2</w:t>
            </w:r>
          </w:p>
        </w:tc>
        <w:tc>
          <w:tcPr>
            <w:tcW w:w="3969"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沼渣固体有机肥</w:t>
            </w:r>
          </w:p>
        </w:tc>
        <w:tc>
          <w:tcPr>
            <w:tcW w:w="1258"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万元</w:t>
            </w:r>
          </w:p>
        </w:tc>
        <w:tc>
          <w:tcPr>
            <w:tcW w:w="1462" w:type="dxa"/>
            <w:vAlign w:val="center"/>
          </w:tcPr>
          <w:p>
            <w:pPr>
              <w:spacing w:after="160"/>
              <w:jc w:val="center"/>
              <w:rPr>
                <w:rFonts w:ascii="宋体" w:hAnsi="宋体" w:eastAsia="宋体"/>
                <w:color w:val="000000" w:themeColor="text1"/>
                <w:sz w:val="21"/>
                <w:szCs w:val="21"/>
              </w:rPr>
            </w:pPr>
          </w:p>
        </w:tc>
        <w:tc>
          <w:tcPr>
            <w:tcW w:w="1531" w:type="dxa"/>
            <w:vAlign w:val="center"/>
          </w:tcPr>
          <w:p>
            <w:pPr>
              <w:spacing w:after="160"/>
              <w:jc w:val="center"/>
              <w:rPr>
                <w:rFonts w:ascii="宋体" w:hAnsi="宋体" w:eastAsia="宋体"/>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957"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3</w:t>
            </w:r>
          </w:p>
        </w:tc>
        <w:tc>
          <w:tcPr>
            <w:tcW w:w="3969"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液体有机肥</w:t>
            </w:r>
          </w:p>
        </w:tc>
        <w:tc>
          <w:tcPr>
            <w:tcW w:w="1258"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万元</w:t>
            </w:r>
          </w:p>
        </w:tc>
        <w:tc>
          <w:tcPr>
            <w:tcW w:w="1462" w:type="dxa"/>
            <w:vAlign w:val="center"/>
          </w:tcPr>
          <w:p>
            <w:pPr>
              <w:spacing w:after="160"/>
              <w:jc w:val="center"/>
              <w:rPr>
                <w:rFonts w:ascii="宋体" w:hAnsi="宋体" w:eastAsia="宋体"/>
                <w:color w:val="000000" w:themeColor="text1"/>
                <w:sz w:val="21"/>
                <w:szCs w:val="21"/>
              </w:rPr>
            </w:pPr>
          </w:p>
        </w:tc>
        <w:tc>
          <w:tcPr>
            <w:tcW w:w="1531" w:type="dxa"/>
            <w:vAlign w:val="center"/>
          </w:tcPr>
          <w:p>
            <w:pPr>
              <w:spacing w:after="160"/>
              <w:jc w:val="center"/>
              <w:rPr>
                <w:rFonts w:ascii="宋体" w:hAnsi="宋体" w:eastAsia="宋体"/>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957"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4</w:t>
            </w:r>
          </w:p>
        </w:tc>
        <w:tc>
          <w:tcPr>
            <w:tcW w:w="3969"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普通沼液肥</w:t>
            </w:r>
          </w:p>
        </w:tc>
        <w:tc>
          <w:tcPr>
            <w:tcW w:w="1258"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万元</w:t>
            </w:r>
          </w:p>
        </w:tc>
        <w:tc>
          <w:tcPr>
            <w:tcW w:w="1462" w:type="dxa"/>
            <w:vAlign w:val="center"/>
          </w:tcPr>
          <w:p>
            <w:pPr>
              <w:spacing w:after="160"/>
              <w:jc w:val="center"/>
              <w:rPr>
                <w:rFonts w:ascii="宋体" w:hAnsi="宋体" w:eastAsia="宋体"/>
                <w:color w:val="000000" w:themeColor="text1"/>
                <w:sz w:val="21"/>
                <w:szCs w:val="21"/>
              </w:rPr>
            </w:pPr>
          </w:p>
        </w:tc>
        <w:tc>
          <w:tcPr>
            <w:tcW w:w="1531" w:type="dxa"/>
            <w:vAlign w:val="center"/>
          </w:tcPr>
          <w:p>
            <w:pPr>
              <w:spacing w:after="160"/>
              <w:jc w:val="center"/>
              <w:rPr>
                <w:rFonts w:ascii="宋体" w:hAnsi="宋体" w:eastAsia="宋体"/>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957"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十三</w:t>
            </w:r>
          </w:p>
        </w:tc>
        <w:tc>
          <w:tcPr>
            <w:tcW w:w="3969"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成本和费用</w:t>
            </w:r>
          </w:p>
        </w:tc>
        <w:tc>
          <w:tcPr>
            <w:tcW w:w="1258" w:type="dxa"/>
            <w:vAlign w:val="center"/>
          </w:tcPr>
          <w:p>
            <w:pPr>
              <w:spacing w:after="160"/>
              <w:jc w:val="center"/>
              <w:rPr>
                <w:rFonts w:ascii="宋体" w:hAnsi="宋体" w:eastAsia="宋体"/>
                <w:color w:val="000000" w:themeColor="text1"/>
                <w:sz w:val="21"/>
                <w:szCs w:val="21"/>
              </w:rPr>
            </w:pPr>
          </w:p>
        </w:tc>
        <w:tc>
          <w:tcPr>
            <w:tcW w:w="1462" w:type="dxa"/>
            <w:vAlign w:val="center"/>
          </w:tcPr>
          <w:p>
            <w:pPr>
              <w:spacing w:after="160"/>
              <w:jc w:val="center"/>
              <w:rPr>
                <w:rFonts w:ascii="宋体" w:hAnsi="宋体" w:eastAsia="宋体"/>
                <w:color w:val="000000" w:themeColor="text1"/>
                <w:sz w:val="21"/>
                <w:szCs w:val="21"/>
              </w:rPr>
            </w:pPr>
          </w:p>
        </w:tc>
        <w:tc>
          <w:tcPr>
            <w:tcW w:w="1531" w:type="dxa"/>
            <w:vAlign w:val="center"/>
          </w:tcPr>
          <w:p>
            <w:pPr>
              <w:spacing w:after="160"/>
              <w:jc w:val="center"/>
              <w:rPr>
                <w:rFonts w:ascii="宋体" w:hAnsi="宋体" w:eastAsia="宋体"/>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957"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1</w:t>
            </w:r>
          </w:p>
        </w:tc>
        <w:tc>
          <w:tcPr>
            <w:tcW w:w="3969"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年均总成本费用</w:t>
            </w:r>
          </w:p>
        </w:tc>
        <w:tc>
          <w:tcPr>
            <w:tcW w:w="1258"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万元</w:t>
            </w:r>
          </w:p>
        </w:tc>
        <w:tc>
          <w:tcPr>
            <w:tcW w:w="1462" w:type="dxa"/>
            <w:vAlign w:val="center"/>
          </w:tcPr>
          <w:p>
            <w:pPr>
              <w:spacing w:after="160"/>
              <w:jc w:val="center"/>
              <w:rPr>
                <w:rFonts w:ascii="宋体" w:hAnsi="宋体" w:eastAsia="宋体"/>
                <w:color w:val="000000" w:themeColor="text1"/>
                <w:sz w:val="21"/>
                <w:szCs w:val="21"/>
              </w:rPr>
            </w:pPr>
          </w:p>
        </w:tc>
        <w:tc>
          <w:tcPr>
            <w:tcW w:w="1531" w:type="dxa"/>
            <w:vAlign w:val="center"/>
          </w:tcPr>
          <w:p>
            <w:pPr>
              <w:spacing w:after="160"/>
              <w:jc w:val="center"/>
              <w:rPr>
                <w:rFonts w:ascii="宋体" w:hAnsi="宋体" w:eastAsia="宋体"/>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957"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2</w:t>
            </w:r>
          </w:p>
        </w:tc>
        <w:tc>
          <w:tcPr>
            <w:tcW w:w="3969"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年均经营成本</w:t>
            </w:r>
          </w:p>
        </w:tc>
        <w:tc>
          <w:tcPr>
            <w:tcW w:w="1258"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万元</w:t>
            </w:r>
          </w:p>
        </w:tc>
        <w:tc>
          <w:tcPr>
            <w:tcW w:w="1462" w:type="dxa"/>
            <w:vAlign w:val="center"/>
          </w:tcPr>
          <w:p>
            <w:pPr>
              <w:spacing w:after="160"/>
              <w:jc w:val="center"/>
              <w:rPr>
                <w:rFonts w:ascii="宋体" w:hAnsi="宋体" w:eastAsia="宋体"/>
                <w:color w:val="000000" w:themeColor="text1"/>
                <w:sz w:val="21"/>
                <w:szCs w:val="21"/>
              </w:rPr>
            </w:pPr>
          </w:p>
        </w:tc>
        <w:tc>
          <w:tcPr>
            <w:tcW w:w="1531" w:type="dxa"/>
            <w:vAlign w:val="center"/>
          </w:tcPr>
          <w:p>
            <w:pPr>
              <w:spacing w:after="160"/>
              <w:jc w:val="center"/>
              <w:rPr>
                <w:rFonts w:ascii="宋体" w:hAnsi="宋体" w:eastAsia="宋体"/>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957"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十四</w:t>
            </w:r>
          </w:p>
        </w:tc>
        <w:tc>
          <w:tcPr>
            <w:tcW w:w="3969"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年均利润总额</w:t>
            </w:r>
          </w:p>
        </w:tc>
        <w:tc>
          <w:tcPr>
            <w:tcW w:w="1258"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万元</w:t>
            </w:r>
          </w:p>
        </w:tc>
        <w:tc>
          <w:tcPr>
            <w:tcW w:w="1462" w:type="dxa"/>
            <w:vAlign w:val="center"/>
          </w:tcPr>
          <w:p>
            <w:pPr>
              <w:spacing w:after="160"/>
              <w:jc w:val="center"/>
              <w:rPr>
                <w:rFonts w:ascii="宋体" w:hAnsi="宋体" w:eastAsia="宋体"/>
                <w:color w:val="000000" w:themeColor="text1"/>
                <w:sz w:val="21"/>
                <w:szCs w:val="21"/>
              </w:rPr>
            </w:pPr>
          </w:p>
        </w:tc>
        <w:tc>
          <w:tcPr>
            <w:tcW w:w="1531" w:type="dxa"/>
            <w:vAlign w:val="center"/>
          </w:tcPr>
          <w:p>
            <w:pPr>
              <w:spacing w:after="160"/>
              <w:jc w:val="center"/>
              <w:rPr>
                <w:rFonts w:ascii="宋体" w:hAnsi="宋体" w:eastAsia="宋体"/>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957"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十五</w:t>
            </w:r>
          </w:p>
        </w:tc>
        <w:tc>
          <w:tcPr>
            <w:tcW w:w="3969"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年均所得税</w:t>
            </w:r>
          </w:p>
        </w:tc>
        <w:tc>
          <w:tcPr>
            <w:tcW w:w="1258"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万元</w:t>
            </w:r>
          </w:p>
        </w:tc>
        <w:tc>
          <w:tcPr>
            <w:tcW w:w="1462" w:type="dxa"/>
            <w:vAlign w:val="center"/>
          </w:tcPr>
          <w:p>
            <w:pPr>
              <w:spacing w:after="160"/>
              <w:jc w:val="center"/>
              <w:rPr>
                <w:rFonts w:ascii="宋体" w:hAnsi="宋体" w:eastAsia="宋体"/>
                <w:color w:val="000000" w:themeColor="text1"/>
                <w:sz w:val="21"/>
                <w:szCs w:val="21"/>
              </w:rPr>
            </w:pPr>
          </w:p>
        </w:tc>
        <w:tc>
          <w:tcPr>
            <w:tcW w:w="1531" w:type="dxa"/>
            <w:vAlign w:val="center"/>
          </w:tcPr>
          <w:p>
            <w:pPr>
              <w:spacing w:after="160"/>
              <w:jc w:val="center"/>
              <w:rPr>
                <w:rFonts w:ascii="宋体" w:hAnsi="宋体" w:eastAsia="宋体"/>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957"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十六</w:t>
            </w:r>
          </w:p>
        </w:tc>
        <w:tc>
          <w:tcPr>
            <w:tcW w:w="3969"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财务评价指标</w:t>
            </w:r>
          </w:p>
        </w:tc>
        <w:tc>
          <w:tcPr>
            <w:tcW w:w="1258" w:type="dxa"/>
            <w:vAlign w:val="center"/>
          </w:tcPr>
          <w:p>
            <w:pPr>
              <w:spacing w:after="160"/>
              <w:jc w:val="center"/>
              <w:rPr>
                <w:rFonts w:ascii="宋体" w:hAnsi="宋体" w:eastAsia="宋体"/>
                <w:color w:val="000000" w:themeColor="text1"/>
                <w:sz w:val="21"/>
                <w:szCs w:val="21"/>
              </w:rPr>
            </w:pPr>
          </w:p>
        </w:tc>
        <w:tc>
          <w:tcPr>
            <w:tcW w:w="1462" w:type="dxa"/>
            <w:vAlign w:val="center"/>
          </w:tcPr>
          <w:p>
            <w:pPr>
              <w:spacing w:after="160"/>
              <w:jc w:val="center"/>
              <w:rPr>
                <w:rFonts w:ascii="宋体" w:hAnsi="宋体" w:eastAsia="宋体"/>
                <w:color w:val="000000" w:themeColor="text1"/>
                <w:sz w:val="21"/>
                <w:szCs w:val="21"/>
              </w:rPr>
            </w:pPr>
          </w:p>
        </w:tc>
        <w:tc>
          <w:tcPr>
            <w:tcW w:w="1531" w:type="dxa"/>
            <w:vAlign w:val="center"/>
          </w:tcPr>
          <w:p>
            <w:pPr>
              <w:spacing w:after="160"/>
              <w:jc w:val="center"/>
              <w:rPr>
                <w:rFonts w:ascii="宋体" w:hAnsi="宋体" w:eastAsia="宋体"/>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957"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1</w:t>
            </w:r>
          </w:p>
        </w:tc>
        <w:tc>
          <w:tcPr>
            <w:tcW w:w="3969"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资本金利润率</w:t>
            </w:r>
          </w:p>
        </w:tc>
        <w:tc>
          <w:tcPr>
            <w:tcW w:w="1258" w:type="dxa"/>
            <w:vAlign w:val="center"/>
          </w:tcPr>
          <w:p>
            <w:pPr>
              <w:spacing w:after="160"/>
              <w:jc w:val="center"/>
              <w:rPr>
                <w:rFonts w:ascii="宋体" w:hAnsi="宋体" w:eastAsia="宋体"/>
                <w:color w:val="000000" w:themeColor="text1"/>
                <w:sz w:val="21"/>
                <w:szCs w:val="21"/>
              </w:rPr>
            </w:pPr>
          </w:p>
        </w:tc>
        <w:tc>
          <w:tcPr>
            <w:tcW w:w="1462" w:type="dxa"/>
            <w:vAlign w:val="center"/>
          </w:tcPr>
          <w:p>
            <w:pPr>
              <w:spacing w:after="160"/>
              <w:jc w:val="center"/>
              <w:rPr>
                <w:rFonts w:ascii="宋体" w:hAnsi="宋体" w:eastAsia="宋体"/>
                <w:color w:val="000000" w:themeColor="text1"/>
                <w:sz w:val="21"/>
                <w:szCs w:val="21"/>
              </w:rPr>
            </w:pPr>
          </w:p>
        </w:tc>
        <w:tc>
          <w:tcPr>
            <w:tcW w:w="1531" w:type="dxa"/>
            <w:vAlign w:val="center"/>
          </w:tcPr>
          <w:p>
            <w:pPr>
              <w:spacing w:after="160"/>
              <w:jc w:val="center"/>
              <w:rPr>
                <w:rFonts w:ascii="宋体" w:hAnsi="宋体" w:eastAsia="宋体"/>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957"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2</w:t>
            </w:r>
          </w:p>
        </w:tc>
        <w:tc>
          <w:tcPr>
            <w:tcW w:w="3969"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投资利税率</w:t>
            </w:r>
          </w:p>
        </w:tc>
        <w:tc>
          <w:tcPr>
            <w:tcW w:w="1258" w:type="dxa"/>
            <w:vAlign w:val="center"/>
          </w:tcPr>
          <w:p>
            <w:pPr>
              <w:spacing w:after="160"/>
              <w:jc w:val="center"/>
              <w:rPr>
                <w:rFonts w:ascii="宋体" w:hAnsi="宋体" w:eastAsia="宋体"/>
                <w:color w:val="000000" w:themeColor="text1"/>
                <w:sz w:val="21"/>
                <w:szCs w:val="21"/>
              </w:rPr>
            </w:pPr>
          </w:p>
        </w:tc>
        <w:tc>
          <w:tcPr>
            <w:tcW w:w="1462" w:type="dxa"/>
            <w:vAlign w:val="center"/>
          </w:tcPr>
          <w:p>
            <w:pPr>
              <w:spacing w:after="160"/>
              <w:jc w:val="center"/>
              <w:rPr>
                <w:rFonts w:ascii="宋体" w:hAnsi="宋体" w:eastAsia="宋体"/>
                <w:color w:val="000000" w:themeColor="text1"/>
                <w:sz w:val="21"/>
                <w:szCs w:val="21"/>
              </w:rPr>
            </w:pPr>
          </w:p>
        </w:tc>
        <w:tc>
          <w:tcPr>
            <w:tcW w:w="1531" w:type="dxa"/>
            <w:vAlign w:val="center"/>
          </w:tcPr>
          <w:p>
            <w:pPr>
              <w:spacing w:after="160"/>
              <w:jc w:val="center"/>
              <w:rPr>
                <w:rFonts w:ascii="宋体" w:hAnsi="宋体" w:eastAsia="宋体"/>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957"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3</w:t>
            </w:r>
          </w:p>
        </w:tc>
        <w:tc>
          <w:tcPr>
            <w:tcW w:w="3969"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投资利润率</w:t>
            </w:r>
          </w:p>
        </w:tc>
        <w:tc>
          <w:tcPr>
            <w:tcW w:w="1258" w:type="dxa"/>
            <w:vAlign w:val="center"/>
          </w:tcPr>
          <w:p>
            <w:pPr>
              <w:spacing w:after="160"/>
              <w:jc w:val="center"/>
              <w:rPr>
                <w:rFonts w:ascii="宋体" w:hAnsi="宋体" w:eastAsia="宋体"/>
                <w:color w:val="000000" w:themeColor="text1"/>
                <w:sz w:val="21"/>
                <w:szCs w:val="21"/>
              </w:rPr>
            </w:pPr>
          </w:p>
        </w:tc>
        <w:tc>
          <w:tcPr>
            <w:tcW w:w="1462" w:type="dxa"/>
            <w:vAlign w:val="center"/>
          </w:tcPr>
          <w:p>
            <w:pPr>
              <w:spacing w:after="160"/>
              <w:jc w:val="center"/>
              <w:rPr>
                <w:rFonts w:ascii="宋体" w:hAnsi="宋体" w:eastAsia="宋体"/>
                <w:color w:val="000000" w:themeColor="text1"/>
                <w:sz w:val="21"/>
                <w:szCs w:val="21"/>
              </w:rPr>
            </w:pPr>
          </w:p>
        </w:tc>
        <w:tc>
          <w:tcPr>
            <w:tcW w:w="1531" w:type="dxa"/>
            <w:vAlign w:val="center"/>
          </w:tcPr>
          <w:p>
            <w:pPr>
              <w:spacing w:after="160"/>
              <w:jc w:val="center"/>
              <w:rPr>
                <w:rFonts w:ascii="宋体" w:hAnsi="宋体" w:eastAsia="宋体"/>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957"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4</w:t>
            </w:r>
          </w:p>
        </w:tc>
        <w:tc>
          <w:tcPr>
            <w:tcW w:w="3969"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全投资财务内部收益率（税后）</w:t>
            </w:r>
          </w:p>
        </w:tc>
        <w:tc>
          <w:tcPr>
            <w:tcW w:w="1258" w:type="dxa"/>
            <w:vAlign w:val="center"/>
          </w:tcPr>
          <w:p>
            <w:pPr>
              <w:spacing w:after="160"/>
              <w:jc w:val="center"/>
              <w:rPr>
                <w:rFonts w:ascii="宋体" w:hAnsi="宋体" w:eastAsia="宋体"/>
                <w:color w:val="000000" w:themeColor="text1"/>
                <w:sz w:val="21"/>
                <w:szCs w:val="21"/>
              </w:rPr>
            </w:pPr>
          </w:p>
        </w:tc>
        <w:tc>
          <w:tcPr>
            <w:tcW w:w="1462" w:type="dxa"/>
            <w:vAlign w:val="center"/>
          </w:tcPr>
          <w:p>
            <w:pPr>
              <w:spacing w:after="160"/>
              <w:jc w:val="center"/>
              <w:rPr>
                <w:rFonts w:ascii="宋体" w:hAnsi="宋体" w:eastAsia="宋体"/>
                <w:color w:val="000000" w:themeColor="text1"/>
                <w:sz w:val="21"/>
                <w:szCs w:val="21"/>
              </w:rPr>
            </w:pPr>
          </w:p>
        </w:tc>
        <w:tc>
          <w:tcPr>
            <w:tcW w:w="1531" w:type="dxa"/>
            <w:vAlign w:val="center"/>
          </w:tcPr>
          <w:p>
            <w:pPr>
              <w:spacing w:after="160"/>
              <w:jc w:val="center"/>
              <w:rPr>
                <w:rFonts w:ascii="宋体" w:hAnsi="宋体" w:eastAsia="宋体"/>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957" w:type="dxa"/>
            <w:vAlign w:val="center"/>
          </w:tcPr>
          <w:p>
            <w:pPr>
              <w:spacing w:after="160"/>
              <w:jc w:val="center"/>
              <w:rPr>
                <w:rFonts w:ascii="宋体" w:hAnsi="宋体" w:eastAsia="宋体"/>
                <w:color w:val="000000" w:themeColor="text1"/>
                <w:sz w:val="21"/>
                <w:szCs w:val="21"/>
              </w:rPr>
            </w:pPr>
          </w:p>
        </w:tc>
        <w:tc>
          <w:tcPr>
            <w:tcW w:w="3969"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净现值（全部投资）</w:t>
            </w:r>
          </w:p>
        </w:tc>
        <w:tc>
          <w:tcPr>
            <w:tcW w:w="1258"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万元</w:t>
            </w:r>
          </w:p>
        </w:tc>
        <w:tc>
          <w:tcPr>
            <w:tcW w:w="1462" w:type="dxa"/>
            <w:vAlign w:val="center"/>
          </w:tcPr>
          <w:p>
            <w:pPr>
              <w:spacing w:after="160"/>
              <w:jc w:val="center"/>
              <w:rPr>
                <w:rFonts w:ascii="宋体" w:hAnsi="宋体" w:eastAsia="宋体"/>
                <w:color w:val="000000" w:themeColor="text1"/>
                <w:sz w:val="21"/>
                <w:szCs w:val="21"/>
              </w:rPr>
            </w:pPr>
          </w:p>
        </w:tc>
        <w:tc>
          <w:tcPr>
            <w:tcW w:w="1531" w:type="dxa"/>
            <w:vAlign w:val="center"/>
          </w:tcPr>
          <w:p>
            <w:pPr>
              <w:spacing w:after="160"/>
              <w:jc w:val="center"/>
              <w:rPr>
                <w:rFonts w:ascii="宋体" w:hAnsi="宋体" w:eastAsia="宋体"/>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957"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5</w:t>
            </w:r>
          </w:p>
        </w:tc>
        <w:tc>
          <w:tcPr>
            <w:tcW w:w="3969"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资本财务内部收益率（税后）</w:t>
            </w:r>
          </w:p>
        </w:tc>
        <w:tc>
          <w:tcPr>
            <w:tcW w:w="1258" w:type="dxa"/>
            <w:vAlign w:val="center"/>
          </w:tcPr>
          <w:p>
            <w:pPr>
              <w:spacing w:after="160"/>
              <w:jc w:val="center"/>
              <w:rPr>
                <w:rFonts w:ascii="宋体" w:hAnsi="宋体" w:eastAsia="宋体"/>
                <w:color w:val="000000" w:themeColor="text1"/>
                <w:sz w:val="21"/>
                <w:szCs w:val="21"/>
              </w:rPr>
            </w:pPr>
          </w:p>
        </w:tc>
        <w:tc>
          <w:tcPr>
            <w:tcW w:w="1462" w:type="dxa"/>
            <w:vAlign w:val="center"/>
          </w:tcPr>
          <w:p>
            <w:pPr>
              <w:spacing w:after="160"/>
              <w:jc w:val="center"/>
              <w:rPr>
                <w:rFonts w:ascii="宋体" w:hAnsi="宋体" w:eastAsia="宋体"/>
                <w:color w:val="000000" w:themeColor="text1"/>
                <w:sz w:val="21"/>
                <w:szCs w:val="21"/>
              </w:rPr>
            </w:pPr>
          </w:p>
        </w:tc>
        <w:tc>
          <w:tcPr>
            <w:tcW w:w="1531" w:type="dxa"/>
            <w:vAlign w:val="center"/>
          </w:tcPr>
          <w:p>
            <w:pPr>
              <w:spacing w:after="160"/>
              <w:jc w:val="center"/>
              <w:rPr>
                <w:rFonts w:ascii="宋体" w:hAnsi="宋体" w:eastAsia="宋体"/>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957"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6</w:t>
            </w:r>
          </w:p>
        </w:tc>
        <w:tc>
          <w:tcPr>
            <w:tcW w:w="3969"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投资回收期(动态）</w:t>
            </w:r>
          </w:p>
        </w:tc>
        <w:tc>
          <w:tcPr>
            <w:tcW w:w="1258"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年</w:t>
            </w:r>
          </w:p>
        </w:tc>
        <w:tc>
          <w:tcPr>
            <w:tcW w:w="1462" w:type="dxa"/>
            <w:vAlign w:val="center"/>
          </w:tcPr>
          <w:p>
            <w:pPr>
              <w:spacing w:after="160"/>
              <w:jc w:val="center"/>
              <w:rPr>
                <w:rFonts w:ascii="宋体" w:hAnsi="宋体" w:eastAsia="宋体"/>
                <w:color w:val="000000" w:themeColor="text1"/>
                <w:sz w:val="21"/>
                <w:szCs w:val="21"/>
              </w:rPr>
            </w:pPr>
          </w:p>
        </w:tc>
        <w:tc>
          <w:tcPr>
            <w:tcW w:w="1531" w:type="dxa"/>
            <w:vAlign w:val="center"/>
          </w:tcPr>
          <w:p>
            <w:pPr>
              <w:spacing w:after="160"/>
              <w:jc w:val="center"/>
              <w:rPr>
                <w:rFonts w:ascii="宋体" w:hAnsi="宋体" w:eastAsia="宋体"/>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957"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7</w:t>
            </w:r>
          </w:p>
        </w:tc>
        <w:tc>
          <w:tcPr>
            <w:tcW w:w="3969"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投资回收期(静态）</w:t>
            </w:r>
          </w:p>
        </w:tc>
        <w:tc>
          <w:tcPr>
            <w:tcW w:w="1258"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年</w:t>
            </w:r>
          </w:p>
        </w:tc>
        <w:tc>
          <w:tcPr>
            <w:tcW w:w="1462" w:type="dxa"/>
            <w:vAlign w:val="center"/>
          </w:tcPr>
          <w:p>
            <w:pPr>
              <w:spacing w:after="160"/>
              <w:jc w:val="center"/>
              <w:rPr>
                <w:rFonts w:ascii="宋体" w:hAnsi="宋体" w:eastAsia="宋体"/>
                <w:color w:val="000000" w:themeColor="text1"/>
                <w:sz w:val="21"/>
                <w:szCs w:val="21"/>
              </w:rPr>
            </w:pPr>
          </w:p>
        </w:tc>
        <w:tc>
          <w:tcPr>
            <w:tcW w:w="1531" w:type="dxa"/>
            <w:vAlign w:val="center"/>
          </w:tcPr>
          <w:p>
            <w:pPr>
              <w:spacing w:after="160"/>
              <w:jc w:val="center"/>
              <w:rPr>
                <w:rFonts w:ascii="宋体" w:hAnsi="宋体" w:eastAsia="宋体"/>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957"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8</w:t>
            </w:r>
          </w:p>
        </w:tc>
        <w:tc>
          <w:tcPr>
            <w:tcW w:w="3969"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净现值（资本金）</w:t>
            </w:r>
          </w:p>
        </w:tc>
        <w:tc>
          <w:tcPr>
            <w:tcW w:w="1258"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万元</w:t>
            </w:r>
          </w:p>
        </w:tc>
        <w:tc>
          <w:tcPr>
            <w:tcW w:w="1462" w:type="dxa"/>
            <w:vAlign w:val="center"/>
          </w:tcPr>
          <w:p>
            <w:pPr>
              <w:spacing w:after="160"/>
              <w:jc w:val="center"/>
              <w:rPr>
                <w:rFonts w:ascii="宋体" w:hAnsi="宋体" w:eastAsia="宋体"/>
                <w:color w:val="000000" w:themeColor="text1"/>
                <w:sz w:val="21"/>
                <w:szCs w:val="21"/>
              </w:rPr>
            </w:pPr>
          </w:p>
        </w:tc>
        <w:tc>
          <w:tcPr>
            <w:tcW w:w="1531" w:type="dxa"/>
            <w:vAlign w:val="center"/>
          </w:tcPr>
          <w:p>
            <w:pPr>
              <w:spacing w:after="160"/>
              <w:jc w:val="center"/>
              <w:rPr>
                <w:rFonts w:ascii="宋体" w:hAnsi="宋体" w:eastAsia="宋体"/>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957"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十七</w:t>
            </w:r>
          </w:p>
        </w:tc>
        <w:tc>
          <w:tcPr>
            <w:tcW w:w="3969"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盈亏平衡分析</w:t>
            </w:r>
          </w:p>
        </w:tc>
        <w:tc>
          <w:tcPr>
            <w:tcW w:w="1258" w:type="dxa"/>
            <w:vAlign w:val="center"/>
          </w:tcPr>
          <w:p>
            <w:pPr>
              <w:spacing w:after="160"/>
              <w:jc w:val="center"/>
              <w:rPr>
                <w:rFonts w:ascii="宋体" w:hAnsi="宋体" w:eastAsia="宋体"/>
                <w:color w:val="000000" w:themeColor="text1"/>
                <w:sz w:val="21"/>
                <w:szCs w:val="21"/>
              </w:rPr>
            </w:pPr>
          </w:p>
        </w:tc>
        <w:tc>
          <w:tcPr>
            <w:tcW w:w="1462" w:type="dxa"/>
            <w:vAlign w:val="center"/>
          </w:tcPr>
          <w:p>
            <w:pPr>
              <w:spacing w:after="160"/>
              <w:jc w:val="center"/>
              <w:rPr>
                <w:rFonts w:ascii="宋体" w:hAnsi="宋体" w:eastAsia="宋体"/>
                <w:color w:val="000000" w:themeColor="text1"/>
                <w:sz w:val="21"/>
                <w:szCs w:val="21"/>
              </w:rPr>
            </w:pPr>
          </w:p>
        </w:tc>
        <w:tc>
          <w:tcPr>
            <w:tcW w:w="1531" w:type="dxa"/>
            <w:vAlign w:val="center"/>
          </w:tcPr>
          <w:p>
            <w:pPr>
              <w:spacing w:after="160"/>
              <w:jc w:val="center"/>
              <w:rPr>
                <w:rFonts w:ascii="宋体" w:hAnsi="宋体" w:eastAsia="宋体"/>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957" w:type="dxa"/>
            <w:vAlign w:val="center"/>
          </w:tcPr>
          <w:p>
            <w:pPr>
              <w:spacing w:after="160"/>
              <w:jc w:val="center"/>
              <w:rPr>
                <w:rFonts w:ascii="宋体" w:hAnsi="宋体" w:eastAsia="宋体"/>
                <w:color w:val="000000" w:themeColor="text1"/>
                <w:sz w:val="21"/>
                <w:szCs w:val="21"/>
              </w:rPr>
            </w:pPr>
          </w:p>
        </w:tc>
        <w:tc>
          <w:tcPr>
            <w:tcW w:w="3969"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盈亏平衡点BEP（c）</w:t>
            </w:r>
          </w:p>
        </w:tc>
        <w:tc>
          <w:tcPr>
            <w:tcW w:w="1258"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w:t>
            </w:r>
          </w:p>
        </w:tc>
        <w:tc>
          <w:tcPr>
            <w:tcW w:w="1462" w:type="dxa"/>
            <w:vAlign w:val="center"/>
          </w:tcPr>
          <w:p>
            <w:pPr>
              <w:spacing w:after="160"/>
              <w:jc w:val="center"/>
              <w:rPr>
                <w:rFonts w:ascii="宋体" w:hAnsi="宋体" w:eastAsia="宋体"/>
                <w:color w:val="000000" w:themeColor="text1"/>
                <w:sz w:val="21"/>
                <w:szCs w:val="21"/>
              </w:rPr>
            </w:pPr>
          </w:p>
        </w:tc>
        <w:tc>
          <w:tcPr>
            <w:tcW w:w="1531" w:type="dxa"/>
            <w:vAlign w:val="center"/>
          </w:tcPr>
          <w:p>
            <w:pPr>
              <w:spacing w:after="160"/>
              <w:jc w:val="center"/>
              <w:rPr>
                <w:rFonts w:ascii="宋体" w:hAnsi="宋体" w:eastAsia="宋体"/>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957" w:type="dxa"/>
            <w:vAlign w:val="center"/>
          </w:tcPr>
          <w:p>
            <w:pPr>
              <w:spacing w:after="160"/>
              <w:jc w:val="center"/>
              <w:rPr>
                <w:rFonts w:ascii="宋体" w:hAnsi="宋体" w:eastAsia="宋体"/>
                <w:color w:val="000000" w:themeColor="text1"/>
                <w:sz w:val="21"/>
                <w:szCs w:val="21"/>
              </w:rPr>
            </w:pPr>
          </w:p>
        </w:tc>
        <w:tc>
          <w:tcPr>
            <w:tcW w:w="3969"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盈亏平衡点BEP（销售收入）</w:t>
            </w:r>
          </w:p>
        </w:tc>
        <w:tc>
          <w:tcPr>
            <w:tcW w:w="1258"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万元</w:t>
            </w:r>
          </w:p>
        </w:tc>
        <w:tc>
          <w:tcPr>
            <w:tcW w:w="1462" w:type="dxa"/>
            <w:vAlign w:val="center"/>
          </w:tcPr>
          <w:p>
            <w:pPr>
              <w:spacing w:after="160"/>
              <w:jc w:val="center"/>
              <w:rPr>
                <w:rFonts w:ascii="宋体" w:hAnsi="宋体" w:eastAsia="宋体"/>
                <w:color w:val="000000" w:themeColor="text1"/>
                <w:sz w:val="21"/>
                <w:szCs w:val="21"/>
              </w:rPr>
            </w:pPr>
          </w:p>
        </w:tc>
        <w:tc>
          <w:tcPr>
            <w:tcW w:w="1531" w:type="dxa"/>
            <w:vAlign w:val="center"/>
          </w:tcPr>
          <w:p>
            <w:pPr>
              <w:spacing w:after="160"/>
              <w:jc w:val="center"/>
              <w:rPr>
                <w:rFonts w:ascii="宋体" w:hAnsi="宋体" w:eastAsia="宋体"/>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957"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十八</w:t>
            </w:r>
          </w:p>
        </w:tc>
        <w:tc>
          <w:tcPr>
            <w:tcW w:w="3969"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国民经济评价</w:t>
            </w:r>
          </w:p>
        </w:tc>
        <w:tc>
          <w:tcPr>
            <w:tcW w:w="1258" w:type="dxa"/>
            <w:vAlign w:val="center"/>
          </w:tcPr>
          <w:p>
            <w:pPr>
              <w:spacing w:after="160"/>
              <w:jc w:val="center"/>
              <w:rPr>
                <w:rFonts w:ascii="宋体" w:hAnsi="宋体" w:eastAsia="宋体"/>
                <w:color w:val="000000" w:themeColor="text1"/>
                <w:sz w:val="21"/>
                <w:szCs w:val="21"/>
              </w:rPr>
            </w:pPr>
          </w:p>
        </w:tc>
        <w:tc>
          <w:tcPr>
            <w:tcW w:w="1462" w:type="dxa"/>
            <w:vAlign w:val="center"/>
          </w:tcPr>
          <w:p>
            <w:pPr>
              <w:spacing w:after="160"/>
              <w:jc w:val="center"/>
              <w:rPr>
                <w:rFonts w:ascii="宋体" w:hAnsi="宋体" w:eastAsia="宋体"/>
                <w:color w:val="000000" w:themeColor="text1"/>
                <w:sz w:val="21"/>
                <w:szCs w:val="21"/>
              </w:rPr>
            </w:pPr>
          </w:p>
        </w:tc>
        <w:tc>
          <w:tcPr>
            <w:tcW w:w="1531" w:type="dxa"/>
            <w:vAlign w:val="center"/>
          </w:tcPr>
          <w:p>
            <w:pPr>
              <w:spacing w:after="160"/>
              <w:jc w:val="center"/>
              <w:rPr>
                <w:rFonts w:ascii="宋体" w:hAnsi="宋体" w:eastAsia="宋体"/>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957" w:type="dxa"/>
            <w:vAlign w:val="center"/>
          </w:tcPr>
          <w:p>
            <w:pPr>
              <w:spacing w:after="160"/>
              <w:jc w:val="center"/>
              <w:rPr>
                <w:rFonts w:ascii="宋体" w:hAnsi="宋体" w:eastAsia="宋体"/>
                <w:color w:val="000000" w:themeColor="text1"/>
                <w:sz w:val="21"/>
                <w:szCs w:val="21"/>
              </w:rPr>
            </w:pPr>
          </w:p>
        </w:tc>
        <w:tc>
          <w:tcPr>
            <w:tcW w:w="3969"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国民经济内部收益率</w:t>
            </w:r>
          </w:p>
        </w:tc>
        <w:tc>
          <w:tcPr>
            <w:tcW w:w="1258" w:type="dxa"/>
            <w:vAlign w:val="center"/>
          </w:tcPr>
          <w:p>
            <w:pPr>
              <w:spacing w:after="160"/>
              <w:jc w:val="center"/>
              <w:rPr>
                <w:rFonts w:ascii="宋体" w:hAnsi="宋体" w:eastAsia="宋体"/>
                <w:color w:val="000000" w:themeColor="text1"/>
                <w:sz w:val="21"/>
                <w:szCs w:val="21"/>
              </w:rPr>
            </w:pPr>
          </w:p>
        </w:tc>
        <w:tc>
          <w:tcPr>
            <w:tcW w:w="1462" w:type="dxa"/>
            <w:vAlign w:val="center"/>
          </w:tcPr>
          <w:p>
            <w:pPr>
              <w:spacing w:after="160"/>
              <w:jc w:val="center"/>
              <w:rPr>
                <w:rFonts w:ascii="宋体" w:hAnsi="宋体" w:eastAsia="宋体"/>
                <w:color w:val="000000" w:themeColor="text1"/>
                <w:sz w:val="21"/>
                <w:szCs w:val="21"/>
              </w:rPr>
            </w:pPr>
          </w:p>
        </w:tc>
        <w:tc>
          <w:tcPr>
            <w:tcW w:w="1531" w:type="dxa"/>
            <w:vAlign w:val="center"/>
          </w:tcPr>
          <w:p>
            <w:pPr>
              <w:spacing w:after="160"/>
              <w:jc w:val="center"/>
              <w:rPr>
                <w:rFonts w:ascii="宋体" w:hAnsi="宋体" w:eastAsia="宋体"/>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957" w:type="dxa"/>
            <w:vAlign w:val="center"/>
          </w:tcPr>
          <w:p>
            <w:pPr>
              <w:spacing w:after="160"/>
              <w:jc w:val="center"/>
              <w:rPr>
                <w:rFonts w:ascii="宋体" w:hAnsi="宋体" w:eastAsia="宋体"/>
                <w:color w:val="000000" w:themeColor="text1"/>
                <w:sz w:val="21"/>
                <w:szCs w:val="21"/>
              </w:rPr>
            </w:pPr>
          </w:p>
        </w:tc>
        <w:tc>
          <w:tcPr>
            <w:tcW w:w="3969"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经济净现值</w:t>
            </w:r>
          </w:p>
        </w:tc>
        <w:tc>
          <w:tcPr>
            <w:tcW w:w="1258" w:type="dxa"/>
            <w:vAlign w:val="center"/>
          </w:tcPr>
          <w:p>
            <w:pPr>
              <w:spacing w:after="160"/>
              <w:jc w:val="center"/>
              <w:rPr>
                <w:rFonts w:ascii="宋体" w:hAnsi="宋体" w:eastAsia="宋体"/>
                <w:color w:val="000000" w:themeColor="text1"/>
                <w:sz w:val="21"/>
                <w:szCs w:val="21"/>
              </w:rPr>
            </w:pPr>
            <w:r>
              <w:rPr>
                <w:rFonts w:ascii="宋体" w:hAnsi="宋体" w:eastAsia="宋体"/>
                <w:color w:val="000000" w:themeColor="text1"/>
                <w:sz w:val="21"/>
                <w:szCs w:val="21"/>
              </w:rPr>
              <w:t>万元</w:t>
            </w:r>
          </w:p>
        </w:tc>
        <w:tc>
          <w:tcPr>
            <w:tcW w:w="1462" w:type="dxa"/>
            <w:vAlign w:val="center"/>
          </w:tcPr>
          <w:p>
            <w:pPr>
              <w:spacing w:after="160"/>
              <w:jc w:val="center"/>
              <w:rPr>
                <w:rFonts w:ascii="宋体" w:hAnsi="宋体" w:eastAsia="宋体"/>
                <w:color w:val="000000" w:themeColor="text1"/>
                <w:sz w:val="21"/>
                <w:szCs w:val="21"/>
              </w:rPr>
            </w:pPr>
          </w:p>
        </w:tc>
        <w:tc>
          <w:tcPr>
            <w:tcW w:w="1531" w:type="dxa"/>
            <w:vAlign w:val="center"/>
          </w:tcPr>
          <w:p>
            <w:pPr>
              <w:spacing w:after="160"/>
              <w:jc w:val="center"/>
              <w:rPr>
                <w:rFonts w:ascii="宋体" w:hAnsi="宋体" w:eastAsia="宋体"/>
                <w:color w:val="000000" w:themeColor="text1"/>
                <w:sz w:val="21"/>
                <w:szCs w:val="21"/>
              </w:rPr>
            </w:pPr>
          </w:p>
        </w:tc>
      </w:tr>
    </w:tbl>
    <w:p>
      <w:pPr>
        <w:spacing w:after="160" w:line="360" w:lineRule="auto"/>
        <w:jc w:val="center"/>
        <w:rPr>
          <w:rFonts w:ascii="宋体" w:hAnsi="宋体" w:eastAsia="宋体"/>
          <w:color w:val="000000" w:themeColor="text1"/>
        </w:rPr>
      </w:pPr>
    </w:p>
    <w:p>
      <w:pPr>
        <w:spacing w:after="160" w:line="360" w:lineRule="auto"/>
        <w:jc w:val="right"/>
        <w:rPr>
          <w:rFonts w:ascii="宋体" w:hAnsi="宋体" w:eastAsia="宋体"/>
          <w:color w:val="000000" w:themeColor="text1"/>
        </w:rPr>
      </w:pPr>
    </w:p>
    <w:p>
      <w:pPr>
        <w:spacing w:after="160" w:line="360" w:lineRule="auto"/>
        <w:jc w:val="center"/>
        <w:rPr>
          <w:rFonts w:ascii="宋体" w:hAnsi="宋体" w:eastAsia="宋体"/>
          <w:color w:val="000000" w:themeColor="text1"/>
        </w:rPr>
      </w:pPr>
    </w:p>
    <w:p>
      <w:pPr>
        <w:spacing w:after="160" w:line="360" w:lineRule="auto"/>
        <w:jc w:val="center"/>
        <w:rPr>
          <w:rFonts w:ascii="宋体" w:hAnsi="宋体" w:eastAsia="宋体"/>
          <w:b/>
          <w:color w:val="000000" w:themeColor="text1"/>
        </w:rPr>
        <w:sectPr>
          <w:pgSz w:w="11906" w:h="16838"/>
          <w:pgMar w:top="1134" w:right="1134" w:bottom="1134" w:left="1701" w:header="567" w:footer="567" w:gutter="0"/>
          <w:cols w:space="720" w:num="1"/>
          <w:docGrid w:linePitch="312" w:charSpace="0"/>
        </w:sectPr>
      </w:pPr>
    </w:p>
    <w:p>
      <w:pPr>
        <w:spacing w:after="160" w:line="360" w:lineRule="auto"/>
        <w:rPr>
          <w:rFonts w:ascii="宋体" w:hAnsi="宋体" w:eastAsia="宋体"/>
          <w:color w:val="000000" w:themeColor="text1"/>
        </w:rPr>
      </w:pPr>
    </w:p>
    <w:p>
      <w:pPr>
        <w:spacing w:after="160" w:line="360" w:lineRule="auto"/>
        <w:rPr>
          <w:rFonts w:ascii="宋体" w:hAnsi="宋体" w:eastAsia="宋体"/>
          <w:b/>
          <w:color w:val="000000" w:themeColor="text1"/>
        </w:rPr>
      </w:pPr>
      <w:bookmarkStart w:id="214" w:name="_Toc29923"/>
    </w:p>
    <w:p>
      <w:pPr>
        <w:spacing w:after="160" w:line="360" w:lineRule="auto"/>
        <w:rPr>
          <w:rFonts w:ascii="宋体" w:hAnsi="宋体" w:eastAsia="宋体"/>
          <w:b/>
          <w:color w:val="000000" w:themeColor="text1"/>
        </w:rPr>
      </w:pPr>
    </w:p>
    <w:p>
      <w:pPr>
        <w:spacing w:after="160" w:line="360" w:lineRule="auto"/>
        <w:rPr>
          <w:rFonts w:ascii="宋体" w:hAnsi="宋体" w:eastAsia="宋体"/>
          <w:b/>
          <w:color w:val="000000" w:themeColor="text1"/>
        </w:rPr>
      </w:pPr>
    </w:p>
    <w:p>
      <w:pPr>
        <w:spacing w:after="160" w:line="360" w:lineRule="auto"/>
        <w:rPr>
          <w:rFonts w:ascii="宋体" w:hAnsi="宋体" w:eastAsia="宋体"/>
          <w:b/>
          <w:color w:val="000000" w:themeColor="text1"/>
        </w:rPr>
      </w:pPr>
    </w:p>
    <w:p>
      <w:pPr>
        <w:spacing w:after="160" w:line="360" w:lineRule="auto"/>
        <w:rPr>
          <w:rFonts w:ascii="宋体" w:hAnsi="宋体" w:eastAsia="宋体"/>
          <w:b/>
          <w:color w:val="000000" w:themeColor="text1"/>
        </w:rPr>
      </w:pPr>
    </w:p>
    <w:p>
      <w:pPr>
        <w:spacing w:after="160" w:line="360" w:lineRule="auto"/>
        <w:rPr>
          <w:rFonts w:ascii="宋体" w:hAnsi="宋体" w:eastAsia="宋体"/>
          <w:b/>
          <w:color w:val="000000" w:themeColor="text1"/>
        </w:rPr>
      </w:pPr>
    </w:p>
    <w:p>
      <w:pPr>
        <w:spacing w:after="160" w:line="360" w:lineRule="auto"/>
        <w:rPr>
          <w:rFonts w:ascii="宋体" w:hAnsi="宋体" w:eastAsia="宋体"/>
          <w:b/>
          <w:color w:val="000000" w:themeColor="text1"/>
        </w:rPr>
      </w:pPr>
    </w:p>
    <w:p>
      <w:pPr>
        <w:spacing w:after="160" w:line="360" w:lineRule="auto"/>
        <w:rPr>
          <w:rFonts w:ascii="宋体" w:hAnsi="宋体" w:eastAsia="宋体"/>
          <w:b/>
          <w:color w:val="000000" w:themeColor="text1"/>
        </w:rPr>
      </w:pPr>
    </w:p>
    <w:p>
      <w:pPr>
        <w:spacing w:after="160" w:line="360" w:lineRule="auto"/>
        <w:rPr>
          <w:rFonts w:ascii="宋体" w:hAnsi="宋体" w:eastAsia="宋体"/>
          <w:b/>
          <w:color w:val="000000" w:themeColor="text1"/>
        </w:rPr>
      </w:pPr>
    </w:p>
    <w:p>
      <w:pPr>
        <w:pStyle w:val="2"/>
        <w:spacing w:before="320" w:after="200" w:line="360" w:lineRule="auto"/>
        <w:rPr>
          <w:rFonts w:eastAsia="宋体"/>
          <w:color w:val="000000" w:themeColor="text1"/>
        </w:rPr>
      </w:pPr>
      <w:bookmarkStart w:id="215" w:name="_Toc29982"/>
      <w:bookmarkStart w:id="216" w:name="_Toc16173"/>
      <w:bookmarkStart w:id="217" w:name="_Toc17912"/>
      <w:bookmarkStart w:id="218" w:name="_Toc10598"/>
      <w:r>
        <w:rPr>
          <w:rFonts w:eastAsia="宋体"/>
          <w:color w:val="000000" w:themeColor="text1"/>
        </w:rPr>
        <w:t>第 三 卷</w:t>
      </w:r>
      <w:bookmarkEnd w:id="214"/>
      <w:bookmarkEnd w:id="215"/>
      <w:bookmarkEnd w:id="216"/>
      <w:bookmarkEnd w:id="217"/>
      <w:bookmarkEnd w:id="218"/>
    </w:p>
    <w:p>
      <w:pPr>
        <w:spacing w:before="320" w:after="200" w:line="360" w:lineRule="auto"/>
        <w:jc w:val="center"/>
        <w:outlineLvl w:val="0"/>
        <w:rPr>
          <w:rFonts w:ascii="宋体" w:hAnsi="宋体" w:eastAsia="宋体"/>
          <w:color w:val="000000" w:themeColor="text1"/>
        </w:rPr>
        <w:sectPr>
          <w:pgSz w:w="11906" w:h="16838"/>
          <w:pgMar w:top="1134" w:right="1134" w:bottom="1134" w:left="1701" w:header="567" w:footer="567" w:gutter="0"/>
          <w:cols w:space="720" w:num="1"/>
          <w:docGrid w:linePitch="312" w:charSpace="0"/>
        </w:sectPr>
      </w:pPr>
    </w:p>
    <w:p>
      <w:pPr>
        <w:pStyle w:val="27"/>
        <w:spacing w:before="320" w:after="200" w:line="360" w:lineRule="auto"/>
        <w:outlineLvl w:val="1"/>
        <w:rPr>
          <w:rFonts w:ascii="宋体" w:hAnsi="宋体" w:eastAsia="宋体"/>
          <w:color w:val="000000" w:themeColor="text1"/>
        </w:rPr>
      </w:pPr>
      <w:bookmarkStart w:id="219" w:name="_Toc25073"/>
      <w:bookmarkStart w:id="220" w:name="_Toc1648"/>
      <w:bookmarkStart w:id="221" w:name="_Toc11509"/>
      <w:bookmarkStart w:id="222" w:name="_Toc3185"/>
      <w:bookmarkStart w:id="223" w:name="_Toc30002"/>
      <w:r>
        <w:rPr>
          <w:rFonts w:ascii="宋体" w:hAnsi="宋体" w:eastAsia="宋体"/>
          <w:color w:val="000000" w:themeColor="text1"/>
        </w:rPr>
        <w:t>第六章 技术及建设方案编制要点</w:t>
      </w:r>
      <w:bookmarkEnd w:id="219"/>
      <w:bookmarkEnd w:id="220"/>
      <w:bookmarkEnd w:id="221"/>
      <w:bookmarkEnd w:id="222"/>
      <w:bookmarkEnd w:id="223"/>
    </w:p>
    <w:p>
      <w:pPr>
        <w:spacing w:after="160" w:line="360" w:lineRule="auto"/>
        <w:ind w:firstLine="480"/>
        <w:jc w:val="left"/>
        <w:rPr>
          <w:rFonts w:ascii="宋体" w:hAnsi="宋体" w:eastAsia="宋体"/>
          <w:color w:val="000000" w:themeColor="text1"/>
        </w:rPr>
      </w:pPr>
      <w:bookmarkStart w:id="224" w:name="EptNR_技术标准和要求"/>
      <w:bookmarkEnd w:id="224"/>
      <w:r>
        <w:rPr>
          <w:rFonts w:ascii="宋体" w:hAnsi="宋体" w:eastAsia="宋体"/>
          <w:color w:val="000000" w:themeColor="text1"/>
        </w:rPr>
        <w:t>投标人编制的项目技术及建设方案（包括技术方案、设备方案和工程方案）应遵循以下基本要点和要求。本要求未涉及或未规定的内容，但为国家有关技术标准、技术规范规定或项目功能所需，投标人亦应予以考虑和说明。</w:t>
      </w:r>
    </w:p>
    <w:p>
      <w:pPr>
        <w:spacing w:after="160" w:line="360" w:lineRule="auto"/>
        <w:rPr>
          <w:rFonts w:ascii="宋体" w:hAnsi="宋体" w:eastAsia="宋体"/>
          <w:color w:val="000000" w:themeColor="text1"/>
        </w:rPr>
      </w:pPr>
      <w:r>
        <w:rPr>
          <w:rFonts w:ascii="宋体" w:hAnsi="宋体" w:eastAsia="宋体"/>
          <w:color w:val="000000" w:themeColor="text1"/>
        </w:rPr>
        <w:t>一、总体技术要求</w:t>
      </w:r>
    </w:p>
    <w:p>
      <w:pPr>
        <w:spacing w:after="160" w:line="360" w:lineRule="auto"/>
        <w:rPr>
          <w:rFonts w:ascii="宋体" w:hAnsi="宋体" w:eastAsia="宋体"/>
          <w:color w:val="000000" w:themeColor="text1"/>
        </w:rPr>
      </w:pPr>
      <w:bookmarkStart w:id="225" w:name="_Toc172102125"/>
      <w:r>
        <w:rPr>
          <w:rFonts w:ascii="宋体" w:hAnsi="宋体" w:eastAsia="宋体"/>
          <w:color w:val="000000" w:themeColor="text1"/>
        </w:rPr>
        <w:t>1.1</w:t>
      </w:r>
      <w:bookmarkEnd w:id="225"/>
      <w:r>
        <w:rPr>
          <w:rFonts w:ascii="宋体" w:hAnsi="宋体" w:eastAsia="宋体"/>
          <w:color w:val="000000" w:themeColor="text1"/>
        </w:rPr>
        <w:t>基本要求</w:t>
      </w:r>
    </w:p>
    <w:p>
      <w:pPr>
        <w:spacing w:after="160" w:line="360" w:lineRule="auto"/>
        <w:ind w:firstLine="480"/>
        <w:rPr>
          <w:rFonts w:ascii="宋体" w:hAnsi="宋体" w:eastAsia="宋体"/>
          <w:color w:val="000000" w:themeColor="text1"/>
        </w:rPr>
      </w:pPr>
      <w:r>
        <w:rPr>
          <w:rFonts w:ascii="宋体" w:hAnsi="宋体" w:eastAsia="宋体"/>
          <w:color w:val="000000" w:themeColor="text1"/>
        </w:rPr>
        <w:t>确保项目工程建设质量与项目运行的安全、可靠，满足国家有关技术标准和规范的各项要求。</w:t>
      </w:r>
    </w:p>
    <w:p>
      <w:pPr>
        <w:spacing w:after="160" w:line="360" w:lineRule="auto"/>
        <w:rPr>
          <w:rFonts w:ascii="宋体" w:hAnsi="宋体" w:eastAsia="宋体"/>
          <w:color w:val="000000" w:themeColor="text1"/>
        </w:rPr>
      </w:pPr>
      <w:bookmarkStart w:id="226" w:name="_Toc172102126"/>
      <w:r>
        <w:rPr>
          <w:rFonts w:ascii="宋体" w:hAnsi="宋体" w:eastAsia="宋体"/>
          <w:color w:val="000000" w:themeColor="text1"/>
        </w:rPr>
        <w:t>1.2</w:t>
      </w:r>
      <w:bookmarkEnd w:id="226"/>
      <w:r>
        <w:rPr>
          <w:rFonts w:ascii="宋体" w:hAnsi="宋体" w:eastAsia="宋体"/>
          <w:color w:val="000000" w:themeColor="text1"/>
        </w:rPr>
        <w:t>主要设计依据</w:t>
      </w:r>
    </w:p>
    <w:p>
      <w:pPr>
        <w:spacing w:after="160" w:line="360" w:lineRule="auto"/>
        <w:ind w:firstLine="480"/>
        <w:rPr>
          <w:rFonts w:ascii="宋体" w:hAnsi="宋体" w:eastAsia="宋体"/>
          <w:color w:val="000000" w:themeColor="text1"/>
        </w:rPr>
      </w:pPr>
      <w:r>
        <w:rPr>
          <w:rFonts w:ascii="宋体" w:hAnsi="宋体" w:eastAsia="宋体"/>
          <w:color w:val="000000" w:themeColor="text1"/>
        </w:rPr>
        <w:t>（1）项目场址资料和招标文件提供的项目基本条件。</w:t>
      </w:r>
    </w:p>
    <w:p>
      <w:pPr>
        <w:spacing w:after="160" w:line="360" w:lineRule="auto"/>
        <w:ind w:firstLine="480"/>
        <w:rPr>
          <w:rFonts w:ascii="宋体" w:hAnsi="宋体" w:eastAsia="宋体"/>
          <w:color w:val="000000" w:themeColor="text1"/>
        </w:rPr>
      </w:pPr>
      <w:r>
        <w:rPr>
          <w:rFonts w:ascii="宋体" w:hAnsi="宋体" w:eastAsia="宋体"/>
          <w:color w:val="000000" w:themeColor="text1"/>
        </w:rPr>
        <w:t>（2）鄢陵县2019年畜禽粪污资源化利用整县推进项目实施方案。</w:t>
      </w:r>
    </w:p>
    <w:p>
      <w:pPr>
        <w:spacing w:after="160" w:line="360" w:lineRule="auto"/>
        <w:rPr>
          <w:rFonts w:ascii="宋体" w:hAnsi="宋体" w:eastAsia="宋体"/>
          <w:color w:val="000000" w:themeColor="text1"/>
        </w:rPr>
      </w:pPr>
      <w:bookmarkStart w:id="227" w:name="_Toc172102127"/>
      <w:r>
        <w:rPr>
          <w:rFonts w:ascii="宋体" w:hAnsi="宋体" w:eastAsia="宋体"/>
          <w:color w:val="000000" w:themeColor="text1"/>
        </w:rPr>
        <w:t>1.3</w:t>
      </w:r>
      <w:bookmarkEnd w:id="227"/>
      <w:r>
        <w:rPr>
          <w:rFonts w:ascii="宋体" w:hAnsi="宋体" w:eastAsia="宋体"/>
          <w:color w:val="000000" w:themeColor="text1"/>
        </w:rPr>
        <w:t>技术标准和规范</w:t>
      </w:r>
    </w:p>
    <w:p>
      <w:pPr>
        <w:spacing w:after="160" w:line="360" w:lineRule="auto"/>
        <w:rPr>
          <w:rFonts w:ascii="宋体" w:hAnsi="宋体" w:eastAsia="宋体"/>
          <w:color w:val="000000" w:themeColor="text1"/>
        </w:rPr>
      </w:pPr>
      <w:bookmarkStart w:id="228" w:name="_Toc172102128"/>
      <w:r>
        <w:rPr>
          <w:rFonts w:ascii="宋体" w:hAnsi="宋体" w:eastAsia="宋体"/>
          <w:color w:val="000000" w:themeColor="text1"/>
        </w:rPr>
        <w:t>1.4</w:t>
      </w:r>
      <w:bookmarkEnd w:id="228"/>
      <w:r>
        <w:rPr>
          <w:rFonts w:ascii="宋体" w:hAnsi="宋体" w:eastAsia="宋体"/>
          <w:color w:val="000000" w:themeColor="text1"/>
        </w:rPr>
        <w:t>技术方案的编制：需提供电子版；</w:t>
      </w:r>
    </w:p>
    <w:p>
      <w:pPr>
        <w:spacing w:after="160" w:line="360" w:lineRule="auto"/>
        <w:rPr>
          <w:rFonts w:ascii="宋体" w:hAnsi="宋体" w:eastAsia="宋体"/>
          <w:color w:val="000000" w:themeColor="text1"/>
        </w:rPr>
      </w:pPr>
      <w:bookmarkStart w:id="229" w:name="_Toc172102129"/>
      <w:r>
        <w:rPr>
          <w:rFonts w:ascii="宋体" w:hAnsi="宋体" w:eastAsia="宋体"/>
          <w:color w:val="000000" w:themeColor="text1"/>
        </w:rPr>
        <w:t>2</w:t>
      </w:r>
      <w:bookmarkEnd w:id="229"/>
      <w:r>
        <w:rPr>
          <w:rFonts w:ascii="宋体" w:hAnsi="宋体" w:eastAsia="宋体"/>
          <w:color w:val="000000" w:themeColor="text1"/>
        </w:rPr>
        <w:t>、工艺流程及设计参数</w:t>
      </w:r>
    </w:p>
    <w:p>
      <w:pPr>
        <w:spacing w:after="160" w:line="360" w:lineRule="auto"/>
        <w:rPr>
          <w:rFonts w:ascii="宋体" w:hAnsi="宋体" w:eastAsia="宋体"/>
          <w:color w:val="000000" w:themeColor="text1"/>
        </w:rPr>
      </w:pPr>
      <w:bookmarkStart w:id="230" w:name="_Toc172102130"/>
      <w:r>
        <w:rPr>
          <w:rFonts w:ascii="宋体" w:hAnsi="宋体" w:eastAsia="宋体"/>
          <w:color w:val="000000" w:themeColor="text1"/>
        </w:rPr>
        <w:t>3</w:t>
      </w:r>
      <w:bookmarkEnd w:id="230"/>
      <w:r>
        <w:rPr>
          <w:rFonts w:ascii="宋体" w:hAnsi="宋体" w:eastAsia="宋体"/>
          <w:color w:val="000000" w:themeColor="text1"/>
        </w:rPr>
        <w:t>、项目建设内容和方案</w:t>
      </w:r>
    </w:p>
    <w:p>
      <w:pPr>
        <w:spacing w:after="160" w:line="360" w:lineRule="auto"/>
        <w:rPr>
          <w:rFonts w:ascii="宋体" w:hAnsi="宋体" w:eastAsia="宋体"/>
          <w:color w:val="000000" w:themeColor="text1"/>
        </w:rPr>
      </w:pPr>
      <w:bookmarkStart w:id="231" w:name="_Toc172102131"/>
      <w:r>
        <w:rPr>
          <w:rFonts w:ascii="宋体" w:hAnsi="宋体" w:eastAsia="宋体"/>
          <w:color w:val="000000" w:themeColor="text1"/>
        </w:rPr>
        <w:t>4</w:t>
      </w:r>
      <w:bookmarkEnd w:id="231"/>
      <w:r>
        <w:rPr>
          <w:rFonts w:ascii="宋体" w:hAnsi="宋体" w:eastAsia="宋体"/>
          <w:color w:val="000000" w:themeColor="text1"/>
        </w:rPr>
        <w:t>、工程量及主要设备材料清单</w:t>
      </w:r>
    </w:p>
    <w:p>
      <w:pPr>
        <w:spacing w:after="160" w:line="360" w:lineRule="auto"/>
        <w:rPr>
          <w:rFonts w:ascii="宋体" w:hAnsi="宋体" w:eastAsia="宋体"/>
          <w:color w:val="000000" w:themeColor="text1"/>
        </w:rPr>
      </w:pPr>
      <w:bookmarkStart w:id="232" w:name="_Toc172102132"/>
      <w:r>
        <w:rPr>
          <w:rFonts w:ascii="宋体" w:hAnsi="宋体" w:eastAsia="宋体"/>
          <w:color w:val="000000" w:themeColor="text1"/>
        </w:rPr>
        <w:t>5</w:t>
      </w:r>
      <w:bookmarkEnd w:id="232"/>
      <w:r>
        <w:rPr>
          <w:rFonts w:ascii="宋体" w:hAnsi="宋体" w:eastAsia="宋体"/>
          <w:color w:val="000000" w:themeColor="text1"/>
        </w:rPr>
        <w:t>、工程实施</w:t>
      </w:r>
    </w:p>
    <w:p>
      <w:pPr>
        <w:spacing w:after="160" w:line="360" w:lineRule="auto"/>
        <w:rPr>
          <w:rFonts w:ascii="宋体" w:hAnsi="宋体" w:eastAsia="宋体"/>
          <w:color w:val="000000" w:themeColor="text1"/>
        </w:rPr>
      </w:pPr>
      <w:bookmarkStart w:id="233" w:name="_Toc172102133"/>
      <w:r>
        <w:rPr>
          <w:rFonts w:ascii="宋体" w:hAnsi="宋体" w:eastAsia="宋体"/>
          <w:color w:val="000000" w:themeColor="text1"/>
        </w:rPr>
        <w:t>5.1</w:t>
      </w:r>
      <w:bookmarkEnd w:id="233"/>
      <w:r>
        <w:rPr>
          <w:rFonts w:ascii="宋体" w:hAnsi="宋体" w:eastAsia="宋体"/>
          <w:color w:val="000000" w:themeColor="text1"/>
        </w:rPr>
        <w:t>工程建设进度计划</w:t>
      </w:r>
    </w:p>
    <w:p>
      <w:pPr>
        <w:spacing w:after="160" w:line="360" w:lineRule="auto"/>
        <w:ind w:firstLine="480"/>
        <w:rPr>
          <w:rFonts w:ascii="宋体" w:hAnsi="宋体" w:eastAsia="宋体"/>
          <w:color w:val="000000" w:themeColor="text1"/>
        </w:rPr>
      </w:pPr>
      <w:r>
        <w:rPr>
          <w:rFonts w:ascii="宋体" w:hAnsi="宋体" w:eastAsia="宋体"/>
          <w:color w:val="000000" w:themeColor="text1"/>
        </w:rPr>
        <w:t>投标人应根据项目《特许经营协议》中规定的建设进度要求，编制本项目的工程建设进度计划,并对工程招标方式、管理技术人员、管理制度以及质量保证与控制措施进行必要的说明。</w:t>
      </w:r>
    </w:p>
    <w:p>
      <w:pPr>
        <w:spacing w:after="160" w:line="360" w:lineRule="auto"/>
        <w:rPr>
          <w:rFonts w:ascii="宋体" w:hAnsi="宋体" w:eastAsia="宋体"/>
          <w:color w:val="000000" w:themeColor="text1"/>
        </w:rPr>
      </w:pPr>
      <w:bookmarkStart w:id="234" w:name="_Toc172102134"/>
      <w:r>
        <w:rPr>
          <w:rFonts w:ascii="宋体" w:hAnsi="宋体" w:eastAsia="宋体"/>
          <w:color w:val="000000" w:themeColor="text1"/>
        </w:rPr>
        <w:t xml:space="preserve">5.2 </w:t>
      </w:r>
      <w:bookmarkEnd w:id="234"/>
      <w:r>
        <w:rPr>
          <w:rFonts w:ascii="宋体" w:hAnsi="宋体" w:eastAsia="宋体"/>
          <w:color w:val="000000" w:themeColor="text1"/>
        </w:rPr>
        <w:t>调试与试运行</w:t>
      </w:r>
    </w:p>
    <w:p>
      <w:pPr>
        <w:spacing w:after="160" w:line="360" w:lineRule="auto"/>
        <w:ind w:firstLine="480"/>
        <w:rPr>
          <w:rFonts w:ascii="宋体" w:hAnsi="宋体" w:eastAsia="宋体"/>
          <w:color w:val="000000" w:themeColor="text1"/>
        </w:rPr>
      </w:pPr>
      <w:r>
        <w:rPr>
          <w:rFonts w:ascii="宋体" w:hAnsi="宋体" w:eastAsia="宋体"/>
          <w:color w:val="000000" w:themeColor="text1"/>
        </w:rPr>
        <w:t>投标人应编制调试大纲,简要说明调试目标、调试方法和步骤、调试周期以及调试的参数指标。</w:t>
      </w:r>
    </w:p>
    <w:p>
      <w:pPr>
        <w:spacing w:after="160" w:line="360" w:lineRule="auto"/>
        <w:rPr>
          <w:rFonts w:ascii="宋体" w:hAnsi="宋体" w:eastAsia="宋体"/>
          <w:color w:val="000000" w:themeColor="text1"/>
        </w:rPr>
      </w:pPr>
      <w:bookmarkStart w:id="235" w:name="_Toc172102135"/>
      <w:r>
        <w:rPr>
          <w:rFonts w:ascii="宋体" w:hAnsi="宋体" w:eastAsia="宋体"/>
          <w:color w:val="000000" w:themeColor="text1"/>
        </w:rPr>
        <w:t xml:space="preserve">6 </w:t>
      </w:r>
      <w:bookmarkEnd w:id="235"/>
      <w:r>
        <w:rPr>
          <w:rFonts w:ascii="宋体" w:hAnsi="宋体" w:eastAsia="宋体"/>
          <w:color w:val="000000" w:themeColor="text1"/>
        </w:rPr>
        <w:t>运营、维护方案</w:t>
      </w:r>
    </w:p>
    <w:p>
      <w:pPr>
        <w:spacing w:after="160" w:line="360" w:lineRule="auto"/>
        <w:rPr>
          <w:rFonts w:ascii="宋体" w:hAnsi="宋体" w:eastAsia="宋体"/>
          <w:color w:val="000000" w:themeColor="text1"/>
        </w:rPr>
      </w:pPr>
      <w:bookmarkStart w:id="236" w:name="_Toc172102136"/>
      <w:r>
        <w:rPr>
          <w:rFonts w:ascii="宋体" w:hAnsi="宋体" w:eastAsia="宋体"/>
          <w:color w:val="000000" w:themeColor="text1"/>
        </w:rPr>
        <w:t>6.1</w:t>
      </w:r>
      <w:bookmarkEnd w:id="236"/>
      <w:r>
        <w:rPr>
          <w:rFonts w:ascii="宋体" w:hAnsi="宋体" w:eastAsia="宋体"/>
          <w:color w:val="000000" w:themeColor="text1"/>
        </w:rPr>
        <w:t>运营和维护方案</w:t>
      </w:r>
    </w:p>
    <w:p>
      <w:pPr>
        <w:spacing w:after="160" w:line="360" w:lineRule="auto"/>
        <w:ind w:firstLine="480"/>
        <w:rPr>
          <w:rFonts w:ascii="宋体" w:hAnsi="宋体" w:eastAsia="宋体"/>
          <w:color w:val="000000" w:themeColor="text1"/>
        </w:rPr>
      </w:pPr>
      <w:r>
        <w:rPr>
          <w:rFonts w:ascii="宋体" w:hAnsi="宋体" w:eastAsia="宋体"/>
          <w:color w:val="000000" w:themeColor="text1"/>
        </w:rPr>
        <w:t>明确项目公司负责设施运营、管理、安全和维护的任务和责任，并包括以下基本内容：</w:t>
      </w:r>
    </w:p>
    <w:p>
      <w:pPr>
        <w:spacing w:after="160" w:line="360" w:lineRule="auto"/>
        <w:ind w:firstLine="480"/>
        <w:rPr>
          <w:rFonts w:ascii="宋体" w:hAnsi="宋体" w:eastAsia="宋体"/>
          <w:color w:val="000000" w:themeColor="text1"/>
        </w:rPr>
      </w:pPr>
      <w:r>
        <w:rPr>
          <w:rFonts w:ascii="宋体" w:hAnsi="宋体" w:eastAsia="宋体"/>
          <w:color w:val="000000" w:themeColor="text1"/>
        </w:rPr>
        <w:t>（1）项目公司组织机构与人员组成；</w:t>
      </w:r>
    </w:p>
    <w:p>
      <w:pPr>
        <w:spacing w:after="160" w:line="360" w:lineRule="auto"/>
        <w:ind w:firstLine="480"/>
        <w:rPr>
          <w:rFonts w:ascii="宋体" w:hAnsi="宋体" w:eastAsia="宋体"/>
          <w:color w:val="000000" w:themeColor="text1"/>
        </w:rPr>
      </w:pPr>
      <w:r>
        <w:rPr>
          <w:rFonts w:ascii="宋体" w:hAnsi="宋体" w:eastAsia="宋体"/>
          <w:color w:val="000000" w:themeColor="text1"/>
        </w:rPr>
        <w:t>（2）运营达到有关处置标准、安全标准、环境标准的保障措施和制度；</w:t>
      </w:r>
    </w:p>
    <w:p>
      <w:pPr>
        <w:spacing w:after="160" w:line="360" w:lineRule="auto"/>
        <w:ind w:firstLine="480"/>
        <w:rPr>
          <w:rFonts w:ascii="宋体" w:hAnsi="宋体" w:eastAsia="宋体"/>
          <w:color w:val="000000" w:themeColor="text1"/>
        </w:rPr>
      </w:pPr>
      <w:r>
        <w:rPr>
          <w:rFonts w:ascii="宋体" w:hAnsi="宋体" w:eastAsia="宋体"/>
          <w:color w:val="000000" w:themeColor="text1"/>
        </w:rPr>
        <w:t>（3）设备检修、维护以及维持运营的投资计划；</w:t>
      </w:r>
    </w:p>
    <w:p>
      <w:pPr>
        <w:spacing w:after="160" w:line="360" w:lineRule="auto"/>
        <w:ind w:firstLine="480"/>
        <w:rPr>
          <w:rFonts w:ascii="宋体" w:hAnsi="宋体" w:eastAsia="宋体"/>
          <w:color w:val="000000" w:themeColor="text1"/>
        </w:rPr>
      </w:pPr>
      <w:r>
        <w:rPr>
          <w:rFonts w:ascii="宋体" w:hAnsi="宋体" w:eastAsia="宋体"/>
          <w:color w:val="000000" w:themeColor="text1"/>
        </w:rPr>
        <w:t>（4）运营报告、财务报告、环境监测报告等提供制度。</w:t>
      </w:r>
    </w:p>
    <w:p>
      <w:pPr>
        <w:spacing w:after="160" w:line="360" w:lineRule="auto"/>
        <w:ind w:firstLine="480"/>
        <w:rPr>
          <w:rFonts w:ascii="宋体" w:hAnsi="宋体" w:eastAsia="宋体"/>
          <w:color w:val="000000" w:themeColor="text1"/>
        </w:rPr>
        <w:sectPr>
          <w:pgSz w:w="11906" w:h="16838"/>
          <w:pgMar w:top="1134" w:right="1134" w:bottom="1134" w:left="1701" w:header="567" w:footer="567" w:gutter="0"/>
          <w:cols w:space="720" w:num="1"/>
          <w:docGrid w:linePitch="312" w:charSpace="0"/>
        </w:sectPr>
      </w:pPr>
    </w:p>
    <w:p>
      <w:pPr>
        <w:spacing w:after="160" w:line="360" w:lineRule="auto"/>
        <w:rPr>
          <w:rFonts w:ascii="宋体" w:hAnsi="宋体" w:eastAsia="宋体"/>
          <w:color w:val="000000" w:themeColor="text1"/>
        </w:rPr>
      </w:pPr>
    </w:p>
    <w:p>
      <w:pPr>
        <w:spacing w:after="160" w:line="360" w:lineRule="auto"/>
        <w:rPr>
          <w:rFonts w:ascii="宋体" w:hAnsi="宋体" w:eastAsia="宋体"/>
          <w:color w:val="000000" w:themeColor="text1"/>
        </w:rPr>
      </w:pPr>
    </w:p>
    <w:p>
      <w:pPr>
        <w:spacing w:after="160" w:line="360" w:lineRule="auto"/>
        <w:rPr>
          <w:rFonts w:ascii="宋体" w:hAnsi="宋体" w:eastAsia="宋体"/>
          <w:color w:val="000000" w:themeColor="text1"/>
        </w:rPr>
      </w:pPr>
    </w:p>
    <w:p>
      <w:pPr>
        <w:spacing w:after="160" w:line="360" w:lineRule="auto"/>
        <w:rPr>
          <w:rFonts w:ascii="宋体" w:hAnsi="宋体" w:eastAsia="宋体"/>
          <w:color w:val="000000" w:themeColor="text1"/>
        </w:rPr>
      </w:pPr>
    </w:p>
    <w:p>
      <w:pPr>
        <w:pStyle w:val="29"/>
        <w:spacing w:after="120"/>
        <w:ind w:left="480"/>
        <w:jc w:val="both"/>
        <w:rPr>
          <w:rFonts w:ascii="宋体" w:hAnsi="宋体" w:eastAsia="宋体"/>
          <w:color w:val="000000" w:themeColor="text1"/>
          <w:sz w:val="21"/>
          <w:szCs w:val="21"/>
        </w:rPr>
      </w:pPr>
    </w:p>
    <w:p>
      <w:pPr>
        <w:spacing w:after="160" w:line="360" w:lineRule="auto"/>
        <w:jc w:val="center"/>
        <w:rPr>
          <w:rFonts w:ascii="宋体" w:hAnsi="宋体" w:eastAsia="宋体"/>
          <w:color w:val="000000" w:themeColor="text1"/>
        </w:rPr>
      </w:pPr>
      <w:bookmarkStart w:id="237" w:name="_Toc13166"/>
    </w:p>
    <w:p>
      <w:pPr>
        <w:spacing w:after="160" w:line="360" w:lineRule="auto"/>
        <w:jc w:val="center"/>
        <w:rPr>
          <w:rFonts w:ascii="宋体" w:hAnsi="宋体" w:eastAsia="宋体"/>
          <w:color w:val="000000" w:themeColor="text1"/>
        </w:rPr>
      </w:pPr>
    </w:p>
    <w:p>
      <w:pPr>
        <w:spacing w:after="160" w:line="360" w:lineRule="auto"/>
        <w:jc w:val="center"/>
        <w:rPr>
          <w:rFonts w:ascii="宋体" w:hAnsi="宋体" w:eastAsia="宋体"/>
          <w:color w:val="000000" w:themeColor="text1"/>
        </w:rPr>
      </w:pPr>
    </w:p>
    <w:p>
      <w:pPr>
        <w:spacing w:after="160" w:line="360" w:lineRule="auto"/>
        <w:jc w:val="center"/>
        <w:rPr>
          <w:rFonts w:ascii="宋体" w:hAnsi="宋体" w:eastAsia="宋体"/>
          <w:color w:val="000000" w:themeColor="text1"/>
        </w:rPr>
      </w:pPr>
    </w:p>
    <w:p>
      <w:pPr>
        <w:spacing w:after="160" w:line="360" w:lineRule="auto"/>
        <w:jc w:val="center"/>
        <w:rPr>
          <w:rFonts w:ascii="宋体" w:hAnsi="宋体" w:eastAsia="宋体"/>
          <w:color w:val="000000" w:themeColor="text1"/>
        </w:rPr>
      </w:pPr>
    </w:p>
    <w:p>
      <w:pPr>
        <w:spacing w:after="160" w:line="360" w:lineRule="auto"/>
        <w:jc w:val="center"/>
        <w:rPr>
          <w:rFonts w:ascii="宋体" w:hAnsi="宋体" w:eastAsia="宋体"/>
          <w:color w:val="000000" w:themeColor="text1"/>
        </w:rPr>
      </w:pPr>
    </w:p>
    <w:p>
      <w:pPr>
        <w:spacing w:after="160" w:line="360" w:lineRule="auto"/>
        <w:jc w:val="center"/>
        <w:rPr>
          <w:rFonts w:ascii="宋体" w:hAnsi="宋体" w:eastAsia="宋体"/>
          <w:color w:val="000000" w:themeColor="text1"/>
        </w:rPr>
      </w:pPr>
    </w:p>
    <w:p>
      <w:pPr>
        <w:pStyle w:val="2"/>
        <w:spacing w:before="320" w:after="200" w:line="360" w:lineRule="auto"/>
        <w:rPr>
          <w:rFonts w:eastAsia="宋体"/>
          <w:color w:val="000000" w:themeColor="text1"/>
        </w:rPr>
      </w:pPr>
      <w:bookmarkStart w:id="238" w:name="_Toc13116"/>
      <w:bookmarkStart w:id="239" w:name="_Toc20711"/>
      <w:bookmarkStart w:id="240" w:name="_Toc19664"/>
      <w:bookmarkStart w:id="241" w:name="_Toc21077"/>
      <w:r>
        <w:rPr>
          <w:rFonts w:eastAsia="宋体"/>
          <w:color w:val="000000" w:themeColor="text1"/>
        </w:rPr>
        <w:t>第 四 卷</w:t>
      </w:r>
      <w:bookmarkEnd w:id="237"/>
      <w:bookmarkEnd w:id="238"/>
      <w:bookmarkEnd w:id="239"/>
      <w:bookmarkEnd w:id="240"/>
      <w:bookmarkEnd w:id="241"/>
    </w:p>
    <w:p>
      <w:pPr>
        <w:spacing w:before="320" w:after="200" w:line="360" w:lineRule="auto"/>
        <w:jc w:val="center"/>
        <w:outlineLvl w:val="0"/>
        <w:rPr>
          <w:rFonts w:ascii="宋体" w:hAnsi="宋体" w:eastAsia="宋体"/>
          <w:color w:val="000000" w:themeColor="text1"/>
        </w:rPr>
        <w:sectPr>
          <w:pgSz w:w="11906" w:h="16838"/>
          <w:pgMar w:top="1134" w:right="1134" w:bottom="1134" w:left="1701" w:header="567" w:footer="567" w:gutter="0"/>
          <w:cols w:space="720" w:num="1"/>
          <w:docGrid w:linePitch="312" w:charSpace="0"/>
        </w:sectPr>
      </w:pPr>
    </w:p>
    <w:p>
      <w:pPr>
        <w:pStyle w:val="27"/>
        <w:spacing w:before="320" w:after="200" w:line="360" w:lineRule="auto"/>
        <w:outlineLvl w:val="1"/>
        <w:rPr>
          <w:rFonts w:ascii="宋体" w:hAnsi="宋体" w:eastAsia="宋体"/>
          <w:color w:val="000000" w:themeColor="text1"/>
        </w:rPr>
      </w:pPr>
      <w:bookmarkStart w:id="242" w:name="_Toc30384"/>
      <w:bookmarkStart w:id="243" w:name="_Toc1443"/>
      <w:bookmarkStart w:id="244" w:name="_Toc2989"/>
      <w:bookmarkStart w:id="245" w:name="_Toc11141"/>
      <w:bookmarkStart w:id="246" w:name="_Toc31895"/>
      <w:r>
        <w:rPr>
          <w:rFonts w:ascii="宋体" w:hAnsi="宋体" w:eastAsia="宋体"/>
          <w:color w:val="000000" w:themeColor="text1"/>
        </w:rPr>
        <w:t>第七章 投标文件格式</w:t>
      </w:r>
      <w:bookmarkEnd w:id="242"/>
      <w:bookmarkEnd w:id="243"/>
      <w:bookmarkEnd w:id="244"/>
      <w:bookmarkEnd w:id="245"/>
      <w:bookmarkEnd w:id="246"/>
    </w:p>
    <w:p>
      <w:pPr>
        <w:pStyle w:val="27"/>
        <w:spacing w:before="320" w:after="200" w:line="360" w:lineRule="auto"/>
        <w:outlineLvl w:val="1"/>
        <w:rPr>
          <w:rFonts w:ascii="宋体" w:hAnsi="宋体" w:eastAsia="宋体"/>
          <w:color w:val="000000" w:themeColor="text1"/>
        </w:rPr>
      </w:pPr>
      <w:bookmarkStart w:id="247" w:name="_Toc10075"/>
      <w:bookmarkStart w:id="248" w:name="_Toc1020"/>
      <w:bookmarkStart w:id="249" w:name="_Toc31181"/>
      <w:bookmarkStart w:id="250" w:name="_Toc20171"/>
      <w:bookmarkStart w:id="251" w:name="_Toc18715"/>
      <w:r>
        <w:rPr>
          <w:rFonts w:ascii="宋体" w:hAnsi="宋体" w:eastAsia="宋体"/>
          <w:color w:val="000000" w:themeColor="text1"/>
        </w:rPr>
        <w:t>商务部分</w:t>
      </w:r>
      <w:bookmarkEnd w:id="247"/>
      <w:bookmarkEnd w:id="248"/>
      <w:bookmarkEnd w:id="249"/>
      <w:bookmarkEnd w:id="250"/>
      <w:bookmarkEnd w:id="251"/>
    </w:p>
    <w:p>
      <w:pPr>
        <w:spacing w:after="160" w:line="360" w:lineRule="auto"/>
        <w:rPr>
          <w:rFonts w:ascii="宋体" w:hAnsi="宋体" w:eastAsia="宋体"/>
          <w:color w:val="000000" w:themeColor="text1"/>
        </w:rPr>
      </w:pPr>
    </w:p>
    <w:p>
      <w:pPr>
        <w:jc w:val="left"/>
        <w:rPr>
          <w:rFonts w:ascii="宋体" w:hAnsi="宋体" w:eastAsia="宋体"/>
          <w:color w:val="000000" w:themeColor="text1"/>
          <w:sz w:val="40"/>
          <w:szCs w:val="40"/>
        </w:rPr>
      </w:pPr>
      <w:r>
        <w:rPr>
          <w:rFonts w:ascii="宋体" w:hAnsi="宋体" w:eastAsia="宋体"/>
          <w:color w:val="000000" w:themeColor="text1"/>
          <w:sz w:val="40"/>
          <w:szCs w:val="40"/>
        </w:rPr>
        <w:br w:type="page"/>
      </w:r>
    </w:p>
    <w:p>
      <w:pPr>
        <w:spacing w:after="160" w:line="440" w:lineRule="exact"/>
        <w:jc w:val="right"/>
        <w:rPr>
          <w:rFonts w:ascii="宋体" w:hAnsi="宋体" w:eastAsia="宋体"/>
          <w:color w:val="000000" w:themeColor="text1"/>
          <w:sz w:val="40"/>
          <w:szCs w:val="40"/>
        </w:rPr>
      </w:pPr>
    </w:p>
    <w:p>
      <w:pPr>
        <w:spacing w:after="160" w:line="440" w:lineRule="exact"/>
        <w:rPr>
          <w:rFonts w:ascii="宋体" w:hAnsi="宋体" w:eastAsia="宋体"/>
          <w:color w:val="000000" w:themeColor="text1"/>
          <w:sz w:val="20"/>
          <w:szCs w:val="20"/>
        </w:rPr>
      </w:pPr>
    </w:p>
    <w:p>
      <w:pPr>
        <w:spacing w:after="160" w:line="360" w:lineRule="auto"/>
        <w:jc w:val="center"/>
        <w:rPr>
          <w:rFonts w:ascii="宋体" w:hAnsi="宋体" w:eastAsia="宋体"/>
          <w:color w:val="000000" w:themeColor="text1"/>
          <w:sz w:val="28"/>
          <w:szCs w:val="28"/>
        </w:rPr>
      </w:pPr>
      <w:r>
        <w:rPr>
          <w:rFonts w:ascii="宋体" w:hAnsi="宋体" w:eastAsia="宋体"/>
          <w:color w:val="000000" w:themeColor="text1"/>
          <w:sz w:val="28"/>
          <w:szCs w:val="28"/>
          <w:u w:val="single"/>
        </w:rPr>
        <w:t xml:space="preserve">                </w:t>
      </w:r>
      <w:r>
        <w:rPr>
          <w:rFonts w:ascii="宋体" w:hAnsi="宋体" w:eastAsia="宋体"/>
          <w:color w:val="000000" w:themeColor="text1"/>
          <w:sz w:val="28"/>
          <w:szCs w:val="28"/>
        </w:rPr>
        <w:t>（项目名称）</w:t>
      </w:r>
    </w:p>
    <w:p>
      <w:pPr>
        <w:spacing w:after="160" w:line="360" w:lineRule="auto"/>
        <w:rPr>
          <w:rFonts w:ascii="宋体" w:hAnsi="宋体" w:eastAsia="宋体"/>
          <w:color w:val="000000" w:themeColor="text1"/>
          <w:sz w:val="20"/>
          <w:szCs w:val="20"/>
        </w:rPr>
      </w:pPr>
    </w:p>
    <w:p>
      <w:pPr>
        <w:spacing w:after="160" w:line="360" w:lineRule="auto"/>
        <w:rPr>
          <w:rFonts w:ascii="宋体" w:hAnsi="宋体" w:eastAsia="宋体"/>
          <w:color w:val="000000" w:themeColor="text1"/>
          <w:sz w:val="20"/>
          <w:szCs w:val="20"/>
        </w:rPr>
      </w:pPr>
    </w:p>
    <w:p>
      <w:pPr>
        <w:spacing w:after="160" w:line="360" w:lineRule="auto"/>
        <w:jc w:val="center"/>
        <w:rPr>
          <w:rFonts w:ascii="宋体" w:hAnsi="宋体" w:eastAsia="宋体"/>
          <w:color w:val="000000" w:themeColor="text1"/>
          <w:sz w:val="44"/>
          <w:szCs w:val="44"/>
        </w:rPr>
      </w:pPr>
      <w:r>
        <w:rPr>
          <w:rFonts w:ascii="宋体" w:hAnsi="宋体" w:eastAsia="宋体"/>
          <w:color w:val="000000" w:themeColor="text1"/>
          <w:sz w:val="44"/>
          <w:szCs w:val="44"/>
        </w:rPr>
        <w:t>投  标  文  件</w:t>
      </w:r>
    </w:p>
    <w:p>
      <w:pPr>
        <w:spacing w:after="160" w:line="360" w:lineRule="auto"/>
        <w:jc w:val="center"/>
        <w:rPr>
          <w:rFonts w:ascii="宋体" w:hAnsi="宋体" w:eastAsia="宋体"/>
          <w:color w:val="000000" w:themeColor="text1"/>
          <w:sz w:val="44"/>
          <w:szCs w:val="44"/>
        </w:rPr>
      </w:pPr>
      <w:r>
        <w:rPr>
          <w:rFonts w:ascii="宋体" w:hAnsi="宋体" w:eastAsia="宋体"/>
          <w:color w:val="000000" w:themeColor="text1"/>
          <w:sz w:val="44"/>
          <w:szCs w:val="44"/>
        </w:rPr>
        <w:t>商务部分</w:t>
      </w:r>
    </w:p>
    <w:p>
      <w:pPr>
        <w:spacing w:after="160" w:line="360" w:lineRule="auto"/>
        <w:rPr>
          <w:rFonts w:ascii="宋体" w:hAnsi="宋体" w:eastAsia="宋体"/>
          <w:color w:val="000000" w:themeColor="text1"/>
          <w:sz w:val="28"/>
          <w:szCs w:val="28"/>
        </w:rPr>
      </w:pPr>
    </w:p>
    <w:p>
      <w:pPr>
        <w:spacing w:after="160" w:line="360" w:lineRule="auto"/>
        <w:rPr>
          <w:rFonts w:ascii="宋体" w:hAnsi="宋体" w:eastAsia="宋体"/>
          <w:color w:val="000000" w:themeColor="text1"/>
          <w:sz w:val="28"/>
          <w:szCs w:val="28"/>
        </w:rPr>
      </w:pPr>
    </w:p>
    <w:p>
      <w:pPr>
        <w:spacing w:after="160" w:line="360" w:lineRule="auto"/>
        <w:rPr>
          <w:rFonts w:ascii="宋体" w:hAnsi="宋体" w:eastAsia="宋体"/>
          <w:color w:val="000000" w:themeColor="text1"/>
          <w:sz w:val="28"/>
          <w:szCs w:val="28"/>
        </w:rPr>
      </w:pPr>
    </w:p>
    <w:p>
      <w:pPr>
        <w:spacing w:after="160" w:line="360" w:lineRule="auto"/>
        <w:rPr>
          <w:rFonts w:ascii="宋体" w:hAnsi="宋体" w:eastAsia="宋体"/>
          <w:color w:val="000000" w:themeColor="text1"/>
          <w:sz w:val="28"/>
          <w:szCs w:val="28"/>
        </w:rPr>
      </w:pPr>
    </w:p>
    <w:p>
      <w:pPr>
        <w:spacing w:after="160" w:line="480" w:lineRule="auto"/>
        <w:jc w:val="center"/>
        <w:rPr>
          <w:rFonts w:ascii="宋体" w:hAnsi="宋体" w:eastAsia="宋体"/>
          <w:color w:val="000000" w:themeColor="text1"/>
          <w:sz w:val="28"/>
          <w:szCs w:val="28"/>
          <w:u w:val="single"/>
        </w:rPr>
      </w:pPr>
      <w:r>
        <w:rPr>
          <w:rFonts w:ascii="宋体" w:hAnsi="宋体" w:eastAsia="宋体"/>
          <w:color w:val="000000" w:themeColor="text1"/>
          <w:sz w:val="28"/>
          <w:szCs w:val="28"/>
        </w:rPr>
        <w:t>投标人：</w:t>
      </w:r>
      <w:r>
        <w:rPr>
          <w:rFonts w:ascii="宋体" w:hAnsi="宋体" w:eastAsia="宋体"/>
          <w:color w:val="000000" w:themeColor="text1"/>
          <w:sz w:val="28"/>
          <w:szCs w:val="28"/>
          <w:u w:val="single"/>
        </w:rPr>
        <w:t xml:space="preserve">                              </w:t>
      </w:r>
      <w:r>
        <w:rPr>
          <w:rFonts w:ascii="宋体" w:hAnsi="宋体" w:eastAsia="宋体"/>
          <w:color w:val="000000" w:themeColor="text1"/>
          <w:sz w:val="28"/>
          <w:szCs w:val="28"/>
        </w:rPr>
        <w:t>（盖单位章）</w:t>
      </w:r>
    </w:p>
    <w:p>
      <w:pPr>
        <w:spacing w:after="160" w:line="480" w:lineRule="auto"/>
        <w:jc w:val="center"/>
        <w:rPr>
          <w:rFonts w:ascii="宋体" w:hAnsi="宋体" w:eastAsia="宋体"/>
          <w:color w:val="000000" w:themeColor="text1"/>
          <w:sz w:val="28"/>
          <w:szCs w:val="28"/>
        </w:rPr>
      </w:pPr>
      <w:r>
        <w:rPr>
          <w:rFonts w:ascii="宋体" w:hAnsi="宋体" w:eastAsia="宋体"/>
          <w:color w:val="000000" w:themeColor="text1"/>
          <w:sz w:val="28"/>
          <w:szCs w:val="28"/>
        </w:rPr>
        <w:t>法定代表人或其委托代理人：</w:t>
      </w:r>
      <w:r>
        <w:rPr>
          <w:rFonts w:ascii="宋体" w:hAnsi="宋体" w:eastAsia="宋体"/>
          <w:color w:val="000000" w:themeColor="text1"/>
          <w:sz w:val="28"/>
          <w:szCs w:val="28"/>
          <w:u w:val="single"/>
        </w:rPr>
        <w:t xml:space="preserve">                </w:t>
      </w:r>
      <w:r>
        <w:rPr>
          <w:rFonts w:ascii="宋体" w:hAnsi="宋体" w:eastAsia="宋体"/>
          <w:color w:val="000000" w:themeColor="text1"/>
          <w:sz w:val="28"/>
          <w:szCs w:val="28"/>
        </w:rPr>
        <w:t>（签字）</w:t>
      </w:r>
    </w:p>
    <w:p>
      <w:pPr>
        <w:spacing w:after="160" w:line="480" w:lineRule="auto"/>
        <w:jc w:val="center"/>
        <w:rPr>
          <w:rFonts w:ascii="宋体" w:hAnsi="宋体" w:eastAsia="宋体"/>
          <w:color w:val="000000" w:themeColor="text1"/>
          <w:sz w:val="28"/>
          <w:szCs w:val="28"/>
        </w:rPr>
      </w:pPr>
      <w:r>
        <w:rPr>
          <w:rFonts w:ascii="宋体" w:hAnsi="宋体" w:eastAsia="宋体"/>
          <w:color w:val="000000" w:themeColor="text1"/>
          <w:sz w:val="28"/>
          <w:szCs w:val="28"/>
          <w:u w:val="single"/>
        </w:rPr>
        <w:t xml:space="preserve">        </w:t>
      </w:r>
      <w:r>
        <w:rPr>
          <w:rFonts w:ascii="宋体" w:hAnsi="宋体" w:eastAsia="宋体"/>
          <w:color w:val="000000" w:themeColor="text1"/>
          <w:sz w:val="28"/>
          <w:szCs w:val="28"/>
        </w:rPr>
        <w:t>年</w:t>
      </w:r>
      <w:r>
        <w:rPr>
          <w:rFonts w:ascii="宋体" w:hAnsi="宋体" w:eastAsia="宋体"/>
          <w:color w:val="000000" w:themeColor="text1"/>
          <w:sz w:val="28"/>
          <w:szCs w:val="28"/>
          <w:u w:val="single"/>
        </w:rPr>
        <w:t xml:space="preserve">        </w:t>
      </w:r>
      <w:r>
        <w:rPr>
          <w:rFonts w:ascii="宋体" w:hAnsi="宋体" w:eastAsia="宋体"/>
          <w:color w:val="000000" w:themeColor="text1"/>
          <w:sz w:val="28"/>
          <w:szCs w:val="28"/>
        </w:rPr>
        <w:t>月</w:t>
      </w:r>
      <w:r>
        <w:rPr>
          <w:rFonts w:ascii="宋体" w:hAnsi="宋体" w:eastAsia="宋体"/>
          <w:color w:val="000000" w:themeColor="text1"/>
          <w:sz w:val="28"/>
          <w:szCs w:val="28"/>
          <w:u w:val="single"/>
        </w:rPr>
        <w:t xml:space="preserve">        </w:t>
      </w:r>
      <w:r>
        <w:rPr>
          <w:rFonts w:ascii="宋体" w:hAnsi="宋体" w:eastAsia="宋体"/>
          <w:color w:val="000000" w:themeColor="text1"/>
          <w:sz w:val="28"/>
          <w:szCs w:val="28"/>
        </w:rPr>
        <w:t>日</w:t>
      </w:r>
    </w:p>
    <w:p>
      <w:pPr>
        <w:spacing w:after="160" w:line="440" w:lineRule="exact"/>
        <w:rPr>
          <w:rFonts w:ascii="宋体" w:hAnsi="宋体" w:eastAsia="宋体"/>
          <w:color w:val="000000" w:themeColor="text1"/>
          <w:sz w:val="20"/>
          <w:szCs w:val="20"/>
        </w:rPr>
      </w:pPr>
    </w:p>
    <w:p>
      <w:pPr>
        <w:spacing w:after="160" w:line="360" w:lineRule="auto"/>
        <w:jc w:val="center"/>
        <w:rPr>
          <w:rFonts w:ascii="宋体" w:hAnsi="宋体" w:eastAsia="宋体"/>
          <w:b/>
          <w:color w:val="000000" w:themeColor="text1"/>
        </w:rPr>
      </w:pPr>
      <w:r>
        <w:rPr>
          <w:color w:val="000000" w:themeColor="text1"/>
        </w:rPr>
        <w:br w:type="page"/>
      </w:r>
      <w:bookmarkStart w:id="252" w:name="_Toc144974856"/>
      <w:bookmarkStart w:id="253" w:name="_Toc179632807"/>
      <w:bookmarkStart w:id="254" w:name="_Toc275956216"/>
      <w:bookmarkStart w:id="255" w:name="_Toc152045787"/>
      <w:bookmarkStart w:id="256" w:name="_Toc152042576"/>
      <w:bookmarkStart w:id="257" w:name="_Toc241459814"/>
      <w:bookmarkStart w:id="258" w:name="_Toc241484766"/>
      <w:r>
        <w:rPr>
          <w:rFonts w:ascii="宋体" w:hAnsi="宋体" w:eastAsia="宋体"/>
          <w:b/>
          <w:color w:val="000000" w:themeColor="text1"/>
          <w:sz w:val="32"/>
          <w:szCs w:val="32"/>
        </w:rPr>
        <w:t>目    录</w:t>
      </w:r>
      <w:bookmarkEnd w:id="252"/>
      <w:bookmarkEnd w:id="253"/>
      <w:bookmarkEnd w:id="254"/>
      <w:bookmarkEnd w:id="255"/>
      <w:bookmarkEnd w:id="256"/>
      <w:bookmarkEnd w:id="257"/>
      <w:bookmarkEnd w:id="258"/>
    </w:p>
    <w:p>
      <w:pPr>
        <w:spacing w:after="160" w:line="540" w:lineRule="exact"/>
        <w:rPr>
          <w:rFonts w:ascii="宋体" w:hAnsi="宋体" w:eastAsia="宋体"/>
          <w:color w:val="000000" w:themeColor="text1"/>
        </w:rPr>
      </w:pPr>
    </w:p>
    <w:p>
      <w:pPr>
        <w:spacing w:after="160" w:line="360" w:lineRule="auto"/>
        <w:ind w:firstLine="480"/>
        <w:rPr>
          <w:rFonts w:ascii="宋体" w:hAnsi="宋体" w:eastAsia="宋体"/>
          <w:color w:val="000000" w:themeColor="text1"/>
        </w:rPr>
      </w:pPr>
      <w:r>
        <w:rPr>
          <w:rFonts w:hint="eastAsia" w:ascii="宋体" w:hAnsi="宋体" w:eastAsia="宋体"/>
          <w:color w:val="000000" w:themeColor="text1"/>
        </w:rPr>
        <w:t>一、</w:t>
      </w:r>
      <w:r>
        <w:rPr>
          <w:rFonts w:ascii="宋体" w:hAnsi="宋体" w:eastAsia="宋体"/>
          <w:color w:val="000000" w:themeColor="text1"/>
        </w:rPr>
        <w:t>投标函</w:t>
      </w:r>
      <w:r>
        <w:rPr>
          <w:rFonts w:hint="eastAsia" w:ascii="宋体" w:hAnsi="宋体" w:eastAsia="宋体"/>
          <w:color w:val="000000" w:themeColor="text1"/>
        </w:rPr>
        <w:t>及投标函附录</w:t>
      </w:r>
    </w:p>
    <w:p>
      <w:pPr>
        <w:spacing w:after="160" w:line="360" w:lineRule="auto"/>
        <w:ind w:firstLine="480"/>
        <w:rPr>
          <w:rFonts w:ascii="宋体" w:hAnsi="宋体" w:eastAsia="宋体"/>
          <w:color w:val="000000" w:themeColor="text1"/>
        </w:rPr>
      </w:pPr>
      <w:r>
        <w:rPr>
          <w:rFonts w:hint="eastAsia" w:ascii="宋体" w:hAnsi="宋体" w:eastAsia="宋体"/>
          <w:color w:val="000000" w:themeColor="text1"/>
        </w:rPr>
        <w:t>二、</w:t>
      </w:r>
      <w:r>
        <w:rPr>
          <w:rFonts w:ascii="宋体" w:hAnsi="宋体" w:eastAsia="宋体"/>
          <w:color w:val="000000" w:themeColor="text1"/>
        </w:rPr>
        <w:t>法定代表人身份证明或法人代表授权书</w:t>
      </w:r>
    </w:p>
    <w:p>
      <w:pPr>
        <w:spacing w:after="160" w:line="360" w:lineRule="auto"/>
        <w:ind w:firstLine="480"/>
        <w:rPr>
          <w:rFonts w:ascii="宋体" w:hAnsi="宋体" w:eastAsia="宋体"/>
          <w:color w:val="000000" w:themeColor="text1"/>
        </w:rPr>
      </w:pPr>
      <w:r>
        <w:rPr>
          <w:rFonts w:hint="eastAsia" w:ascii="宋体" w:hAnsi="宋体" w:eastAsia="宋体"/>
          <w:color w:val="000000" w:themeColor="text1"/>
        </w:rPr>
        <w:t>三、</w:t>
      </w:r>
      <w:r>
        <w:rPr>
          <w:rFonts w:ascii="宋体" w:hAnsi="宋体" w:eastAsia="宋体"/>
          <w:color w:val="000000" w:themeColor="text1"/>
        </w:rPr>
        <w:t>投标保证金</w:t>
      </w:r>
    </w:p>
    <w:p>
      <w:pPr>
        <w:spacing w:after="160" w:line="360" w:lineRule="auto"/>
        <w:ind w:firstLine="480"/>
        <w:rPr>
          <w:rFonts w:ascii="宋体" w:hAnsi="宋体" w:eastAsia="宋体"/>
          <w:color w:val="000000" w:themeColor="text1"/>
        </w:rPr>
      </w:pPr>
      <w:r>
        <w:rPr>
          <w:rFonts w:hint="eastAsia" w:ascii="宋体" w:hAnsi="宋体" w:eastAsia="宋体"/>
          <w:color w:val="000000" w:themeColor="text1"/>
        </w:rPr>
        <w:t>四、</w:t>
      </w:r>
      <w:r>
        <w:rPr>
          <w:rFonts w:ascii="宋体" w:hAnsi="宋体" w:eastAsia="宋体"/>
          <w:color w:val="000000" w:themeColor="text1"/>
        </w:rPr>
        <w:t>《特许经营协议》的响应意见</w:t>
      </w:r>
    </w:p>
    <w:p>
      <w:pPr>
        <w:spacing w:after="160" w:line="360" w:lineRule="auto"/>
        <w:ind w:firstLine="480"/>
        <w:rPr>
          <w:rFonts w:ascii="宋体" w:hAnsi="宋体" w:eastAsia="宋体"/>
          <w:color w:val="000000" w:themeColor="text1"/>
        </w:rPr>
      </w:pPr>
      <w:r>
        <w:rPr>
          <w:rFonts w:hint="eastAsia" w:ascii="宋体" w:hAnsi="宋体" w:eastAsia="宋体"/>
          <w:color w:val="000000" w:themeColor="text1"/>
        </w:rPr>
        <w:t>五、</w:t>
      </w:r>
      <w:r>
        <w:rPr>
          <w:rFonts w:ascii="宋体" w:hAnsi="宋体" w:eastAsia="宋体"/>
          <w:color w:val="000000" w:themeColor="text1"/>
        </w:rPr>
        <w:t>投标人基本情况表</w:t>
      </w:r>
    </w:p>
    <w:p>
      <w:pPr>
        <w:spacing w:after="160" w:line="360" w:lineRule="auto"/>
        <w:ind w:firstLine="480"/>
        <w:rPr>
          <w:rFonts w:ascii="宋体" w:hAnsi="宋体" w:eastAsia="宋体"/>
          <w:color w:val="000000" w:themeColor="text1"/>
        </w:rPr>
      </w:pPr>
      <w:r>
        <w:rPr>
          <w:rFonts w:hint="eastAsia" w:ascii="宋体" w:hAnsi="宋体" w:eastAsia="宋体"/>
          <w:color w:val="000000" w:themeColor="text1"/>
        </w:rPr>
        <w:t>六、</w:t>
      </w:r>
      <w:r>
        <w:rPr>
          <w:rFonts w:ascii="宋体" w:hAnsi="宋体" w:eastAsia="宋体"/>
          <w:color w:val="000000" w:themeColor="text1"/>
        </w:rPr>
        <w:t>财务状况表</w:t>
      </w:r>
    </w:p>
    <w:p>
      <w:pPr>
        <w:spacing w:after="160" w:line="360" w:lineRule="auto"/>
        <w:ind w:firstLine="480"/>
        <w:rPr>
          <w:rFonts w:ascii="宋体" w:hAnsi="宋体" w:eastAsia="宋体"/>
          <w:color w:val="000000" w:themeColor="text1"/>
        </w:rPr>
      </w:pPr>
      <w:r>
        <w:rPr>
          <w:rFonts w:hint="eastAsia" w:ascii="宋体" w:hAnsi="宋体" w:eastAsia="宋体"/>
          <w:color w:val="000000" w:themeColor="text1"/>
        </w:rPr>
        <w:t>七、</w:t>
      </w:r>
      <w:r>
        <w:rPr>
          <w:rFonts w:ascii="宋体" w:hAnsi="宋体" w:eastAsia="宋体"/>
          <w:color w:val="000000" w:themeColor="text1"/>
        </w:rPr>
        <w:t>项目技术人员简介</w:t>
      </w:r>
    </w:p>
    <w:p>
      <w:pPr>
        <w:spacing w:after="160" w:line="360" w:lineRule="auto"/>
        <w:ind w:firstLine="480"/>
        <w:rPr>
          <w:rFonts w:ascii="宋体" w:hAnsi="宋体" w:eastAsia="宋体"/>
          <w:color w:val="000000" w:themeColor="text1"/>
        </w:rPr>
      </w:pPr>
      <w:r>
        <w:rPr>
          <w:rFonts w:hint="eastAsia" w:ascii="宋体" w:hAnsi="宋体" w:eastAsia="宋体"/>
          <w:color w:val="000000" w:themeColor="text1"/>
        </w:rPr>
        <w:t>八、</w:t>
      </w:r>
      <w:r>
        <w:rPr>
          <w:rFonts w:ascii="宋体" w:hAnsi="宋体" w:eastAsia="宋体"/>
          <w:color w:val="000000" w:themeColor="text1"/>
        </w:rPr>
        <w:t>类似项目业绩</w:t>
      </w:r>
    </w:p>
    <w:p>
      <w:pPr>
        <w:spacing w:after="160" w:line="360" w:lineRule="auto"/>
        <w:ind w:firstLine="480"/>
        <w:rPr>
          <w:rFonts w:ascii="宋体" w:hAnsi="宋体" w:eastAsia="宋体"/>
          <w:color w:val="000000" w:themeColor="text1"/>
        </w:rPr>
      </w:pPr>
      <w:r>
        <w:rPr>
          <w:rFonts w:hint="eastAsia" w:ascii="宋体" w:hAnsi="宋体" w:eastAsia="宋体"/>
          <w:color w:val="000000" w:themeColor="text1"/>
        </w:rPr>
        <w:t>九、</w:t>
      </w:r>
      <w:r>
        <w:rPr>
          <w:rFonts w:ascii="宋体" w:hAnsi="宋体" w:eastAsia="宋体"/>
          <w:color w:val="000000" w:themeColor="text1"/>
        </w:rPr>
        <w:t>荣誉证书、体系认证证书</w:t>
      </w:r>
    </w:p>
    <w:p>
      <w:pPr>
        <w:spacing w:after="160" w:line="360" w:lineRule="auto"/>
        <w:ind w:firstLine="480"/>
        <w:rPr>
          <w:rFonts w:ascii="宋体" w:hAnsi="宋体" w:eastAsia="宋体"/>
          <w:color w:val="000000" w:themeColor="text1"/>
        </w:rPr>
      </w:pPr>
      <w:r>
        <w:rPr>
          <w:rFonts w:hint="eastAsia" w:ascii="宋体" w:hAnsi="宋体" w:eastAsia="宋体"/>
          <w:color w:val="000000" w:themeColor="text1"/>
        </w:rPr>
        <w:t>十、</w:t>
      </w:r>
      <w:r>
        <w:rPr>
          <w:rFonts w:ascii="宋体" w:hAnsi="宋体" w:eastAsia="宋体"/>
          <w:color w:val="000000" w:themeColor="text1"/>
        </w:rPr>
        <w:t>其他材料</w:t>
      </w:r>
    </w:p>
    <w:p>
      <w:pPr>
        <w:spacing w:after="160" w:line="360" w:lineRule="auto"/>
        <w:ind w:firstLine="480"/>
        <w:rPr>
          <w:rFonts w:ascii="宋体" w:hAnsi="宋体" w:eastAsia="宋体"/>
          <w:color w:val="000000" w:themeColor="text1"/>
        </w:rPr>
      </w:pPr>
      <w:r>
        <w:rPr>
          <w:rFonts w:ascii="宋体" w:hAnsi="宋体" w:eastAsia="宋体"/>
          <w:color w:val="000000" w:themeColor="text1"/>
        </w:rPr>
        <w:t>十一、投资方案及财务评价</w:t>
      </w:r>
    </w:p>
    <w:p>
      <w:pPr>
        <w:spacing w:after="160" w:line="360" w:lineRule="auto"/>
        <w:ind w:firstLine="480"/>
        <w:rPr>
          <w:rFonts w:ascii="宋体" w:hAnsi="宋体" w:eastAsia="宋体"/>
          <w:color w:val="000000" w:themeColor="text1"/>
        </w:rPr>
      </w:pPr>
    </w:p>
    <w:p>
      <w:pPr>
        <w:pStyle w:val="27"/>
        <w:spacing w:before="320" w:after="200" w:line="360" w:lineRule="auto"/>
        <w:outlineLvl w:val="1"/>
        <w:rPr>
          <w:rFonts w:ascii="宋体" w:hAnsi="宋体" w:eastAsia="宋体"/>
          <w:color w:val="000000" w:themeColor="text1"/>
        </w:rPr>
      </w:pPr>
      <w:r>
        <w:rPr>
          <w:color w:val="000000" w:themeColor="text1"/>
        </w:rPr>
        <w:br w:type="page"/>
      </w:r>
      <w:bookmarkStart w:id="259" w:name="_Toc144974857"/>
      <w:bookmarkStart w:id="260" w:name="_Toc241484767"/>
      <w:bookmarkStart w:id="261" w:name="_Toc241459815"/>
      <w:bookmarkStart w:id="262" w:name="_Toc275956217"/>
      <w:bookmarkStart w:id="263" w:name="_Toc179632808"/>
      <w:bookmarkStart w:id="264" w:name="_Toc152042577"/>
      <w:bookmarkStart w:id="265" w:name="_Toc152045788"/>
    </w:p>
    <w:bookmarkEnd w:id="259"/>
    <w:bookmarkEnd w:id="260"/>
    <w:bookmarkEnd w:id="261"/>
    <w:bookmarkEnd w:id="262"/>
    <w:bookmarkEnd w:id="263"/>
    <w:bookmarkEnd w:id="264"/>
    <w:bookmarkEnd w:id="265"/>
    <w:p>
      <w:pPr>
        <w:numPr>
          <w:ilvl w:val="0"/>
          <w:numId w:val="4"/>
        </w:numPr>
        <w:spacing w:after="160" w:line="360" w:lineRule="auto"/>
        <w:jc w:val="center"/>
        <w:rPr>
          <w:rFonts w:ascii="宋体" w:hAnsi="宋体" w:eastAsia="宋体"/>
          <w:b/>
          <w:bCs/>
          <w:color w:val="000000" w:themeColor="text1"/>
          <w:sz w:val="36"/>
          <w:szCs w:val="36"/>
        </w:rPr>
      </w:pPr>
      <w:r>
        <w:rPr>
          <w:rFonts w:ascii="宋体" w:hAnsi="宋体" w:eastAsia="宋体"/>
          <w:b/>
          <w:bCs/>
          <w:color w:val="000000" w:themeColor="text1"/>
          <w:sz w:val="36"/>
          <w:szCs w:val="36"/>
        </w:rPr>
        <w:t>投标函及投标函附录</w:t>
      </w:r>
    </w:p>
    <w:p>
      <w:pPr>
        <w:spacing w:after="160" w:line="360" w:lineRule="auto"/>
        <w:jc w:val="center"/>
        <w:rPr>
          <w:rFonts w:ascii="宋体" w:hAnsi="宋体" w:eastAsia="宋体"/>
          <w:color w:val="000000" w:themeColor="text1"/>
          <w:sz w:val="32"/>
          <w:szCs w:val="32"/>
        </w:rPr>
      </w:pPr>
      <w:r>
        <w:rPr>
          <w:rFonts w:hint="eastAsia" w:ascii="宋体" w:hAnsi="宋体" w:eastAsia="宋体"/>
          <w:color w:val="000000" w:themeColor="text1"/>
          <w:sz w:val="32"/>
          <w:szCs w:val="32"/>
        </w:rPr>
        <w:t>（一）投标函</w:t>
      </w:r>
    </w:p>
    <w:p>
      <w:pPr>
        <w:spacing w:after="160" w:line="360" w:lineRule="auto"/>
        <w:rPr>
          <w:rFonts w:ascii="宋体" w:hAnsi="宋体" w:eastAsia="宋体"/>
          <w:color w:val="000000" w:themeColor="text1"/>
        </w:rPr>
      </w:pPr>
      <w:r>
        <w:rPr>
          <w:rFonts w:ascii="宋体" w:hAnsi="宋体" w:eastAsia="宋体"/>
          <w:color w:val="000000" w:themeColor="text1"/>
        </w:rPr>
        <w:t>致：鄢陵县畜牧局</w:t>
      </w:r>
    </w:p>
    <w:p>
      <w:pPr>
        <w:spacing w:after="160" w:line="360" w:lineRule="auto"/>
        <w:ind w:firstLine="480"/>
        <w:rPr>
          <w:rFonts w:ascii="宋体" w:hAnsi="宋体" w:eastAsia="宋体"/>
          <w:color w:val="000000" w:themeColor="text1"/>
        </w:rPr>
      </w:pPr>
      <w:r>
        <w:rPr>
          <w:rFonts w:ascii="宋体" w:hAnsi="宋体" w:eastAsia="宋体"/>
          <w:color w:val="000000" w:themeColor="text1"/>
        </w:rPr>
        <w:t>我单位自愿参加贵单位组织的编号为：</w:t>
      </w:r>
      <w:r>
        <w:rPr>
          <w:rFonts w:ascii="宋体" w:hAnsi="宋体" w:eastAsia="宋体"/>
          <w:color w:val="000000" w:themeColor="text1"/>
          <w:u w:val="single"/>
        </w:rPr>
        <w:t xml:space="preserve">           （招标编号）</w:t>
      </w:r>
      <w:r>
        <w:rPr>
          <w:rFonts w:ascii="宋体" w:hAnsi="宋体" w:eastAsia="宋体"/>
          <w:color w:val="000000" w:themeColor="text1"/>
        </w:rPr>
        <w:t>的</w:t>
      </w:r>
      <w:r>
        <w:rPr>
          <w:rFonts w:ascii="宋体" w:hAnsi="宋体" w:eastAsia="宋体"/>
          <w:color w:val="000000" w:themeColor="text1"/>
          <w:u w:val="single"/>
        </w:rPr>
        <w:t>鄢陵县畜禽粪污资源化利用整县推进特许经营项目</w:t>
      </w:r>
      <w:r>
        <w:rPr>
          <w:rFonts w:ascii="宋体" w:hAnsi="宋体" w:eastAsia="宋体"/>
          <w:color w:val="000000" w:themeColor="text1"/>
        </w:rPr>
        <w:t>的招投标活动。我单位同意从招标文件规定的投标文件递交时间开始，直至招标文件规定的投标有效期期满，招标文件与投标文件一直对我单位具有约束力。在投标和评标过程中，我单位将严格按照招标文件的规定，参加并配合贵单位进行本次招投标活动。</w:t>
      </w:r>
    </w:p>
    <w:p>
      <w:pPr>
        <w:spacing w:after="160" w:line="360" w:lineRule="auto"/>
        <w:rPr>
          <w:rFonts w:ascii="宋体" w:hAnsi="宋体" w:eastAsia="宋体"/>
          <w:color w:val="000000" w:themeColor="text1"/>
        </w:rPr>
      </w:pPr>
      <w:r>
        <w:rPr>
          <w:rFonts w:ascii="宋体" w:hAnsi="宋体" w:eastAsia="宋体"/>
          <w:color w:val="000000" w:themeColor="text1"/>
        </w:rPr>
        <w:t>如果我单位中标，我单位承诺：</w:t>
      </w:r>
    </w:p>
    <w:p>
      <w:pPr>
        <w:spacing w:after="160" w:line="360" w:lineRule="auto"/>
        <w:rPr>
          <w:rFonts w:ascii="宋体" w:hAnsi="宋体" w:eastAsia="宋体"/>
          <w:color w:val="000000" w:themeColor="text1"/>
        </w:rPr>
      </w:pPr>
      <w:r>
        <w:rPr>
          <w:rFonts w:ascii="宋体" w:hAnsi="宋体" w:eastAsia="宋体"/>
          <w:color w:val="000000" w:themeColor="text1"/>
        </w:rPr>
        <w:t xml:space="preserve">    1、在招标文件的规定时间内提交履约保证金；</w:t>
      </w:r>
    </w:p>
    <w:p>
      <w:pPr>
        <w:spacing w:after="160" w:line="360" w:lineRule="auto"/>
        <w:rPr>
          <w:rFonts w:ascii="宋体" w:hAnsi="宋体" w:eastAsia="宋体"/>
          <w:color w:val="000000" w:themeColor="text1"/>
        </w:rPr>
      </w:pPr>
      <w:r>
        <w:rPr>
          <w:rFonts w:ascii="宋体" w:hAnsi="宋体" w:eastAsia="宋体"/>
          <w:color w:val="000000" w:themeColor="text1"/>
        </w:rPr>
        <w:t xml:space="preserve">    2、在招标文件的规定时间内成立项目公司，并与贵单位签订《特许经营协议》。</w:t>
      </w:r>
    </w:p>
    <w:p>
      <w:pPr>
        <w:spacing w:after="160" w:line="360" w:lineRule="auto"/>
        <w:rPr>
          <w:rFonts w:ascii="宋体" w:hAnsi="宋体" w:eastAsia="宋体"/>
          <w:color w:val="000000" w:themeColor="text1"/>
        </w:rPr>
      </w:pPr>
      <w:r>
        <w:rPr>
          <w:rFonts w:ascii="宋体" w:hAnsi="宋体" w:eastAsia="宋体"/>
          <w:color w:val="000000" w:themeColor="text1"/>
        </w:rPr>
        <w:t>如我单位不能遵守上述承诺，我单位愿意接受贵单位按照招标文件的有关规定实施的任何处罚。</w:t>
      </w:r>
    </w:p>
    <w:p>
      <w:pPr>
        <w:spacing w:after="160" w:line="360" w:lineRule="auto"/>
        <w:rPr>
          <w:rFonts w:ascii="宋体" w:hAnsi="宋体" w:eastAsia="宋体"/>
          <w:color w:val="000000" w:themeColor="text1"/>
        </w:rPr>
      </w:pPr>
      <w:r>
        <w:rPr>
          <w:rFonts w:ascii="宋体" w:hAnsi="宋体" w:eastAsia="宋体"/>
          <w:color w:val="000000" w:themeColor="text1"/>
        </w:rPr>
        <w:t xml:space="preserve">                  </w:t>
      </w:r>
    </w:p>
    <w:p>
      <w:pPr>
        <w:spacing w:after="160" w:line="360" w:lineRule="auto"/>
        <w:rPr>
          <w:rFonts w:ascii="宋体" w:hAnsi="宋体" w:eastAsia="宋体"/>
          <w:color w:val="000000" w:themeColor="text1"/>
        </w:rPr>
      </w:pPr>
    </w:p>
    <w:p>
      <w:pPr>
        <w:spacing w:after="160" w:line="360" w:lineRule="auto"/>
        <w:ind w:firstLine="720"/>
        <w:rPr>
          <w:rFonts w:ascii="宋体" w:hAnsi="宋体" w:eastAsia="宋体"/>
          <w:color w:val="000000" w:themeColor="text1"/>
        </w:rPr>
      </w:pPr>
      <w:r>
        <w:rPr>
          <w:rFonts w:ascii="宋体" w:hAnsi="宋体" w:eastAsia="宋体"/>
          <w:color w:val="000000" w:themeColor="text1"/>
        </w:rPr>
        <w:t>投标人（盖章）：</w:t>
      </w:r>
    </w:p>
    <w:p>
      <w:pPr>
        <w:spacing w:after="160" w:line="360" w:lineRule="auto"/>
        <w:rPr>
          <w:rFonts w:ascii="宋体" w:hAnsi="宋体" w:eastAsia="宋体"/>
          <w:color w:val="000000" w:themeColor="text1"/>
        </w:rPr>
      </w:pPr>
      <w:r>
        <w:rPr>
          <w:rFonts w:ascii="宋体" w:hAnsi="宋体" w:eastAsia="宋体"/>
          <w:color w:val="000000" w:themeColor="text1"/>
        </w:rPr>
        <w:t>法定代表人或授权委托人（签字）：</w:t>
      </w:r>
    </w:p>
    <w:p>
      <w:pPr>
        <w:spacing w:after="160" w:line="360" w:lineRule="auto"/>
        <w:rPr>
          <w:rFonts w:ascii="宋体" w:hAnsi="宋体" w:eastAsia="宋体"/>
          <w:color w:val="000000" w:themeColor="text1"/>
        </w:rPr>
        <w:sectPr>
          <w:headerReference r:id="rId11" w:type="default"/>
          <w:pgSz w:w="11906" w:h="16838"/>
          <w:pgMar w:top="1134" w:right="1134" w:bottom="1134" w:left="1701" w:header="567" w:footer="567" w:gutter="0"/>
          <w:cols w:space="720" w:num="1"/>
          <w:docGrid w:linePitch="326" w:charSpace="0"/>
        </w:sectPr>
      </w:pPr>
      <w:r>
        <w:rPr>
          <w:rFonts w:ascii="宋体" w:hAnsi="宋体" w:eastAsia="宋体"/>
          <w:color w:val="000000" w:themeColor="text1"/>
        </w:rPr>
        <w:t>日期：    年    月    日</w:t>
      </w:r>
      <w:bookmarkStart w:id="266" w:name="_Toc179632811"/>
      <w:bookmarkStart w:id="267" w:name="_Toc152045791"/>
      <w:bookmarkStart w:id="268" w:name="_Toc152042580"/>
      <w:bookmarkStart w:id="269" w:name="_Toc144974860"/>
    </w:p>
    <w:p>
      <w:pPr>
        <w:ind w:right="113"/>
        <w:jc w:val="center"/>
        <w:rPr>
          <w:rFonts w:ascii="宋体" w:hAnsi="宋体" w:eastAsia="宋体"/>
          <w:b/>
          <w:color w:val="000000" w:themeColor="text1"/>
          <w:sz w:val="32"/>
          <w:szCs w:val="32"/>
        </w:rPr>
      </w:pPr>
      <w:bookmarkStart w:id="270" w:name="_Toc275956220"/>
      <w:bookmarkStart w:id="271" w:name="_Toc15617"/>
      <w:bookmarkStart w:id="272" w:name="_Toc241459818"/>
      <w:bookmarkStart w:id="273" w:name="_Toc24878"/>
      <w:bookmarkStart w:id="274" w:name="_Toc241484770"/>
      <w:bookmarkStart w:id="275" w:name="_Toc24556"/>
      <w:bookmarkStart w:id="276" w:name="_Toc21387"/>
      <w:bookmarkStart w:id="277" w:name="_Toc18119"/>
      <w:r>
        <w:rPr>
          <w:rFonts w:ascii="宋体" w:hAnsi="宋体" w:eastAsia="宋体"/>
          <w:b/>
          <w:color w:val="000000" w:themeColor="text1"/>
          <w:sz w:val="32"/>
          <w:szCs w:val="32"/>
        </w:rPr>
        <w:t>投标函附录</w:t>
      </w:r>
    </w:p>
    <w:tbl>
      <w:tblPr>
        <w:tblStyle w:val="30"/>
        <w:tblW w:w="9562" w:type="dxa"/>
        <w:jc w:val="center"/>
        <w:tblLayout w:type="fixed"/>
        <w:tblCellMar>
          <w:top w:w="0" w:type="dxa"/>
          <w:left w:w="0" w:type="dxa"/>
          <w:bottom w:w="0" w:type="dxa"/>
          <w:right w:w="0" w:type="dxa"/>
        </w:tblCellMar>
      </w:tblPr>
      <w:tblGrid>
        <w:gridCol w:w="2342"/>
        <w:gridCol w:w="7220"/>
      </w:tblGrid>
      <w:tr>
        <w:tblPrEx>
          <w:tblCellMar>
            <w:top w:w="0" w:type="dxa"/>
            <w:left w:w="0" w:type="dxa"/>
            <w:bottom w:w="0" w:type="dxa"/>
            <w:right w:w="0" w:type="dxa"/>
          </w:tblCellMar>
        </w:tblPrEx>
        <w:trPr>
          <w:trHeight w:val="964" w:hRule="atLeast"/>
          <w:jc w:val="center"/>
        </w:trPr>
        <w:tc>
          <w:tcPr>
            <w:tcW w:w="2342"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pPr>
              <w:spacing w:line="360" w:lineRule="auto"/>
              <w:jc w:val="center"/>
              <w:rPr>
                <w:rFonts w:ascii="宋体" w:hAnsi="宋体" w:eastAsia="宋体"/>
                <w:color w:val="000000" w:themeColor="text1"/>
              </w:rPr>
            </w:pPr>
            <w:r>
              <w:rPr>
                <w:rFonts w:ascii="宋体" w:hAnsi="宋体" w:eastAsia="宋体"/>
                <w:color w:val="000000" w:themeColor="text1"/>
              </w:rPr>
              <w:t>工程名称</w:t>
            </w:r>
          </w:p>
        </w:tc>
        <w:tc>
          <w:tcPr>
            <w:tcW w:w="7220"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pPr>
              <w:spacing w:line="360" w:lineRule="auto"/>
              <w:ind w:firstLine="420"/>
              <w:jc w:val="center"/>
              <w:rPr>
                <w:rFonts w:ascii="宋体" w:hAnsi="宋体" w:eastAsia="宋体"/>
                <w:color w:val="000000" w:themeColor="text1"/>
                <w:sz w:val="28"/>
                <w:szCs w:val="28"/>
                <w:u w:val="single"/>
              </w:rPr>
            </w:pPr>
            <w:r>
              <w:rPr>
                <w:rFonts w:ascii="宋体" w:hAnsi="宋体" w:eastAsia="宋体"/>
                <w:color w:val="000000" w:themeColor="text1"/>
                <w:sz w:val="28"/>
                <w:szCs w:val="28"/>
                <w:u w:val="single"/>
              </w:rPr>
              <w:t xml:space="preserve">            </w:t>
            </w:r>
            <w:r>
              <w:rPr>
                <w:rFonts w:ascii="宋体" w:hAnsi="宋体" w:eastAsia="宋体"/>
                <w:color w:val="000000" w:themeColor="text1"/>
                <w:sz w:val="28"/>
                <w:szCs w:val="28"/>
              </w:rPr>
              <w:t>（项目名称</w:t>
            </w:r>
            <w:r>
              <w:rPr>
                <w:rFonts w:hint="eastAsia" w:ascii="宋体" w:hAnsi="宋体" w:eastAsia="宋体"/>
                <w:color w:val="000000" w:themeColor="text1"/>
                <w:sz w:val="28"/>
                <w:szCs w:val="28"/>
              </w:rPr>
              <w:t>及标段</w:t>
            </w:r>
            <w:r>
              <w:rPr>
                <w:rFonts w:ascii="宋体" w:hAnsi="宋体" w:eastAsia="宋体"/>
                <w:color w:val="000000" w:themeColor="text1"/>
                <w:sz w:val="28"/>
                <w:szCs w:val="28"/>
              </w:rPr>
              <w:t>）</w:t>
            </w:r>
          </w:p>
        </w:tc>
      </w:tr>
      <w:tr>
        <w:tblPrEx>
          <w:tblCellMar>
            <w:top w:w="0" w:type="dxa"/>
            <w:left w:w="0" w:type="dxa"/>
            <w:bottom w:w="0" w:type="dxa"/>
            <w:right w:w="0" w:type="dxa"/>
          </w:tblCellMar>
        </w:tblPrEx>
        <w:trPr>
          <w:trHeight w:val="964" w:hRule="atLeast"/>
          <w:jc w:val="center"/>
        </w:trPr>
        <w:tc>
          <w:tcPr>
            <w:tcW w:w="2342"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pPr>
              <w:spacing w:line="360" w:lineRule="auto"/>
              <w:jc w:val="center"/>
              <w:rPr>
                <w:rFonts w:ascii="宋体" w:hAnsi="宋体" w:eastAsia="宋体"/>
                <w:color w:val="000000" w:themeColor="text1"/>
              </w:rPr>
            </w:pPr>
            <w:r>
              <w:rPr>
                <w:rFonts w:ascii="宋体" w:hAnsi="宋体" w:eastAsia="宋体"/>
                <w:color w:val="000000" w:themeColor="text1"/>
              </w:rPr>
              <w:t>投标人名称</w:t>
            </w:r>
          </w:p>
        </w:tc>
        <w:tc>
          <w:tcPr>
            <w:tcW w:w="7220"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pPr>
              <w:spacing w:line="360" w:lineRule="auto"/>
              <w:jc w:val="center"/>
              <w:rPr>
                <w:rFonts w:ascii="宋体" w:hAnsi="宋体" w:eastAsia="宋体"/>
                <w:color w:val="000000" w:themeColor="text1"/>
                <w:sz w:val="28"/>
                <w:szCs w:val="28"/>
              </w:rPr>
            </w:pPr>
          </w:p>
        </w:tc>
      </w:tr>
      <w:tr>
        <w:tblPrEx>
          <w:tblCellMar>
            <w:top w:w="0" w:type="dxa"/>
            <w:left w:w="0" w:type="dxa"/>
            <w:bottom w:w="0" w:type="dxa"/>
            <w:right w:w="0" w:type="dxa"/>
          </w:tblCellMar>
        </w:tblPrEx>
        <w:trPr>
          <w:trHeight w:val="964" w:hRule="atLeast"/>
          <w:jc w:val="center"/>
        </w:trPr>
        <w:tc>
          <w:tcPr>
            <w:tcW w:w="2342"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pPr>
              <w:spacing w:line="360" w:lineRule="auto"/>
              <w:jc w:val="center"/>
              <w:rPr>
                <w:rFonts w:ascii="宋体" w:hAnsi="宋体" w:eastAsia="宋体"/>
                <w:color w:val="000000" w:themeColor="text1"/>
              </w:rPr>
            </w:pPr>
            <w:r>
              <w:rPr>
                <w:rFonts w:ascii="宋体" w:hAnsi="宋体" w:eastAsia="宋体"/>
                <w:color w:val="000000" w:themeColor="text1"/>
              </w:rPr>
              <w:t>投标报价</w:t>
            </w:r>
          </w:p>
          <w:p>
            <w:pPr>
              <w:spacing w:line="360" w:lineRule="auto"/>
              <w:jc w:val="center"/>
              <w:rPr>
                <w:rFonts w:ascii="宋体" w:hAnsi="宋体" w:eastAsia="宋体"/>
                <w:color w:val="000000" w:themeColor="text1"/>
              </w:rPr>
            </w:pPr>
            <w:r>
              <w:rPr>
                <w:rFonts w:ascii="宋体" w:hAnsi="宋体" w:eastAsia="宋体"/>
                <w:color w:val="000000" w:themeColor="text1"/>
              </w:rPr>
              <w:t>（</w:t>
            </w:r>
            <w:r>
              <w:rPr>
                <w:rFonts w:hAnsi="宋体" w:eastAsia="宋体"/>
                <w:color w:val="000000" w:themeColor="text1"/>
              </w:rPr>
              <w:t>投标人投资金额</w:t>
            </w:r>
            <w:r>
              <w:rPr>
                <w:rFonts w:ascii="宋体" w:hAnsi="宋体" w:eastAsia="宋体"/>
                <w:color w:val="000000" w:themeColor="text1"/>
              </w:rPr>
              <w:t>）</w:t>
            </w:r>
          </w:p>
        </w:tc>
        <w:tc>
          <w:tcPr>
            <w:tcW w:w="7220"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pPr>
              <w:spacing w:line="360" w:lineRule="auto"/>
              <w:rPr>
                <w:rFonts w:ascii="宋体" w:hAnsi="宋体" w:eastAsia="宋体"/>
                <w:color w:val="000000" w:themeColor="text1"/>
                <w:sz w:val="28"/>
                <w:szCs w:val="28"/>
              </w:rPr>
            </w:pPr>
          </w:p>
          <w:p>
            <w:pPr>
              <w:spacing w:line="360" w:lineRule="auto"/>
              <w:rPr>
                <w:rFonts w:ascii="宋体" w:hAnsi="宋体" w:eastAsia="宋体"/>
                <w:color w:val="000000" w:themeColor="text1"/>
                <w:sz w:val="28"/>
                <w:szCs w:val="28"/>
              </w:rPr>
            </w:pPr>
            <w:r>
              <w:rPr>
                <w:rFonts w:ascii="宋体" w:hAnsi="宋体" w:eastAsia="宋体"/>
                <w:color w:val="000000" w:themeColor="text1"/>
                <w:sz w:val="28"/>
                <w:szCs w:val="28"/>
              </w:rPr>
              <w:t>总投资金额：大写</w:t>
            </w:r>
            <w:r>
              <w:rPr>
                <w:rFonts w:ascii="宋体" w:hAnsi="宋体" w:eastAsia="宋体"/>
                <w:color w:val="000000" w:themeColor="text1"/>
                <w:sz w:val="28"/>
                <w:szCs w:val="28"/>
                <w:u w:val="single"/>
              </w:rPr>
              <w:t xml:space="preserve">      </w:t>
            </w:r>
            <w:r>
              <w:rPr>
                <w:rFonts w:ascii="宋体" w:hAnsi="宋体" w:eastAsia="宋体"/>
                <w:color w:val="000000" w:themeColor="text1"/>
                <w:sz w:val="28"/>
                <w:szCs w:val="28"/>
              </w:rPr>
              <w:t>小写</w:t>
            </w:r>
            <w:r>
              <w:rPr>
                <w:rFonts w:ascii="宋体" w:hAnsi="宋体" w:eastAsia="宋体"/>
                <w:color w:val="000000" w:themeColor="text1"/>
                <w:sz w:val="28"/>
                <w:szCs w:val="28"/>
                <w:u w:val="single"/>
              </w:rPr>
              <w:t xml:space="preserve">       </w:t>
            </w:r>
          </w:p>
          <w:p>
            <w:pPr>
              <w:pStyle w:val="28"/>
              <w:spacing w:after="120"/>
              <w:ind w:firstLine="0"/>
              <w:jc w:val="both"/>
              <w:rPr>
                <w:rFonts w:hAnsi="Times New Roman"/>
                <w:color w:val="000000" w:themeColor="text1"/>
                <w:sz w:val="21"/>
                <w:szCs w:val="21"/>
              </w:rPr>
            </w:pPr>
            <w:r>
              <w:rPr>
                <w:rFonts w:ascii="宋体" w:hAnsi="宋体" w:eastAsia="宋体"/>
                <w:color w:val="000000" w:themeColor="text1"/>
                <w:sz w:val="28"/>
                <w:szCs w:val="28"/>
              </w:rPr>
              <w:t>其中投标人投资金额：大写</w:t>
            </w:r>
            <w:r>
              <w:rPr>
                <w:rFonts w:ascii="宋体" w:hAnsi="宋体" w:eastAsia="宋体"/>
                <w:color w:val="000000" w:themeColor="text1"/>
                <w:sz w:val="28"/>
                <w:szCs w:val="28"/>
                <w:u w:val="single"/>
              </w:rPr>
              <w:t xml:space="preserve">      </w:t>
            </w:r>
            <w:r>
              <w:rPr>
                <w:rFonts w:ascii="宋体" w:hAnsi="宋体" w:eastAsia="宋体"/>
                <w:color w:val="000000" w:themeColor="text1"/>
                <w:sz w:val="28"/>
                <w:szCs w:val="28"/>
              </w:rPr>
              <w:t>小写</w:t>
            </w:r>
            <w:r>
              <w:rPr>
                <w:rFonts w:ascii="宋体" w:hAnsi="宋体" w:eastAsia="宋体"/>
                <w:color w:val="000000" w:themeColor="text1"/>
                <w:sz w:val="28"/>
                <w:szCs w:val="28"/>
                <w:u w:val="single"/>
              </w:rPr>
              <w:t xml:space="preserve">      </w:t>
            </w:r>
            <w:r>
              <w:rPr>
                <w:rFonts w:ascii="宋体" w:hAnsi="宋体" w:eastAsia="宋体"/>
                <w:color w:val="000000" w:themeColor="text1"/>
                <w:sz w:val="28"/>
                <w:szCs w:val="28"/>
              </w:rPr>
              <w:t>（不含财政补助金额3627.43万元）</w:t>
            </w:r>
          </w:p>
          <w:p>
            <w:pPr>
              <w:spacing w:after="160" w:line="360" w:lineRule="auto"/>
              <w:rPr>
                <w:rFonts w:hAnsi="Times New Roman"/>
                <w:color w:val="000000" w:themeColor="text1"/>
              </w:rPr>
            </w:pPr>
          </w:p>
          <w:p>
            <w:pPr>
              <w:spacing w:line="360" w:lineRule="auto"/>
              <w:rPr>
                <w:rFonts w:ascii="宋体" w:hAnsi="宋体" w:eastAsia="宋体"/>
                <w:color w:val="000000" w:themeColor="text1"/>
                <w:sz w:val="28"/>
                <w:szCs w:val="28"/>
                <w:u w:val="single"/>
              </w:rPr>
            </w:pPr>
            <w:r>
              <w:rPr>
                <w:rFonts w:hAnsi="宋体" w:eastAsia="宋体"/>
                <w:color w:val="000000" w:themeColor="text1"/>
              </w:rPr>
              <w:t>(投标人投资金额=投标人投资方案中总投资额-财政补助金额3627.43万元）</w:t>
            </w:r>
          </w:p>
        </w:tc>
      </w:tr>
      <w:tr>
        <w:tblPrEx>
          <w:tblCellMar>
            <w:top w:w="0" w:type="dxa"/>
            <w:left w:w="0" w:type="dxa"/>
            <w:bottom w:w="0" w:type="dxa"/>
            <w:right w:w="0" w:type="dxa"/>
          </w:tblCellMar>
        </w:tblPrEx>
        <w:trPr>
          <w:trHeight w:val="964" w:hRule="atLeast"/>
          <w:jc w:val="center"/>
        </w:trPr>
        <w:tc>
          <w:tcPr>
            <w:tcW w:w="2342"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pPr>
              <w:spacing w:line="360" w:lineRule="auto"/>
              <w:jc w:val="center"/>
              <w:rPr>
                <w:rFonts w:ascii="宋体" w:hAnsi="宋体" w:eastAsia="宋体"/>
                <w:color w:val="000000" w:themeColor="text1"/>
              </w:rPr>
            </w:pPr>
            <w:r>
              <w:rPr>
                <w:rFonts w:ascii="宋体" w:hAnsi="宋体" w:eastAsia="宋体"/>
                <w:color w:val="000000" w:themeColor="text1"/>
              </w:rPr>
              <w:t>特许经营期限</w:t>
            </w:r>
          </w:p>
          <w:p>
            <w:pPr>
              <w:spacing w:line="360" w:lineRule="auto"/>
              <w:jc w:val="center"/>
              <w:rPr>
                <w:rFonts w:ascii="宋体" w:hAnsi="宋体" w:eastAsia="宋体"/>
                <w:color w:val="000000" w:themeColor="text1"/>
              </w:rPr>
            </w:pPr>
            <w:r>
              <w:rPr>
                <w:rFonts w:ascii="宋体" w:hAnsi="宋体" w:eastAsia="宋体"/>
                <w:color w:val="000000" w:themeColor="text1"/>
              </w:rPr>
              <w:t>（含建设期）</w:t>
            </w:r>
          </w:p>
        </w:tc>
        <w:tc>
          <w:tcPr>
            <w:tcW w:w="7220" w:type="dxa"/>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pPr>
              <w:spacing w:line="360" w:lineRule="auto"/>
              <w:jc w:val="center"/>
              <w:rPr>
                <w:rFonts w:ascii="宋体" w:hAnsi="宋体" w:eastAsia="宋体"/>
                <w:color w:val="000000" w:themeColor="text1"/>
              </w:rPr>
            </w:pPr>
          </w:p>
        </w:tc>
      </w:tr>
      <w:tr>
        <w:tblPrEx>
          <w:tblCellMar>
            <w:top w:w="0" w:type="dxa"/>
            <w:left w:w="0" w:type="dxa"/>
            <w:bottom w:w="0" w:type="dxa"/>
            <w:right w:w="0" w:type="dxa"/>
          </w:tblCellMar>
        </w:tblPrEx>
        <w:trPr>
          <w:trHeight w:val="1394" w:hRule="atLeast"/>
          <w:jc w:val="center"/>
        </w:trPr>
        <w:tc>
          <w:tcPr>
            <w:tcW w:w="9562" w:type="dxa"/>
            <w:gridSpan w:val="2"/>
            <w:tcBorders>
              <w:top w:val="single" w:color="000000" w:sz="4" w:space="0"/>
              <w:left w:val="single" w:color="000000" w:sz="4" w:space="0"/>
              <w:bottom w:val="single" w:color="000000" w:sz="4" w:space="0"/>
              <w:right w:val="single" w:color="000000" w:sz="4" w:space="0"/>
            </w:tcBorders>
            <w:tcMar>
              <w:left w:w="108" w:type="dxa"/>
              <w:right w:w="108" w:type="dxa"/>
            </w:tcMar>
            <w:vAlign w:val="center"/>
          </w:tcPr>
          <w:p>
            <w:pPr>
              <w:spacing w:line="360" w:lineRule="auto"/>
              <w:jc w:val="left"/>
              <w:rPr>
                <w:rFonts w:ascii="宋体" w:hAnsi="宋体" w:eastAsia="宋体"/>
                <w:color w:val="000000" w:themeColor="text1"/>
              </w:rPr>
            </w:pPr>
            <w:r>
              <w:rPr>
                <w:rFonts w:ascii="宋体" w:hAnsi="宋体" w:eastAsia="宋体"/>
                <w:color w:val="000000" w:themeColor="text1"/>
              </w:rPr>
              <w:t xml:space="preserve">备注：  </w:t>
            </w:r>
          </w:p>
        </w:tc>
      </w:tr>
    </w:tbl>
    <w:p>
      <w:pPr>
        <w:spacing w:line="360" w:lineRule="auto"/>
        <w:ind w:firstLine="560"/>
        <w:rPr>
          <w:rFonts w:ascii="宋体" w:hAnsi="宋体" w:eastAsia="宋体"/>
          <w:color w:val="000000" w:themeColor="text1"/>
          <w:sz w:val="28"/>
          <w:szCs w:val="28"/>
        </w:rPr>
      </w:pPr>
    </w:p>
    <w:p>
      <w:pPr>
        <w:spacing w:line="360" w:lineRule="auto"/>
        <w:rPr>
          <w:rFonts w:ascii="宋体" w:hAnsi="宋体" w:eastAsia="宋体"/>
          <w:color w:val="000000" w:themeColor="text1"/>
          <w:sz w:val="28"/>
          <w:szCs w:val="28"/>
          <w:u w:val="single"/>
        </w:rPr>
      </w:pPr>
      <w:r>
        <w:rPr>
          <w:rFonts w:ascii="宋体" w:hAnsi="宋体" w:eastAsia="宋体"/>
          <w:color w:val="000000" w:themeColor="text1"/>
          <w:sz w:val="28"/>
          <w:szCs w:val="28"/>
        </w:rPr>
        <w:t>投标人：（盖章）</w:t>
      </w:r>
      <w:r>
        <w:rPr>
          <w:rFonts w:ascii="宋体" w:hAnsi="宋体" w:eastAsia="宋体"/>
          <w:color w:val="000000" w:themeColor="text1"/>
          <w:sz w:val="28"/>
          <w:szCs w:val="28"/>
          <w:u w:val="single"/>
        </w:rPr>
        <w:t xml:space="preserve">          </w:t>
      </w:r>
    </w:p>
    <w:p>
      <w:pPr>
        <w:spacing w:line="360" w:lineRule="auto"/>
        <w:jc w:val="left"/>
        <w:rPr>
          <w:rFonts w:ascii="宋体" w:hAnsi="宋体" w:eastAsia="宋体"/>
          <w:color w:val="000000" w:themeColor="text1"/>
          <w:sz w:val="28"/>
          <w:szCs w:val="28"/>
          <w:u w:val="single"/>
        </w:rPr>
      </w:pPr>
      <w:r>
        <w:rPr>
          <w:rFonts w:ascii="宋体" w:hAnsi="宋体" w:eastAsia="宋体"/>
          <w:color w:val="000000" w:themeColor="text1"/>
          <w:sz w:val="28"/>
          <w:szCs w:val="28"/>
        </w:rPr>
        <w:t xml:space="preserve">法定代表人或其委托代理人（签字盖章）： </w:t>
      </w:r>
      <w:r>
        <w:rPr>
          <w:rFonts w:ascii="宋体" w:hAnsi="宋体" w:eastAsia="宋体"/>
          <w:color w:val="000000" w:themeColor="text1"/>
          <w:sz w:val="28"/>
          <w:szCs w:val="28"/>
          <w:u w:val="single"/>
        </w:rPr>
        <w:t xml:space="preserve">                  </w:t>
      </w:r>
    </w:p>
    <w:p>
      <w:pPr>
        <w:spacing w:line="360" w:lineRule="auto"/>
        <w:ind w:right="1320"/>
        <w:rPr>
          <w:rFonts w:ascii="宋体" w:hAnsi="宋体" w:eastAsia="宋体"/>
          <w:color w:val="000000" w:themeColor="text1"/>
          <w:sz w:val="28"/>
          <w:szCs w:val="28"/>
        </w:rPr>
      </w:pPr>
      <w:r>
        <w:rPr>
          <w:rFonts w:ascii="宋体" w:hAnsi="宋体" w:eastAsia="宋体"/>
          <w:color w:val="000000" w:themeColor="text1"/>
          <w:sz w:val="28"/>
          <w:szCs w:val="28"/>
        </w:rPr>
        <w:t xml:space="preserve">日期：       年   月   日 </w:t>
      </w:r>
    </w:p>
    <w:p>
      <w:pPr>
        <w:pStyle w:val="22"/>
        <w:spacing w:before="240" w:after="240" w:line="360" w:lineRule="auto"/>
        <w:outlineLvl w:val="2"/>
        <w:rPr>
          <w:color w:val="000000" w:themeColor="text1"/>
        </w:rPr>
      </w:pPr>
      <w:r>
        <w:rPr>
          <w:color w:val="000000" w:themeColor="text1"/>
        </w:rPr>
        <w:br w:type="page"/>
      </w:r>
      <w:bookmarkEnd w:id="266"/>
      <w:bookmarkEnd w:id="267"/>
      <w:bookmarkEnd w:id="268"/>
      <w:bookmarkEnd w:id="269"/>
      <w:bookmarkEnd w:id="270"/>
      <w:bookmarkEnd w:id="271"/>
      <w:bookmarkEnd w:id="272"/>
      <w:bookmarkEnd w:id="273"/>
      <w:bookmarkEnd w:id="274"/>
      <w:bookmarkEnd w:id="275"/>
      <w:bookmarkEnd w:id="276"/>
      <w:bookmarkEnd w:id="277"/>
    </w:p>
    <w:p>
      <w:pPr>
        <w:pStyle w:val="22"/>
        <w:spacing w:before="240" w:after="240" w:line="360" w:lineRule="auto"/>
        <w:outlineLvl w:val="2"/>
        <w:rPr>
          <w:color w:val="000000" w:themeColor="text1"/>
        </w:rPr>
      </w:pPr>
      <w:r>
        <w:rPr>
          <w:rFonts w:hint="eastAsia" w:ascii="宋体" w:hAnsi="宋体" w:eastAsia="宋体"/>
          <w:color w:val="000000" w:themeColor="text1"/>
          <w:sz w:val="24"/>
          <w:szCs w:val="24"/>
        </w:rPr>
        <w:t>二、</w:t>
      </w:r>
      <w:r>
        <w:rPr>
          <w:color w:val="000000" w:themeColor="text1"/>
        </w:rPr>
        <w:t>法定代表人身份证明或法人代表授权书</w:t>
      </w:r>
    </w:p>
    <w:p>
      <w:pPr>
        <w:pStyle w:val="22"/>
        <w:spacing w:before="240" w:after="240" w:line="360" w:lineRule="auto"/>
        <w:outlineLvl w:val="2"/>
        <w:rPr>
          <w:rFonts w:ascii="宋体" w:hAnsi="宋体" w:eastAsia="宋体"/>
          <w:color w:val="000000" w:themeColor="text1"/>
        </w:rPr>
      </w:pPr>
      <w:r>
        <w:rPr>
          <w:rFonts w:hint="eastAsia"/>
          <w:color w:val="000000" w:themeColor="text1"/>
        </w:rPr>
        <w:t>（一）</w:t>
      </w:r>
      <w:r>
        <w:rPr>
          <w:color w:val="000000" w:themeColor="text1"/>
        </w:rPr>
        <w:t>法定代表人身份证明</w:t>
      </w:r>
    </w:p>
    <w:p>
      <w:pPr>
        <w:spacing w:after="160" w:line="440" w:lineRule="exact"/>
        <w:rPr>
          <w:rFonts w:ascii="宋体" w:hAnsi="宋体" w:eastAsia="宋体"/>
          <w:color w:val="000000" w:themeColor="text1"/>
          <w:sz w:val="20"/>
          <w:szCs w:val="20"/>
        </w:rPr>
      </w:pPr>
    </w:p>
    <w:p>
      <w:pPr>
        <w:spacing w:after="160" w:line="360" w:lineRule="auto"/>
        <w:ind w:firstLine="480"/>
        <w:rPr>
          <w:rFonts w:ascii="宋体" w:hAnsi="宋体" w:eastAsia="宋体"/>
          <w:color w:val="000000" w:themeColor="text1"/>
        </w:rPr>
      </w:pPr>
      <w:r>
        <w:rPr>
          <w:rFonts w:ascii="宋体" w:hAnsi="宋体" w:eastAsia="宋体"/>
          <w:color w:val="000000" w:themeColor="text1"/>
        </w:rPr>
        <w:t>投 标 人：</w:t>
      </w:r>
      <w:r>
        <w:rPr>
          <w:rFonts w:ascii="宋体" w:hAnsi="宋体" w:eastAsia="宋体"/>
          <w:color w:val="000000" w:themeColor="text1"/>
          <w:u w:val="single"/>
        </w:rPr>
        <w:t xml:space="preserve">                                            </w:t>
      </w:r>
      <w:r>
        <w:rPr>
          <w:rFonts w:ascii="宋体" w:hAnsi="宋体" w:eastAsia="宋体"/>
          <w:color w:val="000000" w:themeColor="text1"/>
        </w:rPr>
        <w:t xml:space="preserve"> </w:t>
      </w:r>
    </w:p>
    <w:p>
      <w:pPr>
        <w:spacing w:after="160" w:line="360" w:lineRule="auto"/>
        <w:ind w:firstLine="480"/>
        <w:rPr>
          <w:rFonts w:ascii="宋体" w:hAnsi="宋体" w:eastAsia="宋体"/>
          <w:color w:val="000000" w:themeColor="text1"/>
        </w:rPr>
      </w:pPr>
      <w:r>
        <w:rPr>
          <w:rFonts w:ascii="宋体" w:hAnsi="宋体" w:eastAsia="宋体"/>
          <w:color w:val="000000" w:themeColor="text1"/>
        </w:rPr>
        <w:t>单位性质：</w:t>
      </w:r>
      <w:r>
        <w:rPr>
          <w:rFonts w:ascii="宋体" w:hAnsi="宋体" w:eastAsia="宋体"/>
          <w:color w:val="000000" w:themeColor="text1"/>
          <w:u w:val="single"/>
        </w:rPr>
        <w:t xml:space="preserve">                                            </w:t>
      </w:r>
      <w:r>
        <w:rPr>
          <w:rFonts w:ascii="宋体" w:hAnsi="宋体" w:eastAsia="宋体"/>
          <w:color w:val="000000" w:themeColor="text1"/>
        </w:rPr>
        <w:t xml:space="preserve"> </w:t>
      </w:r>
    </w:p>
    <w:p>
      <w:pPr>
        <w:spacing w:after="160" w:line="360" w:lineRule="auto"/>
        <w:ind w:firstLine="480"/>
        <w:rPr>
          <w:rFonts w:ascii="宋体" w:hAnsi="宋体" w:eastAsia="宋体"/>
          <w:color w:val="000000" w:themeColor="text1"/>
        </w:rPr>
      </w:pPr>
      <w:r>
        <w:rPr>
          <w:rFonts w:ascii="宋体" w:hAnsi="宋体" w:eastAsia="宋体"/>
          <w:color w:val="000000" w:themeColor="text1"/>
        </w:rPr>
        <w:t>地    址：</w:t>
      </w:r>
      <w:r>
        <w:rPr>
          <w:rFonts w:ascii="宋体" w:hAnsi="宋体" w:eastAsia="宋体"/>
          <w:color w:val="000000" w:themeColor="text1"/>
          <w:u w:val="single"/>
        </w:rPr>
        <w:t xml:space="preserve">                                            </w:t>
      </w:r>
    </w:p>
    <w:p>
      <w:pPr>
        <w:spacing w:after="160" w:line="360" w:lineRule="auto"/>
        <w:ind w:firstLine="480"/>
        <w:rPr>
          <w:rFonts w:ascii="宋体" w:hAnsi="宋体" w:eastAsia="宋体"/>
          <w:color w:val="000000" w:themeColor="text1"/>
        </w:rPr>
      </w:pPr>
      <w:r>
        <w:rPr>
          <w:rFonts w:ascii="宋体" w:hAnsi="宋体" w:eastAsia="宋体"/>
          <w:color w:val="000000" w:themeColor="text1"/>
        </w:rPr>
        <w:t>成立时间：</w:t>
      </w:r>
      <w:r>
        <w:rPr>
          <w:rFonts w:ascii="宋体" w:hAnsi="宋体" w:eastAsia="宋体"/>
          <w:color w:val="000000" w:themeColor="text1"/>
          <w:u w:val="single"/>
        </w:rPr>
        <w:t xml:space="preserve">           </w:t>
      </w:r>
      <w:r>
        <w:rPr>
          <w:rFonts w:ascii="宋体" w:hAnsi="宋体" w:eastAsia="宋体"/>
          <w:color w:val="000000" w:themeColor="text1"/>
        </w:rPr>
        <w:t xml:space="preserve"> 年</w:t>
      </w:r>
      <w:r>
        <w:rPr>
          <w:rFonts w:ascii="宋体" w:hAnsi="宋体" w:eastAsia="宋体"/>
          <w:color w:val="000000" w:themeColor="text1"/>
          <w:u w:val="single"/>
        </w:rPr>
        <w:t xml:space="preserve">          </w:t>
      </w:r>
      <w:r>
        <w:rPr>
          <w:rFonts w:ascii="宋体" w:hAnsi="宋体" w:eastAsia="宋体"/>
          <w:color w:val="000000" w:themeColor="text1"/>
        </w:rPr>
        <w:t xml:space="preserve"> 月</w:t>
      </w:r>
      <w:r>
        <w:rPr>
          <w:rFonts w:ascii="宋体" w:hAnsi="宋体" w:eastAsia="宋体"/>
          <w:color w:val="000000" w:themeColor="text1"/>
          <w:u w:val="single"/>
        </w:rPr>
        <w:t xml:space="preserve">          </w:t>
      </w:r>
      <w:r>
        <w:rPr>
          <w:rFonts w:ascii="宋体" w:hAnsi="宋体" w:eastAsia="宋体"/>
          <w:color w:val="000000" w:themeColor="text1"/>
        </w:rPr>
        <w:t xml:space="preserve"> 日</w:t>
      </w:r>
    </w:p>
    <w:p>
      <w:pPr>
        <w:spacing w:after="160" w:line="360" w:lineRule="auto"/>
        <w:ind w:firstLine="480"/>
        <w:rPr>
          <w:rFonts w:ascii="宋体" w:hAnsi="宋体" w:eastAsia="宋体"/>
          <w:color w:val="000000" w:themeColor="text1"/>
        </w:rPr>
      </w:pPr>
      <w:r>
        <w:rPr>
          <w:rFonts w:ascii="宋体" w:hAnsi="宋体" w:eastAsia="宋体"/>
          <w:color w:val="000000" w:themeColor="text1"/>
        </w:rPr>
        <w:t>经营期限：</w:t>
      </w:r>
      <w:r>
        <w:rPr>
          <w:rFonts w:ascii="宋体" w:hAnsi="宋体" w:eastAsia="宋体"/>
          <w:color w:val="000000" w:themeColor="text1"/>
          <w:u w:val="single"/>
        </w:rPr>
        <w:t xml:space="preserve">                                            </w:t>
      </w:r>
    </w:p>
    <w:p>
      <w:pPr>
        <w:spacing w:after="160" w:line="360" w:lineRule="auto"/>
        <w:ind w:firstLine="480"/>
        <w:rPr>
          <w:rFonts w:ascii="宋体" w:hAnsi="宋体" w:eastAsia="宋体"/>
          <w:color w:val="000000" w:themeColor="text1"/>
        </w:rPr>
      </w:pPr>
      <w:r>
        <w:rPr>
          <w:rFonts w:ascii="宋体" w:hAnsi="宋体" w:eastAsia="宋体"/>
          <w:color w:val="000000" w:themeColor="text1"/>
        </w:rPr>
        <w:t>姓    名：</w:t>
      </w:r>
      <w:r>
        <w:rPr>
          <w:rFonts w:ascii="宋体" w:hAnsi="宋体" w:eastAsia="宋体"/>
          <w:color w:val="000000" w:themeColor="text1"/>
          <w:u w:val="single"/>
        </w:rPr>
        <w:t xml:space="preserve">                   </w:t>
      </w:r>
      <w:r>
        <w:rPr>
          <w:rFonts w:ascii="宋体" w:hAnsi="宋体" w:eastAsia="宋体"/>
          <w:color w:val="000000" w:themeColor="text1"/>
        </w:rPr>
        <w:t xml:space="preserve"> 性     别：</w:t>
      </w:r>
      <w:r>
        <w:rPr>
          <w:rFonts w:ascii="宋体" w:hAnsi="宋体" w:eastAsia="宋体"/>
          <w:color w:val="000000" w:themeColor="text1"/>
          <w:u w:val="single"/>
        </w:rPr>
        <w:t xml:space="preserve">             </w:t>
      </w:r>
      <w:r>
        <w:rPr>
          <w:rFonts w:ascii="宋体" w:hAnsi="宋体" w:eastAsia="宋体"/>
          <w:color w:val="000000" w:themeColor="text1"/>
        </w:rPr>
        <w:t xml:space="preserve"> </w:t>
      </w:r>
    </w:p>
    <w:p>
      <w:pPr>
        <w:spacing w:after="160" w:line="360" w:lineRule="auto"/>
        <w:ind w:firstLine="480"/>
        <w:rPr>
          <w:rFonts w:ascii="宋体" w:hAnsi="宋体" w:eastAsia="宋体"/>
          <w:color w:val="000000" w:themeColor="text1"/>
          <w:u w:val="single"/>
        </w:rPr>
      </w:pPr>
      <w:r>
        <w:rPr>
          <w:rFonts w:ascii="宋体" w:hAnsi="宋体" w:eastAsia="宋体"/>
          <w:color w:val="000000" w:themeColor="text1"/>
        </w:rPr>
        <w:t>年    龄：</w:t>
      </w:r>
      <w:r>
        <w:rPr>
          <w:rFonts w:ascii="宋体" w:hAnsi="宋体" w:eastAsia="宋体"/>
          <w:color w:val="000000" w:themeColor="text1"/>
          <w:u w:val="single"/>
        </w:rPr>
        <w:t xml:space="preserve">                   </w:t>
      </w:r>
      <w:r>
        <w:rPr>
          <w:rFonts w:ascii="宋体" w:hAnsi="宋体" w:eastAsia="宋体"/>
          <w:color w:val="000000" w:themeColor="text1"/>
        </w:rPr>
        <w:t xml:space="preserve"> 职     务：</w:t>
      </w:r>
      <w:r>
        <w:rPr>
          <w:rFonts w:ascii="宋体" w:hAnsi="宋体" w:eastAsia="宋体"/>
          <w:color w:val="000000" w:themeColor="text1"/>
          <w:u w:val="single"/>
        </w:rPr>
        <w:t xml:space="preserve">             </w:t>
      </w:r>
    </w:p>
    <w:p>
      <w:pPr>
        <w:spacing w:after="160" w:line="360" w:lineRule="auto"/>
        <w:ind w:firstLine="480"/>
        <w:rPr>
          <w:rFonts w:ascii="宋体" w:hAnsi="宋体" w:eastAsia="宋体"/>
          <w:color w:val="000000" w:themeColor="text1"/>
        </w:rPr>
      </w:pPr>
      <w:r>
        <w:rPr>
          <w:rFonts w:hint="eastAsia" w:hAnsi="宋体" w:cs="宋体"/>
          <w:b/>
          <w:bCs/>
          <w:color w:val="000000" w:themeColor="text1"/>
          <w:sz w:val="24"/>
        </w:rPr>
        <w:t>联系电话:</w:t>
      </w:r>
    </w:p>
    <w:p>
      <w:pPr>
        <w:spacing w:after="160" w:line="360" w:lineRule="auto"/>
        <w:ind w:firstLine="480"/>
        <w:rPr>
          <w:rFonts w:ascii="宋体" w:hAnsi="宋体" w:eastAsia="宋体"/>
          <w:color w:val="000000" w:themeColor="text1"/>
        </w:rPr>
      </w:pPr>
      <w:r>
        <w:rPr>
          <w:rFonts w:ascii="宋体" w:hAnsi="宋体" w:eastAsia="宋体"/>
          <w:color w:val="000000" w:themeColor="text1"/>
        </w:rPr>
        <w:t>系</w:t>
      </w:r>
      <w:r>
        <w:rPr>
          <w:rFonts w:ascii="宋体" w:hAnsi="宋体" w:eastAsia="宋体"/>
          <w:color w:val="000000" w:themeColor="text1"/>
          <w:u w:val="single"/>
        </w:rPr>
        <w:t xml:space="preserve">                                        </w:t>
      </w:r>
      <w:r>
        <w:rPr>
          <w:rFonts w:ascii="宋体" w:hAnsi="宋体" w:eastAsia="宋体"/>
          <w:color w:val="000000" w:themeColor="text1"/>
        </w:rPr>
        <w:t xml:space="preserve"> （投标人名称）的法定代表人。</w:t>
      </w:r>
    </w:p>
    <w:p>
      <w:pPr>
        <w:spacing w:after="160" w:line="440" w:lineRule="exact"/>
        <w:ind w:firstLine="480"/>
        <w:rPr>
          <w:rFonts w:ascii="宋体" w:hAnsi="宋体" w:eastAsia="宋体"/>
          <w:color w:val="000000" w:themeColor="text1"/>
        </w:rPr>
      </w:pPr>
      <w:r>
        <w:rPr>
          <w:rFonts w:ascii="宋体" w:hAnsi="宋体" w:eastAsia="宋体"/>
          <w:color w:val="000000" w:themeColor="text1"/>
        </w:rPr>
        <w:t>特此证明。</w:t>
      </w:r>
    </w:p>
    <w:p>
      <w:pPr>
        <w:spacing w:after="160" w:line="440" w:lineRule="exact"/>
        <w:rPr>
          <w:rFonts w:ascii="宋体" w:hAnsi="宋体" w:eastAsia="宋体"/>
          <w:color w:val="000000" w:themeColor="text1"/>
        </w:rPr>
      </w:pPr>
    </w:p>
    <w:p>
      <w:pPr>
        <w:spacing w:after="160" w:line="440" w:lineRule="exact"/>
        <w:rPr>
          <w:rFonts w:ascii="宋体" w:hAnsi="宋体" w:eastAsia="宋体"/>
          <w:color w:val="000000" w:themeColor="text1"/>
        </w:rPr>
      </w:pPr>
    </w:p>
    <w:p>
      <w:pPr>
        <w:spacing w:after="160" w:line="440" w:lineRule="exact"/>
        <w:rPr>
          <w:rFonts w:ascii="宋体" w:hAnsi="宋体" w:eastAsia="宋体"/>
          <w:color w:val="000000" w:themeColor="text1"/>
        </w:rPr>
      </w:pPr>
      <w:r>
        <w:rPr>
          <w:rFonts w:ascii="宋体" w:hAnsi="宋体" w:eastAsia="宋体"/>
          <w:color w:val="000000" w:themeColor="text1"/>
        </w:rPr>
        <w:t xml:space="preserve">                            投标人：</w:t>
      </w:r>
      <w:r>
        <w:rPr>
          <w:rFonts w:ascii="宋体" w:hAnsi="宋体" w:eastAsia="宋体"/>
          <w:color w:val="000000" w:themeColor="text1"/>
          <w:u w:val="single"/>
        </w:rPr>
        <w:t xml:space="preserve">                       </w:t>
      </w:r>
      <w:r>
        <w:rPr>
          <w:rFonts w:ascii="宋体" w:hAnsi="宋体" w:eastAsia="宋体"/>
          <w:color w:val="000000" w:themeColor="text1"/>
        </w:rPr>
        <w:t>（盖单位章）</w:t>
      </w:r>
    </w:p>
    <w:p>
      <w:pPr>
        <w:spacing w:after="160" w:line="440" w:lineRule="exact"/>
        <w:ind w:firstLine="3600"/>
        <w:rPr>
          <w:rFonts w:ascii="宋体" w:hAnsi="宋体" w:eastAsia="宋体"/>
          <w:color w:val="000000" w:themeColor="text1"/>
        </w:rPr>
        <w:sectPr>
          <w:pgSz w:w="11906" w:h="16838"/>
          <w:pgMar w:top="1134" w:right="1134" w:bottom="1134" w:left="1701" w:header="567" w:footer="567" w:gutter="0"/>
          <w:cols w:space="720" w:num="1"/>
          <w:docGrid w:linePitch="326" w:charSpace="0"/>
        </w:sectPr>
      </w:pPr>
      <w:r>
        <w:rPr>
          <w:rFonts w:ascii="宋体" w:hAnsi="宋体" w:eastAsia="宋体"/>
          <w:color w:val="000000" w:themeColor="text1"/>
        </w:rPr>
        <w:t>日期：</w:t>
      </w:r>
      <w:r>
        <w:rPr>
          <w:rFonts w:ascii="宋体" w:hAnsi="宋体" w:eastAsia="宋体"/>
          <w:color w:val="000000" w:themeColor="text1"/>
          <w:u w:val="single"/>
        </w:rPr>
        <w:t xml:space="preserve">       </w:t>
      </w:r>
      <w:r>
        <w:rPr>
          <w:rFonts w:ascii="宋体" w:hAnsi="宋体" w:eastAsia="宋体"/>
          <w:color w:val="000000" w:themeColor="text1"/>
        </w:rPr>
        <w:t>年</w:t>
      </w:r>
      <w:r>
        <w:rPr>
          <w:rFonts w:ascii="宋体" w:hAnsi="宋体" w:eastAsia="宋体"/>
          <w:color w:val="000000" w:themeColor="text1"/>
          <w:u w:val="single"/>
        </w:rPr>
        <w:t xml:space="preserve">       </w:t>
      </w:r>
      <w:r>
        <w:rPr>
          <w:rFonts w:ascii="宋体" w:hAnsi="宋体" w:eastAsia="宋体"/>
          <w:color w:val="000000" w:themeColor="text1"/>
        </w:rPr>
        <w:t>月</w:t>
      </w:r>
      <w:r>
        <w:rPr>
          <w:rFonts w:ascii="宋体" w:hAnsi="宋体" w:eastAsia="宋体"/>
          <w:color w:val="000000" w:themeColor="text1"/>
          <w:u w:val="single"/>
        </w:rPr>
        <w:t xml:space="preserve">       </w:t>
      </w:r>
      <w:r>
        <w:rPr>
          <w:rFonts w:ascii="宋体" w:hAnsi="宋体" w:eastAsia="宋体"/>
          <w:color w:val="000000" w:themeColor="text1"/>
        </w:rPr>
        <w:t xml:space="preserve">日 </w:t>
      </w:r>
    </w:p>
    <w:p>
      <w:pPr>
        <w:pStyle w:val="22"/>
        <w:spacing w:before="240" w:after="240" w:line="360" w:lineRule="auto"/>
        <w:outlineLvl w:val="2"/>
        <w:rPr>
          <w:rFonts w:ascii="宋体" w:hAnsi="宋体" w:eastAsia="宋体"/>
          <w:color w:val="000000" w:themeColor="text1"/>
        </w:rPr>
      </w:pPr>
      <w:bookmarkStart w:id="278" w:name="_Toc6532"/>
      <w:bookmarkStart w:id="279" w:name="_Toc179632812"/>
      <w:bookmarkStart w:id="280" w:name="_Toc25688"/>
      <w:bookmarkStart w:id="281" w:name="_Toc152042581"/>
      <w:bookmarkStart w:id="282" w:name="_Toc17331"/>
      <w:bookmarkStart w:id="283" w:name="_Toc144974861"/>
      <w:bookmarkStart w:id="284" w:name="_Toc29702"/>
      <w:bookmarkStart w:id="285" w:name="_Toc275956221"/>
      <w:bookmarkStart w:id="286" w:name="_Toc2221"/>
      <w:bookmarkStart w:id="287" w:name="_Toc241484771"/>
      <w:bookmarkStart w:id="288" w:name="_Toc152045792"/>
      <w:bookmarkStart w:id="289" w:name="_Toc241459819"/>
      <w:r>
        <w:rPr>
          <w:rFonts w:hint="eastAsia" w:ascii="宋体" w:hAnsi="宋体" w:eastAsia="宋体"/>
          <w:color w:val="000000" w:themeColor="text1"/>
        </w:rPr>
        <w:t>（二）</w:t>
      </w:r>
      <w:r>
        <w:rPr>
          <w:rFonts w:ascii="宋体" w:hAnsi="宋体" w:eastAsia="宋体"/>
          <w:color w:val="000000" w:themeColor="text1"/>
        </w:rPr>
        <w:t>授权委托书</w:t>
      </w:r>
      <w:bookmarkEnd w:id="278"/>
      <w:bookmarkEnd w:id="279"/>
      <w:bookmarkEnd w:id="280"/>
      <w:bookmarkEnd w:id="281"/>
      <w:bookmarkEnd w:id="282"/>
      <w:bookmarkEnd w:id="283"/>
      <w:bookmarkEnd w:id="284"/>
      <w:bookmarkEnd w:id="285"/>
      <w:bookmarkEnd w:id="286"/>
      <w:bookmarkEnd w:id="287"/>
      <w:bookmarkEnd w:id="288"/>
      <w:bookmarkEnd w:id="289"/>
    </w:p>
    <w:p>
      <w:pPr>
        <w:spacing w:after="160" w:line="440" w:lineRule="exact"/>
        <w:rPr>
          <w:rFonts w:ascii="宋体" w:hAnsi="宋体" w:eastAsia="宋体"/>
          <w:color w:val="000000" w:themeColor="text1"/>
        </w:rPr>
      </w:pPr>
    </w:p>
    <w:p>
      <w:pPr>
        <w:spacing w:after="160" w:line="360" w:lineRule="auto"/>
        <w:ind w:firstLine="480"/>
        <w:rPr>
          <w:rFonts w:ascii="宋体" w:hAnsi="宋体" w:eastAsia="宋体"/>
          <w:color w:val="000000" w:themeColor="text1"/>
        </w:rPr>
      </w:pPr>
      <w:r>
        <w:rPr>
          <w:rFonts w:ascii="宋体" w:hAnsi="宋体" w:eastAsia="宋体"/>
          <w:color w:val="000000" w:themeColor="text1"/>
        </w:rPr>
        <w:t>本人</w:t>
      </w:r>
      <w:r>
        <w:rPr>
          <w:rFonts w:ascii="宋体" w:hAnsi="宋体" w:eastAsia="宋体"/>
          <w:color w:val="000000" w:themeColor="text1"/>
          <w:u w:val="single"/>
        </w:rPr>
        <w:t xml:space="preserve">       </w:t>
      </w:r>
      <w:r>
        <w:rPr>
          <w:rFonts w:ascii="宋体" w:hAnsi="宋体" w:eastAsia="宋体"/>
          <w:color w:val="000000" w:themeColor="text1"/>
        </w:rPr>
        <w:t>（姓名）系</w:t>
      </w:r>
      <w:r>
        <w:rPr>
          <w:rFonts w:ascii="宋体" w:hAnsi="宋体" w:eastAsia="宋体"/>
          <w:color w:val="000000" w:themeColor="text1"/>
          <w:u w:val="single"/>
        </w:rPr>
        <w:t xml:space="preserve">        </w:t>
      </w:r>
      <w:r>
        <w:rPr>
          <w:rFonts w:ascii="宋体" w:hAnsi="宋体" w:eastAsia="宋体"/>
          <w:color w:val="000000" w:themeColor="text1"/>
        </w:rPr>
        <w:t>（投标人名称）的法定代表人，现委托</w:t>
      </w:r>
      <w:r>
        <w:rPr>
          <w:rFonts w:ascii="宋体" w:hAnsi="宋体" w:eastAsia="宋体"/>
          <w:color w:val="000000" w:themeColor="text1"/>
          <w:u w:val="single"/>
        </w:rPr>
        <w:t xml:space="preserve">        </w:t>
      </w:r>
      <w:r>
        <w:rPr>
          <w:rFonts w:ascii="宋体" w:hAnsi="宋体" w:eastAsia="宋体"/>
          <w:color w:val="000000" w:themeColor="text1"/>
        </w:rPr>
        <w:t>（姓名）为我方代理人。代理人根据授权，以我方名义签署、澄清、说明、补正、递交、撤回、修改</w:t>
      </w:r>
      <w:r>
        <w:rPr>
          <w:rFonts w:ascii="宋体" w:hAnsi="宋体" w:eastAsia="宋体"/>
          <w:color w:val="000000" w:themeColor="text1"/>
          <w:u w:val="single"/>
        </w:rPr>
        <w:t xml:space="preserve">           </w:t>
      </w:r>
      <w:r>
        <w:rPr>
          <w:rFonts w:ascii="宋体" w:hAnsi="宋体" w:eastAsia="宋体"/>
          <w:color w:val="000000" w:themeColor="text1"/>
        </w:rPr>
        <w:t>（项目名称）投标文件、签订合同和处理有关事宜，其法律后果由我方承担。</w:t>
      </w:r>
    </w:p>
    <w:p>
      <w:pPr>
        <w:spacing w:after="160" w:line="440" w:lineRule="exact"/>
        <w:ind w:firstLine="435"/>
        <w:rPr>
          <w:rFonts w:ascii="宋体" w:hAnsi="宋体" w:eastAsia="宋体"/>
          <w:color w:val="000000" w:themeColor="text1"/>
        </w:rPr>
      </w:pPr>
      <w:r>
        <w:rPr>
          <w:rFonts w:ascii="宋体" w:hAnsi="宋体" w:eastAsia="宋体"/>
          <w:color w:val="000000" w:themeColor="text1"/>
        </w:rPr>
        <w:t>委托期限：</w:t>
      </w:r>
      <w:r>
        <w:rPr>
          <w:rFonts w:ascii="宋体" w:hAnsi="宋体" w:eastAsia="宋体"/>
          <w:color w:val="000000" w:themeColor="text1"/>
          <w:u w:val="single"/>
        </w:rPr>
        <w:t xml:space="preserve">   </w:t>
      </w:r>
      <w:r>
        <w:rPr>
          <w:rFonts w:ascii="宋体" w:hAnsi="宋体" w:eastAsia="宋体"/>
          <w:color w:val="000000" w:themeColor="text1"/>
        </w:rPr>
        <w:t>。</w:t>
      </w:r>
    </w:p>
    <w:p>
      <w:pPr>
        <w:spacing w:after="160" w:line="440" w:lineRule="exact"/>
        <w:ind w:firstLine="480"/>
        <w:rPr>
          <w:rFonts w:ascii="宋体" w:hAnsi="宋体" w:eastAsia="宋体"/>
          <w:color w:val="000000" w:themeColor="text1"/>
        </w:rPr>
      </w:pPr>
    </w:p>
    <w:p>
      <w:pPr>
        <w:spacing w:after="160" w:line="440" w:lineRule="exact"/>
        <w:ind w:firstLine="480"/>
        <w:rPr>
          <w:rFonts w:ascii="宋体" w:hAnsi="宋体" w:eastAsia="宋体"/>
          <w:color w:val="000000" w:themeColor="text1"/>
        </w:rPr>
      </w:pPr>
      <w:r>
        <w:rPr>
          <w:rFonts w:ascii="宋体" w:hAnsi="宋体" w:eastAsia="宋体"/>
          <w:color w:val="000000" w:themeColor="text1"/>
        </w:rPr>
        <w:t>代理人无转委托权。</w:t>
      </w:r>
    </w:p>
    <w:p>
      <w:pPr>
        <w:spacing w:after="160" w:line="440" w:lineRule="exact"/>
        <w:ind w:firstLine="480"/>
        <w:rPr>
          <w:rFonts w:ascii="宋体" w:hAnsi="宋体" w:eastAsia="宋体"/>
          <w:color w:val="000000" w:themeColor="text1"/>
        </w:rPr>
      </w:pPr>
    </w:p>
    <w:p>
      <w:pPr>
        <w:spacing w:after="160" w:line="440" w:lineRule="exact"/>
        <w:ind w:firstLine="480"/>
        <w:rPr>
          <w:rFonts w:ascii="宋体" w:hAnsi="宋体" w:eastAsia="宋体"/>
          <w:color w:val="000000" w:themeColor="text1"/>
        </w:rPr>
      </w:pPr>
      <w:r>
        <w:rPr>
          <w:rFonts w:ascii="宋体" w:hAnsi="宋体" w:eastAsia="宋体"/>
          <w:color w:val="000000" w:themeColor="text1"/>
        </w:rPr>
        <w:t>附：</w:t>
      </w:r>
      <w:r>
        <w:rPr>
          <w:rFonts w:hint="eastAsia" w:ascii="宋体" w:hAnsi="宋体" w:eastAsia="宋体"/>
          <w:b w:val="0"/>
          <w:w w:val="100"/>
          <w:sz w:val="21"/>
          <w:lang w:eastAsia="zh-CN"/>
        </w:rPr>
        <w:t>法定代表人身份证复印件</w:t>
      </w:r>
      <w:r>
        <w:rPr>
          <w:rFonts w:hint="eastAsia" w:ascii="宋体" w:hAnsi="宋体" w:eastAsia="宋体"/>
          <w:b w:val="0"/>
          <w:w w:val="100"/>
          <w:sz w:val="21"/>
          <w:lang w:val="en-US" w:eastAsia="zh-CN"/>
        </w:rPr>
        <w:t>和</w:t>
      </w:r>
      <w:r>
        <w:rPr>
          <w:rFonts w:hint="eastAsia" w:ascii="宋体" w:hAnsi="宋体" w:eastAsia="宋体"/>
          <w:b w:val="0"/>
          <w:w w:val="100"/>
          <w:sz w:val="21"/>
          <w:lang w:eastAsia="zh-CN"/>
        </w:rPr>
        <w:t>委托代理人身份证复印件</w:t>
      </w:r>
    </w:p>
    <w:p>
      <w:pPr>
        <w:spacing w:after="160" w:line="440" w:lineRule="exact"/>
        <w:rPr>
          <w:rFonts w:ascii="宋体" w:hAnsi="宋体" w:eastAsia="宋体"/>
          <w:color w:val="000000" w:themeColor="text1"/>
        </w:rPr>
      </w:pPr>
      <w:r>
        <w:rPr>
          <w:rFonts w:ascii="宋体" w:hAnsi="宋体" w:eastAsia="宋体"/>
          <w:color w:val="000000" w:themeColor="text1"/>
        </w:rPr>
        <w:t>投  标  人：</w:t>
      </w:r>
      <w:r>
        <w:rPr>
          <w:rFonts w:ascii="宋体" w:hAnsi="宋体" w:eastAsia="宋体"/>
          <w:color w:val="000000" w:themeColor="text1"/>
          <w:u w:val="single"/>
        </w:rPr>
        <w:t xml:space="preserve">                            </w:t>
      </w:r>
      <w:r>
        <w:rPr>
          <w:rFonts w:ascii="宋体" w:hAnsi="宋体" w:eastAsia="宋体"/>
          <w:color w:val="000000" w:themeColor="text1"/>
        </w:rPr>
        <w:t>（盖单位章）</w:t>
      </w:r>
    </w:p>
    <w:p>
      <w:pPr>
        <w:spacing w:after="160" w:line="440" w:lineRule="exact"/>
        <w:rPr>
          <w:rFonts w:ascii="宋体" w:hAnsi="宋体" w:eastAsia="宋体"/>
          <w:color w:val="000000" w:themeColor="text1"/>
        </w:rPr>
      </w:pPr>
      <w:r>
        <w:rPr>
          <w:rFonts w:ascii="宋体" w:hAnsi="宋体" w:eastAsia="宋体"/>
          <w:color w:val="000000" w:themeColor="text1"/>
        </w:rPr>
        <w:t>法定代表人：</w:t>
      </w:r>
      <w:r>
        <w:rPr>
          <w:rFonts w:ascii="宋体" w:hAnsi="宋体" w:eastAsia="宋体"/>
          <w:color w:val="000000" w:themeColor="text1"/>
          <w:u w:val="single"/>
        </w:rPr>
        <w:t xml:space="preserve">                               </w:t>
      </w:r>
      <w:r>
        <w:rPr>
          <w:rFonts w:ascii="宋体" w:hAnsi="宋体" w:eastAsia="宋体"/>
          <w:color w:val="000000" w:themeColor="text1"/>
        </w:rPr>
        <w:t>（签字）</w:t>
      </w:r>
    </w:p>
    <w:p>
      <w:pPr>
        <w:spacing w:after="160" w:line="440" w:lineRule="exact"/>
        <w:rPr>
          <w:rFonts w:ascii="宋体" w:hAnsi="宋体" w:eastAsia="宋体"/>
          <w:color w:val="000000" w:themeColor="text1"/>
        </w:rPr>
      </w:pPr>
      <w:r>
        <w:rPr>
          <w:rFonts w:ascii="宋体" w:hAnsi="宋体" w:eastAsia="宋体"/>
          <w:color w:val="000000" w:themeColor="text1"/>
        </w:rPr>
        <w:t>身份证号码：</w:t>
      </w:r>
      <w:r>
        <w:rPr>
          <w:rFonts w:ascii="宋体" w:hAnsi="宋体" w:eastAsia="宋体"/>
          <w:color w:val="000000" w:themeColor="text1"/>
          <w:u w:val="single"/>
        </w:rPr>
        <w:t xml:space="preserve">                                     </w:t>
      </w:r>
    </w:p>
    <w:p>
      <w:pPr>
        <w:spacing w:after="160" w:line="440" w:lineRule="exact"/>
        <w:rPr>
          <w:rFonts w:ascii="宋体" w:hAnsi="宋体" w:eastAsia="宋体"/>
          <w:color w:val="000000" w:themeColor="text1"/>
        </w:rPr>
      </w:pPr>
      <w:r>
        <w:rPr>
          <w:rFonts w:ascii="宋体" w:hAnsi="宋体" w:eastAsia="宋体"/>
          <w:color w:val="000000" w:themeColor="text1"/>
        </w:rPr>
        <w:t>委托代理人：</w:t>
      </w:r>
      <w:r>
        <w:rPr>
          <w:rFonts w:ascii="宋体" w:hAnsi="宋体" w:eastAsia="宋体"/>
          <w:color w:val="000000" w:themeColor="text1"/>
          <w:u w:val="single"/>
        </w:rPr>
        <w:t xml:space="preserve">                                </w:t>
      </w:r>
      <w:r>
        <w:rPr>
          <w:rFonts w:ascii="宋体" w:hAnsi="宋体" w:eastAsia="宋体"/>
          <w:color w:val="000000" w:themeColor="text1"/>
        </w:rPr>
        <w:t xml:space="preserve">（签字） </w:t>
      </w:r>
    </w:p>
    <w:p>
      <w:pPr>
        <w:spacing w:after="160" w:line="440" w:lineRule="exact"/>
        <w:rPr>
          <w:rFonts w:ascii="宋体" w:hAnsi="宋体" w:eastAsia="宋体"/>
          <w:color w:val="000000" w:themeColor="text1"/>
          <w:u w:val="single"/>
        </w:rPr>
      </w:pPr>
      <w:r>
        <w:rPr>
          <w:rFonts w:ascii="宋体" w:hAnsi="宋体" w:eastAsia="宋体"/>
          <w:color w:val="000000" w:themeColor="text1"/>
        </w:rPr>
        <w:t>身份证号码：</w:t>
      </w:r>
      <w:r>
        <w:rPr>
          <w:rFonts w:ascii="宋体" w:hAnsi="宋体" w:eastAsia="宋体"/>
          <w:color w:val="000000" w:themeColor="text1"/>
          <w:u w:val="single"/>
        </w:rPr>
        <w:t xml:space="preserve">                                      </w:t>
      </w:r>
    </w:p>
    <w:p>
      <w:pPr>
        <w:spacing w:after="160" w:line="440" w:lineRule="exact"/>
        <w:rPr>
          <w:rFonts w:ascii="宋体" w:hAnsi="宋体" w:eastAsia="宋体"/>
          <w:color w:val="000000" w:themeColor="text1"/>
        </w:rPr>
      </w:pPr>
      <w:r>
        <w:rPr>
          <w:rFonts w:hint="eastAsia" w:hAnsi="宋体" w:cs="宋体"/>
          <w:b/>
          <w:bCs/>
          <w:color w:val="000000" w:themeColor="text1"/>
          <w:sz w:val="24"/>
        </w:rPr>
        <w:t>联系电话:</w:t>
      </w:r>
    </w:p>
    <w:p>
      <w:pPr>
        <w:spacing w:after="160" w:line="440" w:lineRule="exact"/>
        <w:rPr>
          <w:rFonts w:ascii="宋体" w:hAnsi="宋体" w:eastAsia="宋体"/>
          <w:color w:val="000000" w:themeColor="text1"/>
        </w:rPr>
      </w:pPr>
    </w:p>
    <w:p>
      <w:pPr>
        <w:spacing w:after="160" w:line="440" w:lineRule="exact"/>
        <w:rPr>
          <w:rFonts w:ascii="宋体" w:hAnsi="宋体" w:eastAsia="宋体"/>
          <w:color w:val="000000" w:themeColor="text1"/>
        </w:rPr>
      </w:pPr>
      <w:r>
        <w:rPr>
          <w:rFonts w:ascii="宋体" w:hAnsi="宋体" w:eastAsia="宋体"/>
          <w:color w:val="000000" w:themeColor="text1"/>
          <w:u w:val="single"/>
        </w:rPr>
        <w:t xml:space="preserve">       </w:t>
      </w:r>
      <w:r>
        <w:rPr>
          <w:rFonts w:ascii="宋体" w:hAnsi="宋体" w:eastAsia="宋体"/>
          <w:color w:val="000000" w:themeColor="text1"/>
        </w:rPr>
        <w:t>年</w:t>
      </w:r>
      <w:r>
        <w:rPr>
          <w:rFonts w:ascii="宋体" w:hAnsi="宋体" w:eastAsia="宋体"/>
          <w:color w:val="000000" w:themeColor="text1"/>
          <w:u w:val="single"/>
        </w:rPr>
        <w:t xml:space="preserve">       </w:t>
      </w:r>
      <w:r>
        <w:rPr>
          <w:rFonts w:ascii="宋体" w:hAnsi="宋体" w:eastAsia="宋体"/>
          <w:color w:val="000000" w:themeColor="text1"/>
        </w:rPr>
        <w:t>月</w:t>
      </w:r>
      <w:r>
        <w:rPr>
          <w:rFonts w:ascii="宋体" w:hAnsi="宋体" w:eastAsia="宋体"/>
          <w:color w:val="000000" w:themeColor="text1"/>
          <w:u w:val="single"/>
        </w:rPr>
        <w:t xml:space="preserve">       </w:t>
      </w:r>
      <w:r>
        <w:rPr>
          <w:rFonts w:ascii="宋体" w:hAnsi="宋体" w:eastAsia="宋体"/>
          <w:color w:val="000000" w:themeColor="text1"/>
        </w:rPr>
        <w:t>日</w:t>
      </w:r>
    </w:p>
    <w:p>
      <w:pPr>
        <w:rPr>
          <w:rFonts w:hint="eastAsia" w:ascii="宋体" w:hAnsi="宋体" w:eastAsia="宋体"/>
          <w:color w:val="000000" w:themeColor="text1"/>
        </w:rPr>
      </w:pPr>
      <w:r>
        <w:rPr>
          <w:rFonts w:hint="eastAsia" w:ascii="宋体" w:hAnsi="宋体" w:eastAsia="宋体"/>
          <w:color w:val="000000" w:themeColor="text1"/>
        </w:rPr>
        <w:br w:type="page"/>
      </w:r>
    </w:p>
    <w:p>
      <w:pPr>
        <w:pStyle w:val="22"/>
        <w:spacing w:before="240" w:after="240" w:line="360" w:lineRule="auto"/>
        <w:outlineLvl w:val="2"/>
        <w:rPr>
          <w:rFonts w:ascii="宋体" w:hAnsi="宋体" w:eastAsia="宋体"/>
          <w:color w:val="000000" w:themeColor="text1"/>
        </w:rPr>
      </w:pPr>
      <w:r>
        <w:rPr>
          <w:rFonts w:hint="eastAsia" w:ascii="宋体" w:hAnsi="宋体" w:eastAsia="宋体"/>
          <w:color w:val="000000" w:themeColor="text1"/>
        </w:rPr>
        <w:t>三、</w:t>
      </w:r>
      <w:r>
        <w:rPr>
          <w:rFonts w:ascii="宋体" w:hAnsi="宋体" w:eastAsia="宋体"/>
          <w:color w:val="000000" w:themeColor="text1"/>
        </w:rPr>
        <w:t>投标保证金</w:t>
      </w:r>
    </w:p>
    <w:p>
      <w:pPr>
        <w:numPr>
          <w:ilvl w:val="0"/>
          <w:numId w:val="0"/>
        </w:numPr>
        <w:autoSpaceDE w:val="0"/>
        <w:autoSpaceDN w:val="0"/>
        <w:adjustRightInd w:val="0"/>
        <w:spacing w:line="340" w:lineRule="exact"/>
        <w:rPr>
          <w:rFonts w:hint="default" w:hAnsi="宋体" w:cs="宋体" w:eastAsiaTheme="minorEastAsia"/>
          <w:color w:val="000000" w:themeColor="text1"/>
          <w:sz w:val="24"/>
          <w:lang w:val="en-US" w:eastAsia="zh-CN"/>
        </w:rPr>
      </w:pPr>
      <w:r>
        <w:rPr>
          <w:rFonts w:hint="eastAsia" w:hAnsi="宋体" w:cs="宋体"/>
          <w:color w:val="000000" w:themeColor="text1"/>
          <w:sz w:val="24"/>
          <w:lang w:val="en-US" w:eastAsia="zh-CN"/>
        </w:rPr>
        <w:t>附提交凭证：</w:t>
      </w:r>
    </w:p>
    <w:p>
      <w:pPr>
        <w:numPr>
          <w:ilvl w:val="0"/>
          <w:numId w:val="5"/>
        </w:numPr>
        <w:autoSpaceDE w:val="0"/>
        <w:autoSpaceDN w:val="0"/>
        <w:adjustRightInd w:val="0"/>
        <w:spacing w:line="340" w:lineRule="exact"/>
        <w:ind w:firstLine="480" w:firstLineChars="200"/>
        <w:rPr>
          <w:rFonts w:hint="eastAsia" w:hAnsi="宋体" w:cs="宋体"/>
          <w:color w:val="000000" w:themeColor="text1"/>
          <w:sz w:val="24"/>
          <w:lang w:val="zh-CN"/>
        </w:rPr>
      </w:pPr>
      <w:r>
        <w:rPr>
          <w:rFonts w:hint="eastAsia" w:hAnsi="宋体" w:cs="宋体"/>
          <w:color w:val="000000" w:themeColor="text1"/>
          <w:sz w:val="24"/>
          <w:lang w:val="zh-CN"/>
        </w:rPr>
        <w:t>银行转帐、银行电汇</w:t>
      </w:r>
      <w:r>
        <w:rPr>
          <w:rFonts w:hint="eastAsia" w:hAnsi="宋体" w:eastAsia="Times New Roman" w:cs="宋体"/>
          <w:color w:val="000000" w:themeColor="text1"/>
          <w:sz w:val="24"/>
          <w:lang w:val="zh-CN"/>
        </w:rPr>
        <w:t>方式</w:t>
      </w:r>
      <w:r>
        <w:rPr>
          <w:rFonts w:hint="eastAsia" w:hAnsi="宋体" w:cs="宋体"/>
          <w:color w:val="000000" w:themeColor="text1"/>
          <w:sz w:val="24"/>
          <w:lang w:val="zh-CN"/>
        </w:rPr>
        <w:t>的，于截止时间前通过投标人基本账户将款项一次足额递交、成功绑定，以收款人到账时间为准，在途资金无效。</w:t>
      </w:r>
      <w:r>
        <w:rPr>
          <w:rFonts w:hint="eastAsia" w:hAnsi="宋体" w:cs="宋体"/>
          <w:color w:val="000000" w:themeColor="text1"/>
          <w:sz w:val="24"/>
          <w:lang w:val="en-US" w:eastAsia="zh-CN"/>
        </w:rPr>
        <w:t>附</w:t>
      </w:r>
      <w:r>
        <w:rPr>
          <w:rFonts w:hint="eastAsia" w:hAnsi="宋体" w:cs="宋体"/>
          <w:color w:val="000000" w:themeColor="text1"/>
          <w:sz w:val="24"/>
          <w:szCs w:val="22"/>
          <w:lang w:val="en-US" w:eastAsia="zh-CN"/>
        </w:rPr>
        <w:t>本项目本标段</w:t>
      </w:r>
      <w:r>
        <w:rPr>
          <w:rFonts w:hint="eastAsia" w:hAnsi="宋体" w:cs="宋体"/>
          <w:color w:val="000000" w:themeColor="text1"/>
          <w:sz w:val="24"/>
          <w:szCs w:val="22"/>
          <w:lang w:val="zh-CN" w:eastAsia="zh-CN"/>
        </w:rPr>
        <w:t>“许昌公共资源交易中心保证金缴纳回执”。</w:t>
      </w:r>
    </w:p>
    <w:p>
      <w:pPr>
        <w:numPr>
          <w:ilvl w:val="0"/>
          <w:numId w:val="0"/>
        </w:numPr>
        <w:autoSpaceDE w:val="0"/>
        <w:autoSpaceDN w:val="0"/>
        <w:adjustRightInd w:val="0"/>
        <w:spacing w:line="340" w:lineRule="exact"/>
        <w:ind w:firstLine="480" w:firstLineChars="200"/>
        <w:rPr>
          <w:rFonts w:hAnsi="宋体" w:cs="宋体"/>
          <w:color w:val="000000" w:themeColor="text1"/>
          <w:sz w:val="24"/>
          <w:lang w:val="zh-CN"/>
        </w:rPr>
      </w:pPr>
      <w:r>
        <w:rPr>
          <w:rFonts w:hint="eastAsia" w:hAnsi="宋体" w:cs="宋体"/>
          <w:color w:val="000000" w:themeColor="text1"/>
          <w:sz w:val="24"/>
          <w:lang w:val="zh-CN"/>
        </w:rPr>
        <w:t>2、使用银行保函方式的，银行保函应明确项目名称、项目编号及标段、受益人（招标人）、有效期（不低于本项目投标有效期），银行保函担保金额（不低于本项目本标段投标保证金数额）。附</w:t>
      </w:r>
      <w:r>
        <w:rPr>
          <w:rFonts w:hint="eastAsia" w:hAnsi="宋体" w:cs="宋体"/>
          <w:color w:val="000000" w:themeColor="text1"/>
          <w:sz w:val="24"/>
          <w:lang w:val="en-US" w:eastAsia="zh-CN"/>
        </w:rPr>
        <w:t>真实</w:t>
      </w:r>
      <w:r>
        <w:rPr>
          <w:rFonts w:hint="eastAsia" w:hAnsi="宋体" w:cs="宋体"/>
          <w:color w:val="000000" w:themeColor="text1"/>
          <w:sz w:val="24"/>
          <w:lang w:val="zh-CN"/>
        </w:rPr>
        <w:t>合法的银行保函原件扫描件，否则视为未按</w:t>
      </w:r>
      <w:r>
        <w:rPr>
          <w:rFonts w:hint="eastAsia" w:hAnsi="宋体" w:cs="宋体"/>
          <w:color w:val="000000" w:themeColor="text1"/>
          <w:sz w:val="24"/>
          <w:lang w:val="en-US" w:eastAsia="zh-CN"/>
        </w:rPr>
        <w:t>规定提交</w:t>
      </w:r>
      <w:r>
        <w:rPr>
          <w:rFonts w:hint="eastAsia" w:hAnsi="宋体" w:cs="宋体"/>
          <w:color w:val="000000" w:themeColor="text1"/>
          <w:sz w:val="24"/>
          <w:lang w:val="zh-CN"/>
        </w:rPr>
        <w:t>。</w:t>
      </w:r>
    </w:p>
    <w:p>
      <w:pPr>
        <w:wordWrap w:val="0"/>
        <w:autoSpaceDE w:val="0"/>
        <w:autoSpaceDN w:val="0"/>
        <w:spacing w:line="420" w:lineRule="exact"/>
        <w:ind w:firstLine="480"/>
        <w:jc w:val="center"/>
        <w:rPr>
          <w:rFonts w:hAnsi="宋体" w:eastAsia="宋体"/>
          <w:color w:val="000000" w:themeColor="text1"/>
        </w:rPr>
      </w:pPr>
    </w:p>
    <w:p>
      <w:pPr>
        <w:spacing w:after="160" w:line="360" w:lineRule="auto"/>
        <w:rPr>
          <w:rFonts w:hAnsi="Times New Roman"/>
          <w:color w:val="000000" w:themeColor="text1"/>
        </w:rPr>
      </w:pPr>
      <w:r>
        <w:rPr>
          <w:color w:val="000000" w:themeColor="text1"/>
        </w:rPr>
        <w:br w:type="page"/>
      </w:r>
    </w:p>
    <w:p>
      <w:pPr>
        <w:pStyle w:val="22"/>
        <w:spacing w:before="240" w:after="240" w:line="360" w:lineRule="auto"/>
        <w:outlineLvl w:val="2"/>
        <w:rPr>
          <w:rFonts w:ascii="宋体" w:hAnsi="宋体" w:eastAsia="宋体"/>
          <w:color w:val="000000" w:themeColor="text1"/>
        </w:rPr>
      </w:pPr>
      <w:bookmarkStart w:id="290" w:name="_Toc11497"/>
      <w:bookmarkStart w:id="291" w:name="_Toc3310"/>
      <w:bookmarkStart w:id="292" w:name="_Toc31336"/>
      <w:bookmarkStart w:id="293" w:name="_Toc20471"/>
      <w:bookmarkStart w:id="294" w:name="_Toc1757"/>
      <w:r>
        <w:rPr>
          <w:rFonts w:hint="eastAsia" w:ascii="宋体" w:hAnsi="宋体" w:eastAsia="宋体"/>
          <w:color w:val="000000" w:themeColor="text1"/>
        </w:rPr>
        <w:t>四、</w:t>
      </w:r>
      <w:r>
        <w:rPr>
          <w:rFonts w:ascii="宋体" w:hAnsi="宋体" w:eastAsia="宋体"/>
          <w:color w:val="000000" w:themeColor="text1"/>
        </w:rPr>
        <w:t>《特许经营协议》的响应意见</w:t>
      </w:r>
      <w:bookmarkEnd w:id="290"/>
      <w:bookmarkEnd w:id="291"/>
      <w:bookmarkEnd w:id="292"/>
      <w:bookmarkEnd w:id="293"/>
      <w:bookmarkEnd w:id="294"/>
    </w:p>
    <w:p>
      <w:pPr>
        <w:spacing w:after="160" w:line="360" w:lineRule="auto"/>
        <w:rPr>
          <w:rFonts w:ascii="宋体" w:hAnsi="宋体" w:eastAsia="宋体"/>
          <w:color w:val="000000" w:themeColor="text1"/>
        </w:rPr>
      </w:pPr>
      <w:r>
        <w:rPr>
          <w:rFonts w:ascii="宋体" w:hAnsi="宋体" w:eastAsia="宋体"/>
          <w:color w:val="000000" w:themeColor="text1"/>
        </w:rPr>
        <w:t xml:space="preserve">致：  鄢陵县畜牧局 （招标人名称）  </w:t>
      </w:r>
    </w:p>
    <w:p>
      <w:pPr>
        <w:spacing w:after="160" w:line="360" w:lineRule="auto"/>
        <w:ind w:firstLine="480"/>
        <w:rPr>
          <w:rFonts w:ascii="宋体" w:hAnsi="宋体" w:eastAsia="宋体"/>
          <w:color w:val="000000" w:themeColor="text1"/>
        </w:rPr>
      </w:pPr>
      <w:r>
        <w:rPr>
          <w:rFonts w:ascii="宋体" w:hAnsi="宋体" w:eastAsia="宋体"/>
          <w:color w:val="000000" w:themeColor="text1"/>
        </w:rPr>
        <w:t>为参与贵单位组织的编号</w:t>
      </w:r>
      <w:r>
        <w:rPr>
          <w:rFonts w:ascii="宋体" w:hAnsi="宋体" w:eastAsia="宋体"/>
          <w:color w:val="000000" w:themeColor="text1"/>
          <w:u w:val="single"/>
        </w:rPr>
        <w:t xml:space="preserve">              （招标编号</w:t>
      </w:r>
      <w:r>
        <w:rPr>
          <w:rFonts w:ascii="宋体" w:hAnsi="宋体" w:eastAsia="宋体"/>
          <w:color w:val="000000" w:themeColor="text1"/>
        </w:rPr>
        <w:t>）的</w:t>
      </w:r>
      <w:r>
        <w:rPr>
          <w:rFonts w:ascii="宋体" w:hAnsi="宋体" w:eastAsia="宋体"/>
          <w:color w:val="000000" w:themeColor="text1"/>
          <w:u w:val="single"/>
        </w:rPr>
        <w:t>鄢陵县畜禽粪污资源化利用整县推进特许经营项目</w:t>
      </w:r>
      <w:r>
        <w:rPr>
          <w:rFonts w:ascii="宋体" w:hAnsi="宋体" w:eastAsia="宋体"/>
          <w:color w:val="000000" w:themeColor="text1"/>
        </w:rPr>
        <w:t>，我单位仔细阅读了招标文件中《特许经营协议》的各项条款。</w:t>
      </w:r>
    </w:p>
    <w:p>
      <w:pPr>
        <w:spacing w:after="160" w:line="360" w:lineRule="auto"/>
        <w:rPr>
          <w:rFonts w:ascii="宋体" w:hAnsi="宋体" w:eastAsia="宋体"/>
          <w:color w:val="000000" w:themeColor="text1"/>
        </w:rPr>
      </w:pPr>
      <w:r>
        <w:rPr>
          <w:rFonts w:ascii="宋体" w:hAnsi="宋体" w:eastAsia="宋体"/>
          <w:color w:val="000000" w:themeColor="text1"/>
        </w:rPr>
        <w:t xml:space="preserve">    我单位完全接受贵单位所制订的《特许经营协议》。我单位并承诺，如果中标，我单位将无条件与贵单位签署《特许经营协议》。</w:t>
      </w:r>
    </w:p>
    <w:p>
      <w:pPr>
        <w:spacing w:after="160" w:line="360" w:lineRule="auto"/>
        <w:rPr>
          <w:rFonts w:ascii="宋体" w:hAnsi="宋体" w:eastAsia="宋体"/>
          <w:color w:val="000000" w:themeColor="text1"/>
        </w:rPr>
      </w:pPr>
      <w:r>
        <w:rPr>
          <w:rFonts w:ascii="宋体" w:hAnsi="宋体" w:eastAsia="宋体"/>
          <w:color w:val="000000" w:themeColor="text1"/>
        </w:rPr>
        <w:t xml:space="preserve"> </w:t>
      </w:r>
    </w:p>
    <w:p>
      <w:pPr>
        <w:spacing w:after="160" w:line="360" w:lineRule="auto"/>
        <w:rPr>
          <w:rFonts w:ascii="宋体" w:hAnsi="宋体" w:eastAsia="宋体"/>
          <w:color w:val="000000" w:themeColor="text1"/>
        </w:rPr>
      </w:pPr>
      <w:r>
        <w:rPr>
          <w:rFonts w:ascii="宋体" w:hAnsi="宋体" w:eastAsia="宋体"/>
          <w:color w:val="000000" w:themeColor="text1"/>
        </w:rPr>
        <w:t>投标人牵头人全称（公章）：</w:t>
      </w:r>
    </w:p>
    <w:p>
      <w:pPr>
        <w:spacing w:after="160" w:line="360" w:lineRule="auto"/>
        <w:rPr>
          <w:rFonts w:ascii="宋体" w:hAnsi="宋体" w:eastAsia="宋体"/>
          <w:color w:val="000000" w:themeColor="text1"/>
        </w:rPr>
      </w:pPr>
    </w:p>
    <w:p>
      <w:pPr>
        <w:spacing w:after="160" w:line="360" w:lineRule="auto"/>
        <w:rPr>
          <w:rFonts w:ascii="宋体" w:hAnsi="宋体" w:eastAsia="宋体"/>
          <w:color w:val="000000" w:themeColor="text1"/>
        </w:rPr>
      </w:pPr>
      <w:r>
        <w:rPr>
          <w:rFonts w:ascii="宋体" w:hAnsi="宋体" w:eastAsia="宋体"/>
          <w:color w:val="000000" w:themeColor="text1"/>
        </w:rPr>
        <w:t>法定代表人或授权委托人（签字）：</w:t>
      </w:r>
    </w:p>
    <w:p>
      <w:pPr>
        <w:spacing w:after="160" w:line="360" w:lineRule="auto"/>
        <w:rPr>
          <w:rFonts w:ascii="宋体" w:hAnsi="宋体" w:eastAsia="宋体"/>
          <w:color w:val="000000" w:themeColor="text1"/>
        </w:rPr>
      </w:pPr>
      <w:r>
        <w:rPr>
          <w:rFonts w:ascii="宋体" w:hAnsi="宋体" w:eastAsia="宋体"/>
          <w:color w:val="000000" w:themeColor="text1"/>
        </w:rPr>
        <w:t xml:space="preserve">                                                                                   日期：  年    月    日</w:t>
      </w:r>
    </w:p>
    <w:p>
      <w:pPr>
        <w:pStyle w:val="22"/>
        <w:spacing w:before="240" w:after="240" w:line="360" w:lineRule="auto"/>
        <w:outlineLvl w:val="2"/>
        <w:rPr>
          <w:rFonts w:ascii="宋体" w:hAnsi="宋体" w:eastAsia="宋体"/>
          <w:color w:val="000000" w:themeColor="text1"/>
        </w:rPr>
      </w:pPr>
      <w:r>
        <w:rPr>
          <w:color w:val="000000" w:themeColor="text1"/>
        </w:rPr>
        <w:br w:type="page"/>
      </w:r>
      <w:bookmarkStart w:id="295" w:name="_Toc27573"/>
      <w:bookmarkStart w:id="296" w:name="_Toc18212"/>
      <w:bookmarkStart w:id="297" w:name="_Toc152042597"/>
      <w:bookmarkStart w:id="298" w:name="_Toc17445"/>
      <w:bookmarkStart w:id="299" w:name="_Toc22307"/>
      <w:bookmarkStart w:id="300" w:name="_Toc241459836"/>
      <w:bookmarkStart w:id="301" w:name="_Toc241484788"/>
      <w:bookmarkStart w:id="302" w:name="_Toc275956239"/>
      <w:bookmarkStart w:id="303" w:name="_Toc179632828"/>
      <w:bookmarkStart w:id="304" w:name="_Toc3254"/>
      <w:bookmarkStart w:id="305" w:name="_Toc144974876"/>
      <w:bookmarkStart w:id="306" w:name="_Toc152045808"/>
      <w:r>
        <w:rPr>
          <w:rFonts w:hint="eastAsia" w:ascii="宋体" w:hAnsi="宋体" w:eastAsia="宋体"/>
          <w:color w:val="000000" w:themeColor="text1"/>
        </w:rPr>
        <w:t>五、</w:t>
      </w:r>
      <w:r>
        <w:rPr>
          <w:rFonts w:ascii="宋体" w:hAnsi="宋体" w:eastAsia="宋体"/>
          <w:color w:val="000000" w:themeColor="text1"/>
        </w:rPr>
        <w:t>投标人基本情况表</w:t>
      </w:r>
      <w:bookmarkEnd w:id="295"/>
      <w:bookmarkEnd w:id="296"/>
      <w:bookmarkEnd w:id="297"/>
      <w:bookmarkEnd w:id="298"/>
      <w:bookmarkEnd w:id="299"/>
      <w:bookmarkEnd w:id="300"/>
      <w:bookmarkEnd w:id="301"/>
      <w:bookmarkEnd w:id="302"/>
      <w:bookmarkEnd w:id="303"/>
      <w:bookmarkEnd w:id="304"/>
      <w:bookmarkEnd w:id="305"/>
      <w:bookmarkEnd w:id="306"/>
    </w:p>
    <w:tbl>
      <w:tblPr>
        <w:tblStyle w:val="30"/>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728"/>
        <w:gridCol w:w="1176"/>
        <w:gridCol w:w="673"/>
        <w:gridCol w:w="840"/>
        <w:gridCol w:w="420"/>
        <w:gridCol w:w="311"/>
        <w:gridCol w:w="1078"/>
        <w:gridCol w:w="490"/>
        <w:gridCol w:w="860"/>
        <w:gridCol w:w="992"/>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1" w:hRule="atLeast"/>
          <w:jc w:val="center"/>
        </w:trPr>
        <w:tc>
          <w:tcPr>
            <w:tcW w:w="1728" w:type="dxa"/>
            <w:tcBorders>
              <w:top w:val="single" w:color="auto" w:sz="4" w:space="0"/>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rPr>
            </w:pPr>
            <w:r>
              <w:rPr>
                <w:rFonts w:ascii="宋体" w:hAnsi="宋体" w:eastAsia="宋体"/>
                <w:color w:val="000000" w:themeColor="text1"/>
              </w:rPr>
              <w:t>投标人名称</w:t>
            </w:r>
          </w:p>
        </w:tc>
        <w:tc>
          <w:tcPr>
            <w:tcW w:w="6840" w:type="dxa"/>
            <w:gridSpan w:val="9"/>
            <w:tcBorders>
              <w:top w:val="single" w:color="auto" w:sz="4" w:space="0"/>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11" w:hRule="atLeast"/>
          <w:jc w:val="center"/>
        </w:trPr>
        <w:tc>
          <w:tcPr>
            <w:tcW w:w="1728" w:type="dxa"/>
            <w:tcBorders>
              <w:top w:val="single" w:color="auto" w:sz="4" w:space="0"/>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rPr>
            </w:pPr>
            <w:r>
              <w:rPr>
                <w:rFonts w:ascii="宋体" w:hAnsi="宋体" w:eastAsia="宋体"/>
                <w:color w:val="000000" w:themeColor="text1"/>
              </w:rPr>
              <w:t>注册地址</w:t>
            </w:r>
          </w:p>
        </w:tc>
        <w:tc>
          <w:tcPr>
            <w:tcW w:w="3420" w:type="dxa"/>
            <w:gridSpan w:val="5"/>
            <w:tcBorders>
              <w:top w:val="single" w:color="auto" w:sz="4" w:space="0"/>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rPr>
            </w:pPr>
          </w:p>
        </w:tc>
        <w:tc>
          <w:tcPr>
            <w:tcW w:w="1078" w:type="dxa"/>
            <w:tcBorders>
              <w:top w:val="single" w:color="auto" w:sz="4" w:space="0"/>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rPr>
            </w:pPr>
            <w:r>
              <w:rPr>
                <w:rFonts w:ascii="宋体" w:hAnsi="宋体" w:eastAsia="宋体"/>
                <w:color w:val="000000" w:themeColor="text1"/>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cantSplit/>
          <w:trHeight w:val="605" w:hRule="atLeast"/>
          <w:jc w:val="center"/>
        </w:trPr>
        <w:tc>
          <w:tcPr>
            <w:tcW w:w="1728" w:type="dxa"/>
            <w:vMerge w:val="restart"/>
            <w:tcBorders>
              <w:top w:val="single" w:color="auto" w:sz="4" w:space="0"/>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rPr>
            </w:pPr>
            <w:r>
              <w:rPr>
                <w:rFonts w:ascii="宋体" w:hAnsi="宋体" w:eastAsia="宋体"/>
                <w:color w:val="000000" w:themeColor="text1"/>
              </w:rPr>
              <w:t>联系方式</w:t>
            </w:r>
          </w:p>
        </w:tc>
        <w:tc>
          <w:tcPr>
            <w:tcW w:w="1176" w:type="dxa"/>
            <w:tcBorders>
              <w:top w:val="single" w:color="auto" w:sz="4" w:space="0"/>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rPr>
            </w:pPr>
            <w:r>
              <w:rPr>
                <w:rFonts w:ascii="宋体" w:hAnsi="宋体" w:eastAsia="宋体"/>
                <w:color w:val="000000" w:themeColor="text1"/>
              </w:rPr>
              <w:t>联系人</w:t>
            </w:r>
          </w:p>
        </w:tc>
        <w:tc>
          <w:tcPr>
            <w:tcW w:w="2244" w:type="dxa"/>
            <w:gridSpan w:val="4"/>
            <w:tcBorders>
              <w:top w:val="single" w:color="auto" w:sz="4" w:space="0"/>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rPr>
            </w:pPr>
          </w:p>
        </w:tc>
        <w:tc>
          <w:tcPr>
            <w:tcW w:w="1078" w:type="dxa"/>
            <w:tcBorders>
              <w:top w:val="single" w:color="auto" w:sz="4" w:space="0"/>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rPr>
            </w:pPr>
            <w:r>
              <w:rPr>
                <w:rFonts w:ascii="宋体" w:hAnsi="宋体" w:eastAsia="宋体"/>
                <w:color w:val="000000" w:themeColor="text1"/>
              </w:rPr>
              <w:t>电 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cantSplit/>
          <w:trHeight w:val="613" w:hRule="atLeast"/>
          <w:jc w:val="center"/>
        </w:trPr>
        <w:tc>
          <w:tcPr>
            <w:tcW w:w="1728"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176" w:type="dxa"/>
            <w:tcBorders>
              <w:top w:val="single" w:color="auto" w:sz="4" w:space="0"/>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rPr>
            </w:pPr>
            <w:r>
              <w:rPr>
                <w:rFonts w:ascii="宋体" w:hAnsi="宋体" w:eastAsia="宋体"/>
                <w:color w:val="000000" w:themeColor="text1"/>
              </w:rPr>
              <w:t>传  真</w:t>
            </w:r>
          </w:p>
        </w:tc>
        <w:tc>
          <w:tcPr>
            <w:tcW w:w="2244" w:type="dxa"/>
            <w:gridSpan w:val="4"/>
            <w:tcBorders>
              <w:top w:val="single" w:color="auto" w:sz="4" w:space="0"/>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rPr>
            </w:pPr>
          </w:p>
        </w:tc>
        <w:tc>
          <w:tcPr>
            <w:tcW w:w="1078" w:type="dxa"/>
            <w:tcBorders>
              <w:top w:val="single" w:color="auto" w:sz="4" w:space="0"/>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rPr>
            </w:pPr>
            <w:r>
              <w:rPr>
                <w:rFonts w:ascii="宋体" w:hAnsi="宋体" w:eastAsia="宋体"/>
                <w:color w:val="000000" w:themeColor="text1"/>
              </w:rPr>
              <w:t>网 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14" w:hRule="atLeast"/>
          <w:jc w:val="center"/>
        </w:trPr>
        <w:tc>
          <w:tcPr>
            <w:tcW w:w="1728" w:type="dxa"/>
            <w:tcBorders>
              <w:top w:val="single" w:color="auto" w:sz="4" w:space="0"/>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rPr>
            </w:pPr>
            <w:r>
              <w:rPr>
                <w:rFonts w:ascii="宋体" w:hAnsi="宋体" w:eastAsia="宋体"/>
                <w:color w:val="000000" w:themeColor="text1"/>
              </w:rPr>
              <w:t>组织结构</w:t>
            </w:r>
          </w:p>
        </w:tc>
        <w:tc>
          <w:tcPr>
            <w:tcW w:w="6840" w:type="dxa"/>
            <w:gridSpan w:val="9"/>
            <w:tcBorders>
              <w:top w:val="single" w:color="auto" w:sz="4" w:space="0"/>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08" w:hRule="atLeast"/>
          <w:jc w:val="center"/>
        </w:trPr>
        <w:tc>
          <w:tcPr>
            <w:tcW w:w="1728" w:type="dxa"/>
            <w:tcBorders>
              <w:top w:val="single" w:color="auto" w:sz="4" w:space="0"/>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rPr>
            </w:pPr>
            <w:r>
              <w:rPr>
                <w:rFonts w:ascii="宋体" w:hAnsi="宋体" w:eastAsia="宋体"/>
                <w:color w:val="000000" w:themeColor="text1"/>
              </w:rPr>
              <w:t>法定代表人</w:t>
            </w:r>
          </w:p>
        </w:tc>
        <w:tc>
          <w:tcPr>
            <w:tcW w:w="1176" w:type="dxa"/>
            <w:tcBorders>
              <w:top w:val="single" w:color="auto" w:sz="4" w:space="0"/>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rPr>
            </w:pPr>
            <w:r>
              <w:rPr>
                <w:rFonts w:ascii="宋体" w:hAnsi="宋体" w:eastAsia="宋体"/>
                <w:color w:val="000000" w:themeColor="text1"/>
              </w:rPr>
              <w:t>姓名</w:t>
            </w:r>
          </w:p>
        </w:tc>
        <w:tc>
          <w:tcPr>
            <w:tcW w:w="673" w:type="dxa"/>
            <w:tcBorders>
              <w:top w:val="single" w:color="auto" w:sz="4" w:space="0"/>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rPr>
            </w:pPr>
          </w:p>
        </w:tc>
        <w:tc>
          <w:tcPr>
            <w:tcW w:w="1260" w:type="dxa"/>
            <w:gridSpan w:val="2"/>
            <w:tcBorders>
              <w:top w:val="single" w:color="auto" w:sz="4" w:space="0"/>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rPr>
            </w:pPr>
            <w:r>
              <w:rPr>
                <w:rFonts w:ascii="宋体" w:hAnsi="宋体" w:eastAsia="宋体"/>
                <w:color w:val="000000" w:themeColor="text1"/>
              </w:rPr>
              <w:t>技术职称</w:t>
            </w:r>
          </w:p>
        </w:tc>
        <w:tc>
          <w:tcPr>
            <w:tcW w:w="1879" w:type="dxa"/>
            <w:gridSpan w:val="3"/>
            <w:tcBorders>
              <w:top w:val="single" w:color="auto" w:sz="4" w:space="0"/>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rPr>
            </w:pPr>
          </w:p>
        </w:tc>
        <w:tc>
          <w:tcPr>
            <w:tcW w:w="860" w:type="dxa"/>
            <w:tcBorders>
              <w:top w:val="single" w:color="auto" w:sz="4" w:space="0"/>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rPr>
            </w:pPr>
            <w:r>
              <w:rPr>
                <w:rFonts w:ascii="宋体" w:hAnsi="宋体" w:eastAsia="宋体"/>
                <w:color w:val="000000" w:themeColor="text1"/>
              </w:rPr>
              <w:t>电话</w:t>
            </w:r>
          </w:p>
        </w:tc>
        <w:tc>
          <w:tcPr>
            <w:tcW w:w="992" w:type="dxa"/>
            <w:tcBorders>
              <w:top w:val="single" w:color="auto" w:sz="4" w:space="0"/>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02" w:hRule="atLeast"/>
          <w:jc w:val="center"/>
        </w:trPr>
        <w:tc>
          <w:tcPr>
            <w:tcW w:w="1728" w:type="dxa"/>
            <w:tcBorders>
              <w:top w:val="single" w:color="auto" w:sz="4" w:space="0"/>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rPr>
            </w:pPr>
            <w:r>
              <w:rPr>
                <w:rFonts w:ascii="宋体" w:hAnsi="宋体" w:eastAsia="宋体"/>
                <w:color w:val="000000" w:themeColor="text1"/>
              </w:rPr>
              <w:t>技术负责人</w:t>
            </w:r>
          </w:p>
        </w:tc>
        <w:tc>
          <w:tcPr>
            <w:tcW w:w="1176" w:type="dxa"/>
            <w:tcBorders>
              <w:top w:val="single" w:color="auto" w:sz="4" w:space="0"/>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rPr>
            </w:pPr>
            <w:r>
              <w:rPr>
                <w:rFonts w:ascii="宋体" w:hAnsi="宋体" w:eastAsia="宋体"/>
                <w:color w:val="000000" w:themeColor="text1"/>
              </w:rPr>
              <w:t>姓名</w:t>
            </w:r>
          </w:p>
        </w:tc>
        <w:tc>
          <w:tcPr>
            <w:tcW w:w="673" w:type="dxa"/>
            <w:tcBorders>
              <w:top w:val="single" w:color="auto" w:sz="4" w:space="0"/>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rPr>
            </w:pPr>
          </w:p>
        </w:tc>
        <w:tc>
          <w:tcPr>
            <w:tcW w:w="1260" w:type="dxa"/>
            <w:gridSpan w:val="2"/>
            <w:tcBorders>
              <w:top w:val="single" w:color="auto" w:sz="4" w:space="0"/>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rPr>
            </w:pPr>
            <w:r>
              <w:rPr>
                <w:rFonts w:ascii="宋体" w:hAnsi="宋体" w:eastAsia="宋体"/>
                <w:color w:val="000000" w:themeColor="text1"/>
              </w:rPr>
              <w:t>技术职称</w:t>
            </w:r>
          </w:p>
        </w:tc>
        <w:tc>
          <w:tcPr>
            <w:tcW w:w="1879" w:type="dxa"/>
            <w:gridSpan w:val="3"/>
            <w:tcBorders>
              <w:top w:val="single" w:color="auto" w:sz="4" w:space="0"/>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rPr>
            </w:pPr>
          </w:p>
        </w:tc>
        <w:tc>
          <w:tcPr>
            <w:tcW w:w="860" w:type="dxa"/>
            <w:tcBorders>
              <w:top w:val="single" w:color="auto" w:sz="4" w:space="0"/>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rPr>
            </w:pPr>
            <w:r>
              <w:rPr>
                <w:rFonts w:ascii="宋体" w:hAnsi="宋体" w:eastAsia="宋体"/>
                <w:color w:val="000000" w:themeColor="text1"/>
              </w:rPr>
              <w:t>电话</w:t>
            </w:r>
          </w:p>
        </w:tc>
        <w:tc>
          <w:tcPr>
            <w:tcW w:w="992" w:type="dxa"/>
            <w:tcBorders>
              <w:top w:val="single" w:color="auto" w:sz="4" w:space="0"/>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728" w:type="dxa"/>
            <w:tcBorders>
              <w:top w:val="single" w:color="auto" w:sz="4" w:space="0"/>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rPr>
            </w:pPr>
            <w:r>
              <w:rPr>
                <w:rFonts w:ascii="宋体" w:hAnsi="宋体" w:eastAsia="宋体"/>
                <w:color w:val="000000" w:themeColor="text1"/>
              </w:rPr>
              <w:t>成立时间</w:t>
            </w:r>
          </w:p>
        </w:tc>
        <w:tc>
          <w:tcPr>
            <w:tcW w:w="1849" w:type="dxa"/>
            <w:gridSpan w:val="2"/>
            <w:tcBorders>
              <w:top w:val="single" w:color="auto" w:sz="4" w:space="0"/>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rPr>
            </w:pPr>
          </w:p>
        </w:tc>
        <w:tc>
          <w:tcPr>
            <w:tcW w:w="4991" w:type="dxa"/>
            <w:gridSpan w:val="7"/>
            <w:tcBorders>
              <w:top w:val="single" w:color="auto" w:sz="4" w:space="0"/>
              <w:left w:val="single" w:color="auto" w:sz="4" w:space="0"/>
              <w:bottom w:val="single" w:color="auto" w:sz="4" w:space="0"/>
              <w:right w:val="single" w:color="auto" w:sz="4" w:space="0"/>
            </w:tcBorders>
            <w:vAlign w:val="center"/>
          </w:tcPr>
          <w:p>
            <w:pPr>
              <w:spacing w:after="160"/>
              <w:ind w:firstLine="120"/>
              <w:jc w:val="center"/>
              <w:rPr>
                <w:rFonts w:ascii="宋体" w:hAnsi="宋体" w:eastAsia="宋体"/>
                <w:color w:val="000000" w:themeColor="text1"/>
              </w:rPr>
            </w:pPr>
            <w:r>
              <w:rPr>
                <w:rFonts w:ascii="宋体" w:hAnsi="宋体" w:eastAsia="宋体"/>
                <w:color w:val="000000" w:themeColor="text1"/>
              </w:rPr>
              <w:t>员工总人数：</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cantSplit/>
          <w:trHeight w:val="658" w:hRule="atLeast"/>
          <w:jc w:val="center"/>
        </w:trPr>
        <w:tc>
          <w:tcPr>
            <w:tcW w:w="1728" w:type="dxa"/>
            <w:tcBorders>
              <w:top w:val="single" w:color="auto" w:sz="4" w:space="0"/>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rPr>
            </w:pPr>
            <w:r>
              <w:rPr>
                <w:rFonts w:ascii="宋体" w:hAnsi="宋体" w:eastAsia="宋体"/>
                <w:color w:val="000000" w:themeColor="text1"/>
              </w:rPr>
              <w:t>企业资质等级</w:t>
            </w:r>
          </w:p>
        </w:tc>
        <w:tc>
          <w:tcPr>
            <w:tcW w:w="1849" w:type="dxa"/>
            <w:gridSpan w:val="2"/>
            <w:tcBorders>
              <w:top w:val="single" w:color="auto" w:sz="4" w:space="0"/>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rPr>
            </w:pPr>
          </w:p>
        </w:tc>
        <w:tc>
          <w:tcPr>
            <w:tcW w:w="840" w:type="dxa"/>
            <w:vMerge w:val="restart"/>
            <w:tcBorders>
              <w:top w:val="single" w:color="auto" w:sz="4" w:space="0"/>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rPr>
            </w:pPr>
            <w:r>
              <w:rPr>
                <w:rFonts w:ascii="宋体" w:hAnsi="宋体" w:eastAsia="宋体"/>
                <w:color w:val="000000" w:themeColor="text1"/>
              </w:rPr>
              <w:t>其中</w:t>
            </w:r>
          </w:p>
        </w:tc>
        <w:tc>
          <w:tcPr>
            <w:tcW w:w="2299" w:type="dxa"/>
            <w:gridSpan w:val="4"/>
            <w:tcBorders>
              <w:top w:val="single" w:color="auto" w:sz="4" w:space="0"/>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rPr>
            </w:pPr>
            <w:r>
              <w:rPr>
                <w:rFonts w:ascii="宋体" w:hAnsi="宋体" w:eastAsia="宋体"/>
                <w:color w:val="000000" w:themeColor="text1"/>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cantSplit/>
          <w:trHeight w:val="610" w:hRule="atLeast"/>
          <w:jc w:val="center"/>
        </w:trPr>
        <w:tc>
          <w:tcPr>
            <w:tcW w:w="1728" w:type="dxa"/>
            <w:tcBorders>
              <w:top w:val="single" w:color="auto" w:sz="4" w:space="0"/>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rPr>
            </w:pPr>
            <w:r>
              <w:rPr>
                <w:rFonts w:ascii="宋体" w:hAnsi="宋体" w:eastAsia="宋体"/>
                <w:color w:val="000000" w:themeColor="text1"/>
              </w:rPr>
              <w:t>营业执照号</w:t>
            </w:r>
          </w:p>
        </w:tc>
        <w:tc>
          <w:tcPr>
            <w:tcW w:w="1849" w:type="dxa"/>
            <w:gridSpan w:val="2"/>
            <w:tcBorders>
              <w:top w:val="single" w:color="auto" w:sz="4" w:space="0"/>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rPr>
            </w:pPr>
          </w:p>
        </w:tc>
        <w:tc>
          <w:tcPr>
            <w:tcW w:w="840"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299" w:type="dxa"/>
            <w:gridSpan w:val="4"/>
            <w:tcBorders>
              <w:top w:val="single" w:color="auto" w:sz="4" w:space="0"/>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rPr>
            </w:pPr>
            <w:r>
              <w:rPr>
                <w:rFonts w:ascii="宋体" w:hAnsi="宋体" w:eastAsia="宋体"/>
                <w:color w:val="000000" w:themeColor="text1"/>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cantSplit/>
          <w:trHeight w:val="604" w:hRule="atLeast"/>
          <w:jc w:val="center"/>
        </w:trPr>
        <w:tc>
          <w:tcPr>
            <w:tcW w:w="1728" w:type="dxa"/>
            <w:tcBorders>
              <w:top w:val="single" w:color="auto" w:sz="4" w:space="0"/>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rPr>
            </w:pPr>
            <w:r>
              <w:rPr>
                <w:rFonts w:ascii="宋体" w:hAnsi="宋体" w:eastAsia="宋体"/>
                <w:color w:val="000000" w:themeColor="text1"/>
              </w:rPr>
              <w:t>注册资金</w:t>
            </w:r>
          </w:p>
        </w:tc>
        <w:tc>
          <w:tcPr>
            <w:tcW w:w="1849" w:type="dxa"/>
            <w:gridSpan w:val="2"/>
            <w:tcBorders>
              <w:top w:val="single" w:color="auto" w:sz="4" w:space="0"/>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rPr>
            </w:pPr>
          </w:p>
        </w:tc>
        <w:tc>
          <w:tcPr>
            <w:tcW w:w="840"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299" w:type="dxa"/>
            <w:gridSpan w:val="4"/>
            <w:tcBorders>
              <w:top w:val="single" w:color="auto" w:sz="4" w:space="0"/>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rPr>
            </w:pPr>
            <w:r>
              <w:rPr>
                <w:rFonts w:ascii="宋体" w:hAnsi="宋体" w:eastAsia="宋体"/>
                <w:color w:val="000000" w:themeColor="text1"/>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cantSplit/>
          <w:trHeight w:val="626" w:hRule="atLeast"/>
          <w:jc w:val="center"/>
        </w:trPr>
        <w:tc>
          <w:tcPr>
            <w:tcW w:w="1728" w:type="dxa"/>
            <w:tcBorders>
              <w:top w:val="single" w:color="auto" w:sz="4" w:space="0"/>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rPr>
            </w:pPr>
            <w:r>
              <w:rPr>
                <w:rFonts w:ascii="宋体" w:hAnsi="宋体" w:eastAsia="宋体"/>
                <w:color w:val="000000" w:themeColor="text1"/>
              </w:rPr>
              <w:t>开户银行</w:t>
            </w:r>
          </w:p>
        </w:tc>
        <w:tc>
          <w:tcPr>
            <w:tcW w:w="1849" w:type="dxa"/>
            <w:gridSpan w:val="2"/>
            <w:tcBorders>
              <w:top w:val="single" w:color="auto" w:sz="4" w:space="0"/>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rPr>
            </w:pPr>
          </w:p>
        </w:tc>
        <w:tc>
          <w:tcPr>
            <w:tcW w:w="840"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299" w:type="dxa"/>
            <w:gridSpan w:val="4"/>
            <w:tcBorders>
              <w:top w:val="single" w:color="auto" w:sz="4" w:space="0"/>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rPr>
            </w:pPr>
            <w:r>
              <w:rPr>
                <w:rFonts w:ascii="宋体" w:hAnsi="宋体" w:eastAsia="宋体"/>
                <w:color w:val="000000" w:themeColor="text1"/>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cantSplit/>
          <w:trHeight w:val="606" w:hRule="atLeast"/>
          <w:jc w:val="center"/>
        </w:trPr>
        <w:tc>
          <w:tcPr>
            <w:tcW w:w="1728" w:type="dxa"/>
            <w:tcBorders>
              <w:top w:val="single" w:color="auto" w:sz="4" w:space="0"/>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rPr>
            </w:pPr>
            <w:r>
              <w:rPr>
                <w:rFonts w:ascii="宋体" w:hAnsi="宋体" w:eastAsia="宋体"/>
                <w:color w:val="000000" w:themeColor="text1"/>
              </w:rPr>
              <w:t>账号</w:t>
            </w:r>
          </w:p>
        </w:tc>
        <w:tc>
          <w:tcPr>
            <w:tcW w:w="1849" w:type="dxa"/>
            <w:gridSpan w:val="2"/>
            <w:tcBorders>
              <w:top w:val="single" w:color="auto" w:sz="4" w:space="0"/>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rPr>
            </w:pPr>
          </w:p>
        </w:tc>
        <w:tc>
          <w:tcPr>
            <w:tcW w:w="840"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299" w:type="dxa"/>
            <w:gridSpan w:val="4"/>
            <w:tcBorders>
              <w:top w:val="single" w:color="auto" w:sz="4" w:space="0"/>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rPr>
            </w:pPr>
            <w:r>
              <w:rPr>
                <w:rFonts w:ascii="宋体" w:hAnsi="宋体" w:eastAsia="宋体"/>
                <w:color w:val="000000" w:themeColor="text1"/>
              </w:rPr>
              <w:t>技  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1164" w:hRule="atLeast"/>
          <w:jc w:val="center"/>
        </w:trPr>
        <w:tc>
          <w:tcPr>
            <w:tcW w:w="1728" w:type="dxa"/>
            <w:tcBorders>
              <w:top w:val="single" w:color="auto" w:sz="4" w:space="0"/>
              <w:left w:val="single" w:color="auto" w:sz="4" w:space="0"/>
              <w:right w:val="single" w:color="auto" w:sz="4" w:space="0"/>
            </w:tcBorders>
            <w:vAlign w:val="center"/>
          </w:tcPr>
          <w:p>
            <w:pPr>
              <w:spacing w:after="160"/>
              <w:ind w:firstLine="240"/>
              <w:jc w:val="center"/>
              <w:rPr>
                <w:rFonts w:ascii="宋体" w:hAnsi="宋体" w:eastAsia="宋体"/>
                <w:color w:val="000000" w:themeColor="text1"/>
              </w:rPr>
            </w:pPr>
            <w:r>
              <w:rPr>
                <w:rFonts w:ascii="宋体" w:hAnsi="宋体" w:eastAsia="宋体"/>
                <w:color w:val="000000" w:themeColor="text1"/>
              </w:rPr>
              <w:t>经营范围</w:t>
            </w:r>
          </w:p>
        </w:tc>
        <w:tc>
          <w:tcPr>
            <w:tcW w:w="6840" w:type="dxa"/>
            <w:gridSpan w:val="9"/>
            <w:tcBorders>
              <w:top w:val="single" w:color="auto" w:sz="4" w:space="0"/>
              <w:left w:val="single" w:color="auto" w:sz="4" w:space="0"/>
              <w:right w:val="single" w:color="auto" w:sz="4" w:space="0"/>
            </w:tcBorders>
            <w:vAlign w:val="center"/>
          </w:tcPr>
          <w:p>
            <w:pPr>
              <w:spacing w:after="160"/>
              <w:jc w:val="center"/>
              <w:rPr>
                <w:rFonts w:ascii="宋体" w:hAnsi="宋体" w:eastAsia="宋体"/>
                <w:color w:val="000000" w:themeColor="text1"/>
              </w:rPr>
            </w:pPr>
          </w:p>
          <w:p>
            <w:pPr>
              <w:spacing w:after="160"/>
              <w:jc w:val="center"/>
              <w:rPr>
                <w:rFonts w:ascii="宋体" w:hAnsi="宋体" w:eastAsia="宋体"/>
                <w:color w:val="000000" w:themeColor="text1"/>
              </w:rPr>
            </w:pPr>
          </w:p>
          <w:p>
            <w:pPr>
              <w:spacing w:after="160"/>
              <w:rPr>
                <w:rFonts w:ascii="宋体" w:hAnsi="宋体" w:eastAsia="宋体"/>
                <w:color w:val="000000" w:themeColor="text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15" w:hRule="atLeast"/>
          <w:jc w:val="center"/>
        </w:trPr>
        <w:tc>
          <w:tcPr>
            <w:tcW w:w="1728" w:type="dxa"/>
            <w:tcBorders>
              <w:top w:val="single" w:color="auto" w:sz="4" w:space="0"/>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rPr>
            </w:pPr>
            <w:r>
              <w:rPr>
                <w:rFonts w:ascii="宋体" w:hAnsi="宋体" w:eastAsia="宋体"/>
                <w:color w:val="000000" w:themeColor="text1"/>
              </w:rPr>
              <w:t>备注</w:t>
            </w:r>
          </w:p>
        </w:tc>
        <w:tc>
          <w:tcPr>
            <w:tcW w:w="6840" w:type="dxa"/>
            <w:gridSpan w:val="9"/>
            <w:tcBorders>
              <w:top w:val="single" w:color="auto" w:sz="4" w:space="0"/>
              <w:left w:val="single" w:color="auto" w:sz="4" w:space="0"/>
              <w:bottom w:val="single" w:color="auto" w:sz="4" w:space="0"/>
              <w:right w:val="single" w:color="auto" w:sz="4" w:space="0"/>
            </w:tcBorders>
            <w:vAlign w:val="center"/>
          </w:tcPr>
          <w:p>
            <w:pPr>
              <w:spacing w:after="160"/>
              <w:jc w:val="center"/>
              <w:rPr>
                <w:rFonts w:ascii="宋体" w:hAnsi="宋体" w:eastAsia="宋体"/>
                <w:color w:val="000000" w:themeColor="text1"/>
              </w:rPr>
            </w:pPr>
          </w:p>
        </w:tc>
      </w:tr>
    </w:tbl>
    <w:p>
      <w:pPr>
        <w:spacing w:after="160" w:line="440" w:lineRule="exact"/>
        <w:ind w:left="400" w:hanging="400"/>
        <w:rPr>
          <w:rFonts w:ascii="宋体" w:hAnsi="宋体" w:eastAsia="宋体"/>
          <w:color w:val="000000" w:themeColor="text1"/>
          <w:sz w:val="20"/>
          <w:szCs w:val="20"/>
        </w:rPr>
      </w:pPr>
      <w:r>
        <w:rPr>
          <w:rFonts w:ascii="宋体" w:hAnsi="宋体" w:eastAsia="宋体"/>
          <w:color w:val="000000" w:themeColor="text1"/>
          <w:sz w:val="20"/>
          <w:szCs w:val="20"/>
        </w:rPr>
        <w:t>备注：1、本表后应附企业法人营业执照及其年检合格的证明材料、企业资质证书副本、安全生产许可证等材料的复印件。</w:t>
      </w:r>
    </w:p>
    <w:p>
      <w:pPr>
        <w:pStyle w:val="22"/>
        <w:spacing w:before="240" w:after="240" w:line="360" w:lineRule="auto"/>
        <w:rPr>
          <w:rFonts w:ascii="宋体" w:hAnsi="宋体" w:eastAsia="宋体"/>
          <w:color w:val="000000" w:themeColor="text1"/>
        </w:rPr>
      </w:pPr>
    </w:p>
    <w:p>
      <w:pPr>
        <w:spacing w:before="240" w:after="240" w:line="360" w:lineRule="auto"/>
        <w:jc w:val="center"/>
        <w:rPr>
          <w:rFonts w:ascii="宋体" w:hAnsi="宋体" w:eastAsia="宋体"/>
          <w:color w:val="000000" w:themeColor="text1"/>
        </w:rPr>
        <w:sectPr>
          <w:pgSz w:w="11906" w:h="16838"/>
          <w:pgMar w:top="1134" w:right="1134" w:bottom="1134" w:left="1701" w:header="567" w:footer="567" w:gutter="0"/>
          <w:cols w:space="720" w:num="1"/>
          <w:docGrid w:linePitch="360" w:charSpace="6144"/>
        </w:sectPr>
      </w:pPr>
    </w:p>
    <w:p>
      <w:pPr>
        <w:pStyle w:val="22"/>
        <w:spacing w:before="240" w:after="240" w:line="360" w:lineRule="auto"/>
        <w:outlineLvl w:val="2"/>
        <w:rPr>
          <w:rFonts w:ascii="宋体" w:hAnsi="宋体" w:eastAsia="宋体"/>
          <w:color w:val="000000" w:themeColor="text1"/>
        </w:rPr>
      </w:pPr>
      <w:bookmarkStart w:id="307" w:name="_Toc13058"/>
      <w:bookmarkStart w:id="308" w:name="_Toc20236"/>
      <w:bookmarkStart w:id="309" w:name="_Toc20938"/>
      <w:bookmarkStart w:id="310" w:name="_Toc21564"/>
      <w:bookmarkStart w:id="311" w:name="_Toc2737"/>
      <w:r>
        <w:rPr>
          <w:rFonts w:hint="eastAsia" w:ascii="宋体" w:hAnsi="宋体" w:eastAsia="宋体"/>
          <w:color w:val="000000" w:themeColor="text1"/>
        </w:rPr>
        <w:t>六、</w:t>
      </w:r>
      <w:r>
        <w:rPr>
          <w:rFonts w:ascii="宋体" w:hAnsi="宋体" w:eastAsia="宋体"/>
          <w:color w:val="000000" w:themeColor="text1"/>
        </w:rPr>
        <w:t>财务状况表</w:t>
      </w:r>
      <w:bookmarkEnd w:id="307"/>
      <w:bookmarkEnd w:id="308"/>
      <w:bookmarkEnd w:id="309"/>
      <w:bookmarkEnd w:id="310"/>
      <w:bookmarkEnd w:id="311"/>
    </w:p>
    <w:p>
      <w:pPr>
        <w:spacing w:after="160" w:line="440" w:lineRule="exact"/>
        <w:rPr>
          <w:rFonts w:ascii="宋体" w:hAnsi="宋体" w:eastAsia="宋体"/>
          <w:color w:val="000000" w:themeColor="text1"/>
          <w:sz w:val="20"/>
          <w:szCs w:val="20"/>
        </w:rPr>
      </w:pPr>
    </w:p>
    <w:p>
      <w:pPr>
        <w:spacing w:after="160" w:line="360" w:lineRule="auto"/>
        <w:rPr>
          <w:rFonts w:ascii="宋体" w:hAnsi="宋体" w:eastAsia="宋体"/>
          <w:color w:val="000000" w:themeColor="text1"/>
        </w:rPr>
      </w:pPr>
      <w:r>
        <w:rPr>
          <w:rFonts w:ascii="宋体" w:hAnsi="宋体" w:eastAsia="宋体"/>
          <w:color w:val="000000" w:themeColor="text1"/>
        </w:rPr>
        <w:t>备注：投标人近三年经注册会计师事务所审计的财务报告及财务报表。</w:t>
      </w:r>
    </w:p>
    <w:p>
      <w:pPr>
        <w:spacing w:after="160" w:line="360" w:lineRule="auto"/>
        <w:rPr>
          <w:rFonts w:ascii="宋体" w:hAnsi="宋体" w:eastAsia="宋体"/>
          <w:color w:val="000000" w:themeColor="text1"/>
        </w:rPr>
        <w:sectPr>
          <w:pgSz w:w="11906" w:h="16838"/>
          <w:pgMar w:top="1134" w:right="1134" w:bottom="1134" w:left="1701" w:header="567" w:footer="567" w:gutter="0"/>
          <w:cols w:space="720" w:num="1"/>
          <w:docGrid w:linePitch="360" w:charSpace="6144"/>
        </w:sectPr>
      </w:pPr>
    </w:p>
    <w:p>
      <w:pPr>
        <w:pStyle w:val="22"/>
        <w:spacing w:before="240" w:after="240" w:line="360" w:lineRule="auto"/>
        <w:outlineLvl w:val="2"/>
        <w:rPr>
          <w:rFonts w:ascii="宋体" w:hAnsi="宋体" w:eastAsia="宋体"/>
          <w:color w:val="000000" w:themeColor="text1"/>
        </w:rPr>
      </w:pPr>
      <w:bookmarkStart w:id="312" w:name="_Toc28330"/>
      <w:bookmarkStart w:id="313" w:name="_Toc12449"/>
      <w:bookmarkStart w:id="314" w:name="_Toc26242"/>
      <w:bookmarkStart w:id="315" w:name="_Toc12297"/>
      <w:bookmarkStart w:id="316" w:name="_Toc16617"/>
      <w:r>
        <w:rPr>
          <w:rFonts w:hint="eastAsia" w:ascii="宋体" w:hAnsi="宋体" w:eastAsia="宋体"/>
          <w:color w:val="000000" w:themeColor="text1"/>
        </w:rPr>
        <w:t>七、</w:t>
      </w:r>
      <w:r>
        <w:rPr>
          <w:rFonts w:ascii="宋体" w:hAnsi="宋体" w:eastAsia="宋体"/>
          <w:color w:val="000000" w:themeColor="text1"/>
        </w:rPr>
        <w:t>项目技术人员简介</w:t>
      </w:r>
      <w:bookmarkEnd w:id="312"/>
      <w:bookmarkEnd w:id="313"/>
      <w:bookmarkEnd w:id="314"/>
      <w:bookmarkEnd w:id="315"/>
      <w:bookmarkEnd w:id="316"/>
    </w:p>
    <w:p>
      <w:pPr>
        <w:spacing w:after="160" w:line="376" w:lineRule="auto"/>
        <w:rPr>
          <w:rFonts w:ascii="宋体" w:hAnsi="宋体" w:eastAsia="宋体"/>
          <w:color w:val="000000" w:themeColor="text1"/>
        </w:rPr>
      </w:pPr>
      <w:bookmarkStart w:id="317" w:name="_Toc152042593"/>
      <w:bookmarkStart w:id="318" w:name="_Toc152045804"/>
      <w:bookmarkStart w:id="319" w:name="_Toc241484784"/>
      <w:bookmarkStart w:id="320" w:name="_Toc528397361"/>
      <w:bookmarkStart w:id="321" w:name="_Toc241459832"/>
      <w:bookmarkStart w:id="322" w:name="_Toc179632824"/>
      <w:bookmarkStart w:id="323" w:name="_Toc28968"/>
      <w:bookmarkStart w:id="324" w:name="_Toc13272"/>
      <w:bookmarkStart w:id="325" w:name="_Toc144974872"/>
      <w:bookmarkStart w:id="326" w:name="_Toc1798"/>
      <w:bookmarkStart w:id="327" w:name="_Toc275956234"/>
      <w:r>
        <w:rPr>
          <w:rFonts w:ascii="宋体" w:hAnsi="宋体" w:eastAsia="宋体"/>
          <w:color w:val="000000" w:themeColor="text1"/>
        </w:rPr>
        <w:t>（一）项目管理机构组成表</w:t>
      </w:r>
      <w:bookmarkEnd w:id="317"/>
      <w:bookmarkEnd w:id="318"/>
      <w:bookmarkEnd w:id="319"/>
      <w:bookmarkEnd w:id="320"/>
      <w:bookmarkEnd w:id="321"/>
      <w:bookmarkEnd w:id="322"/>
      <w:bookmarkEnd w:id="323"/>
      <w:bookmarkEnd w:id="324"/>
      <w:bookmarkEnd w:id="325"/>
      <w:bookmarkEnd w:id="326"/>
      <w:bookmarkEnd w:id="327"/>
    </w:p>
    <w:tbl>
      <w:tblPr>
        <w:tblStyle w:val="30"/>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09"/>
        <w:gridCol w:w="785"/>
        <w:gridCol w:w="784"/>
        <w:gridCol w:w="1178"/>
        <w:gridCol w:w="784"/>
        <w:gridCol w:w="786"/>
        <w:gridCol w:w="784"/>
        <w:gridCol w:w="2749"/>
        <w:gridCol w:w="7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vMerge w:val="restart"/>
            <w:vAlign w:val="center"/>
          </w:tcPr>
          <w:p>
            <w:pPr>
              <w:spacing w:after="160" w:line="440" w:lineRule="exact"/>
              <w:jc w:val="center"/>
              <w:rPr>
                <w:rFonts w:ascii="宋体" w:hAnsi="宋体" w:eastAsia="宋体"/>
                <w:color w:val="000000" w:themeColor="text1"/>
              </w:rPr>
            </w:pPr>
            <w:r>
              <w:rPr>
                <w:rFonts w:ascii="宋体" w:hAnsi="宋体" w:eastAsia="宋体"/>
                <w:color w:val="000000" w:themeColor="text1"/>
              </w:rPr>
              <w:t>职务</w:t>
            </w:r>
          </w:p>
        </w:tc>
        <w:tc>
          <w:tcPr>
            <w:tcW w:w="785" w:type="dxa"/>
            <w:vMerge w:val="restart"/>
            <w:vAlign w:val="center"/>
          </w:tcPr>
          <w:p>
            <w:pPr>
              <w:spacing w:after="160" w:line="440" w:lineRule="exact"/>
              <w:jc w:val="center"/>
              <w:rPr>
                <w:rFonts w:ascii="宋体" w:hAnsi="宋体" w:eastAsia="宋体"/>
                <w:color w:val="000000" w:themeColor="text1"/>
              </w:rPr>
            </w:pPr>
            <w:r>
              <w:rPr>
                <w:rFonts w:ascii="宋体" w:hAnsi="宋体" w:eastAsia="宋体"/>
                <w:color w:val="000000" w:themeColor="text1"/>
              </w:rPr>
              <w:t>姓名</w:t>
            </w:r>
          </w:p>
        </w:tc>
        <w:tc>
          <w:tcPr>
            <w:tcW w:w="784" w:type="dxa"/>
            <w:vMerge w:val="restart"/>
            <w:vAlign w:val="center"/>
          </w:tcPr>
          <w:p>
            <w:pPr>
              <w:spacing w:after="160" w:line="440" w:lineRule="exact"/>
              <w:jc w:val="center"/>
              <w:rPr>
                <w:rFonts w:ascii="宋体" w:hAnsi="宋体" w:eastAsia="宋体"/>
                <w:color w:val="000000" w:themeColor="text1"/>
              </w:rPr>
            </w:pPr>
            <w:r>
              <w:rPr>
                <w:rFonts w:ascii="宋体" w:hAnsi="宋体" w:eastAsia="宋体"/>
                <w:color w:val="000000" w:themeColor="text1"/>
              </w:rPr>
              <w:t>职称</w:t>
            </w:r>
          </w:p>
        </w:tc>
        <w:tc>
          <w:tcPr>
            <w:tcW w:w="6281" w:type="dxa"/>
            <w:gridSpan w:val="5"/>
            <w:vAlign w:val="center"/>
          </w:tcPr>
          <w:p>
            <w:pPr>
              <w:spacing w:after="160" w:line="440" w:lineRule="exact"/>
              <w:jc w:val="center"/>
              <w:rPr>
                <w:rFonts w:ascii="宋体" w:hAnsi="宋体" w:eastAsia="宋体"/>
                <w:color w:val="000000" w:themeColor="text1"/>
              </w:rPr>
            </w:pPr>
            <w:r>
              <w:rPr>
                <w:rFonts w:ascii="宋体" w:hAnsi="宋体" w:eastAsia="宋体"/>
                <w:color w:val="000000" w:themeColor="text1"/>
              </w:rPr>
              <w:t>执业或职业资格证明</w:t>
            </w:r>
          </w:p>
        </w:tc>
        <w:tc>
          <w:tcPr>
            <w:tcW w:w="728" w:type="dxa"/>
            <w:vAlign w:val="center"/>
          </w:tcPr>
          <w:p>
            <w:pPr>
              <w:spacing w:after="160" w:line="440" w:lineRule="exact"/>
              <w:jc w:val="center"/>
              <w:rPr>
                <w:rFonts w:ascii="宋体" w:hAnsi="宋体" w:eastAsia="宋体"/>
                <w:color w:val="000000" w:themeColor="text1"/>
              </w:rPr>
            </w:pPr>
            <w:r>
              <w:rPr>
                <w:rFonts w:ascii="宋体" w:hAnsi="宋体" w:eastAsia="宋体"/>
                <w:color w:val="000000" w:themeColor="text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vMerge w:val="continue"/>
            <w:vAlign w:val="center"/>
          </w:tcPr>
          <w:p>
            <w:pPr>
              <w:rPr>
                <w:color w:val="000000" w:themeColor="text1"/>
              </w:rPr>
            </w:pPr>
          </w:p>
        </w:tc>
        <w:tc>
          <w:tcPr>
            <w:tcW w:w="785" w:type="dxa"/>
            <w:vMerge w:val="continue"/>
            <w:vAlign w:val="center"/>
          </w:tcPr>
          <w:p>
            <w:pPr>
              <w:rPr>
                <w:color w:val="000000" w:themeColor="text1"/>
              </w:rPr>
            </w:pPr>
          </w:p>
        </w:tc>
        <w:tc>
          <w:tcPr>
            <w:tcW w:w="784" w:type="dxa"/>
            <w:vMerge w:val="continue"/>
            <w:vAlign w:val="center"/>
          </w:tcPr>
          <w:p>
            <w:pPr>
              <w:rPr>
                <w:color w:val="000000" w:themeColor="text1"/>
              </w:rPr>
            </w:pPr>
          </w:p>
        </w:tc>
        <w:tc>
          <w:tcPr>
            <w:tcW w:w="1178" w:type="dxa"/>
            <w:vAlign w:val="center"/>
          </w:tcPr>
          <w:p>
            <w:pPr>
              <w:spacing w:after="160" w:line="440" w:lineRule="exact"/>
              <w:jc w:val="center"/>
              <w:rPr>
                <w:rFonts w:ascii="宋体" w:hAnsi="宋体" w:eastAsia="宋体"/>
                <w:color w:val="000000" w:themeColor="text1"/>
              </w:rPr>
            </w:pPr>
            <w:r>
              <w:rPr>
                <w:rFonts w:ascii="宋体" w:hAnsi="宋体" w:eastAsia="宋体"/>
                <w:color w:val="000000" w:themeColor="text1"/>
              </w:rPr>
              <w:t>证书名称</w:t>
            </w:r>
          </w:p>
        </w:tc>
        <w:tc>
          <w:tcPr>
            <w:tcW w:w="784" w:type="dxa"/>
            <w:vAlign w:val="center"/>
          </w:tcPr>
          <w:p>
            <w:pPr>
              <w:spacing w:after="160" w:line="440" w:lineRule="exact"/>
              <w:jc w:val="center"/>
              <w:rPr>
                <w:rFonts w:ascii="宋体" w:hAnsi="宋体" w:eastAsia="宋体"/>
                <w:color w:val="000000" w:themeColor="text1"/>
              </w:rPr>
            </w:pPr>
            <w:r>
              <w:rPr>
                <w:rFonts w:ascii="宋体" w:hAnsi="宋体" w:eastAsia="宋体"/>
                <w:color w:val="000000" w:themeColor="text1"/>
              </w:rPr>
              <w:t>级别</w:t>
            </w:r>
          </w:p>
        </w:tc>
        <w:tc>
          <w:tcPr>
            <w:tcW w:w="786" w:type="dxa"/>
            <w:vAlign w:val="center"/>
          </w:tcPr>
          <w:p>
            <w:pPr>
              <w:spacing w:after="160" w:line="440" w:lineRule="exact"/>
              <w:jc w:val="center"/>
              <w:rPr>
                <w:rFonts w:ascii="宋体" w:hAnsi="宋体" w:eastAsia="宋体"/>
                <w:color w:val="000000" w:themeColor="text1"/>
              </w:rPr>
            </w:pPr>
            <w:r>
              <w:rPr>
                <w:rFonts w:ascii="宋体" w:hAnsi="宋体" w:eastAsia="宋体"/>
                <w:color w:val="000000" w:themeColor="text1"/>
              </w:rPr>
              <w:t>证号</w:t>
            </w:r>
          </w:p>
        </w:tc>
        <w:tc>
          <w:tcPr>
            <w:tcW w:w="784" w:type="dxa"/>
            <w:vAlign w:val="center"/>
          </w:tcPr>
          <w:p>
            <w:pPr>
              <w:spacing w:after="160" w:line="440" w:lineRule="exact"/>
              <w:jc w:val="center"/>
              <w:rPr>
                <w:rFonts w:ascii="宋体" w:hAnsi="宋体" w:eastAsia="宋体"/>
                <w:color w:val="000000" w:themeColor="text1"/>
              </w:rPr>
            </w:pPr>
            <w:r>
              <w:rPr>
                <w:rFonts w:ascii="宋体" w:hAnsi="宋体" w:eastAsia="宋体"/>
                <w:color w:val="000000" w:themeColor="text1"/>
              </w:rPr>
              <w:t>专业</w:t>
            </w:r>
          </w:p>
        </w:tc>
        <w:tc>
          <w:tcPr>
            <w:tcW w:w="2749" w:type="dxa"/>
            <w:vAlign w:val="center"/>
          </w:tcPr>
          <w:p>
            <w:pPr>
              <w:spacing w:after="160" w:line="440" w:lineRule="exact"/>
              <w:jc w:val="center"/>
              <w:rPr>
                <w:rFonts w:ascii="宋体" w:hAnsi="宋体" w:eastAsia="宋体"/>
                <w:color w:val="000000" w:themeColor="text1"/>
              </w:rPr>
            </w:pPr>
            <w:r>
              <w:rPr>
                <w:rFonts w:ascii="宋体" w:hAnsi="宋体" w:eastAsia="宋体"/>
                <w:color w:val="000000" w:themeColor="text1"/>
              </w:rPr>
              <w:t>社会保险</w:t>
            </w:r>
          </w:p>
        </w:tc>
        <w:tc>
          <w:tcPr>
            <w:tcW w:w="728" w:type="dxa"/>
            <w:vAlign w:val="center"/>
          </w:tcPr>
          <w:p>
            <w:pPr>
              <w:spacing w:after="160" w:line="440" w:lineRule="exact"/>
              <w:jc w:val="center"/>
              <w:rPr>
                <w:rFonts w:ascii="宋体" w:hAnsi="宋体" w:eastAsia="宋体"/>
                <w:color w:val="000000" w:themeColor="text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vAlign w:val="center"/>
          </w:tcPr>
          <w:p>
            <w:pPr>
              <w:spacing w:after="160" w:line="440" w:lineRule="exact"/>
              <w:jc w:val="center"/>
              <w:rPr>
                <w:rFonts w:ascii="宋体" w:hAnsi="宋体" w:eastAsia="宋体"/>
                <w:color w:val="000000" w:themeColor="text1"/>
              </w:rPr>
            </w:pPr>
          </w:p>
        </w:tc>
        <w:tc>
          <w:tcPr>
            <w:tcW w:w="785" w:type="dxa"/>
            <w:vAlign w:val="center"/>
          </w:tcPr>
          <w:p>
            <w:pPr>
              <w:spacing w:after="160" w:line="440" w:lineRule="exact"/>
              <w:jc w:val="center"/>
              <w:rPr>
                <w:rFonts w:ascii="宋体" w:hAnsi="宋体" w:eastAsia="宋体"/>
                <w:color w:val="000000" w:themeColor="text1"/>
              </w:rPr>
            </w:pPr>
          </w:p>
        </w:tc>
        <w:tc>
          <w:tcPr>
            <w:tcW w:w="784" w:type="dxa"/>
            <w:vAlign w:val="center"/>
          </w:tcPr>
          <w:p>
            <w:pPr>
              <w:spacing w:after="160" w:line="440" w:lineRule="exact"/>
              <w:jc w:val="center"/>
              <w:rPr>
                <w:rFonts w:ascii="宋体" w:hAnsi="宋体" w:eastAsia="宋体"/>
                <w:color w:val="000000" w:themeColor="text1"/>
              </w:rPr>
            </w:pPr>
          </w:p>
        </w:tc>
        <w:tc>
          <w:tcPr>
            <w:tcW w:w="1178" w:type="dxa"/>
            <w:vAlign w:val="center"/>
          </w:tcPr>
          <w:p>
            <w:pPr>
              <w:spacing w:after="160" w:line="440" w:lineRule="exact"/>
              <w:jc w:val="center"/>
              <w:rPr>
                <w:rFonts w:ascii="宋体" w:hAnsi="宋体" w:eastAsia="宋体"/>
                <w:color w:val="000000" w:themeColor="text1"/>
              </w:rPr>
            </w:pPr>
          </w:p>
        </w:tc>
        <w:tc>
          <w:tcPr>
            <w:tcW w:w="784" w:type="dxa"/>
            <w:vAlign w:val="center"/>
          </w:tcPr>
          <w:p>
            <w:pPr>
              <w:spacing w:after="160" w:line="440" w:lineRule="exact"/>
              <w:jc w:val="center"/>
              <w:rPr>
                <w:rFonts w:ascii="宋体" w:hAnsi="宋体" w:eastAsia="宋体"/>
                <w:color w:val="000000" w:themeColor="text1"/>
              </w:rPr>
            </w:pPr>
          </w:p>
        </w:tc>
        <w:tc>
          <w:tcPr>
            <w:tcW w:w="786" w:type="dxa"/>
            <w:vAlign w:val="center"/>
          </w:tcPr>
          <w:p>
            <w:pPr>
              <w:spacing w:after="160" w:line="440" w:lineRule="exact"/>
              <w:jc w:val="center"/>
              <w:rPr>
                <w:rFonts w:ascii="宋体" w:hAnsi="宋体" w:eastAsia="宋体"/>
                <w:color w:val="000000" w:themeColor="text1"/>
              </w:rPr>
            </w:pPr>
          </w:p>
        </w:tc>
        <w:tc>
          <w:tcPr>
            <w:tcW w:w="784" w:type="dxa"/>
            <w:vAlign w:val="center"/>
          </w:tcPr>
          <w:p>
            <w:pPr>
              <w:spacing w:after="160" w:line="440" w:lineRule="exact"/>
              <w:jc w:val="center"/>
              <w:rPr>
                <w:rFonts w:ascii="宋体" w:hAnsi="宋体" w:eastAsia="宋体"/>
                <w:color w:val="000000" w:themeColor="text1"/>
              </w:rPr>
            </w:pPr>
          </w:p>
        </w:tc>
        <w:tc>
          <w:tcPr>
            <w:tcW w:w="2749" w:type="dxa"/>
            <w:vAlign w:val="center"/>
          </w:tcPr>
          <w:p>
            <w:pPr>
              <w:spacing w:after="160" w:line="440" w:lineRule="exact"/>
              <w:jc w:val="center"/>
              <w:rPr>
                <w:rFonts w:ascii="宋体" w:hAnsi="宋体" w:eastAsia="宋体"/>
                <w:color w:val="000000" w:themeColor="text1"/>
              </w:rPr>
            </w:pPr>
          </w:p>
        </w:tc>
        <w:tc>
          <w:tcPr>
            <w:tcW w:w="728" w:type="dxa"/>
            <w:vAlign w:val="center"/>
          </w:tcPr>
          <w:p>
            <w:pPr>
              <w:spacing w:after="160" w:line="440" w:lineRule="exact"/>
              <w:jc w:val="center"/>
              <w:rPr>
                <w:rFonts w:ascii="宋体" w:hAnsi="宋体" w:eastAsia="宋体"/>
                <w:color w:val="000000" w:themeColor="text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Pr>
          <w:p>
            <w:pPr>
              <w:spacing w:after="160" w:line="440" w:lineRule="exact"/>
              <w:jc w:val="center"/>
              <w:rPr>
                <w:rFonts w:ascii="宋体" w:hAnsi="宋体" w:eastAsia="宋体"/>
                <w:color w:val="000000" w:themeColor="text1"/>
              </w:rPr>
            </w:pPr>
          </w:p>
        </w:tc>
        <w:tc>
          <w:tcPr>
            <w:tcW w:w="785" w:type="dxa"/>
          </w:tcPr>
          <w:p>
            <w:pPr>
              <w:spacing w:after="160" w:line="440" w:lineRule="exact"/>
              <w:jc w:val="center"/>
              <w:rPr>
                <w:rFonts w:ascii="宋体" w:hAnsi="宋体" w:eastAsia="宋体"/>
                <w:color w:val="000000" w:themeColor="text1"/>
              </w:rPr>
            </w:pPr>
          </w:p>
        </w:tc>
        <w:tc>
          <w:tcPr>
            <w:tcW w:w="784" w:type="dxa"/>
          </w:tcPr>
          <w:p>
            <w:pPr>
              <w:spacing w:after="160" w:line="440" w:lineRule="exact"/>
              <w:jc w:val="center"/>
              <w:rPr>
                <w:rFonts w:ascii="宋体" w:hAnsi="宋体" w:eastAsia="宋体"/>
                <w:color w:val="000000" w:themeColor="text1"/>
              </w:rPr>
            </w:pPr>
          </w:p>
        </w:tc>
        <w:tc>
          <w:tcPr>
            <w:tcW w:w="1178" w:type="dxa"/>
          </w:tcPr>
          <w:p>
            <w:pPr>
              <w:spacing w:after="160" w:line="440" w:lineRule="exact"/>
              <w:jc w:val="center"/>
              <w:rPr>
                <w:rFonts w:ascii="宋体" w:hAnsi="宋体" w:eastAsia="宋体"/>
                <w:color w:val="000000" w:themeColor="text1"/>
              </w:rPr>
            </w:pPr>
          </w:p>
        </w:tc>
        <w:tc>
          <w:tcPr>
            <w:tcW w:w="784" w:type="dxa"/>
          </w:tcPr>
          <w:p>
            <w:pPr>
              <w:spacing w:after="160" w:line="440" w:lineRule="exact"/>
              <w:jc w:val="center"/>
              <w:rPr>
                <w:rFonts w:ascii="宋体" w:hAnsi="宋体" w:eastAsia="宋体"/>
                <w:color w:val="000000" w:themeColor="text1"/>
              </w:rPr>
            </w:pPr>
          </w:p>
        </w:tc>
        <w:tc>
          <w:tcPr>
            <w:tcW w:w="786" w:type="dxa"/>
          </w:tcPr>
          <w:p>
            <w:pPr>
              <w:spacing w:after="160" w:line="440" w:lineRule="exact"/>
              <w:jc w:val="center"/>
              <w:rPr>
                <w:rFonts w:ascii="宋体" w:hAnsi="宋体" w:eastAsia="宋体"/>
                <w:color w:val="000000" w:themeColor="text1"/>
              </w:rPr>
            </w:pPr>
          </w:p>
        </w:tc>
        <w:tc>
          <w:tcPr>
            <w:tcW w:w="784" w:type="dxa"/>
          </w:tcPr>
          <w:p>
            <w:pPr>
              <w:spacing w:after="160" w:line="440" w:lineRule="exact"/>
              <w:jc w:val="center"/>
              <w:rPr>
                <w:rFonts w:ascii="宋体" w:hAnsi="宋体" w:eastAsia="宋体"/>
                <w:color w:val="000000" w:themeColor="text1"/>
              </w:rPr>
            </w:pPr>
          </w:p>
        </w:tc>
        <w:tc>
          <w:tcPr>
            <w:tcW w:w="2749" w:type="dxa"/>
          </w:tcPr>
          <w:p>
            <w:pPr>
              <w:spacing w:after="160" w:line="440" w:lineRule="exact"/>
              <w:jc w:val="center"/>
              <w:rPr>
                <w:rFonts w:ascii="宋体" w:hAnsi="宋体" w:eastAsia="宋体"/>
                <w:color w:val="000000" w:themeColor="text1"/>
              </w:rPr>
            </w:pPr>
          </w:p>
        </w:tc>
        <w:tc>
          <w:tcPr>
            <w:tcW w:w="728" w:type="dxa"/>
          </w:tcPr>
          <w:p>
            <w:pPr>
              <w:spacing w:after="160" w:line="440" w:lineRule="exact"/>
              <w:jc w:val="center"/>
              <w:rPr>
                <w:rFonts w:ascii="宋体" w:hAnsi="宋体" w:eastAsia="宋体"/>
                <w:color w:val="000000" w:themeColor="text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Pr>
          <w:p>
            <w:pPr>
              <w:spacing w:after="160" w:line="440" w:lineRule="exact"/>
              <w:jc w:val="center"/>
              <w:rPr>
                <w:rFonts w:ascii="宋体" w:hAnsi="宋体" w:eastAsia="宋体"/>
                <w:color w:val="000000" w:themeColor="text1"/>
              </w:rPr>
            </w:pPr>
          </w:p>
        </w:tc>
        <w:tc>
          <w:tcPr>
            <w:tcW w:w="785" w:type="dxa"/>
          </w:tcPr>
          <w:p>
            <w:pPr>
              <w:spacing w:after="160" w:line="440" w:lineRule="exact"/>
              <w:jc w:val="center"/>
              <w:rPr>
                <w:rFonts w:ascii="宋体" w:hAnsi="宋体" w:eastAsia="宋体"/>
                <w:color w:val="000000" w:themeColor="text1"/>
              </w:rPr>
            </w:pPr>
          </w:p>
        </w:tc>
        <w:tc>
          <w:tcPr>
            <w:tcW w:w="784" w:type="dxa"/>
          </w:tcPr>
          <w:p>
            <w:pPr>
              <w:spacing w:after="160" w:line="440" w:lineRule="exact"/>
              <w:jc w:val="center"/>
              <w:rPr>
                <w:rFonts w:ascii="宋体" w:hAnsi="宋体" w:eastAsia="宋体"/>
                <w:color w:val="000000" w:themeColor="text1"/>
              </w:rPr>
            </w:pPr>
          </w:p>
        </w:tc>
        <w:tc>
          <w:tcPr>
            <w:tcW w:w="1178" w:type="dxa"/>
          </w:tcPr>
          <w:p>
            <w:pPr>
              <w:spacing w:after="160" w:line="440" w:lineRule="exact"/>
              <w:jc w:val="center"/>
              <w:rPr>
                <w:rFonts w:ascii="宋体" w:hAnsi="宋体" w:eastAsia="宋体"/>
                <w:color w:val="000000" w:themeColor="text1"/>
              </w:rPr>
            </w:pPr>
          </w:p>
        </w:tc>
        <w:tc>
          <w:tcPr>
            <w:tcW w:w="784" w:type="dxa"/>
          </w:tcPr>
          <w:p>
            <w:pPr>
              <w:spacing w:after="160" w:line="440" w:lineRule="exact"/>
              <w:jc w:val="center"/>
              <w:rPr>
                <w:rFonts w:ascii="宋体" w:hAnsi="宋体" w:eastAsia="宋体"/>
                <w:color w:val="000000" w:themeColor="text1"/>
              </w:rPr>
            </w:pPr>
          </w:p>
        </w:tc>
        <w:tc>
          <w:tcPr>
            <w:tcW w:w="786" w:type="dxa"/>
          </w:tcPr>
          <w:p>
            <w:pPr>
              <w:spacing w:after="160" w:line="440" w:lineRule="exact"/>
              <w:jc w:val="center"/>
              <w:rPr>
                <w:rFonts w:ascii="宋体" w:hAnsi="宋体" w:eastAsia="宋体"/>
                <w:color w:val="000000" w:themeColor="text1"/>
              </w:rPr>
            </w:pPr>
          </w:p>
        </w:tc>
        <w:tc>
          <w:tcPr>
            <w:tcW w:w="784" w:type="dxa"/>
          </w:tcPr>
          <w:p>
            <w:pPr>
              <w:spacing w:after="160" w:line="440" w:lineRule="exact"/>
              <w:jc w:val="center"/>
              <w:rPr>
                <w:rFonts w:ascii="宋体" w:hAnsi="宋体" w:eastAsia="宋体"/>
                <w:color w:val="000000" w:themeColor="text1"/>
              </w:rPr>
            </w:pPr>
          </w:p>
        </w:tc>
        <w:tc>
          <w:tcPr>
            <w:tcW w:w="2749" w:type="dxa"/>
          </w:tcPr>
          <w:p>
            <w:pPr>
              <w:spacing w:after="160" w:line="440" w:lineRule="exact"/>
              <w:jc w:val="center"/>
              <w:rPr>
                <w:rFonts w:ascii="宋体" w:hAnsi="宋体" w:eastAsia="宋体"/>
                <w:color w:val="000000" w:themeColor="text1"/>
              </w:rPr>
            </w:pPr>
          </w:p>
        </w:tc>
        <w:tc>
          <w:tcPr>
            <w:tcW w:w="728" w:type="dxa"/>
          </w:tcPr>
          <w:p>
            <w:pPr>
              <w:spacing w:after="160" w:line="440" w:lineRule="exact"/>
              <w:jc w:val="center"/>
              <w:rPr>
                <w:rFonts w:ascii="宋体" w:hAnsi="宋体" w:eastAsia="宋体"/>
                <w:color w:val="000000" w:themeColor="text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Pr>
          <w:p>
            <w:pPr>
              <w:spacing w:after="160" w:line="440" w:lineRule="exact"/>
              <w:jc w:val="center"/>
              <w:rPr>
                <w:rFonts w:ascii="宋体" w:hAnsi="宋体" w:eastAsia="宋体"/>
                <w:color w:val="000000" w:themeColor="text1"/>
              </w:rPr>
            </w:pPr>
          </w:p>
        </w:tc>
        <w:tc>
          <w:tcPr>
            <w:tcW w:w="785" w:type="dxa"/>
          </w:tcPr>
          <w:p>
            <w:pPr>
              <w:spacing w:after="160" w:line="440" w:lineRule="exact"/>
              <w:jc w:val="center"/>
              <w:rPr>
                <w:rFonts w:ascii="宋体" w:hAnsi="宋体" w:eastAsia="宋体"/>
                <w:color w:val="000000" w:themeColor="text1"/>
              </w:rPr>
            </w:pPr>
          </w:p>
        </w:tc>
        <w:tc>
          <w:tcPr>
            <w:tcW w:w="784" w:type="dxa"/>
          </w:tcPr>
          <w:p>
            <w:pPr>
              <w:spacing w:after="160" w:line="440" w:lineRule="exact"/>
              <w:jc w:val="center"/>
              <w:rPr>
                <w:rFonts w:ascii="宋体" w:hAnsi="宋体" w:eastAsia="宋体"/>
                <w:color w:val="000000" w:themeColor="text1"/>
              </w:rPr>
            </w:pPr>
          </w:p>
        </w:tc>
        <w:tc>
          <w:tcPr>
            <w:tcW w:w="1178" w:type="dxa"/>
          </w:tcPr>
          <w:p>
            <w:pPr>
              <w:spacing w:after="160" w:line="440" w:lineRule="exact"/>
              <w:jc w:val="center"/>
              <w:rPr>
                <w:rFonts w:ascii="宋体" w:hAnsi="宋体" w:eastAsia="宋体"/>
                <w:color w:val="000000" w:themeColor="text1"/>
              </w:rPr>
            </w:pPr>
          </w:p>
        </w:tc>
        <w:tc>
          <w:tcPr>
            <w:tcW w:w="784" w:type="dxa"/>
          </w:tcPr>
          <w:p>
            <w:pPr>
              <w:spacing w:after="160" w:line="440" w:lineRule="exact"/>
              <w:jc w:val="center"/>
              <w:rPr>
                <w:rFonts w:ascii="宋体" w:hAnsi="宋体" w:eastAsia="宋体"/>
                <w:color w:val="000000" w:themeColor="text1"/>
              </w:rPr>
            </w:pPr>
          </w:p>
        </w:tc>
        <w:tc>
          <w:tcPr>
            <w:tcW w:w="786" w:type="dxa"/>
          </w:tcPr>
          <w:p>
            <w:pPr>
              <w:spacing w:after="160" w:line="440" w:lineRule="exact"/>
              <w:jc w:val="center"/>
              <w:rPr>
                <w:rFonts w:ascii="宋体" w:hAnsi="宋体" w:eastAsia="宋体"/>
                <w:color w:val="000000" w:themeColor="text1"/>
              </w:rPr>
            </w:pPr>
          </w:p>
        </w:tc>
        <w:tc>
          <w:tcPr>
            <w:tcW w:w="784" w:type="dxa"/>
          </w:tcPr>
          <w:p>
            <w:pPr>
              <w:spacing w:after="160" w:line="440" w:lineRule="exact"/>
              <w:jc w:val="center"/>
              <w:rPr>
                <w:rFonts w:ascii="宋体" w:hAnsi="宋体" w:eastAsia="宋体"/>
                <w:color w:val="000000" w:themeColor="text1"/>
              </w:rPr>
            </w:pPr>
          </w:p>
        </w:tc>
        <w:tc>
          <w:tcPr>
            <w:tcW w:w="2749" w:type="dxa"/>
          </w:tcPr>
          <w:p>
            <w:pPr>
              <w:spacing w:after="160" w:line="440" w:lineRule="exact"/>
              <w:jc w:val="center"/>
              <w:rPr>
                <w:rFonts w:ascii="宋体" w:hAnsi="宋体" w:eastAsia="宋体"/>
                <w:color w:val="000000" w:themeColor="text1"/>
              </w:rPr>
            </w:pPr>
          </w:p>
        </w:tc>
        <w:tc>
          <w:tcPr>
            <w:tcW w:w="728" w:type="dxa"/>
          </w:tcPr>
          <w:p>
            <w:pPr>
              <w:spacing w:after="160" w:line="440" w:lineRule="exact"/>
              <w:jc w:val="center"/>
              <w:rPr>
                <w:rFonts w:ascii="宋体" w:hAnsi="宋体" w:eastAsia="宋体"/>
                <w:color w:val="000000" w:themeColor="text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Pr>
          <w:p>
            <w:pPr>
              <w:spacing w:after="160" w:line="440" w:lineRule="exact"/>
              <w:jc w:val="center"/>
              <w:rPr>
                <w:rFonts w:ascii="宋体" w:hAnsi="宋体" w:eastAsia="宋体"/>
                <w:color w:val="000000" w:themeColor="text1"/>
              </w:rPr>
            </w:pPr>
          </w:p>
        </w:tc>
        <w:tc>
          <w:tcPr>
            <w:tcW w:w="785" w:type="dxa"/>
          </w:tcPr>
          <w:p>
            <w:pPr>
              <w:spacing w:after="160" w:line="440" w:lineRule="exact"/>
              <w:jc w:val="center"/>
              <w:rPr>
                <w:rFonts w:ascii="宋体" w:hAnsi="宋体" w:eastAsia="宋体"/>
                <w:color w:val="000000" w:themeColor="text1"/>
              </w:rPr>
            </w:pPr>
          </w:p>
        </w:tc>
        <w:tc>
          <w:tcPr>
            <w:tcW w:w="784" w:type="dxa"/>
          </w:tcPr>
          <w:p>
            <w:pPr>
              <w:spacing w:after="160" w:line="440" w:lineRule="exact"/>
              <w:jc w:val="center"/>
              <w:rPr>
                <w:rFonts w:ascii="宋体" w:hAnsi="宋体" w:eastAsia="宋体"/>
                <w:color w:val="000000" w:themeColor="text1"/>
              </w:rPr>
            </w:pPr>
          </w:p>
        </w:tc>
        <w:tc>
          <w:tcPr>
            <w:tcW w:w="1178" w:type="dxa"/>
          </w:tcPr>
          <w:p>
            <w:pPr>
              <w:spacing w:after="160" w:line="440" w:lineRule="exact"/>
              <w:jc w:val="center"/>
              <w:rPr>
                <w:rFonts w:ascii="宋体" w:hAnsi="宋体" w:eastAsia="宋体"/>
                <w:color w:val="000000" w:themeColor="text1"/>
              </w:rPr>
            </w:pPr>
          </w:p>
        </w:tc>
        <w:tc>
          <w:tcPr>
            <w:tcW w:w="784" w:type="dxa"/>
          </w:tcPr>
          <w:p>
            <w:pPr>
              <w:spacing w:after="160" w:line="440" w:lineRule="exact"/>
              <w:jc w:val="center"/>
              <w:rPr>
                <w:rFonts w:ascii="宋体" w:hAnsi="宋体" w:eastAsia="宋体"/>
                <w:color w:val="000000" w:themeColor="text1"/>
              </w:rPr>
            </w:pPr>
          </w:p>
        </w:tc>
        <w:tc>
          <w:tcPr>
            <w:tcW w:w="786" w:type="dxa"/>
          </w:tcPr>
          <w:p>
            <w:pPr>
              <w:spacing w:after="160" w:line="440" w:lineRule="exact"/>
              <w:jc w:val="center"/>
              <w:rPr>
                <w:rFonts w:ascii="宋体" w:hAnsi="宋体" w:eastAsia="宋体"/>
                <w:color w:val="000000" w:themeColor="text1"/>
              </w:rPr>
            </w:pPr>
          </w:p>
        </w:tc>
        <w:tc>
          <w:tcPr>
            <w:tcW w:w="784" w:type="dxa"/>
          </w:tcPr>
          <w:p>
            <w:pPr>
              <w:spacing w:after="160" w:line="440" w:lineRule="exact"/>
              <w:jc w:val="center"/>
              <w:rPr>
                <w:rFonts w:ascii="宋体" w:hAnsi="宋体" w:eastAsia="宋体"/>
                <w:color w:val="000000" w:themeColor="text1"/>
              </w:rPr>
            </w:pPr>
          </w:p>
        </w:tc>
        <w:tc>
          <w:tcPr>
            <w:tcW w:w="2749" w:type="dxa"/>
          </w:tcPr>
          <w:p>
            <w:pPr>
              <w:spacing w:after="160" w:line="440" w:lineRule="exact"/>
              <w:jc w:val="center"/>
              <w:rPr>
                <w:rFonts w:ascii="宋体" w:hAnsi="宋体" w:eastAsia="宋体"/>
                <w:color w:val="000000" w:themeColor="text1"/>
              </w:rPr>
            </w:pPr>
          </w:p>
        </w:tc>
        <w:tc>
          <w:tcPr>
            <w:tcW w:w="728" w:type="dxa"/>
          </w:tcPr>
          <w:p>
            <w:pPr>
              <w:spacing w:after="160" w:line="440" w:lineRule="exact"/>
              <w:jc w:val="center"/>
              <w:rPr>
                <w:rFonts w:ascii="宋体" w:hAnsi="宋体" w:eastAsia="宋体"/>
                <w:color w:val="000000" w:themeColor="text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Pr>
          <w:p>
            <w:pPr>
              <w:spacing w:after="160" w:line="440" w:lineRule="exact"/>
              <w:jc w:val="center"/>
              <w:rPr>
                <w:rFonts w:ascii="宋体" w:hAnsi="宋体" w:eastAsia="宋体"/>
                <w:color w:val="000000" w:themeColor="text1"/>
              </w:rPr>
            </w:pPr>
          </w:p>
        </w:tc>
        <w:tc>
          <w:tcPr>
            <w:tcW w:w="785" w:type="dxa"/>
          </w:tcPr>
          <w:p>
            <w:pPr>
              <w:spacing w:after="160" w:line="440" w:lineRule="exact"/>
              <w:jc w:val="center"/>
              <w:rPr>
                <w:rFonts w:ascii="宋体" w:hAnsi="宋体" w:eastAsia="宋体"/>
                <w:color w:val="000000" w:themeColor="text1"/>
              </w:rPr>
            </w:pPr>
          </w:p>
        </w:tc>
        <w:tc>
          <w:tcPr>
            <w:tcW w:w="784" w:type="dxa"/>
          </w:tcPr>
          <w:p>
            <w:pPr>
              <w:spacing w:after="160" w:line="440" w:lineRule="exact"/>
              <w:jc w:val="center"/>
              <w:rPr>
                <w:rFonts w:ascii="宋体" w:hAnsi="宋体" w:eastAsia="宋体"/>
                <w:color w:val="000000" w:themeColor="text1"/>
              </w:rPr>
            </w:pPr>
          </w:p>
        </w:tc>
        <w:tc>
          <w:tcPr>
            <w:tcW w:w="1178" w:type="dxa"/>
          </w:tcPr>
          <w:p>
            <w:pPr>
              <w:spacing w:after="160" w:line="440" w:lineRule="exact"/>
              <w:jc w:val="center"/>
              <w:rPr>
                <w:rFonts w:ascii="宋体" w:hAnsi="宋体" w:eastAsia="宋体"/>
                <w:color w:val="000000" w:themeColor="text1"/>
              </w:rPr>
            </w:pPr>
          </w:p>
        </w:tc>
        <w:tc>
          <w:tcPr>
            <w:tcW w:w="784" w:type="dxa"/>
          </w:tcPr>
          <w:p>
            <w:pPr>
              <w:spacing w:after="160" w:line="440" w:lineRule="exact"/>
              <w:jc w:val="center"/>
              <w:rPr>
                <w:rFonts w:ascii="宋体" w:hAnsi="宋体" w:eastAsia="宋体"/>
                <w:color w:val="000000" w:themeColor="text1"/>
              </w:rPr>
            </w:pPr>
          </w:p>
        </w:tc>
        <w:tc>
          <w:tcPr>
            <w:tcW w:w="786" w:type="dxa"/>
          </w:tcPr>
          <w:p>
            <w:pPr>
              <w:spacing w:after="160" w:line="440" w:lineRule="exact"/>
              <w:jc w:val="center"/>
              <w:rPr>
                <w:rFonts w:ascii="宋体" w:hAnsi="宋体" w:eastAsia="宋体"/>
                <w:color w:val="000000" w:themeColor="text1"/>
              </w:rPr>
            </w:pPr>
          </w:p>
        </w:tc>
        <w:tc>
          <w:tcPr>
            <w:tcW w:w="784" w:type="dxa"/>
          </w:tcPr>
          <w:p>
            <w:pPr>
              <w:spacing w:after="160" w:line="440" w:lineRule="exact"/>
              <w:jc w:val="center"/>
              <w:rPr>
                <w:rFonts w:ascii="宋体" w:hAnsi="宋体" w:eastAsia="宋体"/>
                <w:color w:val="000000" w:themeColor="text1"/>
              </w:rPr>
            </w:pPr>
          </w:p>
        </w:tc>
        <w:tc>
          <w:tcPr>
            <w:tcW w:w="2749" w:type="dxa"/>
          </w:tcPr>
          <w:p>
            <w:pPr>
              <w:spacing w:after="160" w:line="440" w:lineRule="exact"/>
              <w:jc w:val="center"/>
              <w:rPr>
                <w:rFonts w:ascii="宋体" w:hAnsi="宋体" w:eastAsia="宋体"/>
                <w:color w:val="000000" w:themeColor="text1"/>
              </w:rPr>
            </w:pPr>
          </w:p>
        </w:tc>
        <w:tc>
          <w:tcPr>
            <w:tcW w:w="728" w:type="dxa"/>
          </w:tcPr>
          <w:p>
            <w:pPr>
              <w:spacing w:after="160" w:line="440" w:lineRule="exact"/>
              <w:jc w:val="center"/>
              <w:rPr>
                <w:rFonts w:ascii="宋体" w:hAnsi="宋体" w:eastAsia="宋体"/>
                <w:color w:val="000000" w:themeColor="text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Pr>
          <w:p>
            <w:pPr>
              <w:spacing w:after="160" w:line="440" w:lineRule="exact"/>
              <w:jc w:val="center"/>
              <w:rPr>
                <w:rFonts w:ascii="宋体" w:hAnsi="宋体" w:eastAsia="宋体"/>
                <w:color w:val="000000" w:themeColor="text1"/>
              </w:rPr>
            </w:pPr>
          </w:p>
        </w:tc>
        <w:tc>
          <w:tcPr>
            <w:tcW w:w="785" w:type="dxa"/>
          </w:tcPr>
          <w:p>
            <w:pPr>
              <w:spacing w:after="160" w:line="440" w:lineRule="exact"/>
              <w:jc w:val="center"/>
              <w:rPr>
                <w:rFonts w:ascii="宋体" w:hAnsi="宋体" w:eastAsia="宋体"/>
                <w:color w:val="000000" w:themeColor="text1"/>
              </w:rPr>
            </w:pPr>
          </w:p>
        </w:tc>
        <w:tc>
          <w:tcPr>
            <w:tcW w:w="784" w:type="dxa"/>
          </w:tcPr>
          <w:p>
            <w:pPr>
              <w:spacing w:after="160" w:line="440" w:lineRule="exact"/>
              <w:jc w:val="center"/>
              <w:rPr>
                <w:rFonts w:ascii="宋体" w:hAnsi="宋体" w:eastAsia="宋体"/>
                <w:color w:val="000000" w:themeColor="text1"/>
              </w:rPr>
            </w:pPr>
          </w:p>
        </w:tc>
        <w:tc>
          <w:tcPr>
            <w:tcW w:w="1178" w:type="dxa"/>
          </w:tcPr>
          <w:p>
            <w:pPr>
              <w:spacing w:after="160" w:line="440" w:lineRule="exact"/>
              <w:jc w:val="center"/>
              <w:rPr>
                <w:rFonts w:ascii="宋体" w:hAnsi="宋体" w:eastAsia="宋体"/>
                <w:color w:val="000000" w:themeColor="text1"/>
              </w:rPr>
            </w:pPr>
          </w:p>
        </w:tc>
        <w:tc>
          <w:tcPr>
            <w:tcW w:w="784" w:type="dxa"/>
          </w:tcPr>
          <w:p>
            <w:pPr>
              <w:spacing w:after="160" w:line="440" w:lineRule="exact"/>
              <w:jc w:val="center"/>
              <w:rPr>
                <w:rFonts w:ascii="宋体" w:hAnsi="宋体" w:eastAsia="宋体"/>
                <w:color w:val="000000" w:themeColor="text1"/>
              </w:rPr>
            </w:pPr>
          </w:p>
        </w:tc>
        <w:tc>
          <w:tcPr>
            <w:tcW w:w="786" w:type="dxa"/>
          </w:tcPr>
          <w:p>
            <w:pPr>
              <w:spacing w:after="160" w:line="440" w:lineRule="exact"/>
              <w:jc w:val="center"/>
              <w:rPr>
                <w:rFonts w:ascii="宋体" w:hAnsi="宋体" w:eastAsia="宋体"/>
                <w:color w:val="000000" w:themeColor="text1"/>
              </w:rPr>
            </w:pPr>
          </w:p>
        </w:tc>
        <w:tc>
          <w:tcPr>
            <w:tcW w:w="784" w:type="dxa"/>
          </w:tcPr>
          <w:p>
            <w:pPr>
              <w:spacing w:after="160" w:line="440" w:lineRule="exact"/>
              <w:jc w:val="center"/>
              <w:rPr>
                <w:rFonts w:ascii="宋体" w:hAnsi="宋体" w:eastAsia="宋体"/>
                <w:color w:val="000000" w:themeColor="text1"/>
              </w:rPr>
            </w:pPr>
          </w:p>
        </w:tc>
        <w:tc>
          <w:tcPr>
            <w:tcW w:w="2749" w:type="dxa"/>
          </w:tcPr>
          <w:p>
            <w:pPr>
              <w:spacing w:after="160" w:line="440" w:lineRule="exact"/>
              <w:jc w:val="center"/>
              <w:rPr>
                <w:rFonts w:ascii="宋体" w:hAnsi="宋体" w:eastAsia="宋体"/>
                <w:color w:val="000000" w:themeColor="text1"/>
              </w:rPr>
            </w:pPr>
          </w:p>
        </w:tc>
        <w:tc>
          <w:tcPr>
            <w:tcW w:w="728" w:type="dxa"/>
          </w:tcPr>
          <w:p>
            <w:pPr>
              <w:spacing w:after="160" w:line="440" w:lineRule="exact"/>
              <w:jc w:val="center"/>
              <w:rPr>
                <w:rFonts w:ascii="宋体" w:hAnsi="宋体" w:eastAsia="宋体"/>
                <w:color w:val="000000" w:themeColor="text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Pr>
          <w:p>
            <w:pPr>
              <w:spacing w:after="160" w:line="440" w:lineRule="exact"/>
              <w:jc w:val="center"/>
              <w:rPr>
                <w:rFonts w:ascii="宋体" w:hAnsi="宋体" w:eastAsia="宋体"/>
                <w:color w:val="000000" w:themeColor="text1"/>
              </w:rPr>
            </w:pPr>
          </w:p>
        </w:tc>
        <w:tc>
          <w:tcPr>
            <w:tcW w:w="785" w:type="dxa"/>
          </w:tcPr>
          <w:p>
            <w:pPr>
              <w:spacing w:after="160" w:line="440" w:lineRule="exact"/>
              <w:jc w:val="center"/>
              <w:rPr>
                <w:rFonts w:ascii="宋体" w:hAnsi="宋体" w:eastAsia="宋体"/>
                <w:color w:val="000000" w:themeColor="text1"/>
              </w:rPr>
            </w:pPr>
          </w:p>
        </w:tc>
        <w:tc>
          <w:tcPr>
            <w:tcW w:w="784" w:type="dxa"/>
          </w:tcPr>
          <w:p>
            <w:pPr>
              <w:spacing w:after="160" w:line="440" w:lineRule="exact"/>
              <w:jc w:val="center"/>
              <w:rPr>
                <w:rFonts w:ascii="宋体" w:hAnsi="宋体" w:eastAsia="宋体"/>
                <w:color w:val="000000" w:themeColor="text1"/>
              </w:rPr>
            </w:pPr>
          </w:p>
        </w:tc>
        <w:tc>
          <w:tcPr>
            <w:tcW w:w="1178" w:type="dxa"/>
          </w:tcPr>
          <w:p>
            <w:pPr>
              <w:spacing w:after="160" w:line="440" w:lineRule="exact"/>
              <w:jc w:val="center"/>
              <w:rPr>
                <w:rFonts w:ascii="宋体" w:hAnsi="宋体" w:eastAsia="宋体"/>
                <w:color w:val="000000" w:themeColor="text1"/>
              </w:rPr>
            </w:pPr>
          </w:p>
        </w:tc>
        <w:tc>
          <w:tcPr>
            <w:tcW w:w="784" w:type="dxa"/>
          </w:tcPr>
          <w:p>
            <w:pPr>
              <w:spacing w:after="160" w:line="440" w:lineRule="exact"/>
              <w:jc w:val="center"/>
              <w:rPr>
                <w:rFonts w:ascii="宋体" w:hAnsi="宋体" w:eastAsia="宋体"/>
                <w:color w:val="000000" w:themeColor="text1"/>
              </w:rPr>
            </w:pPr>
          </w:p>
        </w:tc>
        <w:tc>
          <w:tcPr>
            <w:tcW w:w="786" w:type="dxa"/>
          </w:tcPr>
          <w:p>
            <w:pPr>
              <w:spacing w:after="160" w:line="440" w:lineRule="exact"/>
              <w:jc w:val="center"/>
              <w:rPr>
                <w:rFonts w:ascii="宋体" w:hAnsi="宋体" w:eastAsia="宋体"/>
                <w:color w:val="000000" w:themeColor="text1"/>
              </w:rPr>
            </w:pPr>
          </w:p>
        </w:tc>
        <w:tc>
          <w:tcPr>
            <w:tcW w:w="784" w:type="dxa"/>
          </w:tcPr>
          <w:p>
            <w:pPr>
              <w:spacing w:after="160" w:line="440" w:lineRule="exact"/>
              <w:jc w:val="center"/>
              <w:rPr>
                <w:rFonts w:ascii="宋体" w:hAnsi="宋体" w:eastAsia="宋体"/>
                <w:color w:val="000000" w:themeColor="text1"/>
              </w:rPr>
            </w:pPr>
          </w:p>
        </w:tc>
        <w:tc>
          <w:tcPr>
            <w:tcW w:w="2749" w:type="dxa"/>
          </w:tcPr>
          <w:p>
            <w:pPr>
              <w:spacing w:after="160" w:line="440" w:lineRule="exact"/>
              <w:jc w:val="center"/>
              <w:rPr>
                <w:rFonts w:ascii="宋体" w:hAnsi="宋体" w:eastAsia="宋体"/>
                <w:color w:val="000000" w:themeColor="text1"/>
              </w:rPr>
            </w:pPr>
          </w:p>
        </w:tc>
        <w:tc>
          <w:tcPr>
            <w:tcW w:w="728" w:type="dxa"/>
          </w:tcPr>
          <w:p>
            <w:pPr>
              <w:spacing w:after="160" w:line="440" w:lineRule="exact"/>
              <w:jc w:val="center"/>
              <w:rPr>
                <w:rFonts w:ascii="宋体" w:hAnsi="宋体" w:eastAsia="宋体"/>
                <w:color w:val="000000" w:themeColor="text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Pr>
          <w:p>
            <w:pPr>
              <w:spacing w:after="160" w:line="440" w:lineRule="exact"/>
              <w:jc w:val="center"/>
              <w:rPr>
                <w:rFonts w:ascii="宋体" w:hAnsi="宋体" w:eastAsia="宋体"/>
                <w:color w:val="000000" w:themeColor="text1"/>
              </w:rPr>
            </w:pPr>
          </w:p>
        </w:tc>
        <w:tc>
          <w:tcPr>
            <w:tcW w:w="785" w:type="dxa"/>
          </w:tcPr>
          <w:p>
            <w:pPr>
              <w:spacing w:after="160" w:line="440" w:lineRule="exact"/>
              <w:jc w:val="center"/>
              <w:rPr>
                <w:rFonts w:ascii="宋体" w:hAnsi="宋体" w:eastAsia="宋体"/>
                <w:color w:val="000000" w:themeColor="text1"/>
              </w:rPr>
            </w:pPr>
          </w:p>
        </w:tc>
        <w:tc>
          <w:tcPr>
            <w:tcW w:w="784" w:type="dxa"/>
          </w:tcPr>
          <w:p>
            <w:pPr>
              <w:spacing w:after="160" w:line="440" w:lineRule="exact"/>
              <w:jc w:val="center"/>
              <w:rPr>
                <w:rFonts w:ascii="宋体" w:hAnsi="宋体" w:eastAsia="宋体"/>
                <w:color w:val="000000" w:themeColor="text1"/>
              </w:rPr>
            </w:pPr>
          </w:p>
        </w:tc>
        <w:tc>
          <w:tcPr>
            <w:tcW w:w="1178" w:type="dxa"/>
          </w:tcPr>
          <w:p>
            <w:pPr>
              <w:spacing w:after="160" w:line="440" w:lineRule="exact"/>
              <w:jc w:val="center"/>
              <w:rPr>
                <w:rFonts w:ascii="宋体" w:hAnsi="宋体" w:eastAsia="宋体"/>
                <w:color w:val="000000" w:themeColor="text1"/>
              </w:rPr>
            </w:pPr>
          </w:p>
        </w:tc>
        <w:tc>
          <w:tcPr>
            <w:tcW w:w="784" w:type="dxa"/>
          </w:tcPr>
          <w:p>
            <w:pPr>
              <w:spacing w:after="160" w:line="440" w:lineRule="exact"/>
              <w:jc w:val="center"/>
              <w:rPr>
                <w:rFonts w:ascii="宋体" w:hAnsi="宋体" w:eastAsia="宋体"/>
                <w:color w:val="000000" w:themeColor="text1"/>
              </w:rPr>
            </w:pPr>
          </w:p>
        </w:tc>
        <w:tc>
          <w:tcPr>
            <w:tcW w:w="786" w:type="dxa"/>
          </w:tcPr>
          <w:p>
            <w:pPr>
              <w:spacing w:after="160" w:line="440" w:lineRule="exact"/>
              <w:jc w:val="center"/>
              <w:rPr>
                <w:rFonts w:ascii="宋体" w:hAnsi="宋体" w:eastAsia="宋体"/>
                <w:color w:val="000000" w:themeColor="text1"/>
              </w:rPr>
            </w:pPr>
          </w:p>
        </w:tc>
        <w:tc>
          <w:tcPr>
            <w:tcW w:w="784" w:type="dxa"/>
          </w:tcPr>
          <w:p>
            <w:pPr>
              <w:spacing w:after="160" w:line="440" w:lineRule="exact"/>
              <w:jc w:val="center"/>
              <w:rPr>
                <w:rFonts w:ascii="宋体" w:hAnsi="宋体" w:eastAsia="宋体"/>
                <w:color w:val="000000" w:themeColor="text1"/>
              </w:rPr>
            </w:pPr>
          </w:p>
        </w:tc>
        <w:tc>
          <w:tcPr>
            <w:tcW w:w="2749" w:type="dxa"/>
          </w:tcPr>
          <w:p>
            <w:pPr>
              <w:spacing w:after="160" w:line="440" w:lineRule="exact"/>
              <w:jc w:val="center"/>
              <w:rPr>
                <w:rFonts w:ascii="宋体" w:hAnsi="宋体" w:eastAsia="宋体"/>
                <w:color w:val="000000" w:themeColor="text1"/>
              </w:rPr>
            </w:pPr>
          </w:p>
        </w:tc>
        <w:tc>
          <w:tcPr>
            <w:tcW w:w="728" w:type="dxa"/>
          </w:tcPr>
          <w:p>
            <w:pPr>
              <w:spacing w:after="160" w:line="440" w:lineRule="exact"/>
              <w:jc w:val="center"/>
              <w:rPr>
                <w:rFonts w:ascii="宋体" w:hAnsi="宋体" w:eastAsia="宋体"/>
                <w:color w:val="000000" w:themeColor="text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Pr>
          <w:p>
            <w:pPr>
              <w:spacing w:after="160" w:line="440" w:lineRule="exact"/>
              <w:jc w:val="center"/>
              <w:rPr>
                <w:rFonts w:ascii="宋体" w:hAnsi="宋体" w:eastAsia="宋体"/>
                <w:color w:val="000000" w:themeColor="text1"/>
              </w:rPr>
            </w:pPr>
          </w:p>
        </w:tc>
        <w:tc>
          <w:tcPr>
            <w:tcW w:w="785" w:type="dxa"/>
          </w:tcPr>
          <w:p>
            <w:pPr>
              <w:spacing w:after="160" w:line="440" w:lineRule="exact"/>
              <w:jc w:val="center"/>
              <w:rPr>
                <w:rFonts w:ascii="宋体" w:hAnsi="宋体" w:eastAsia="宋体"/>
                <w:color w:val="000000" w:themeColor="text1"/>
              </w:rPr>
            </w:pPr>
          </w:p>
        </w:tc>
        <w:tc>
          <w:tcPr>
            <w:tcW w:w="784" w:type="dxa"/>
          </w:tcPr>
          <w:p>
            <w:pPr>
              <w:spacing w:after="160" w:line="440" w:lineRule="exact"/>
              <w:jc w:val="center"/>
              <w:rPr>
                <w:rFonts w:ascii="宋体" w:hAnsi="宋体" w:eastAsia="宋体"/>
                <w:color w:val="000000" w:themeColor="text1"/>
              </w:rPr>
            </w:pPr>
          </w:p>
        </w:tc>
        <w:tc>
          <w:tcPr>
            <w:tcW w:w="1178" w:type="dxa"/>
          </w:tcPr>
          <w:p>
            <w:pPr>
              <w:spacing w:after="160" w:line="440" w:lineRule="exact"/>
              <w:jc w:val="center"/>
              <w:rPr>
                <w:rFonts w:ascii="宋体" w:hAnsi="宋体" w:eastAsia="宋体"/>
                <w:color w:val="000000" w:themeColor="text1"/>
              </w:rPr>
            </w:pPr>
          </w:p>
        </w:tc>
        <w:tc>
          <w:tcPr>
            <w:tcW w:w="784" w:type="dxa"/>
          </w:tcPr>
          <w:p>
            <w:pPr>
              <w:spacing w:after="160" w:line="440" w:lineRule="exact"/>
              <w:jc w:val="center"/>
              <w:rPr>
                <w:rFonts w:ascii="宋体" w:hAnsi="宋体" w:eastAsia="宋体"/>
                <w:color w:val="000000" w:themeColor="text1"/>
              </w:rPr>
            </w:pPr>
          </w:p>
        </w:tc>
        <w:tc>
          <w:tcPr>
            <w:tcW w:w="786" w:type="dxa"/>
          </w:tcPr>
          <w:p>
            <w:pPr>
              <w:spacing w:after="160" w:line="440" w:lineRule="exact"/>
              <w:jc w:val="center"/>
              <w:rPr>
                <w:rFonts w:ascii="宋体" w:hAnsi="宋体" w:eastAsia="宋体"/>
                <w:color w:val="000000" w:themeColor="text1"/>
              </w:rPr>
            </w:pPr>
          </w:p>
        </w:tc>
        <w:tc>
          <w:tcPr>
            <w:tcW w:w="784" w:type="dxa"/>
          </w:tcPr>
          <w:p>
            <w:pPr>
              <w:spacing w:after="160" w:line="440" w:lineRule="exact"/>
              <w:jc w:val="center"/>
              <w:rPr>
                <w:rFonts w:ascii="宋体" w:hAnsi="宋体" w:eastAsia="宋体"/>
                <w:color w:val="000000" w:themeColor="text1"/>
              </w:rPr>
            </w:pPr>
          </w:p>
        </w:tc>
        <w:tc>
          <w:tcPr>
            <w:tcW w:w="2749" w:type="dxa"/>
          </w:tcPr>
          <w:p>
            <w:pPr>
              <w:spacing w:after="160" w:line="440" w:lineRule="exact"/>
              <w:jc w:val="center"/>
              <w:rPr>
                <w:rFonts w:ascii="宋体" w:hAnsi="宋体" w:eastAsia="宋体"/>
                <w:color w:val="000000" w:themeColor="text1"/>
              </w:rPr>
            </w:pPr>
          </w:p>
        </w:tc>
        <w:tc>
          <w:tcPr>
            <w:tcW w:w="728" w:type="dxa"/>
          </w:tcPr>
          <w:p>
            <w:pPr>
              <w:spacing w:after="160" w:line="440" w:lineRule="exact"/>
              <w:jc w:val="center"/>
              <w:rPr>
                <w:rFonts w:ascii="宋体" w:hAnsi="宋体" w:eastAsia="宋体"/>
                <w:color w:val="000000" w:themeColor="text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Pr>
          <w:p>
            <w:pPr>
              <w:spacing w:after="160" w:line="440" w:lineRule="exact"/>
              <w:jc w:val="center"/>
              <w:rPr>
                <w:rFonts w:ascii="宋体" w:hAnsi="宋体" w:eastAsia="宋体"/>
                <w:color w:val="000000" w:themeColor="text1"/>
              </w:rPr>
            </w:pPr>
          </w:p>
        </w:tc>
        <w:tc>
          <w:tcPr>
            <w:tcW w:w="785" w:type="dxa"/>
          </w:tcPr>
          <w:p>
            <w:pPr>
              <w:spacing w:after="160" w:line="440" w:lineRule="exact"/>
              <w:jc w:val="center"/>
              <w:rPr>
                <w:rFonts w:ascii="宋体" w:hAnsi="宋体" w:eastAsia="宋体"/>
                <w:color w:val="000000" w:themeColor="text1"/>
              </w:rPr>
            </w:pPr>
          </w:p>
        </w:tc>
        <w:tc>
          <w:tcPr>
            <w:tcW w:w="784" w:type="dxa"/>
          </w:tcPr>
          <w:p>
            <w:pPr>
              <w:spacing w:after="160" w:line="440" w:lineRule="exact"/>
              <w:jc w:val="center"/>
              <w:rPr>
                <w:rFonts w:ascii="宋体" w:hAnsi="宋体" w:eastAsia="宋体"/>
                <w:color w:val="000000" w:themeColor="text1"/>
              </w:rPr>
            </w:pPr>
          </w:p>
        </w:tc>
        <w:tc>
          <w:tcPr>
            <w:tcW w:w="1178" w:type="dxa"/>
          </w:tcPr>
          <w:p>
            <w:pPr>
              <w:spacing w:after="160" w:line="440" w:lineRule="exact"/>
              <w:jc w:val="center"/>
              <w:rPr>
                <w:rFonts w:ascii="宋体" w:hAnsi="宋体" w:eastAsia="宋体"/>
                <w:color w:val="000000" w:themeColor="text1"/>
              </w:rPr>
            </w:pPr>
          </w:p>
        </w:tc>
        <w:tc>
          <w:tcPr>
            <w:tcW w:w="784" w:type="dxa"/>
          </w:tcPr>
          <w:p>
            <w:pPr>
              <w:spacing w:after="160" w:line="440" w:lineRule="exact"/>
              <w:jc w:val="center"/>
              <w:rPr>
                <w:rFonts w:ascii="宋体" w:hAnsi="宋体" w:eastAsia="宋体"/>
                <w:color w:val="000000" w:themeColor="text1"/>
              </w:rPr>
            </w:pPr>
          </w:p>
        </w:tc>
        <w:tc>
          <w:tcPr>
            <w:tcW w:w="786" w:type="dxa"/>
          </w:tcPr>
          <w:p>
            <w:pPr>
              <w:spacing w:after="160" w:line="440" w:lineRule="exact"/>
              <w:jc w:val="center"/>
              <w:rPr>
                <w:rFonts w:ascii="宋体" w:hAnsi="宋体" w:eastAsia="宋体"/>
                <w:color w:val="000000" w:themeColor="text1"/>
              </w:rPr>
            </w:pPr>
          </w:p>
        </w:tc>
        <w:tc>
          <w:tcPr>
            <w:tcW w:w="784" w:type="dxa"/>
          </w:tcPr>
          <w:p>
            <w:pPr>
              <w:spacing w:after="160" w:line="440" w:lineRule="exact"/>
              <w:jc w:val="center"/>
              <w:rPr>
                <w:rFonts w:ascii="宋体" w:hAnsi="宋体" w:eastAsia="宋体"/>
                <w:color w:val="000000" w:themeColor="text1"/>
              </w:rPr>
            </w:pPr>
          </w:p>
        </w:tc>
        <w:tc>
          <w:tcPr>
            <w:tcW w:w="2749" w:type="dxa"/>
          </w:tcPr>
          <w:p>
            <w:pPr>
              <w:spacing w:after="160" w:line="440" w:lineRule="exact"/>
              <w:jc w:val="center"/>
              <w:rPr>
                <w:rFonts w:ascii="宋体" w:hAnsi="宋体" w:eastAsia="宋体"/>
                <w:color w:val="000000" w:themeColor="text1"/>
              </w:rPr>
            </w:pPr>
          </w:p>
        </w:tc>
        <w:tc>
          <w:tcPr>
            <w:tcW w:w="728" w:type="dxa"/>
          </w:tcPr>
          <w:p>
            <w:pPr>
              <w:spacing w:after="160" w:line="440" w:lineRule="exact"/>
              <w:jc w:val="center"/>
              <w:rPr>
                <w:rFonts w:ascii="宋体" w:hAnsi="宋体" w:eastAsia="宋体"/>
                <w:color w:val="000000" w:themeColor="text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Pr>
          <w:p>
            <w:pPr>
              <w:spacing w:after="160" w:line="440" w:lineRule="exact"/>
              <w:jc w:val="center"/>
              <w:rPr>
                <w:rFonts w:ascii="宋体" w:hAnsi="宋体" w:eastAsia="宋体"/>
                <w:color w:val="000000" w:themeColor="text1"/>
              </w:rPr>
            </w:pPr>
          </w:p>
        </w:tc>
        <w:tc>
          <w:tcPr>
            <w:tcW w:w="785" w:type="dxa"/>
          </w:tcPr>
          <w:p>
            <w:pPr>
              <w:spacing w:after="160" w:line="440" w:lineRule="exact"/>
              <w:jc w:val="center"/>
              <w:rPr>
                <w:rFonts w:ascii="宋体" w:hAnsi="宋体" w:eastAsia="宋体"/>
                <w:color w:val="000000" w:themeColor="text1"/>
              </w:rPr>
            </w:pPr>
          </w:p>
        </w:tc>
        <w:tc>
          <w:tcPr>
            <w:tcW w:w="784" w:type="dxa"/>
          </w:tcPr>
          <w:p>
            <w:pPr>
              <w:spacing w:after="160" w:line="440" w:lineRule="exact"/>
              <w:jc w:val="center"/>
              <w:rPr>
                <w:rFonts w:ascii="宋体" w:hAnsi="宋体" w:eastAsia="宋体"/>
                <w:color w:val="000000" w:themeColor="text1"/>
              </w:rPr>
            </w:pPr>
          </w:p>
        </w:tc>
        <w:tc>
          <w:tcPr>
            <w:tcW w:w="1178" w:type="dxa"/>
          </w:tcPr>
          <w:p>
            <w:pPr>
              <w:spacing w:after="160" w:line="440" w:lineRule="exact"/>
              <w:jc w:val="center"/>
              <w:rPr>
                <w:rFonts w:ascii="宋体" w:hAnsi="宋体" w:eastAsia="宋体"/>
                <w:color w:val="000000" w:themeColor="text1"/>
              </w:rPr>
            </w:pPr>
          </w:p>
        </w:tc>
        <w:tc>
          <w:tcPr>
            <w:tcW w:w="784" w:type="dxa"/>
          </w:tcPr>
          <w:p>
            <w:pPr>
              <w:spacing w:after="160" w:line="440" w:lineRule="exact"/>
              <w:jc w:val="center"/>
              <w:rPr>
                <w:rFonts w:ascii="宋体" w:hAnsi="宋体" w:eastAsia="宋体"/>
                <w:color w:val="000000" w:themeColor="text1"/>
              </w:rPr>
            </w:pPr>
          </w:p>
        </w:tc>
        <w:tc>
          <w:tcPr>
            <w:tcW w:w="786" w:type="dxa"/>
          </w:tcPr>
          <w:p>
            <w:pPr>
              <w:spacing w:after="160" w:line="440" w:lineRule="exact"/>
              <w:jc w:val="center"/>
              <w:rPr>
                <w:rFonts w:ascii="宋体" w:hAnsi="宋体" w:eastAsia="宋体"/>
                <w:color w:val="000000" w:themeColor="text1"/>
              </w:rPr>
            </w:pPr>
          </w:p>
        </w:tc>
        <w:tc>
          <w:tcPr>
            <w:tcW w:w="784" w:type="dxa"/>
          </w:tcPr>
          <w:p>
            <w:pPr>
              <w:spacing w:after="160" w:line="440" w:lineRule="exact"/>
              <w:jc w:val="center"/>
              <w:rPr>
                <w:rFonts w:ascii="宋体" w:hAnsi="宋体" w:eastAsia="宋体"/>
                <w:color w:val="000000" w:themeColor="text1"/>
              </w:rPr>
            </w:pPr>
          </w:p>
        </w:tc>
        <w:tc>
          <w:tcPr>
            <w:tcW w:w="2749" w:type="dxa"/>
          </w:tcPr>
          <w:p>
            <w:pPr>
              <w:spacing w:after="160" w:line="440" w:lineRule="exact"/>
              <w:jc w:val="center"/>
              <w:rPr>
                <w:rFonts w:ascii="宋体" w:hAnsi="宋体" w:eastAsia="宋体"/>
                <w:color w:val="000000" w:themeColor="text1"/>
              </w:rPr>
            </w:pPr>
          </w:p>
        </w:tc>
        <w:tc>
          <w:tcPr>
            <w:tcW w:w="728" w:type="dxa"/>
          </w:tcPr>
          <w:p>
            <w:pPr>
              <w:spacing w:after="160" w:line="440" w:lineRule="exact"/>
              <w:jc w:val="center"/>
              <w:rPr>
                <w:rFonts w:ascii="宋体" w:hAnsi="宋体" w:eastAsia="宋体"/>
                <w:color w:val="000000" w:themeColor="text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Pr>
          <w:p>
            <w:pPr>
              <w:spacing w:after="160" w:line="440" w:lineRule="exact"/>
              <w:jc w:val="center"/>
              <w:rPr>
                <w:rFonts w:ascii="宋体" w:hAnsi="宋体" w:eastAsia="宋体"/>
                <w:color w:val="000000" w:themeColor="text1"/>
              </w:rPr>
            </w:pPr>
          </w:p>
        </w:tc>
        <w:tc>
          <w:tcPr>
            <w:tcW w:w="785" w:type="dxa"/>
          </w:tcPr>
          <w:p>
            <w:pPr>
              <w:spacing w:after="160" w:line="440" w:lineRule="exact"/>
              <w:jc w:val="center"/>
              <w:rPr>
                <w:rFonts w:ascii="宋体" w:hAnsi="宋体" w:eastAsia="宋体"/>
                <w:color w:val="000000" w:themeColor="text1"/>
              </w:rPr>
            </w:pPr>
          </w:p>
        </w:tc>
        <w:tc>
          <w:tcPr>
            <w:tcW w:w="784" w:type="dxa"/>
          </w:tcPr>
          <w:p>
            <w:pPr>
              <w:spacing w:after="160" w:line="440" w:lineRule="exact"/>
              <w:jc w:val="center"/>
              <w:rPr>
                <w:rFonts w:ascii="宋体" w:hAnsi="宋体" w:eastAsia="宋体"/>
                <w:color w:val="000000" w:themeColor="text1"/>
              </w:rPr>
            </w:pPr>
          </w:p>
        </w:tc>
        <w:tc>
          <w:tcPr>
            <w:tcW w:w="1178" w:type="dxa"/>
          </w:tcPr>
          <w:p>
            <w:pPr>
              <w:spacing w:after="160" w:line="440" w:lineRule="exact"/>
              <w:jc w:val="center"/>
              <w:rPr>
                <w:rFonts w:ascii="宋体" w:hAnsi="宋体" w:eastAsia="宋体"/>
                <w:color w:val="000000" w:themeColor="text1"/>
              </w:rPr>
            </w:pPr>
          </w:p>
        </w:tc>
        <w:tc>
          <w:tcPr>
            <w:tcW w:w="784" w:type="dxa"/>
          </w:tcPr>
          <w:p>
            <w:pPr>
              <w:spacing w:after="160" w:line="440" w:lineRule="exact"/>
              <w:jc w:val="center"/>
              <w:rPr>
                <w:rFonts w:ascii="宋体" w:hAnsi="宋体" w:eastAsia="宋体"/>
                <w:color w:val="000000" w:themeColor="text1"/>
              </w:rPr>
            </w:pPr>
          </w:p>
        </w:tc>
        <w:tc>
          <w:tcPr>
            <w:tcW w:w="786" w:type="dxa"/>
          </w:tcPr>
          <w:p>
            <w:pPr>
              <w:spacing w:after="160" w:line="440" w:lineRule="exact"/>
              <w:jc w:val="center"/>
              <w:rPr>
                <w:rFonts w:ascii="宋体" w:hAnsi="宋体" w:eastAsia="宋体"/>
                <w:color w:val="000000" w:themeColor="text1"/>
              </w:rPr>
            </w:pPr>
          </w:p>
        </w:tc>
        <w:tc>
          <w:tcPr>
            <w:tcW w:w="784" w:type="dxa"/>
          </w:tcPr>
          <w:p>
            <w:pPr>
              <w:spacing w:after="160" w:line="440" w:lineRule="exact"/>
              <w:jc w:val="center"/>
              <w:rPr>
                <w:rFonts w:ascii="宋体" w:hAnsi="宋体" w:eastAsia="宋体"/>
                <w:color w:val="000000" w:themeColor="text1"/>
              </w:rPr>
            </w:pPr>
          </w:p>
        </w:tc>
        <w:tc>
          <w:tcPr>
            <w:tcW w:w="2749" w:type="dxa"/>
          </w:tcPr>
          <w:p>
            <w:pPr>
              <w:spacing w:after="160" w:line="440" w:lineRule="exact"/>
              <w:jc w:val="center"/>
              <w:rPr>
                <w:rFonts w:ascii="宋体" w:hAnsi="宋体" w:eastAsia="宋体"/>
                <w:color w:val="000000" w:themeColor="text1"/>
              </w:rPr>
            </w:pPr>
          </w:p>
        </w:tc>
        <w:tc>
          <w:tcPr>
            <w:tcW w:w="728" w:type="dxa"/>
          </w:tcPr>
          <w:p>
            <w:pPr>
              <w:spacing w:after="160" w:line="440" w:lineRule="exact"/>
              <w:jc w:val="center"/>
              <w:rPr>
                <w:rFonts w:ascii="宋体" w:hAnsi="宋体" w:eastAsia="宋体"/>
                <w:color w:val="000000" w:themeColor="text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Pr>
          <w:p>
            <w:pPr>
              <w:spacing w:after="160" w:line="440" w:lineRule="exact"/>
              <w:jc w:val="center"/>
              <w:rPr>
                <w:rFonts w:ascii="宋体" w:hAnsi="宋体" w:eastAsia="宋体"/>
                <w:color w:val="000000" w:themeColor="text1"/>
              </w:rPr>
            </w:pPr>
          </w:p>
        </w:tc>
        <w:tc>
          <w:tcPr>
            <w:tcW w:w="785" w:type="dxa"/>
          </w:tcPr>
          <w:p>
            <w:pPr>
              <w:spacing w:after="160" w:line="440" w:lineRule="exact"/>
              <w:jc w:val="center"/>
              <w:rPr>
                <w:rFonts w:ascii="宋体" w:hAnsi="宋体" w:eastAsia="宋体"/>
                <w:color w:val="000000" w:themeColor="text1"/>
              </w:rPr>
            </w:pPr>
          </w:p>
        </w:tc>
        <w:tc>
          <w:tcPr>
            <w:tcW w:w="784" w:type="dxa"/>
          </w:tcPr>
          <w:p>
            <w:pPr>
              <w:spacing w:after="160" w:line="440" w:lineRule="exact"/>
              <w:jc w:val="center"/>
              <w:rPr>
                <w:rFonts w:ascii="宋体" w:hAnsi="宋体" w:eastAsia="宋体"/>
                <w:color w:val="000000" w:themeColor="text1"/>
              </w:rPr>
            </w:pPr>
          </w:p>
        </w:tc>
        <w:tc>
          <w:tcPr>
            <w:tcW w:w="1178" w:type="dxa"/>
          </w:tcPr>
          <w:p>
            <w:pPr>
              <w:spacing w:after="160" w:line="440" w:lineRule="exact"/>
              <w:jc w:val="center"/>
              <w:rPr>
                <w:rFonts w:ascii="宋体" w:hAnsi="宋体" w:eastAsia="宋体"/>
                <w:color w:val="000000" w:themeColor="text1"/>
              </w:rPr>
            </w:pPr>
          </w:p>
        </w:tc>
        <w:tc>
          <w:tcPr>
            <w:tcW w:w="784" w:type="dxa"/>
          </w:tcPr>
          <w:p>
            <w:pPr>
              <w:spacing w:after="160" w:line="440" w:lineRule="exact"/>
              <w:jc w:val="center"/>
              <w:rPr>
                <w:rFonts w:ascii="宋体" w:hAnsi="宋体" w:eastAsia="宋体"/>
                <w:color w:val="000000" w:themeColor="text1"/>
              </w:rPr>
            </w:pPr>
          </w:p>
        </w:tc>
        <w:tc>
          <w:tcPr>
            <w:tcW w:w="786" w:type="dxa"/>
          </w:tcPr>
          <w:p>
            <w:pPr>
              <w:spacing w:after="160" w:line="440" w:lineRule="exact"/>
              <w:jc w:val="center"/>
              <w:rPr>
                <w:rFonts w:ascii="宋体" w:hAnsi="宋体" w:eastAsia="宋体"/>
                <w:color w:val="000000" w:themeColor="text1"/>
              </w:rPr>
            </w:pPr>
          </w:p>
        </w:tc>
        <w:tc>
          <w:tcPr>
            <w:tcW w:w="784" w:type="dxa"/>
          </w:tcPr>
          <w:p>
            <w:pPr>
              <w:spacing w:after="160" w:line="440" w:lineRule="exact"/>
              <w:jc w:val="center"/>
              <w:rPr>
                <w:rFonts w:ascii="宋体" w:hAnsi="宋体" w:eastAsia="宋体"/>
                <w:color w:val="000000" w:themeColor="text1"/>
              </w:rPr>
            </w:pPr>
          </w:p>
        </w:tc>
        <w:tc>
          <w:tcPr>
            <w:tcW w:w="2749" w:type="dxa"/>
          </w:tcPr>
          <w:p>
            <w:pPr>
              <w:spacing w:after="160" w:line="440" w:lineRule="exact"/>
              <w:jc w:val="center"/>
              <w:rPr>
                <w:rFonts w:ascii="宋体" w:hAnsi="宋体" w:eastAsia="宋体"/>
                <w:color w:val="000000" w:themeColor="text1"/>
              </w:rPr>
            </w:pPr>
          </w:p>
        </w:tc>
        <w:tc>
          <w:tcPr>
            <w:tcW w:w="728" w:type="dxa"/>
          </w:tcPr>
          <w:p>
            <w:pPr>
              <w:spacing w:after="160" w:line="440" w:lineRule="exact"/>
              <w:jc w:val="center"/>
              <w:rPr>
                <w:rFonts w:ascii="宋体" w:hAnsi="宋体" w:eastAsia="宋体"/>
                <w:color w:val="000000" w:themeColor="text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Pr>
          <w:p>
            <w:pPr>
              <w:spacing w:after="160" w:line="440" w:lineRule="exact"/>
              <w:jc w:val="center"/>
              <w:rPr>
                <w:rFonts w:ascii="宋体" w:hAnsi="宋体" w:eastAsia="宋体"/>
                <w:color w:val="000000" w:themeColor="text1"/>
              </w:rPr>
            </w:pPr>
          </w:p>
        </w:tc>
        <w:tc>
          <w:tcPr>
            <w:tcW w:w="785" w:type="dxa"/>
          </w:tcPr>
          <w:p>
            <w:pPr>
              <w:spacing w:after="160" w:line="440" w:lineRule="exact"/>
              <w:jc w:val="center"/>
              <w:rPr>
                <w:rFonts w:ascii="宋体" w:hAnsi="宋体" w:eastAsia="宋体"/>
                <w:color w:val="000000" w:themeColor="text1"/>
              </w:rPr>
            </w:pPr>
          </w:p>
        </w:tc>
        <w:tc>
          <w:tcPr>
            <w:tcW w:w="784" w:type="dxa"/>
          </w:tcPr>
          <w:p>
            <w:pPr>
              <w:spacing w:after="160" w:line="440" w:lineRule="exact"/>
              <w:jc w:val="center"/>
              <w:rPr>
                <w:rFonts w:ascii="宋体" w:hAnsi="宋体" w:eastAsia="宋体"/>
                <w:color w:val="000000" w:themeColor="text1"/>
              </w:rPr>
            </w:pPr>
          </w:p>
        </w:tc>
        <w:tc>
          <w:tcPr>
            <w:tcW w:w="1178" w:type="dxa"/>
          </w:tcPr>
          <w:p>
            <w:pPr>
              <w:spacing w:after="160" w:line="440" w:lineRule="exact"/>
              <w:jc w:val="center"/>
              <w:rPr>
                <w:rFonts w:ascii="宋体" w:hAnsi="宋体" w:eastAsia="宋体"/>
                <w:color w:val="000000" w:themeColor="text1"/>
              </w:rPr>
            </w:pPr>
          </w:p>
        </w:tc>
        <w:tc>
          <w:tcPr>
            <w:tcW w:w="784" w:type="dxa"/>
          </w:tcPr>
          <w:p>
            <w:pPr>
              <w:spacing w:after="160" w:line="440" w:lineRule="exact"/>
              <w:jc w:val="center"/>
              <w:rPr>
                <w:rFonts w:ascii="宋体" w:hAnsi="宋体" w:eastAsia="宋体"/>
                <w:color w:val="000000" w:themeColor="text1"/>
              </w:rPr>
            </w:pPr>
          </w:p>
        </w:tc>
        <w:tc>
          <w:tcPr>
            <w:tcW w:w="786" w:type="dxa"/>
          </w:tcPr>
          <w:p>
            <w:pPr>
              <w:spacing w:after="160" w:line="440" w:lineRule="exact"/>
              <w:jc w:val="center"/>
              <w:rPr>
                <w:rFonts w:ascii="宋体" w:hAnsi="宋体" w:eastAsia="宋体"/>
                <w:color w:val="000000" w:themeColor="text1"/>
              </w:rPr>
            </w:pPr>
          </w:p>
        </w:tc>
        <w:tc>
          <w:tcPr>
            <w:tcW w:w="784" w:type="dxa"/>
          </w:tcPr>
          <w:p>
            <w:pPr>
              <w:spacing w:after="160" w:line="440" w:lineRule="exact"/>
              <w:jc w:val="center"/>
              <w:rPr>
                <w:rFonts w:ascii="宋体" w:hAnsi="宋体" w:eastAsia="宋体"/>
                <w:color w:val="000000" w:themeColor="text1"/>
              </w:rPr>
            </w:pPr>
          </w:p>
        </w:tc>
        <w:tc>
          <w:tcPr>
            <w:tcW w:w="2749" w:type="dxa"/>
          </w:tcPr>
          <w:p>
            <w:pPr>
              <w:spacing w:after="160" w:line="440" w:lineRule="exact"/>
              <w:jc w:val="center"/>
              <w:rPr>
                <w:rFonts w:ascii="宋体" w:hAnsi="宋体" w:eastAsia="宋体"/>
                <w:color w:val="000000" w:themeColor="text1"/>
              </w:rPr>
            </w:pPr>
          </w:p>
        </w:tc>
        <w:tc>
          <w:tcPr>
            <w:tcW w:w="728" w:type="dxa"/>
          </w:tcPr>
          <w:p>
            <w:pPr>
              <w:spacing w:after="160" w:line="440" w:lineRule="exact"/>
              <w:jc w:val="center"/>
              <w:rPr>
                <w:rFonts w:ascii="宋体" w:hAnsi="宋体" w:eastAsia="宋体"/>
                <w:color w:val="000000" w:themeColor="text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Pr>
          <w:p>
            <w:pPr>
              <w:spacing w:after="160" w:line="440" w:lineRule="exact"/>
              <w:jc w:val="center"/>
              <w:rPr>
                <w:rFonts w:ascii="宋体" w:hAnsi="宋体" w:eastAsia="宋体"/>
                <w:color w:val="000000" w:themeColor="text1"/>
              </w:rPr>
            </w:pPr>
          </w:p>
        </w:tc>
        <w:tc>
          <w:tcPr>
            <w:tcW w:w="785" w:type="dxa"/>
          </w:tcPr>
          <w:p>
            <w:pPr>
              <w:spacing w:after="160" w:line="440" w:lineRule="exact"/>
              <w:jc w:val="center"/>
              <w:rPr>
                <w:rFonts w:ascii="宋体" w:hAnsi="宋体" w:eastAsia="宋体"/>
                <w:color w:val="000000" w:themeColor="text1"/>
              </w:rPr>
            </w:pPr>
          </w:p>
        </w:tc>
        <w:tc>
          <w:tcPr>
            <w:tcW w:w="784" w:type="dxa"/>
          </w:tcPr>
          <w:p>
            <w:pPr>
              <w:spacing w:after="160" w:line="440" w:lineRule="exact"/>
              <w:jc w:val="center"/>
              <w:rPr>
                <w:rFonts w:ascii="宋体" w:hAnsi="宋体" w:eastAsia="宋体"/>
                <w:color w:val="000000" w:themeColor="text1"/>
              </w:rPr>
            </w:pPr>
          </w:p>
        </w:tc>
        <w:tc>
          <w:tcPr>
            <w:tcW w:w="1178" w:type="dxa"/>
          </w:tcPr>
          <w:p>
            <w:pPr>
              <w:spacing w:after="160" w:line="440" w:lineRule="exact"/>
              <w:jc w:val="center"/>
              <w:rPr>
                <w:rFonts w:ascii="宋体" w:hAnsi="宋体" w:eastAsia="宋体"/>
                <w:color w:val="000000" w:themeColor="text1"/>
              </w:rPr>
            </w:pPr>
          </w:p>
        </w:tc>
        <w:tc>
          <w:tcPr>
            <w:tcW w:w="784" w:type="dxa"/>
          </w:tcPr>
          <w:p>
            <w:pPr>
              <w:spacing w:after="160" w:line="440" w:lineRule="exact"/>
              <w:jc w:val="center"/>
              <w:rPr>
                <w:rFonts w:ascii="宋体" w:hAnsi="宋体" w:eastAsia="宋体"/>
                <w:color w:val="000000" w:themeColor="text1"/>
              </w:rPr>
            </w:pPr>
          </w:p>
        </w:tc>
        <w:tc>
          <w:tcPr>
            <w:tcW w:w="786" w:type="dxa"/>
          </w:tcPr>
          <w:p>
            <w:pPr>
              <w:spacing w:after="160" w:line="440" w:lineRule="exact"/>
              <w:jc w:val="center"/>
              <w:rPr>
                <w:rFonts w:ascii="宋体" w:hAnsi="宋体" w:eastAsia="宋体"/>
                <w:color w:val="000000" w:themeColor="text1"/>
              </w:rPr>
            </w:pPr>
          </w:p>
        </w:tc>
        <w:tc>
          <w:tcPr>
            <w:tcW w:w="784" w:type="dxa"/>
          </w:tcPr>
          <w:p>
            <w:pPr>
              <w:spacing w:after="160" w:line="440" w:lineRule="exact"/>
              <w:jc w:val="center"/>
              <w:rPr>
                <w:rFonts w:ascii="宋体" w:hAnsi="宋体" w:eastAsia="宋体"/>
                <w:color w:val="000000" w:themeColor="text1"/>
              </w:rPr>
            </w:pPr>
          </w:p>
        </w:tc>
        <w:tc>
          <w:tcPr>
            <w:tcW w:w="2749" w:type="dxa"/>
          </w:tcPr>
          <w:p>
            <w:pPr>
              <w:spacing w:after="160" w:line="440" w:lineRule="exact"/>
              <w:jc w:val="center"/>
              <w:rPr>
                <w:rFonts w:ascii="宋体" w:hAnsi="宋体" w:eastAsia="宋体"/>
                <w:color w:val="000000" w:themeColor="text1"/>
              </w:rPr>
            </w:pPr>
          </w:p>
        </w:tc>
        <w:tc>
          <w:tcPr>
            <w:tcW w:w="728" w:type="dxa"/>
          </w:tcPr>
          <w:p>
            <w:pPr>
              <w:spacing w:after="160" w:line="440" w:lineRule="exact"/>
              <w:jc w:val="center"/>
              <w:rPr>
                <w:rFonts w:ascii="宋体" w:hAnsi="宋体" w:eastAsia="宋体"/>
                <w:color w:val="000000" w:themeColor="text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Pr>
          <w:p>
            <w:pPr>
              <w:spacing w:after="160" w:line="440" w:lineRule="exact"/>
              <w:jc w:val="center"/>
              <w:rPr>
                <w:rFonts w:ascii="宋体" w:hAnsi="宋体" w:eastAsia="宋体"/>
                <w:color w:val="000000" w:themeColor="text1"/>
              </w:rPr>
            </w:pPr>
          </w:p>
        </w:tc>
        <w:tc>
          <w:tcPr>
            <w:tcW w:w="785" w:type="dxa"/>
          </w:tcPr>
          <w:p>
            <w:pPr>
              <w:spacing w:after="160" w:line="440" w:lineRule="exact"/>
              <w:jc w:val="center"/>
              <w:rPr>
                <w:rFonts w:ascii="宋体" w:hAnsi="宋体" w:eastAsia="宋体"/>
                <w:color w:val="000000" w:themeColor="text1"/>
              </w:rPr>
            </w:pPr>
          </w:p>
        </w:tc>
        <w:tc>
          <w:tcPr>
            <w:tcW w:w="784" w:type="dxa"/>
          </w:tcPr>
          <w:p>
            <w:pPr>
              <w:spacing w:after="160" w:line="440" w:lineRule="exact"/>
              <w:jc w:val="center"/>
              <w:rPr>
                <w:rFonts w:ascii="宋体" w:hAnsi="宋体" w:eastAsia="宋体"/>
                <w:color w:val="000000" w:themeColor="text1"/>
              </w:rPr>
            </w:pPr>
          </w:p>
        </w:tc>
        <w:tc>
          <w:tcPr>
            <w:tcW w:w="1178" w:type="dxa"/>
          </w:tcPr>
          <w:p>
            <w:pPr>
              <w:spacing w:after="160" w:line="440" w:lineRule="exact"/>
              <w:jc w:val="center"/>
              <w:rPr>
                <w:rFonts w:ascii="宋体" w:hAnsi="宋体" w:eastAsia="宋体"/>
                <w:color w:val="000000" w:themeColor="text1"/>
              </w:rPr>
            </w:pPr>
          </w:p>
        </w:tc>
        <w:tc>
          <w:tcPr>
            <w:tcW w:w="784" w:type="dxa"/>
          </w:tcPr>
          <w:p>
            <w:pPr>
              <w:spacing w:after="160" w:line="440" w:lineRule="exact"/>
              <w:jc w:val="center"/>
              <w:rPr>
                <w:rFonts w:ascii="宋体" w:hAnsi="宋体" w:eastAsia="宋体"/>
                <w:color w:val="000000" w:themeColor="text1"/>
              </w:rPr>
            </w:pPr>
          </w:p>
        </w:tc>
        <w:tc>
          <w:tcPr>
            <w:tcW w:w="786" w:type="dxa"/>
          </w:tcPr>
          <w:p>
            <w:pPr>
              <w:spacing w:after="160" w:line="440" w:lineRule="exact"/>
              <w:jc w:val="center"/>
              <w:rPr>
                <w:rFonts w:ascii="宋体" w:hAnsi="宋体" w:eastAsia="宋体"/>
                <w:color w:val="000000" w:themeColor="text1"/>
              </w:rPr>
            </w:pPr>
          </w:p>
        </w:tc>
        <w:tc>
          <w:tcPr>
            <w:tcW w:w="784" w:type="dxa"/>
          </w:tcPr>
          <w:p>
            <w:pPr>
              <w:spacing w:after="160" w:line="440" w:lineRule="exact"/>
              <w:jc w:val="center"/>
              <w:rPr>
                <w:rFonts w:ascii="宋体" w:hAnsi="宋体" w:eastAsia="宋体"/>
                <w:color w:val="000000" w:themeColor="text1"/>
              </w:rPr>
            </w:pPr>
          </w:p>
        </w:tc>
        <w:tc>
          <w:tcPr>
            <w:tcW w:w="2749" w:type="dxa"/>
          </w:tcPr>
          <w:p>
            <w:pPr>
              <w:spacing w:after="160" w:line="440" w:lineRule="exact"/>
              <w:jc w:val="center"/>
              <w:rPr>
                <w:rFonts w:ascii="宋体" w:hAnsi="宋体" w:eastAsia="宋体"/>
                <w:color w:val="000000" w:themeColor="text1"/>
              </w:rPr>
            </w:pPr>
          </w:p>
        </w:tc>
        <w:tc>
          <w:tcPr>
            <w:tcW w:w="728" w:type="dxa"/>
          </w:tcPr>
          <w:p>
            <w:pPr>
              <w:spacing w:after="160" w:line="440" w:lineRule="exact"/>
              <w:jc w:val="center"/>
              <w:rPr>
                <w:rFonts w:ascii="宋体" w:hAnsi="宋体" w:eastAsia="宋体"/>
                <w:color w:val="000000" w:themeColor="text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Pr>
          <w:p>
            <w:pPr>
              <w:spacing w:after="160" w:line="440" w:lineRule="exact"/>
              <w:jc w:val="center"/>
              <w:rPr>
                <w:rFonts w:ascii="宋体" w:hAnsi="宋体" w:eastAsia="宋体"/>
                <w:color w:val="000000" w:themeColor="text1"/>
              </w:rPr>
            </w:pPr>
          </w:p>
        </w:tc>
        <w:tc>
          <w:tcPr>
            <w:tcW w:w="785" w:type="dxa"/>
          </w:tcPr>
          <w:p>
            <w:pPr>
              <w:spacing w:after="160" w:line="440" w:lineRule="exact"/>
              <w:jc w:val="center"/>
              <w:rPr>
                <w:rFonts w:ascii="宋体" w:hAnsi="宋体" w:eastAsia="宋体"/>
                <w:color w:val="000000" w:themeColor="text1"/>
              </w:rPr>
            </w:pPr>
          </w:p>
        </w:tc>
        <w:tc>
          <w:tcPr>
            <w:tcW w:w="784" w:type="dxa"/>
          </w:tcPr>
          <w:p>
            <w:pPr>
              <w:spacing w:after="160" w:line="440" w:lineRule="exact"/>
              <w:jc w:val="center"/>
              <w:rPr>
                <w:rFonts w:ascii="宋体" w:hAnsi="宋体" w:eastAsia="宋体"/>
                <w:color w:val="000000" w:themeColor="text1"/>
              </w:rPr>
            </w:pPr>
          </w:p>
        </w:tc>
        <w:tc>
          <w:tcPr>
            <w:tcW w:w="1178" w:type="dxa"/>
          </w:tcPr>
          <w:p>
            <w:pPr>
              <w:spacing w:after="160" w:line="440" w:lineRule="exact"/>
              <w:jc w:val="center"/>
              <w:rPr>
                <w:rFonts w:ascii="宋体" w:hAnsi="宋体" w:eastAsia="宋体"/>
                <w:color w:val="000000" w:themeColor="text1"/>
              </w:rPr>
            </w:pPr>
          </w:p>
        </w:tc>
        <w:tc>
          <w:tcPr>
            <w:tcW w:w="784" w:type="dxa"/>
          </w:tcPr>
          <w:p>
            <w:pPr>
              <w:spacing w:after="160" w:line="440" w:lineRule="exact"/>
              <w:jc w:val="center"/>
              <w:rPr>
                <w:rFonts w:ascii="宋体" w:hAnsi="宋体" w:eastAsia="宋体"/>
                <w:color w:val="000000" w:themeColor="text1"/>
              </w:rPr>
            </w:pPr>
          </w:p>
        </w:tc>
        <w:tc>
          <w:tcPr>
            <w:tcW w:w="786" w:type="dxa"/>
          </w:tcPr>
          <w:p>
            <w:pPr>
              <w:spacing w:after="160" w:line="440" w:lineRule="exact"/>
              <w:jc w:val="center"/>
              <w:rPr>
                <w:rFonts w:ascii="宋体" w:hAnsi="宋体" w:eastAsia="宋体"/>
                <w:color w:val="000000" w:themeColor="text1"/>
              </w:rPr>
            </w:pPr>
          </w:p>
        </w:tc>
        <w:tc>
          <w:tcPr>
            <w:tcW w:w="784" w:type="dxa"/>
          </w:tcPr>
          <w:p>
            <w:pPr>
              <w:spacing w:after="160" w:line="440" w:lineRule="exact"/>
              <w:jc w:val="center"/>
              <w:rPr>
                <w:rFonts w:ascii="宋体" w:hAnsi="宋体" w:eastAsia="宋体"/>
                <w:color w:val="000000" w:themeColor="text1"/>
              </w:rPr>
            </w:pPr>
          </w:p>
        </w:tc>
        <w:tc>
          <w:tcPr>
            <w:tcW w:w="2749" w:type="dxa"/>
          </w:tcPr>
          <w:p>
            <w:pPr>
              <w:spacing w:after="160" w:line="440" w:lineRule="exact"/>
              <w:jc w:val="center"/>
              <w:rPr>
                <w:rFonts w:ascii="宋体" w:hAnsi="宋体" w:eastAsia="宋体"/>
                <w:color w:val="000000" w:themeColor="text1"/>
              </w:rPr>
            </w:pPr>
          </w:p>
        </w:tc>
        <w:tc>
          <w:tcPr>
            <w:tcW w:w="728" w:type="dxa"/>
          </w:tcPr>
          <w:p>
            <w:pPr>
              <w:spacing w:after="160" w:line="440" w:lineRule="exact"/>
              <w:jc w:val="center"/>
              <w:rPr>
                <w:rFonts w:ascii="宋体" w:hAnsi="宋体" w:eastAsia="宋体"/>
                <w:color w:val="000000" w:themeColor="text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Pr>
          <w:p>
            <w:pPr>
              <w:spacing w:after="160" w:line="440" w:lineRule="exact"/>
              <w:jc w:val="center"/>
              <w:rPr>
                <w:rFonts w:ascii="宋体" w:hAnsi="宋体" w:eastAsia="宋体"/>
                <w:color w:val="000000" w:themeColor="text1"/>
              </w:rPr>
            </w:pPr>
          </w:p>
        </w:tc>
        <w:tc>
          <w:tcPr>
            <w:tcW w:w="785" w:type="dxa"/>
          </w:tcPr>
          <w:p>
            <w:pPr>
              <w:spacing w:after="160" w:line="440" w:lineRule="exact"/>
              <w:jc w:val="center"/>
              <w:rPr>
                <w:rFonts w:ascii="宋体" w:hAnsi="宋体" w:eastAsia="宋体"/>
                <w:color w:val="000000" w:themeColor="text1"/>
              </w:rPr>
            </w:pPr>
          </w:p>
        </w:tc>
        <w:tc>
          <w:tcPr>
            <w:tcW w:w="784" w:type="dxa"/>
          </w:tcPr>
          <w:p>
            <w:pPr>
              <w:spacing w:after="160" w:line="440" w:lineRule="exact"/>
              <w:jc w:val="center"/>
              <w:rPr>
                <w:rFonts w:ascii="宋体" w:hAnsi="宋体" w:eastAsia="宋体"/>
                <w:color w:val="000000" w:themeColor="text1"/>
              </w:rPr>
            </w:pPr>
          </w:p>
        </w:tc>
        <w:tc>
          <w:tcPr>
            <w:tcW w:w="1178" w:type="dxa"/>
          </w:tcPr>
          <w:p>
            <w:pPr>
              <w:spacing w:after="160" w:line="440" w:lineRule="exact"/>
              <w:jc w:val="center"/>
              <w:rPr>
                <w:rFonts w:ascii="宋体" w:hAnsi="宋体" w:eastAsia="宋体"/>
                <w:color w:val="000000" w:themeColor="text1"/>
              </w:rPr>
            </w:pPr>
          </w:p>
        </w:tc>
        <w:tc>
          <w:tcPr>
            <w:tcW w:w="784" w:type="dxa"/>
          </w:tcPr>
          <w:p>
            <w:pPr>
              <w:spacing w:after="160" w:line="440" w:lineRule="exact"/>
              <w:jc w:val="center"/>
              <w:rPr>
                <w:rFonts w:ascii="宋体" w:hAnsi="宋体" w:eastAsia="宋体"/>
                <w:color w:val="000000" w:themeColor="text1"/>
              </w:rPr>
            </w:pPr>
          </w:p>
        </w:tc>
        <w:tc>
          <w:tcPr>
            <w:tcW w:w="786" w:type="dxa"/>
          </w:tcPr>
          <w:p>
            <w:pPr>
              <w:spacing w:after="160" w:line="440" w:lineRule="exact"/>
              <w:jc w:val="center"/>
              <w:rPr>
                <w:rFonts w:ascii="宋体" w:hAnsi="宋体" w:eastAsia="宋体"/>
                <w:color w:val="000000" w:themeColor="text1"/>
              </w:rPr>
            </w:pPr>
          </w:p>
        </w:tc>
        <w:tc>
          <w:tcPr>
            <w:tcW w:w="784" w:type="dxa"/>
          </w:tcPr>
          <w:p>
            <w:pPr>
              <w:spacing w:after="160" w:line="440" w:lineRule="exact"/>
              <w:jc w:val="center"/>
              <w:rPr>
                <w:rFonts w:ascii="宋体" w:hAnsi="宋体" w:eastAsia="宋体"/>
                <w:color w:val="000000" w:themeColor="text1"/>
              </w:rPr>
            </w:pPr>
          </w:p>
        </w:tc>
        <w:tc>
          <w:tcPr>
            <w:tcW w:w="2749" w:type="dxa"/>
          </w:tcPr>
          <w:p>
            <w:pPr>
              <w:spacing w:after="160" w:line="440" w:lineRule="exact"/>
              <w:jc w:val="center"/>
              <w:rPr>
                <w:rFonts w:ascii="宋体" w:hAnsi="宋体" w:eastAsia="宋体"/>
                <w:color w:val="000000" w:themeColor="text1"/>
              </w:rPr>
            </w:pPr>
          </w:p>
        </w:tc>
        <w:tc>
          <w:tcPr>
            <w:tcW w:w="728" w:type="dxa"/>
          </w:tcPr>
          <w:p>
            <w:pPr>
              <w:spacing w:after="160" w:line="440" w:lineRule="exact"/>
              <w:jc w:val="center"/>
              <w:rPr>
                <w:rFonts w:ascii="宋体" w:hAnsi="宋体" w:eastAsia="宋体"/>
                <w:color w:val="000000" w:themeColor="text1"/>
              </w:rPr>
            </w:pPr>
          </w:p>
        </w:tc>
      </w:tr>
    </w:tbl>
    <w:p>
      <w:pPr>
        <w:spacing w:after="160" w:line="376" w:lineRule="auto"/>
        <w:jc w:val="center"/>
        <w:rPr>
          <w:rFonts w:ascii="宋体" w:hAnsi="宋体" w:eastAsia="宋体"/>
          <w:b/>
          <w:color w:val="000000" w:themeColor="text1"/>
          <w:sz w:val="30"/>
          <w:szCs w:val="30"/>
        </w:rPr>
      </w:pPr>
      <w:bookmarkStart w:id="328" w:name="_Toc13965"/>
      <w:bookmarkStart w:id="329" w:name="_Toc15042"/>
      <w:bookmarkStart w:id="330" w:name="_Toc10992"/>
      <w:bookmarkStart w:id="331" w:name="_Toc15472"/>
      <w:bookmarkStart w:id="332" w:name="_Toc21979"/>
      <w:r>
        <w:rPr>
          <w:rFonts w:hint="eastAsia" w:ascii="宋体" w:hAnsi="宋体" w:eastAsia="宋体"/>
          <w:b/>
          <w:color w:val="000000" w:themeColor="text1"/>
          <w:sz w:val="30"/>
          <w:szCs w:val="30"/>
        </w:rPr>
        <w:t>八、</w:t>
      </w:r>
      <w:r>
        <w:rPr>
          <w:rFonts w:ascii="宋体" w:hAnsi="宋体" w:eastAsia="宋体"/>
          <w:b/>
          <w:color w:val="000000" w:themeColor="text1"/>
          <w:sz w:val="30"/>
          <w:szCs w:val="30"/>
        </w:rPr>
        <w:t>类似项目业绩</w:t>
      </w:r>
      <w:bookmarkEnd w:id="328"/>
      <w:bookmarkEnd w:id="329"/>
      <w:bookmarkEnd w:id="330"/>
      <w:bookmarkEnd w:id="331"/>
      <w:bookmarkEnd w:id="332"/>
    </w:p>
    <w:p>
      <w:pPr>
        <w:spacing w:after="160" w:line="376" w:lineRule="auto"/>
        <w:rPr>
          <w:rFonts w:ascii="宋体" w:hAnsi="宋体" w:eastAsia="宋体"/>
          <w:color w:val="000000" w:themeColor="text1"/>
        </w:rPr>
      </w:pPr>
      <w:bookmarkStart w:id="333" w:name="_Toc275956241"/>
      <w:bookmarkStart w:id="334" w:name="_Toc152042599"/>
      <w:bookmarkStart w:id="335" w:name="_Toc17441"/>
      <w:bookmarkStart w:id="336" w:name="_Toc3686"/>
      <w:bookmarkStart w:id="337" w:name="_Toc241484790"/>
      <w:bookmarkStart w:id="338" w:name="_Toc30052"/>
      <w:bookmarkStart w:id="339" w:name="_Toc144974878"/>
      <w:bookmarkStart w:id="340" w:name="_Toc179632830"/>
      <w:bookmarkStart w:id="341" w:name="_Toc152045810"/>
      <w:bookmarkStart w:id="342" w:name="_Toc241459838"/>
      <w:r>
        <w:rPr>
          <w:rFonts w:ascii="宋体" w:hAnsi="宋体" w:eastAsia="宋体"/>
          <w:color w:val="000000" w:themeColor="text1"/>
        </w:rPr>
        <w:t>（一）近3年完成的类似项目情况表</w:t>
      </w:r>
      <w:bookmarkEnd w:id="333"/>
      <w:bookmarkEnd w:id="334"/>
      <w:bookmarkEnd w:id="335"/>
      <w:bookmarkEnd w:id="336"/>
      <w:bookmarkEnd w:id="337"/>
      <w:bookmarkEnd w:id="338"/>
      <w:bookmarkEnd w:id="339"/>
      <w:bookmarkEnd w:id="340"/>
      <w:bookmarkEnd w:id="341"/>
      <w:bookmarkEnd w:id="342"/>
    </w:p>
    <w:tbl>
      <w:tblPr>
        <w:tblStyle w:val="30"/>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472"/>
        <w:gridCol w:w="68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0" w:hRule="atLeast"/>
          <w:jc w:val="center"/>
        </w:trPr>
        <w:tc>
          <w:tcPr>
            <w:tcW w:w="2472" w:type="dxa"/>
            <w:vAlign w:val="center"/>
          </w:tcPr>
          <w:p>
            <w:pPr>
              <w:spacing w:after="160"/>
              <w:jc w:val="center"/>
              <w:rPr>
                <w:rFonts w:ascii="宋体" w:hAnsi="宋体" w:eastAsia="宋体"/>
                <w:color w:val="000000" w:themeColor="text1"/>
              </w:rPr>
            </w:pPr>
            <w:r>
              <w:rPr>
                <w:rFonts w:ascii="宋体" w:hAnsi="宋体" w:eastAsia="宋体"/>
                <w:color w:val="000000" w:themeColor="text1"/>
              </w:rPr>
              <w:t>项目名称</w:t>
            </w:r>
          </w:p>
        </w:tc>
        <w:tc>
          <w:tcPr>
            <w:tcW w:w="6815" w:type="dxa"/>
            <w:vAlign w:val="center"/>
          </w:tcPr>
          <w:p>
            <w:pPr>
              <w:spacing w:after="160"/>
              <w:jc w:val="center"/>
              <w:rPr>
                <w:rFonts w:ascii="宋体" w:hAnsi="宋体" w:eastAsia="宋体"/>
                <w:color w:val="000000" w:themeColor="text1"/>
                <w:highlight w:val="black"/>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6" w:hRule="atLeast"/>
          <w:jc w:val="center"/>
        </w:trPr>
        <w:tc>
          <w:tcPr>
            <w:tcW w:w="2472" w:type="dxa"/>
            <w:vAlign w:val="center"/>
          </w:tcPr>
          <w:p>
            <w:pPr>
              <w:spacing w:after="160"/>
              <w:jc w:val="center"/>
              <w:rPr>
                <w:rFonts w:ascii="宋体" w:hAnsi="宋体" w:eastAsia="宋体"/>
                <w:color w:val="000000" w:themeColor="text1"/>
              </w:rPr>
            </w:pPr>
            <w:r>
              <w:rPr>
                <w:rFonts w:ascii="宋体" w:hAnsi="宋体" w:eastAsia="宋体"/>
                <w:color w:val="000000" w:themeColor="text1"/>
              </w:rPr>
              <w:t>项目所在地</w:t>
            </w:r>
          </w:p>
        </w:tc>
        <w:tc>
          <w:tcPr>
            <w:tcW w:w="6815" w:type="dxa"/>
            <w:vAlign w:val="center"/>
          </w:tcPr>
          <w:p>
            <w:pPr>
              <w:spacing w:after="160"/>
              <w:jc w:val="center"/>
              <w:rPr>
                <w:rFonts w:ascii="宋体" w:hAnsi="宋体" w:eastAsia="宋体"/>
                <w:color w:val="000000" w:themeColor="text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jc w:val="center"/>
        </w:trPr>
        <w:tc>
          <w:tcPr>
            <w:tcW w:w="2472" w:type="dxa"/>
            <w:vAlign w:val="center"/>
          </w:tcPr>
          <w:p>
            <w:pPr>
              <w:spacing w:after="160"/>
              <w:jc w:val="center"/>
              <w:rPr>
                <w:rFonts w:ascii="宋体" w:hAnsi="宋体" w:eastAsia="宋体"/>
                <w:color w:val="000000" w:themeColor="text1"/>
              </w:rPr>
            </w:pPr>
            <w:r>
              <w:rPr>
                <w:rFonts w:ascii="宋体" w:hAnsi="宋体" w:eastAsia="宋体"/>
                <w:color w:val="000000" w:themeColor="text1"/>
              </w:rPr>
              <w:t>发包人名称</w:t>
            </w:r>
          </w:p>
        </w:tc>
        <w:tc>
          <w:tcPr>
            <w:tcW w:w="6815" w:type="dxa"/>
            <w:vAlign w:val="center"/>
          </w:tcPr>
          <w:p>
            <w:pPr>
              <w:spacing w:after="160"/>
              <w:jc w:val="center"/>
              <w:rPr>
                <w:rFonts w:ascii="宋体" w:hAnsi="宋体" w:eastAsia="宋体"/>
                <w:color w:val="000000" w:themeColor="text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8" w:hRule="atLeast"/>
          <w:jc w:val="center"/>
        </w:trPr>
        <w:tc>
          <w:tcPr>
            <w:tcW w:w="2472" w:type="dxa"/>
            <w:vAlign w:val="center"/>
          </w:tcPr>
          <w:p>
            <w:pPr>
              <w:spacing w:after="160"/>
              <w:jc w:val="center"/>
              <w:rPr>
                <w:rFonts w:ascii="宋体" w:hAnsi="宋体" w:eastAsia="宋体"/>
                <w:color w:val="000000" w:themeColor="text1"/>
              </w:rPr>
            </w:pPr>
            <w:r>
              <w:rPr>
                <w:rFonts w:ascii="宋体" w:hAnsi="宋体" w:eastAsia="宋体"/>
                <w:color w:val="000000" w:themeColor="text1"/>
              </w:rPr>
              <w:t>发包人地址</w:t>
            </w:r>
          </w:p>
        </w:tc>
        <w:tc>
          <w:tcPr>
            <w:tcW w:w="6815" w:type="dxa"/>
            <w:vAlign w:val="center"/>
          </w:tcPr>
          <w:p>
            <w:pPr>
              <w:spacing w:after="160"/>
              <w:jc w:val="center"/>
              <w:rPr>
                <w:rFonts w:ascii="宋体" w:hAnsi="宋体" w:eastAsia="宋体"/>
                <w:color w:val="000000" w:themeColor="text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6" w:hRule="atLeast"/>
          <w:jc w:val="center"/>
        </w:trPr>
        <w:tc>
          <w:tcPr>
            <w:tcW w:w="2472" w:type="dxa"/>
            <w:vAlign w:val="center"/>
          </w:tcPr>
          <w:p>
            <w:pPr>
              <w:spacing w:after="160"/>
              <w:jc w:val="center"/>
              <w:rPr>
                <w:rFonts w:ascii="宋体" w:hAnsi="宋体" w:eastAsia="宋体"/>
                <w:color w:val="000000" w:themeColor="text1"/>
              </w:rPr>
            </w:pPr>
            <w:r>
              <w:rPr>
                <w:rFonts w:ascii="宋体" w:hAnsi="宋体" w:eastAsia="宋体"/>
                <w:color w:val="000000" w:themeColor="text1"/>
              </w:rPr>
              <w:t>发包人联系人及电话</w:t>
            </w:r>
          </w:p>
        </w:tc>
        <w:tc>
          <w:tcPr>
            <w:tcW w:w="6815" w:type="dxa"/>
            <w:vAlign w:val="center"/>
          </w:tcPr>
          <w:p>
            <w:pPr>
              <w:spacing w:after="160"/>
              <w:jc w:val="center"/>
              <w:rPr>
                <w:rFonts w:ascii="宋体" w:hAnsi="宋体" w:eastAsia="宋体"/>
                <w:color w:val="000000" w:themeColor="text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0" w:hRule="atLeast"/>
          <w:jc w:val="center"/>
        </w:trPr>
        <w:tc>
          <w:tcPr>
            <w:tcW w:w="2472" w:type="dxa"/>
            <w:vAlign w:val="center"/>
          </w:tcPr>
          <w:p>
            <w:pPr>
              <w:spacing w:after="160"/>
              <w:jc w:val="center"/>
              <w:rPr>
                <w:rFonts w:ascii="宋体" w:hAnsi="宋体" w:eastAsia="宋体"/>
                <w:color w:val="000000" w:themeColor="text1"/>
              </w:rPr>
            </w:pPr>
            <w:r>
              <w:rPr>
                <w:rFonts w:ascii="宋体" w:hAnsi="宋体" w:eastAsia="宋体"/>
                <w:color w:val="000000" w:themeColor="text1"/>
              </w:rPr>
              <w:t>合同价格</w:t>
            </w:r>
          </w:p>
        </w:tc>
        <w:tc>
          <w:tcPr>
            <w:tcW w:w="6815" w:type="dxa"/>
            <w:vAlign w:val="center"/>
          </w:tcPr>
          <w:p>
            <w:pPr>
              <w:pStyle w:val="51"/>
              <w:spacing w:after="160"/>
              <w:jc w:val="center"/>
              <w:rPr>
                <w:color w:val="000000" w:themeColor="text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4" w:hRule="atLeast"/>
          <w:jc w:val="center"/>
        </w:trPr>
        <w:tc>
          <w:tcPr>
            <w:tcW w:w="2472" w:type="dxa"/>
            <w:vAlign w:val="center"/>
          </w:tcPr>
          <w:p>
            <w:pPr>
              <w:spacing w:after="160"/>
              <w:jc w:val="center"/>
              <w:rPr>
                <w:rFonts w:ascii="宋体" w:hAnsi="宋体" w:eastAsia="宋体"/>
                <w:color w:val="000000" w:themeColor="text1"/>
              </w:rPr>
            </w:pPr>
            <w:r>
              <w:rPr>
                <w:rFonts w:ascii="宋体" w:hAnsi="宋体" w:eastAsia="宋体"/>
                <w:color w:val="000000" w:themeColor="text1"/>
              </w:rPr>
              <w:t>开工日期</w:t>
            </w:r>
          </w:p>
        </w:tc>
        <w:tc>
          <w:tcPr>
            <w:tcW w:w="6815" w:type="dxa"/>
            <w:vAlign w:val="center"/>
          </w:tcPr>
          <w:p>
            <w:pPr>
              <w:spacing w:after="160"/>
              <w:jc w:val="center"/>
              <w:rPr>
                <w:rFonts w:ascii="宋体" w:hAnsi="宋体" w:eastAsia="宋体"/>
                <w:color w:val="000000" w:themeColor="text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7" w:hRule="atLeast"/>
          <w:jc w:val="center"/>
        </w:trPr>
        <w:tc>
          <w:tcPr>
            <w:tcW w:w="2472" w:type="dxa"/>
            <w:vAlign w:val="center"/>
          </w:tcPr>
          <w:p>
            <w:pPr>
              <w:spacing w:after="160"/>
              <w:jc w:val="center"/>
              <w:rPr>
                <w:rFonts w:ascii="宋体" w:hAnsi="宋体" w:eastAsia="宋体"/>
                <w:color w:val="000000" w:themeColor="text1"/>
              </w:rPr>
            </w:pPr>
            <w:r>
              <w:rPr>
                <w:rFonts w:ascii="宋体" w:hAnsi="宋体" w:eastAsia="宋体"/>
                <w:color w:val="000000" w:themeColor="text1"/>
              </w:rPr>
              <w:t>竣工日期</w:t>
            </w:r>
          </w:p>
        </w:tc>
        <w:tc>
          <w:tcPr>
            <w:tcW w:w="6815" w:type="dxa"/>
            <w:vAlign w:val="center"/>
          </w:tcPr>
          <w:p>
            <w:pPr>
              <w:spacing w:after="160"/>
              <w:jc w:val="center"/>
              <w:rPr>
                <w:rFonts w:ascii="宋体" w:hAnsi="宋体" w:eastAsia="宋体"/>
                <w:color w:val="000000" w:themeColor="text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2472" w:type="dxa"/>
            <w:vAlign w:val="center"/>
          </w:tcPr>
          <w:p>
            <w:pPr>
              <w:spacing w:after="160"/>
              <w:jc w:val="center"/>
              <w:rPr>
                <w:rFonts w:ascii="宋体" w:hAnsi="宋体" w:eastAsia="宋体"/>
                <w:color w:val="000000" w:themeColor="text1"/>
              </w:rPr>
            </w:pPr>
            <w:r>
              <w:rPr>
                <w:rFonts w:ascii="宋体" w:hAnsi="宋体" w:eastAsia="宋体"/>
                <w:color w:val="000000" w:themeColor="text1"/>
              </w:rPr>
              <w:t>承担的工作</w:t>
            </w:r>
          </w:p>
        </w:tc>
        <w:tc>
          <w:tcPr>
            <w:tcW w:w="6815" w:type="dxa"/>
            <w:vAlign w:val="center"/>
          </w:tcPr>
          <w:p>
            <w:pPr>
              <w:spacing w:after="160"/>
              <w:jc w:val="center"/>
              <w:rPr>
                <w:rFonts w:ascii="宋体" w:hAnsi="宋体" w:eastAsia="宋体"/>
                <w:color w:val="000000" w:themeColor="text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5" w:hRule="atLeast"/>
          <w:jc w:val="center"/>
        </w:trPr>
        <w:tc>
          <w:tcPr>
            <w:tcW w:w="2472" w:type="dxa"/>
            <w:vAlign w:val="center"/>
          </w:tcPr>
          <w:p>
            <w:pPr>
              <w:spacing w:after="160"/>
              <w:jc w:val="center"/>
              <w:rPr>
                <w:rFonts w:ascii="宋体" w:hAnsi="宋体" w:eastAsia="宋体"/>
                <w:color w:val="000000" w:themeColor="text1"/>
              </w:rPr>
            </w:pPr>
            <w:r>
              <w:rPr>
                <w:rFonts w:ascii="宋体" w:hAnsi="宋体" w:eastAsia="宋体"/>
                <w:color w:val="000000" w:themeColor="text1"/>
              </w:rPr>
              <w:t>工程质量</w:t>
            </w:r>
          </w:p>
        </w:tc>
        <w:tc>
          <w:tcPr>
            <w:tcW w:w="6815" w:type="dxa"/>
            <w:vAlign w:val="center"/>
          </w:tcPr>
          <w:p>
            <w:pPr>
              <w:spacing w:after="160"/>
              <w:jc w:val="center"/>
              <w:rPr>
                <w:rFonts w:ascii="宋体" w:hAnsi="宋体" w:eastAsia="宋体"/>
                <w:color w:val="000000" w:themeColor="text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9" w:hRule="atLeast"/>
          <w:jc w:val="center"/>
        </w:trPr>
        <w:tc>
          <w:tcPr>
            <w:tcW w:w="2472" w:type="dxa"/>
            <w:vAlign w:val="center"/>
          </w:tcPr>
          <w:p>
            <w:pPr>
              <w:spacing w:after="160"/>
              <w:jc w:val="center"/>
              <w:rPr>
                <w:rFonts w:ascii="宋体" w:hAnsi="宋体" w:eastAsia="宋体"/>
                <w:color w:val="000000" w:themeColor="text1"/>
              </w:rPr>
            </w:pPr>
            <w:r>
              <w:rPr>
                <w:rFonts w:ascii="宋体" w:hAnsi="宋体" w:eastAsia="宋体"/>
                <w:color w:val="000000" w:themeColor="text1"/>
              </w:rPr>
              <w:t>项目经理</w:t>
            </w:r>
          </w:p>
        </w:tc>
        <w:tc>
          <w:tcPr>
            <w:tcW w:w="6815" w:type="dxa"/>
            <w:vAlign w:val="center"/>
          </w:tcPr>
          <w:p>
            <w:pPr>
              <w:spacing w:after="160"/>
              <w:jc w:val="center"/>
              <w:rPr>
                <w:rFonts w:ascii="宋体" w:hAnsi="宋体" w:eastAsia="宋体"/>
                <w:color w:val="000000" w:themeColor="text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7" w:hRule="atLeast"/>
          <w:jc w:val="center"/>
        </w:trPr>
        <w:tc>
          <w:tcPr>
            <w:tcW w:w="2472" w:type="dxa"/>
            <w:vAlign w:val="center"/>
          </w:tcPr>
          <w:p>
            <w:pPr>
              <w:spacing w:after="160"/>
              <w:jc w:val="center"/>
              <w:rPr>
                <w:rFonts w:ascii="宋体" w:hAnsi="宋体" w:eastAsia="宋体"/>
                <w:color w:val="000000" w:themeColor="text1"/>
              </w:rPr>
            </w:pPr>
            <w:r>
              <w:rPr>
                <w:rFonts w:ascii="宋体" w:hAnsi="宋体" w:eastAsia="宋体"/>
                <w:color w:val="000000" w:themeColor="text1"/>
              </w:rPr>
              <w:t>技术负责人</w:t>
            </w:r>
          </w:p>
        </w:tc>
        <w:tc>
          <w:tcPr>
            <w:tcW w:w="6815" w:type="dxa"/>
            <w:vAlign w:val="center"/>
          </w:tcPr>
          <w:p>
            <w:pPr>
              <w:spacing w:after="160"/>
              <w:jc w:val="center"/>
              <w:rPr>
                <w:rFonts w:ascii="宋体" w:hAnsi="宋体" w:eastAsia="宋体"/>
                <w:color w:val="000000" w:themeColor="text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0" w:hRule="atLeast"/>
          <w:jc w:val="center"/>
        </w:trPr>
        <w:tc>
          <w:tcPr>
            <w:tcW w:w="2472" w:type="dxa"/>
            <w:vAlign w:val="center"/>
          </w:tcPr>
          <w:p>
            <w:pPr>
              <w:spacing w:after="160"/>
              <w:jc w:val="center"/>
              <w:rPr>
                <w:rFonts w:ascii="宋体" w:hAnsi="宋体" w:eastAsia="宋体"/>
                <w:color w:val="000000" w:themeColor="text1"/>
              </w:rPr>
            </w:pPr>
            <w:r>
              <w:rPr>
                <w:rFonts w:ascii="宋体" w:hAnsi="宋体" w:eastAsia="宋体"/>
                <w:color w:val="000000" w:themeColor="text1"/>
              </w:rPr>
              <w:t>总监理工程师及电话</w:t>
            </w:r>
          </w:p>
        </w:tc>
        <w:tc>
          <w:tcPr>
            <w:tcW w:w="6815" w:type="dxa"/>
            <w:vAlign w:val="center"/>
          </w:tcPr>
          <w:p>
            <w:pPr>
              <w:spacing w:after="160"/>
              <w:jc w:val="center"/>
              <w:rPr>
                <w:rFonts w:ascii="宋体" w:hAnsi="宋体" w:eastAsia="宋体"/>
                <w:color w:val="000000" w:themeColor="text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13" w:hRule="atLeast"/>
          <w:jc w:val="center"/>
        </w:trPr>
        <w:tc>
          <w:tcPr>
            <w:tcW w:w="2472" w:type="dxa"/>
            <w:vAlign w:val="center"/>
          </w:tcPr>
          <w:p>
            <w:pPr>
              <w:spacing w:after="160"/>
              <w:jc w:val="center"/>
              <w:rPr>
                <w:rFonts w:ascii="宋体" w:hAnsi="宋体" w:eastAsia="宋体"/>
                <w:color w:val="000000" w:themeColor="text1"/>
              </w:rPr>
            </w:pPr>
            <w:r>
              <w:rPr>
                <w:rFonts w:ascii="宋体" w:hAnsi="宋体" w:eastAsia="宋体"/>
                <w:color w:val="000000" w:themeColor="text1"/>
              </w:rPr>
              <w:t>项目描述</w:t>
            </w:r>
          </w:p>
        </w:tc>
        <w:tc>
          <w:tcPr>
            <w:tcW w:w="6815" w:type="dxa"/>
            <w:vAlign w:val="center"/>
          </w:tcPr>
          <w:p>
            <w:pPr>
              <w:spacing w:after="160"/>
              <w:jc w:val="center"/>
              <w:rPr>
                <w:rFonts w:ascii="宋体" w:hAnsi="宋体" w:eastAsia="宋体"/>
                <w:color w:val="000000" w:themeColor="text1"/>
              </w:rPr>
            </w:pPr>
          </w:p>
          <w:p>
            <w:pPr>
              <w:spacing w:after="160"/>
              <w:jc w:val="center"/>
              <w:rPr>
                <w:rFonts w:ascii="宋体" w:hAnsi="宋体" w:eastAsia="宋体"/>
                <w:color w:val="000000" w:themeColor="text1"/>
              </w:rPr>
            </w:pPr>
          </w:p>
          <w:p>
            <w:pPr>
              <w:spacing w:after="160"/>
              <w:jc w:val="center"/>
              <w:rPr>
                <w:rFonts w:ascii="宋体" w:hAnsi="宋体" w:eastAsia="宋体"/>
                <w:color w:val="000000" w:themeColor="text1"/>
              </w:rPr>
            </w:pPr>
          </w:p>
          <w:p>
            <w:pPr>
              <w:spacing w:after="160"/>
              <w:jc w:val="center"/>
              <w:rPr>
                <w:rFonts w:ascii="宋体" w:hAnsi="宋体" w:eastAsia="宋体"/>
                <w:color w:val="000000" w:themeColor="text1"/>
              </w:rPr>
            </w:pPr>
          </w:p>
          <w:p>
            <w:pPr>
              <w:spacing w:after="160"/>
              <w:jc w:val="center"/>
              <w:rPr>
                <w:rFonts w:ascii="宋体" w:hAnsi="宋体" w:eastAsia="宋体"/>
                <w:color w:val="000000" w:themeColor="text1"/>
              </w:rPr>
            </w:pPr>
          </w:p>
          <w:p>
            <w:pPr>
              <w:spacing w:after="160"/>
              <w:jc w:val="center"/>
              <w:rPr>
                <w:rFonts w:ascii="宋体" w:hAnsi="宋体" w:eastAsia="宋体"/>
                <w:color w:val="000000" w:themeColor="text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4" w:hRule="atLeast"/>
          <w:jc w:val="center"/>
        </w:trPr>
        <w:tc>
          <w:tcPr>
            <w:tcW w:w="2472" w:type="dxa"/>
            <w:vAlign w:val="center"/>
          </w:tcPr>
          <w:p>
            <w:pPr>
              <w:spacing w:after="160"/>
              <w:jc w:val="center"/>
              <w:rPr>
                <w:rFonts w:ascii="宋体" w:hAnsi="宋体" w:eastAsia="宋体"/>
                <w:color w:val="000000" w:themeColor="text1"/>
              </w:rPr>
            </w:pPr>
            <w:r>
              <w:rPr>
                <w:rFonts w:ascii="宋体" w:hAnsi="宋体" w:eastAsia="宋体"/>
                <w:color w:val="000000" w:themeColor="text1"/>
              </w:rPr>
              <w:t>备注</w:t>
            </w:r>
          </w:p>
        </w:tc>
        <w:tc>
          <w:tcPr>
            <w:tcW w:w="6815" w:type="dxa"/>
            <w:vAlign w:val="center"/>
          </w:tcPr>
          <w:p>
            <w:pPr>
              <w:spacing w:after="160"/>
              <w:jc w:val="center"/>
              <w:rPr>
                <w:rFonts w:ascii="宋体" w:hAnsi="宋体" w:eastAsia="宋体"/>
                <w:color w:val="000000" w:themeColor="text1"/>
              </w:rPr>
            </w:pPr>
          </w:p>
        </w:tc>
      </w:tr>
    </w:tbl>
    <w:p>
      <w:pPr>
        <w:spacing w:after="160" w:line="440" w:lineRule="exact"/>
        <w:ind w:left="600" w:hanging="600"/>
        <w:rPr>
          <w:rFonts w:ascii="宋体" w:hAnsi="宋体" w:eastAsia="宋体"/>
          <w:color w:val="000000" w:themeColor="text1"/>
          <w:sz w:val="20"/>
          <w:szCs w:val="20"/>
        </w:rPr>
      </w:pPr>
      <w:r>
        <w:rPr>
          <w:rFonts w:ascii="宋体" w:hAnsi="宋体" w:eastAsia="宋体"/>
          <w:color w:val="000000" w:themeColor="text1"/>
          <w:sz w:val="20"/>
          <w:szCs w:val="20"/>
        </w:rPr>
        <w:t>备注：1、类似项目指招标公告中所要求的业绩。</w:t>
      </w:r>
    </w:p>
    <w:p>
      <w:pPr>
        <w:spacing w:after="160" w:line="360" w:lineRule="auto"/>
        <w:rPr>
          <w:rFonts w:ascii="宋体" w:hAnsi="宋体" w:eastAsia="宋体"/>
          <w:color w:val="000000" w:themeColor="text1"/>
          <w:sz w:val="20"/>
          <w:szCs w:val="20"/>
        </w:rPr>
        <w:sectPr>
          <w:pgSz w:w="11906" w:h="16838"/>
          <w:pgMar w:top="1134" w:right="1134" w:bottom="1134" w:left="1701" w:header="567" w:footer="567" w:gutter="0"/>
          <w:cols w:space="720" w:num="1"/>
          <w:docGrid w:linePitch="360" w:charSpace="6144"/>
        </w:sectPr>
      </w:pPr>
      <w:r>
        <w:rPr>
          <w:rFonts w:ascii="宋体" w:hAnsi="宋体" w:eastAsia="宋体"/>
          <w:color w:val="000000" w:themeColor="text1"/>
          <w:sz w:val="20"/>
          <w:szCs w:val="20"/>
        </w:rPr>
        <w:t xml:space="preserve">      2、本表后附评标方法中要求的资料，具体年份要求见投标人须知前附表。每张表格只填写一个项目，并标明序号。</w:t>
      </w:r>
    </w:p>
    <w:p>
      <w:pPr>
        <w:pStyle w:val="22"/>
        <w:spacing w:before="240" w:after="240" w:line="360" w:lineRule="auto"/>
        <w:outlineLvl w:val="2"/>
        <w:rPr>
          <w:rFonts w:ascii="宋体" w:hAnsi="宋体" w:eastAsia="宋体"/>
          <w:color w:val="000000" w:themeColor="text1"/>
        </w:rPr>
      </w:pPr>
      <w:bookmarkStart w:id="343" w:name="_Toc21251"/>
      <w:bookmarkStart w:id="344" w:name="_Toc26146"/>
      <w:bookmarkStart w:id="345" w:name="_Toc25977"/>
      <w:bookmarkStart w:id="346" w:name="_Toc18713"/>
      <w:bookmarkStart w:id="347" w:name="_Toc4579"/>
      <w:r>
        <w:rPr>
          <w:rFonts w:hint="eastAsia" w:ascii="宋体" w:hAnsi="宋体" w:eastAsia="宋体"/>
          <w:color w:val="000000" w:themeColor="text1"/>
        </w:rPr>
        <w:t>九、</w:t>
      </w:r>
      <w:r>
        <w:rPr>
          <w:rFonts w:ascii="宋体" w:hAnsi="宋体" w:eastAsia="宋体"/>
          <w:color w:val="000000" w:themeColor="text1"/>
        </w:rPr>
        <w:t>荣誉证书、体系认证</w:t>
      </w:r>
      <w:bookmarkEnd w:id="343"/>
      <w:bookmarkEnd w:id="344"/>
      <w:bookmarkEnd w:id="345"/>
      <w:bookmarkEnd w:id="346"/>
      <w:bookmarkEnd w:id="347"/>
    </w:p>
    <w:p>
      <w:pPr>
        <w:spacing w:after="160" w:line="360" w:lineRule="auto"/>
        <w:rPr>
          <w:rFonts w:ascii="宋体" w:hAnsi="宋体" w:eastAsia="宋体"/>
          <w:color w:val="000000" w:themeColor="text1"/>
        </w:rPr>
      </w:pPr>
    </w:p>
    <w:p>
      <w:pPr>
        <w:spacing w:after="160" w:line="360" w:lineRule="auto"/>
        <w:rPr>
          <w:rFonts w:ascii="宋体" w:hAnsi="宋体" w:eastAsia="宋体"/>
          <w:b/>
          <w:color w:val="000000" w:themeColor="text1"/>
          <w:sz w:val="28"/>
          <w:szCs w:val="28"/>
        </w:rPr>
        <w:sectPr>
          <w:pgSz w:w="11906" w:h="16838"/>
          <w:pgMar w:top="1134" w:right="1134" w:bottom="1134" w:left="1701" w:header="567" w:footer="567" w:gutter="0"/>
          <w:cols w:space="720" w:num="1"/>
          <w:docGrid w:linePitch="360" w:charSpace="6144"/>
        </w:sectPr>
      </w:pPr>
    </w:p>
    <w:p>
      <w:pPr>
        <w:pStyle w:val="22"/>
        <w:spacing w:before="240" w:after="240" w:line="360" w:lineRule="auto"/>
        <w:outlineLvl w:val="2"/>
        <w:rPr>
          <w:rFonts w:ascii="宋体" w:hAnsi="宋体" w:eastAsia="宋体"/>
          <w:color w:val="000000" w:themeColor="text1"/>
        </w:rPr>
      </w:pPr>
      <w:bookmarkStart w:id="348" w:name="_Toc275956246"/>
      <w:bookmarkStart w:id="349" w:name="_Toc241459843"/>
      <w:bookmarkStart w:id="350" w:name="_Toc25788"/>
      <w:bookmarkStart w:id="351" w:name="_Toc152045813"/>
      <w:bookmarkStart w:id="352" w:name="_Toc179632833"/>
      <w:bookmarkStart w:id="353" w:name="_Toc4829"/>
      <w:bookmarkStart w:id="354" w:name="_Toc19040"/>
      <w:bookmarkStart w:id="355" w:name="_Toc144974881"/>
      <w:bookmarkStart w:id="356" w:name="_Toc241484795"/>
      <w:bookmarkStart w:id="357" w:name="_Toc20112"/>
      <w:bookmarkStart w:id="358" w:name="_Toc18823"/>
      <w:bookmarkStart w:id="359" w:name="_Toc152042602"/>
      <w:r>
        <w:rPr>
          <w:rFonts w:hint="eastAsia" w:ascii="宋体" w:hAnsi="宋体" w:eastAsia="宋体"/>
          <w:color w:val="000000" w:themeColor="text1"/>
        </w:rPr>
        <w:t>十、</w:t>
      </w:r>
      <w:r>
        <w:rPr>
          <w:rFonts w:ascii="宋体" w:hAnsi="宋体" w:eastAsia="宋体"/>
          <w:color w:val="000000" w:themeColor="text1"/>
        </w:rPr>
        <w:t>其他材料</w:t>
      </w:r>
      <w:bookmarkEnd w:id="348"/>
      <w:bookmarkEnd w:id="349"/>
      <w:bookmarkEnd w:id="350"/>
      <w:bookmarkEnd w:id="351"/>
      <w:bookmarkEnd w:id="352"/>
      <w:bookmarkEnd w:id="353"/>
      <w:bookmarkEnd w:id="354"/>
      <w:bookmarkEnd w:id="355"/>
      <w:bookmarkEnd w:id="356"/>
      <w:bookmarkEnd w:id="357"/>
      <w:bookmarkEnd w:id="358"/>
      <w:bookmarkEnd w:id="359"/>
    </w:p>
    <w:p>
      <w:pPr>
        <w:spacing w:before="240" w:after="240" w:line="360" w:lineRule="auto"/>
        <w:jc w:val="center"/>
        <w:outlineLvl w:val="2"/>
        <w:rPr>
          <w:rFonts w:ascii="宋体" w:hAnsi="宋体" w:eastAsia="宋体"/>
          <w:color w:val="000000" w:themeColor="text1"/>
        </w:rPr>
        <w:sectPr>
          <w:pgSz w:w="11906" w:h="16838"/>
          <w:pgMar w:top="1134" w:right="1134" w:bottom="1134" w:left="1701" w:header="567" w:footer="567" w:gutter="0"/>
          <w:cols w:space="720" w:num="1"/>
          <w:docGrid w:linePitch="312" w:charSpace="0"/>
        </w:sectPr>
      </w:pPr>
    </w:p>
    <w:p>
      <w:pPr>
        <w:pStyle w:val="27"/>
        <w:spacing w:before="320" w:after="200" w:line="360" w:lineRule="auto"/>
        <w:rPr>
          <w:rFonts w:ascii="宋体" w:hAnsi="宋体" w:eastAsia="宋体"/>
          <w:color w:val="000000" w:themeColor="text1"/>
        </w:rPr>
      </w:pPr>
      <w:bookmarkStart w:id="360" w:name="_Toc10171"/>
      <w:bookmarkStart w:id="361" w:name="_Toc1593"/>
      <w:bookmarkStart w:id="362" w:name="_Toc22090"/>
      <w:bookmarkStart w:id="363" w:name="_Toc1150"/>
      <w:bookmarkStart w:id="364" w:name="_Toc4314"/>
      <w:r>
        <w:rPr>
          <w:rFonts w:hint="eastAsia" w:ascii="宋体" w:hAnsi="宋体" w:eastAsia="宋体"/>
          <w:color w:val="000000" w:themeColor="text1"/>
        </w:rPr>
        <w:t>十一、</w:t>
      </w:r>
      <w:r>
        <w:rPr>
          <w:rFonts w:ascii="宋体" w:hAnsi="宋体" w:eastAsia="宋体"/>
          <w:color w:val="000000" w:themeColor="text1"/>
        </w:rPr>
        <w:t>投资方案及财务评价</w:t>
      </w:r>
      <w:bookmarkEnd w:id="360"/>
      <w:bookmarkEnd w:id="361"/>
      <w:bookmarkEnd w:id="362"/>
      <w:bookmarkEnd w:id="363"/>
      <w:bookmarkEnd w:id="364"/>
    </w:p>
    <w:p>
      <w:pPr>
        <w:spacing w:after="160" w:line="360" w:lineRule="auto"/>
        <w:ind w:firstLine="480"/>
        <w:rPr>
          <w:rFonts w:ascii="宋体" w:hAnsi="宋体" w:eastAsia="宋体"/>
          <w:color w:val="000000" w:themeColor="text1"/>
        </w:rPr>
      </w:pPr>
      <w:r>
        <w:rPr>
          <w:rFonts w:ascii="宋体" w:hAnsi="宋体" w:eastAsia="宋体"/>
          <w:color w:val="000000" w:themeColor="text1"/>
        </w:rPr>
        <w:t>具体要求详见招标文件第五章“投资方案及财务评价编制要点”，并附相关表格。</w:t>
      </w:r>
    </w:p>
    <w:p>
      <w:pPr>
        <w:spacing w:after="160" w:line="360" w:lineRule="auto"/>
        <w:ind w:firstLine="480"/>
        <w:rPr>
          <w:rFonts w:ascii="宋体" w:hAnsi="宋体" w:eastAsia="宋体"/>
          <w:color w:val="000000" w:themeColor="text1"/>
        </w:rPr>
        <w:sectPr>
          <w:pgSz w:w="11906" w:h="16838"/>
          <w:pgMar w:top="1134" w:right="1134" w:bottom="1134" w:left="1701" w:header="567" w:footer="567" w:gutter="0"/>
          <w:cols w:space="720" w:num="1"/>
          <w:docGrid w:linePitch="312" w:charSpace="0"/>
        </w:sectPr>
      </w:pPr>
    </w:p>
    <w:p>
      <w:pPr>
        <w:spacing w:after="160" w:line="360" w:lineRule="auto"/>
        <w:rPr>
          <w:rFonts w:ascii="宋体" w:hAnsi="宋体" w:eastAsia="宋体"/>
          <w:color w:val="000000" w:themeColor="text1"/>
        </w:rPr>
      </w:pPr>
    </w:p>
    <w:p>
      <w:pPr>
        <w:spacing w:after="160" w:line="440" w:lineRule="exact"/>
        <w:jc w:val="right"/>
        <w:rPr>
          <w:rFonts w:ascii="宋体" w:hAnsi="宋体" w:eastAsia="宋体"/>
          <w:color w:val="000000" w:themeColor="text1"/>
          <w:sz w:val="40"/>
          <w:szCs w:val="40"/>
        </w:rPr>
      </w:pPr>
    </w:p>
    <w:p>
      <w:pPr>
        <w:spacing w:after="160" w:line="440" w:lineRule="exact"/>
        <w:rPr>
          <w:rFonts w:ascii="宋体" w:hAnsi="宋体" w:eastAsia="宋体"/>
          <w:color w:val="000000" w:themeColor="text1"/>
          <w:sz w:val="20"/>
          <w:szCs w:val="20"/>
        </w:rPr>
      </w:pPr>
    </w:p>
    <w:p>
      <w:pPr>
        <w:spacing w:after="160" w:line="360" w:lineRule="auto"/>
        <w:jc w:val="center"/>
        <w:rPr>
          <w:rFonts w:ascii="宋体" w:hAnsi="宋体" w:eastAsia="宋体"/>
          <w:color w:val="000000" w:themeColor="text1"/>
          <w:sz w:val="28"/>
          <w:szCs w:val="28"/>
        </w:rPr>
      </w:pPr>
      <w:r>
        <w:rPr>
          <w:rFonts w:ascii="宋体" w:hAnsi="宋体" w:eastAsia="宋体"/>
          <w:color w:val="000000" w:themeColor="text1"/>
          <w:sz w:val="28"/>
          <w:szCs w:val="28"/>
          <w:u w:val="single"/>
        </w:rPr>
        <w:t xml:space="preserve">                </w:t>
      </w:r>
      <w:r>
        <w:rPr>
          <w:rFonts w:ascii="宋体" w:hAnsi="宋体" w:eastAsia="宋体"/>
          <w:color w:val="000000" w:themeColor="text1"/>
          <w:sz w:val="28"/>
          <w:szCs w:val="28"/>
        </w:rPr>
        <w:t>（项目名称）</w:t>
      </w:r>
    </w:p>
    <w:p>
      <w:pPr>
        <w:spacing w:after="160" w:line="360" w:lineRule="auto"/>
        <w:rPr>
          <w:rFonts w:ascii="宋体" w:hAnsi="宋体" w:eastAsia="宋体"/>
          <w:color w:val="000000" w:themeColor="text1"/>
          <w:sz w:val="20"/>
          <w:szCs w:val="20"/>
        </w:rPr>
      </w:pPr>
    </w:p>
    <w:p>
      <w:pPr>
        <w:spacing w:after="160" w:line="360" w:lineRule="auto"/>
        <w:rPr>
          <w:rFonts w:ascii="宋体" w:hAnsi="宋体" w:eastAsia="宋体"/>
          <w:color w:val="000000" w:themeColor="text1"/>
          <w:sz w:val="20"/>
          <w:szCs w:val="20"/>
        </w:rPr>
      </w:pPr>
    </w:p>
    <w:p>
      <w:pPr>
        <w:spacing w:after="160" w:line="360" w:lineRule="auto"/>
        <w:jc w:val="center"/>
        <w:rPr>
          <w:rFonts w:ascii="宋体" w:hAnsi="宋体" w:eastAsia="宋体"/>
          <w:color w:val="000000" w:themeColor="text1"/>
          <w:sz w:val="44"/>
          <w:szCs w:val="44"/>
        </w:rPr>
      </w:pPr>
      <w:r>
        <w:rPr>
          <w:rFonts w:ascii="宋体" w:hAnsi="宋体" w:eastAsia="宋体"/>
          <w:color w:val="000000" w:themeColor="text1"/>
          <w:sz w:val="44"/>
          <w:szCs w:val="44"/>
        </w:rPr>
        <w:t>投  标  文  件</w:t>
      </w:r>
    </w:p>
    <w:p>
      <w:pPr>
        <w:spacing w:after="160" w:line="360" w:lineRule="auto"/>
        <w:jc w:val="center"/>
        <w:rPr>
          <w:rFonts w:ascii="宋体" w:hAnsi="宋体" w:eastAsia="宋体"/>
          <w:color w:val="000000" w:themeColor="text1"/>
          <w:sz w:val="44"/>
          <w:szCs w:val="44"/>
        </w:rPr>
      </w:pPr>
      <w:r>
        <w:rPr>
          <w:rFonts w:ascii="宋体" w:hAnsi="宋体" w:eastAsia="宋体"/>
          <w:color w:val="000000" w:themeColor="text1"/>
          <w:sz w:val="44"/>
          <w:szCs w:val="44"/>
        </w:rPr>
        <w:t>技术部分</w:t>
      </w:r>
    </w:p>
    <w:p>
      <w:pPr>
        <w:spacing w:after="160" w:line="360" w:lineRule="auto"/>
        <w:rPr>
          <w:rFonts w:ascii="宋体" w:hAnsi="宋体" w:eastAsia="宋体"/>
          <w:color w:val="000000" w:themeColor="text1"/>
          <w:sz w:val="28"/>
          <w:szCs w:val="28"/>
        </w:rPr>
      </w:pPr>
    </w:p>
    <w:p>
      <w:pPr>
        <w:spacing w:after="160" w:line="360" w:lineRule="auto"/>
        <w:rPr>
          <w:rFonts w:ascii="宋体" w:hAnsi="宋体" w:eastAsia="宋体"/>
          <w:color w:val="000000" w:themeColor="text1"/>
          <w:sz w:val="28"/>
          <w:szCs w:val="28"/>
        </w:rPr>
      </w:pPr>
    </w:p>
    <w:p>
      <w:pPr>
        <w:spacing w:after="160" w:line="360" w:lineRule="auto"/>
        <w:rPr>
          <w:rFonts w:ascii="宋体" w:hAnsi="宋体" w:eastAsia="宋体"/>
          <w:color w:val="000000" w:themeColor="text1"/>
          <w:sz w:val="28"/>
          <w:szCs w:val="28"/>
        </w:rPr>
      </w:pPr>
    </w:p>
    <w:p>
      <w:pPr>
        <w:spacing w:after="160" w:line="360" w:lineRule="auto"/>
        <w:rPr>
          <w:rFonts w:ascii="宋体" w:hAnsi="宋体" w:eastAsia="宋体"/>
          <w:color w:val="000000" w:themeColor="text1"/>
          <w:sz w:val="28"/>
          <w:szCs w:val="28"/>
        </w:rPr>
      </w:pPr>
    </w:p>
    <w:p>
      <w:pPr>
        <w:spacing w:after="160" w:line="360" w:lineRule="auto"/>
        <w:rPr>
          <w:rFonts w:ascii="宋体" w:hAnsi="宋体" w:eastAsia="宋体"/>
          <w:color w:val="000000" w:themeColor="text1"/>
          <w:sz w:val="28"/>
          <w:szCs w:val="28"/>
        </w:rPr>
      </w:pPr>
    </w:p>
    <w:p>
      <w:pPr>
        <w:spacing w:after="160" w:line="360" w:lineRule="auto"/>
        <w:rPr>
          <w:rFonts w:ascii="宋体" w:hAnsi="宋体" w:eastAsia="宋体"/>
          <w:color w:val="000000" w:themeColor="text1"/>
          <w:sz w:val="28"/>
          <w:szCs w:val="28"/>
        </w:rPr>
      </w:pPr>
    </w:p>
    <w:p>
      <w:pPr>
        <w:spacing w:after="160" w:line="480" w:lineRule="auto"/>
        <w:jc w:val="center"/>
        <w:rPr>
          <w:rFonts w:ascii="宋体" w:hAnsi="宋体" w:eastAsia="宋体"/>
          <w:color w:val="000000" w:themeColor="text1"/>
          <w:sz w:val="28"/>
          <w:szCs w:val="28"/>
          <w:u w:val="single"/>
        </w:rPr>
      </w:pPr>
      <w:r>
        <w:rPr>
          <w:rFonts w:ascii="宋体" w:hAnsi="宋体" w:eastAsia="宋体"/>
          <w:color w:val="000000" w:themeColor="text1"/>
          <w:sz w:val="28"/>
          <w:szCs w:val="28"/>
        </w:rPr>
        <w:t>投标人：</w:t>
      </w:r>
      <w:r>
        <w:rPr>
          <w:rFonts w:ascii="宋体" w:hAnsi="宋体" w:eastAsia="宋体"/>
          <w:color w:val="000000" w:themeColor="text1"/>
          <w:sz w:val="28"/>
          <w:szCs w:val="28"/>
          <w:u w:val="single"/>
        </w:rPr>
        <w:t xml:space="preserve">                              </w:t>
      </w:r>
      <w:r>
        <w:rPr>
          <w:rFonts w:ascii="宋体" w:hAnsi="宋体" w:eastAsia="宋体"/>
          <w:color w:val="000000" w:themeColor="text1"/>
          <w:sz w:val="28"/>
          <w:szCs w:val="28"/>
        </w:rPr>
        <w:t>（盖单位章）</w:t>
      </w:r>
    </w:p>
    <w:p>
      <w:pPr>
        <w:spacing w:after="160" w:line="480" w:lineRule="auto"/>
        <w:jc w:val="center"/>
        <w:rPr>
          <w:rFonts w:ascii="宋体" w:hAnsi="宋体" w:eastAsia="宋体"/>
          <w:color w:val="000000" w:themeColor="text1"/>
          <w:sz w:val="28"/>
          <w:szCs w:val="28"/>
        </w:rPr>
      </w:pPr>
      <w:r>
        <w:rPr>
          <w:rFonts w:ascii="宋体" w:hAnsi="宋体" w:eastAsia="宋体"/>
          <w:color w:val="000000" w:themeColor="text1"/>
          <w:sz w:val="28"/>
          <w:szCs w:val="28"/>
        </w:rPr>
        <w:t>法定代表人或其委托代理人：</w:t>
      </w:r>
      <w:r>
        <w:rPr>
          <w:rFonts w:ascii="宋体" w:hAnsi="宋体" w:eastAsia="宋体"/>
          <w:color w:val="000000" w:themeColor="text1"/>
          <w:sz w:val="28"/>
          <w:szCs w:val="28"/>
          <w:u w:val="single"/>
        </w:rPr>
        <w:t xml:space="preserve">                </w:t>
      </w:r>
      <w:r>
        <w:rPr>
          <w:rFonts w:ascii="宋体" w:hAnsi="宋体" w:eastAsia="宋体"/>
          <w:color w:val="000000" w:themeColor="text1"/>
          <w:sz w:val="28"/>
          <w:szCs w:val="28"/>
        </w:rPr>
        <w:t>（签字）</w:t>
      </w:r>
    </w:p>
    <w:p>
      <w:pPr>
        <w:spacing w:after="160" w:line="360" w:lineRule="auto"/>
        <w:ind w:firstLine="560"/>
        <w:jc w:val="center"/>
        <w:rPr>
          <w:rFonts w:ascii="宋体" w:hAnsi="宋体" w:eastAsia="宋体"/>
          <w:color w:val="000000" w:themeColor="text1"/>
        </w:rPr>
      </w:pPr>
      <w:r>
        <w:rPr>
          <w:rFonts w:ascii="宋体" w:hAnsi="宋体" w:eastAsia="宋体"/>
          <w:color w:val="000000" w:themeColor="text1"/>
          <w:sz w:val="28"/>
          <w:szCs w:val="28"/>
        </w:rPr>
        <w:t>年</w:t>
      </w:r>
      <w:r>
        <w:rPr>
          <w:rFonts w:ascii="宋体" w:hAnsi="宋体" w:eastAsia="宋体"/>
          <w:color w:val="000000" w:themeColor="text1"/>
          <w:sz w:val="28"/>
          <w:szCs w:val="28"/>
          <w:u w:val="single"/>
        </w:rPr>
        <w:t xml:space="preserve">        </w:t>
      </w:r>
      <w:r>
        <w:rPr>
          <w:rFonts w:ascii="宋体" w:hAnsi="宋体" w:eastAsia="宋体"/>
          <w:color w:val="000000" w:themeColor="text1"/>
          <w:sz w:val="28"/>
          <w:szCs w:val="28"/>
        </w:rPr>
        <w:t>月</w:t>
      </w:r>
      <w:r>
        <w:rPr>
          <w:rFonts w:ascii="宋体" w:hAnsi="宋体" w:eastAsia="宋体"/>
          <w:color w:val="000000" w:themeColor="text1"/>
          <w:sz w:val="28"/>
          <w:szCs w:val="28"/>
          <w:u w:val="single"/>
        </w:rPr>
        <w:t xml:space="preserve">        </w:t>
      </w:r>
      <w:r>
        <w:rPr>
          <w:rFonts w:ascii="宋体" w:hAnsi="宋体" w:eastAsia="宋体"/>
          <w:color w:val="000000" w:themeColor="text1"/>
          <w:sz w:val="28"/>
          <w:szCs w:val="28"/>
        </w:rPr>
        <w:t>日</w:t>
      </w:r>
    </w:p>
    <w:p>
      <w:pPr>
        <w:spacing w:after="160" w:line="360" w:lineRule="auto"/>
        <w:rPr>
          <w:rFonts w:ascii="宋体" w:hAnsi="宋体" w:eastAsia="宋体"/>
          <w:color w:val="000000" w:themeColor="text1"/>
        </w:rPr>
      </w:pPr>
    </w:p>
    <w:p>
      <w:pPr>
        <w:spacing w:after="160" w:line="360" w:lineRule="auto"/>
        <w:rPr>
          <w:rFonts w:ascii="宋体" w:hAnsi="宋体" w:eastAsia="宋体"/>
          <w:color w:val="000000" w:themeColor="text1"/>
          <w:sz w:val="28"/>
          <w:szCs w:val="28"/>
        </w:rPr>
        <w:sectPr>
          <w:pgSz w:w="11906" w:h="16838"/>
          <w:pgMar w:top="1134" w:right="1134" w:bottom="1134" w:left="1701" w:header="567" w:footer="567" w:gutter="0"/>
          <w:cols w:space="720" w:num="1"/>
          <w:docGrid w:linePitch="312" w:charSpace="0"/>
        </w:sectPr>
      </w:pPr>
    </w:p>
    <w:p>
      <w:pPr>
        <w:pStyle w:val="27"/>
        <w:spacing w:before="320" w:after="200" w:line="360" w:lineRule="auto"/>
        <w:rPr>
          <w:rFonts w:ascii="宋体" w:hAnsi="宋体" w:eastAsia="宋体"/>
          <w:color w:val="000000" w:themeColor="text1"/>
        </w:rPr>
      </w:pPr>
      <w:bookmarkStart w:id="365" w:name="_Toc32092"/>
      <w:bookmarkStart w:id="366" w:name="_Toc24540"/>
      <w:bookmarkStart w:id="367" w:name="_Toc23077"/>
      <w:bookmarkStart w:id="368" w:name="_Toc25003"/>
      <w:bookmarkStart w:id="369" w:name="_Toc31721"/>
      <w:r>
        <w:rPr>
          <w:rFonts w:ascii="宋体" w:hAnsi="宋体" w:eastAsia="宋体"/>
          <w:color w:val="000000" w:themeColor="text1"/>
        </w:rPr>
        <w:t>一、技术及建设方案</w:t>
      </w:r>
      <w:bookmarkEnd w:id="365"/>
      <w:bookmarkEnd w:id="366"/>
      <w:bookmarkEnd w:id="367"/>
      <w:bookmarkEnd w:id="368"/>
      <w:bookmarkEnd w:id="369"/>
    </w:p>
    <w:p>
      <w:pPr>
        <w:spacing w:after="160" w:line="360" w:lineRule="auto"/>
        <w:jc w:val="center"/>
        <w:rPr>
          <w:rFonts w:ascii="宋体" w:hAnsi="宋体" w:eastAsia="宋体"/>
          <w:color w:val="000000" w:themeColor="text1"/>
          <w:sz w:val="28"/>
          <w:szCs w:val="28"/>
        </w:rPr>
      </w:pPr>
      <w:r>
        <w:rPr>
          <w:rFonts w:ascii="宋体" w:hAnsi="宋体" w:eastAsia="宋体"/>
          <w:color w:val="000000" w:themeColor="text1"/>
        </w:rPr>
        <w:t>具体要求详见招标文件第六章“技术及建设方案编制要点”，并附相关表格。</w:t>
      </w:r>
    </w:p>
    <w:p>
      <w:pPr>
        <w:spacing w:after="160" w:line="360" w:lineRule="auto"/>
        <w:rPr>
          <w:rFonts w:ascii="宋体" w:hAnsi="宋体" w:eastAsia="宋体"/>
          <w:color w:val="000000" w:themeColor="text1"/>
          <w:sz w:val="28"/>
          <w:szCs w:val="28"/>
        </w:rPr>
      </w:pPr>
    </w:p>
    <w:p>
      <w:pPr>
        <w:spacing w:after="160" w:line="360" w:lineRule="auto"/>
        <w:rPr>
          <w:rFonts w:ascii="宋体" w:hAnsi="宋体" w:eastAsia="宋体"/>
          <w:color w:val="000000" w:themeColor="text1"/>
          <w:sz w:val="28"/>
          <w:szCs w:val="28"/>
        </w:rPr>
      </w:pPr>
    </w:p>
    <w:p>
      <w:pPr>
        <w:spacing w:after="160" w:line="360" w:lineRule="auto"/>
        <w:rPr>
          <w:rFonts w:ascii="宋体" w:hAnsi="宋体" w:eastAsia="宋体"/>
          <w:color w:val="000000" w:themeColor="text1"/>
          <w:sz w:val="28"/>
          <w:szCs w:val="28"/>
        </w:rPr>
      </w:pPr>
    </w:p>
    <w:p>
      <w:pPr>
        <w:spacing w:after="160" w:line="360" w:lineRule="auto"/>
        <w:rPr>
          <w:rFonts w:ascii="宋体" w:hAnsi="宋体" w:eastAsia="宋体"/>
          <w:color w:val="000000" w:themeColor="text1"/>
          <w:sz w:val="28"/>
          <w:szCs w:val="28"/>
        </w:rPr>
      </w:pPr>
    </w:p>
    <w:p>
      <w:pPr>
        <w:spacing w:after="160" w:line="360" w:lineRule="auto"/>
        <w:rPr>
          <w:rFonts w:ascii="宋体" w:hAnsi="宋体" w:eastAsia="宋体"/>
          <w:color w:val="000000" w:themeColor="text1"/>
          <w:sz w:val="28"/>
          <w:szCs w:val="28"/>
        </w:rPr>
      </w:pPr>
    </w:p>
    <w:p>
      <w:pPr>
        <w:spacing w:after="160" w:line="360" w:lineRule="auto"/>
        <w:rPr>
          <w:rFonts w:ascii="宋体" w:hAnsi="宋体" w:eastAsia="宋体"/>
          <w:color w:val="000000" w:themeColor="text1"/>
          <w:sz w:val="28"/>
          <w:szCs w:val="28"/>
        </w:rPr>
      </w:pPr>
    </w:p>
    <w:p>
      <w:pPr>
        <w:tabs>
          <w:tab w:val="left" w:pos="829"/>
        </w:tabs>
        <w:spacing w:after="160" w:line="360" w:lineRule="auto"/>
        <w:rPr>
          <w:rFonts w:ascii="宋体" w:hAnsi="宋体" w:eastAsia="宋体"/>
          <w:color w:val="000000" w:themeColor="text1"/>
          <w:sz w:val="28"/>
          <w:szCs w:val="28"/>
        </w:rPr>
      </w:pPr>
    </w:p>
    <w:p>
      <w:pPr>
        <w:spacing w:after="160" w:line="360" w:lineRule="auto"/>
        <w:rPr>
          <w:rFonts w:hAnsi="Times New Roman"/>
          <w:color w:val="000000" w:themeColor="text1"/>
        </w:rPr>
      </w:pPr>
    </w:p>
    <w:sectPr>
      <w:pgSz w:w="11906" w:h="16838"/>
      <w:pgMar w:top="1134" w:right="1134" w:bottom="1134" w:left="1701" w:header="567" w:footer="567"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roman"/>
    <w:pitch w:val="default"/>
    <w:sig w:usb0="00000000" w:usb1="00000000" w:usb2="00000010" w:usb3="00000000" w:csb0="00040000" w:csb1="00000000"/>
  </w:font>
  <w:font w:name="MS Mincho">
    <w:panose1 w:val="02020609040205080304"/>
    <w:charset w:val="80"/>
    <w:family w:val="modern"/>
    <w:pitch w:val="default"/>
    <w:sig w:usb0="A00002BF" w:usb1="68C7FCFB" w:usb2="00000010" w:usb3="00000000" w:csb0="4002009F" w:csb1="DFD70000"/>
  </w:font>
  <w:font w:name="Malgun Gothic">
    <w:panose1 w:val="020B0503020000020004"/>
    <w:charset w:val="81"/>
    <w:family w:val="auto"/>
    <w:pitch w:val="default"/>
    <w:sig w:usb0="9000002F" w:usb1="29D77CFB" w:usb2="00000012" w:usb3="00000000" w:csb0="00080001" w:csb1="0000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top w:val="none" w:color="000000" w:sz="0" w:space="0"/>
      </w:pBdr>
      <w:snapToGrid w:val="0"/>
      <w:spacing w:after="160" w:line="360" w:lineRule="auto"/>
      <w:jc w:val="left"/>
      <w:rPr>
        <w:rFonts w:hAnsi="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snapToGrid w:val="0"/>
      <w:spacing w:after="160" w:line="360" w:lineRule="auto"/>
      <w:jc w:val="left"/>
      <w:rPr>
        <w:rStyle w:val="33"/>
        <w:rFonts w:ascii="仿宋_GB2312" w:hAnsi="仿宋_GB2312" w:eastAsia="仿宋_GB2312"/>
      </w:rPr>
    </w:pPr>
    <w:r>
      <w:rPr>
        <w:rFonts w:hAnsi="Times New Roman"/>
      </w:rPr>
      <w:fldChar w:fldCharType="begin"/>
    </w:r>
    <w:r>
      <w:instrText xml:space="preserve">PAGE  \* MERGEFORMAT</w:instrText>
    </w:r>
    <w:r>
      <w:fldChar w:fldCharType="separate"/>
    </w:r>
    <w:r>
      <w:rPr>
        <w:rStyle w:val="33"/>
        <w:rFonts w:ascii="仿宋_GB2312" w:hAnsi="仿宋_GB2312" w:eastAsia="仿宋_GB2312"/>
      </w:rPr>
      <w:t>1</w:t>
    </w:r>
    <w:r>
      <w:rPr>
        <w:rFonts w:ascii="仿宋_GB2312" w:hAnsi="仿宋_GB2312" w:eastAsia="仿宋_GB2312"/>
      </w:rPr>
      <w:fldChar w:fldCharType="end"/>
    </w:r>
  </w:p>
  <w:p>
    <w:pPr>
      <w:pStyle w:val="18"/>
      <w:snapToGrid w:val="0"/>
      <w:spacing w:after="160" w:line="360" w:lineRule="auto"/>
      <w:jc w:val="left"/>
      <w:rPr>
        <w:rFonts w:hAnsi="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top w:val="none" w:color="000000" w:sz="0" w:space="0"/>
      </w:pBdr>
      <w:snapToGrid w:val="0"/>
      <w:spacing w:after="160" w:line="360" w:lineRule="auto"/>
      <w:jc w:val="center"/>
      <w:rPr>
        <w:rFonts w:hAnsi="Times New Roman"/>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top w:val="none" w:color="000000" w:sz="0" w:space="0"/>
      </w:pBdr>
      <w:snapToGrid w:val="0"/>
      <w:spacing w:after="160" w:line="360" w:lineRule="auto"/>
      <w:jc w:val="center"/>
      <w:rPr>
        <w:rFonts w:hAnsi="Times New Roman"/>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top w:val="none" w:color="000000" w:sz="0" w:space="0"/>
      </w:pBdr>
      <w:snapToGrid w:val="0"/>
      <w:spacing w:after="160" w:line="360" w:lineRule="auto"/>
      <w:jc w:val="center"/>
      <w:rPr>
        <w:rFonts w:hAnsi="Times New Roman"/>
      </w:rPr>
    </w:pPr>
    <w:r>
      <w:rPr>
        <w:sz w:val="20"/>
      </w:rPr>
      <w:pict>
        <v:shape id="_x0000_s1026" o:spid="_x0000_s1026" o:spt="202" type="#_x0000_t202" style="position:absolute;left:0pt;margin-top:0pt;height:24.45pt;width:4.55pt;mso-position-horizontal:center;mso-position-horizontal-relative:margin;mso-wrap-style:none;z-index:251657216;v-text-anchor:middle;mso-width-relative:page;mso-height-relative:page;" filled="f" stroked="f" coordsize="21600,21600" o:gfxdata="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AWvUUn0gAAAAIBAAAPAAAAAAAAAAEAIAAA&#10;ACIAAABkcnMvZG93bnJldi54bWxQSwECFAAUAAAACACHTuJAsUsX7xICAAAJBAAADgAAAAAAAAAB&#10;ACAAAAAhAQAAZHJzL2Uyb0RvYy54bWxQSwUGAAAAAAYABgBZAQAApQUAAAAA&#10;">
          <v:path/>
          <v:fill on="f" focussize="0,0"/>
          <v:stroke on="f" joinstyle="miter"/>
          <v:imagedata o:title=""/>
          <o:lock v:ext="edit"/>
          <v:textbox inset="0mm,0mm,0mm,0mm" style="mso-fit-shape-to-text:t;">
            <w:txbxContent>
              <w:p>
                <w:pPr>
                  <w:pStyle w:val="18"/>
                  <w:pBdr>
                    <w:top w:val="none" w:color="000000" w:sz="0" w:space="0"/>
                  </w:pBdr>
                  <w:snapToGrid w:val="0"/>
                  <w:spacing w:after="160" w:line="360" w:lineRule="auto"/>
                  <w:jc w:val="center"/>
                  <w:rPr>
                    <w:rFonts w:ascii="宋体" w:hAnsi="宋体" w:eastAsia="宋体"/>
                  </w:rPr>
                </w:pPr>
                <w:r>
                  <w:rPr>
                    <w:rFonts w:hAnsi="Times New Roman"/>
                  </w:rPr>
                  <w:fldChar w:fldCharType="begin"/>
                </w:r>
                <w:r>
                  <w:instrText xml:space="preserve">PAGE  \* MERGEFORMAT</w:instrText>
                </w:r>
                <w:r>
                  <w:fldChar w:fldCharType="separate"/>
                </w:r>
                <w:r>
                  <w:rPr>
                    <w:rFonts w:hAnsi="Times New Roman"/>
                  </w:rPr>
                  <w:t>1</w:t>
                </w:r>
                <w:r>
                  <w:rPr>
                    <w:rFonts w:hAnsi="Times New Roman"/>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top w:val="none" w:color="000000" w:sz="0" w:space="0"/>
      </w:pBdr>
      <w:snapToGrid w:val="0"/>
      <w:spacing w:after="160" w:line="360" w:lineRule="auto"/>
      <w:jc w:val="center"/>
      <w:rPr>
        <w:rFonts w:hAnsi="Times New Roman"/>
      </w:rPr>
    </w:pPr>
    <w:r>
      <w:rPr>
        <w:sz w:val="20"/>
      </w:rPr>
      <w:pict>
        <v:shape id="文本框 1" o:spid="_x0000_s1027" o:spt="202" type="#_x0000_t202" style="position:absolute;left:0pt;margin-top:0pt;height:24.45pt;width:4.55pt;mso-position-horizontal:center;mso-position-horizontal-relative:margin;mso-wrap-style:none;z-index:251658240;v-text-anchor:middle;mso-width-relative:page;mso-height-relative:page;" filled="f" stroked="f" coordsize="21600,21600" o:gfxdata="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AWvUUn0gAAAAIBAAAPAAAAAAAAAAEAIAAA&#10;ACIAAABkcnMvZG93bnJldi54bWxQSwECFAAUAAAACACHTuJAvBk2OhICAAAJBAAADgAAAAAAAAAB&#10;ACAAAAAhAQAAZHJzL2Uyb0RvYy54bWxQSwUGAAAAAAYABgBZAQAApQUAAAAA&#10;">
          <v:path/>
          <v:fill on="f" focussize="0,0"/>
          <v:stroke on="f" joinstyle="miter"/>
          <v:imagedata o:title=""/>
          <o:lock v:ext="edit"/>
          <v:textbox inset="0mm,0mm,0mm,0mm" style="mso-fit-shape-to-text:t;">
            <w:txbxContent>
              <w:p>
                <w:pPr>
                  <w:pStyle w:val="18"/>
                  <w:snapToGrid w:val="0"/>
                  <w:spacing w:after="160" w:line="360" w:lineRule="auto"/>
                  <w:jc w:val="left"/>
                  <w:rPr>
                    <w:rFonts w:hAnsi="Times New Roman"/>
                  </w:rPr>
                </w:pPr>
                <w:r>
                  <w:rPr>
                    <w:rFonts w:hAnsi="Times New Roman"/>
                  </w:rPr>
                  <w:fldChar w:fldCharType="begin"/>
                </w:r>
                <w:r>
                  <w:instrText xml:space="preserve">PAGE  \* MERGEFORMAT</w:instrText>
                </w:r>
                <w:r>
                  <w:fldChar w:fldCharType="separate"/>
                </w:r>
                <w:r>
                  <w:rPr>
                    <w:rFonts w:hAnsi="Times New Roman"/>
                  </w:rPr>
                  <w:t>36</w:t>
                </w:r>
                <w:r>
                  <w:rPr>
                    <w:rFonts w:hAnsi="Times New Roma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single" w:color="000000" w:sz="6" w:space="0"/>
      </w:pBdr>
      <w:snapToGrid w:val="0"/>
      <w:spacing w:after="160"/>
      <w:jc w:val="both"/>
      <w:rPr>
        <w:rFonts w:ascii="宋体" w:hAnsi="宋体" w:eastAsia="宋体"/>
        <w:sz w:val="21"/>
        <w:szCs w:val="21"/>
      </w:rPr>
    </w:pPr>
    <w:r>
      <w:rPr>
        <w:rFonts w:ascii="宋体" w:hAnsi="宋体" w:eastAsia="宋体"/>
        <w:sz w:val="21"/>
        <w:szCs w:val="21"/>
      </w:rPr>
      <w:t>鄢陵县畜禽粪污资源化利用整县推进特许经营项目                     特许经营权招标文件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000000" w:sz="0" w:space="0"/>
      </w:pBdr>
      <w:snapToGrid w:val="0"/>
      <w:spacing w:after="160" w:line="360" w:lineRule="auto"/>
      <w:rPr>
        <w:rFonts w:hAnsi="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single" w:color="000000" w:sz="6" w:space="0"/>
      </w:pBdr>
      <w:snapToGrid w:val="0"/>
      <w:spacing w:after="160"/>
      <w:jc w:val="both"/>
      <w:rPr>
        <w:rFonts w:ascii="宋体" w:hAnsi="宋体" w:eastAsia="宋体"/>
        <w:sz w:val="21"/>
        <w:szCs w:val="21"/>
      </w:rPr>
    </w:pPr>
    <w:r>
      <w:rPr>
        <w:rFonts w:ascii="宋体" w:hAnsi="宋体" w:eastAsia="宋体"/>
        <w:sz w:val="21"/>
        <w:szCs w:val="21"/>
      </w:rPr>
      <w:t>鄢陵县畜禽粪污资源化利用整县推进特许经营项目               特许经营权招标文件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BFE8975"/>
    <w:multiLevelType w:val="singleLevel"/>
    <w:tmpl w:val="DBFE8975"/>
    <w:lvl w:ilvl="0" w:tentative="0">
      <w:start w:val="1"/>
      <w:numFmt w:val="decimal"/>
      <w:suff w:val="nothing"/>
      <w:lvlText w:val="%1、"/>
      <w:lvlJc w:val="left"/>
    </w:lvl>
  </w:abstractNum>
  <w:abstractNum w:abstractNumId="1">
    <w:nsid w:val="FD3E9FD6"/>
    <w:multiLevelType w:val="singleLevel"/>
    <w:tmpl w:val="FD3E9FD6"/>
    <w:lvl w:ilvl="0" w:tentative="0">
      <w:start w:val="1"/>
      <w:numFmt w:val="chineseCounting"/>
      <w:suff w:val="nothing"/>
      <w:lvlText w:val="%1、"/>
      <w:lvlJc w:val="left"/>
      <w:rPr>
        <w:rFonts w:hint="eastAsia"/>
      </w:rPr>
    </w:lvl>
  </w:abstractNum>
  <w:abstractNum w:abstractNumId="2">
    <w:nsid w:val="2F000000"/>
    <w:multiLevelType w:val="multilevel"/>
    <w:tmpl w:val="2F000000"/>
    <w:lvl w:ilvl="0" w:tentative="0">
      <w:start w:val="1"/>
      <w:numFmt w:val="decimal"/>
      <w:suff w:val="nothing"/>
      <w:lvlText w:val="（%1）"/>
      <w:lvlJc w:val="left"/>
    </w:lvl>
    <w:lvl w:ilvl="1" w:tentative="0">
      <w:start w:val="1"/>
      <w:numFmt w:val="decimal"/>
      <w:suff w:val="nothing"/>
      <w:lvlText w:val="（%1）"/>
      <w:lvlJc w:val="left"/>
    </w:lvl>
    <w:lvl w:ilvl="2" w:tentative="0">
      <w:start w:val="1"/>
      <w:numFmt w:val="decimal"/>
      <w:suff w:val="nothing"/>
      <w:lvlText w:val="（%1）"/>
      <w:lvlJc w:val="left"/>
    </w:lvl>
    <w:lvl w:ilvl="3" w:tentative="0">
      <w:start w:val="1"/>
      <w:numFmt w:val="decimal"/>
      <w:suff w:val="nothing"/>
      <w:lvlText w:val="（%1）"/>
      <w:lvlJc w:val="left"/>
    </w:lvl>
    <w:lvl w:ilvl="4" w:tentative="0">
      <w:start w:val="1"/>
      <w:numFmt w:val="decimal"/>
      <w:suff w:val="nothing"/>
      <w:lvlText w:val="（%1）"/>
      <w:lvlJc w:val="left"/>
    </w:lvl>
    <w:lvl w:ilvl="5" w:tentative="0">
      <w:start w:val="1"/>
      <w:numFmt w:val="decimal"/>
      <w:suff w:val="nothing"/>
      <w:lvlText w:val="（%1）"/>
      <w:lvlJc w:val="left"/>
    </w:lvl>
    <w:lvl w:ilvl="6" w:tentative="0">
      <w:start w:val="1"/>
      <w:numFmt w:val="decimal"/>
      <w:suff w:val="nothing"/>
      <w:lvlText w:val="（%1）"/>
      <w:lvlJc w:val="left"/>
    </w:lvl>
    <w:lvl w:ilvl="7" w:tentative="0">
      <w:start w:val="1"/>
      <w:numFmt w:val="decimal"/>
      <w:suff w:val="nothing"/>
      <w:lvlText w:val="（%1）"/>
      <w:lvlJc w:val="left"/>
    </w:lvl>
    <w:lvl w:ilvl="8" w:tentative="0">
      <w:start w:val="1"/>
      <w:numFmt w:val="decimal"/>
      <w:suff w:val="nothing"/>
      <w:lvlText w:val="（%1）"/>
      <w:lvlJc w:val="left"/>
    </w:lvl>
  </w:abstractNum>
  <w:abstractNum w:abstractNumId="3">
    <w:nsid w:val="2F000001"/>
    <w:multiLevelType w:val="multilevel"/>
    <w:tmpl w:val="2F000001"/>
    <w:lvl w:ilvl="0" w:tentative="0">
      <w:start w:val="1"/>
      <w:numFmt w:val="decimal"/>
      <w:lvlText w:val="%1、"/>
      <w:lvlJc w:val="left"/>
      <w:pPr>
        <w:ind w:left="360" w:hanging="360"/>
        <w:jc w:val="both"/>
      </w:pPr>
      <w:rPr>
        <w:w w:val="100"/>
        <w:sz w:val="20"/>
        <w:szCs w:val="20"/>
        <w:shd w:val="clear" w:color="auto" w:fill="auto"/>
      </w:rPr>
    </w:lvl>
    <w:lvl w:ilvl="1" w:tentative="0">
      <w:start w:val="1"/>
      <w:numFmt w:val="lowerLetter"/>
      <w:lvlText w:val="%2)"/>
      <w:lvlJc w:val="left"/>
      <w:pPr>
        <w:ind w:left="840" w:hanging="420"/>
        <w:jc w:val="both"/>
      </w:pPr>
    </w:lvl>
    <w:lvl w:ilvl="2" w:tentative="0">
      <w:start w:val="1"/>
      <w:numFmt w:val="lowerRoman"/>
      <w:lvlText w:val="%3."/>
      <w:lvlJc w:val="right"/>
      <w:pPr>
        <w:ind w:left="1260" w:hanging="420"/>
        <w:jc w:val="both"/>
      </w:pPr>
    </w:lvl>
    <w:lvl w:ilvl="3" w:tentative="0">
      <w:start w:val="1"/>
      <w:numFmt w:val="decimal"/>
      <w:lvlText w:val="%4."/>
      <w:lvlJc w:val="left"/>
      <w:pPr>
        <w:ind w:left="1680" w:hanging="420"/>
        <w:jc w:val="both"/>
      </w:pPr>
    </w:lvl>
    <w:lvl w:ilvl="4" w:tentative="0">
      <w:start w:val="1"/>
      <w:numFmt w:val="lowerLetter"/>
      <w:lvlText w:val="%5)"/>
      <w:lvlJc w:val="left"/>
      <w:pPr>
        <w:ind w:left="2100" w:hanging="420"/>
        <w:jc w:val="both"/>
      </w:pPr>
    </w:lvl>
    <w:lvl w:ilvl="5" w:tentative="0">
      <w:start w:val="1"/>
      <w:numFmt w:val="lowerRoman"/>
      <w:lvlText w:val="%6."/>
      <w:lvlJc w:val="right"/>
      <w:pPr>
        <w:ind w:left="2520" w:hanging="420"/>
        <w:jc w:val="both"/>
      </w:pPr>
    </w:lvl>
    <w:lvl w:ilvl="6" w:tentative="0">
      <w:start w:val="1"/>
      <w:numFmt w:val="decimal"/>
      <w:lvlText w:val="%7."/>
      <w:lvlJc w:val="left"/>
      <w:pPr>
        <w:ind w:left="2940" w:hanging="420"/>
        <w:jc w:val="both"/>
      </w:pPr>
    </w:lvl>
    <w:lvl w:ilvl="7" w:tentative="0">
      <w:start w:val="1"/>
      <w:numFmt w:val="lowerLetter"/>
      <w:lvlText w:val="%8)"/>
      <w:lvlJc w:val="left"/>
      <w:pPr>
        <w:ind w:left="3360" w:hanging="420"/>
        <w:jc w:val="both"/>
      </w:pPr>
    </w:lvl>
    <w:lvl w:ilvl="8" w:tentative="0">
      <w:start w:val="1"/>
      <w:numFmt w:val="lowerRoman"/>
      <w:lvlText w:val="%9."/>
      <w:lvlJc w:val="right"/>
      <w:pPr>
        <w:ind w:left="3780" w:hanging="420"/>
        <w:jc w:val="both"/>
      </w:pPr>
    </w:lvl>
  </w:abstractNum>
  <w:abstractNum w:abstractNumId="4">
    <w:nsid w:val="5A716AF5"/>
    <w:multiLevelType w:val="singleLevel"/>
    <w:tmpl w:val="5A716AF5"/>
    <w:lvl w:ilvl="0" w:tentative="0">
      <w:start w:val="6"/>
      <w:numFmt w:val="decimal"/>
      <w:lvlText w:val="%1."/>
      <w:lvlJc w:val="left"/>
      <w:pPr>
        <w:tabs>
          <w:tab w:val="left" w:pos="312"/>
        </w:tabs>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isplayHorizontalDrawingGridEvery w:val="0"/>
  <w:displayVerticalDrawingGridEvery w:val="2"/>
  <w:characterSpacingControl w:val="compressPunctuation"/>
  <w:hdrShapeDefaults>
    <o:shapelayout v:ext="edit">
      <o:idmap v:ext="edit" data="1"/>
    </o:shapelayout>
  </w:hdrShapeDefaults>
  <w:compat>
    <w:balanceSingleByteDoubleByteWidth/>
    <w:ulTrailSpace/>
    <w:adjustLineHeightInTable/>
    <w:useFELayout/>
    <w:compatSetting w:name="compatibilityMode" w:uri="http://schemas.microsoft.com/office/word" w:val="12"/>
  </w:compat>
  <w:rsids>
    <w:rsidRoot w:val="00E253EC"/>
    <w:rsid w:val="00202880"/>
    <w:rsid w:val="00312FA2"/>
    <w:rsid w:val="00401EAE"/>
    <w:rsid w:val="00514490"/>
    <w:rsid w:val="00D37C28"/>
    <w:rsid w:val="00E253EC"/>
    <w:rsid w:val="00F1439D"/>
    <w:rsid w:val="04630059"/>
    <w:rsid w:val="0AC00719"/>
    <w:rsid w:val="11D426A0"/>
    <w:rsid w:val="1477397A"/>
    <w:rsid w:val="1FA84B30"/>
    <w:rsid w:val="30BE7C01"/>
    <w:rsid w:val="312E219F"/>
    <w:rsid w:val="33F04040"/>
    <w:rsid w:val="349332EA"/>
    <w:rsid w:val="39764000"/>
    <w:rsid w:val="3A6E63C5"/>
    <w:rsid w:val="40484C5D"/>
    <w:rsid w:val="4B8967C8"/>
    <w:rsid w:val="4EAC6481"/>
    <w:rsid w:val="4FE3786B"/>
    <w:rsid w:val="615A71E0"/>
    <w:rsid w:val="65B521AE"/>
    <w:rsid w:val="6648319B"/>
    <w:rsid w:val="67CB7BC1"/>
  </w:rsids>
  <m:mathPr>
    <m:mathFont m:val="Cambria Math"/>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nhideWhenUsed="0" w:uiPriority="8" w:semiHidden="0" w:name="heading 2"/>
    <w:lsdException w:qFormat="1" w:unhideWhenUsed="0" w:uiPriority="9" w:semiHidden="0" w:name="heading 3"/>
    <w:lsdException w:qFormat="1" w:unhideWhenUsed="0" w:uiPriority="10" w:semiHidden="0" w:name="heading 4"/>
    <w:lsdException w:qFormat="1" w:unhideWhenUsed="0" w:uiPriority="11" w:semiHidden="0" w:name="heading 5"/>
    <w:lsdException w:qFormat="1" w:unhideWhenUsed="0" w:uiPriority="12" w:semiHidden="0" w:name="heading 6"/>
    <w:lsdException w:qFormat="1" w:unhideWhenUsed="0" w:uiPriority="13" w:semiHidden="0" w:name="heading 7"/>
    <w:lsdException w:qFormat="1" w:unhideWhenUsed="0" w:uiPriority="14" w:semiHidden="0" w:name="heading 8"/>
    <w:lsdException w:qFormat="1" w:unhideWhenUsed="0" w:uiPriority="15"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28" w:semiHidden="0" w:name="toc 1"/>
    <w:lsdException w:qFormat="1" w:unhideWhenUsed="0" w:uiPriority="29" w:semiHidden="0" w:name="toc 2"/>
    <w:lsdException w:qFormat="1" w:unhideWhenUsed="0" w:uiPriority="30" w:semiHidden="0" w:name="toc 3"/>
    <w:lsdException w:qFormat="1" w:unhideWhenUsed="0" w:uiPriority="31" w:semiHidden="0" w:name="toc 4"/>
    <w:lsdException w:qFormat="1" w:uiPriority="32" w:semiHidden="0" w:name="toc 5"/>
    <w:lsdException w:qFormat="1" w:uiPriority="33" w:semiHidden="0" w:name="toc 6"/>
    <w:lsdException w:qFormat="1" w:uiPriority="34" w:semiHidden="0" w:name="toc 7"/>
    <w:lsdException w:qFormat="1" w:uiPriority="35" w:semiHidden="0" w:name="toc 8"/>
    <w:lsdException w:qFormat="1" w:uiPriority="36"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6"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6"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0" w:semiHidden="0" w:name="Hyperlink"/>
    <w:lsdException w:unhideWhenUsed="0" w:uiPriority="0" w:semiHidden="0" w:name="FollowedHyperlink"/>
    <w:lsdException w:qFormat="1" w:unhideWhenUsed="0" w:uiPriority="20" w:semiHidden="0" w:name="Strong"/>
    <w:lsdException w:qFormat="1" w:unhideWhenUsed="0" w:uiPriority="18"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6" w:semiHidden="0" w:name="List Paragraph"/>
    <w:lsdException w:qFormat="1" w:unhideWhenUsed="0" w:uiPriority="21" w:semiHidden="0" w:name="Quote"/>
    <w:lsdException w:qFormat="1" w:unhideWhenUsed="0" w:uiPriority="22"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jc w:val="both"/>
    </w:pPr>
    <w:rPr>
      <w:rFonts w:ascii="Calibri" w:hAnsi="Calibri" w:eastAsia="Times New Roman" w:cstheme="minorBidi"/>
      <w:sz w:val="24"/>
      <w:szCs w:val="24"/>
      <w:lang w:val="en-US" w:eastAsia="zh-CN" w:bidi="ar-SA"/>
    </w:rPr>
  </w:style>
  <w:style w:type="paragraph" w:styleId="2">
    <w:name w:val="heading 1"/>
    <w:basedOn w:val="1"/>
    <w:next w:val="1"/>
    <w:qFormat/>
    <w:uiPriority w:val="7"/>
    <w:pPr>
      <w:keepNext/>
      <w:keepLines/>
      <w:jc w:val="center"/>
      <w:outlineLvl w:val="0"/>
    </w:pPr>
    <w:rPr>
      <w:rFonts w:ascii="宋体" w:hAnsi="宋体" w:eastAsia="仿宋"/>
      <w:b/>
      <w:sz w:val="52"/>
      <w:szCs w:val="52"/>
    </w:rPr>
  </w:style>
  <w:style w:type="paragraph" w:styleId="3">
    <w:name w:val="heading 2"/>
    <w:next w:val="1"/>
    <w:qFormat/>
    <w:uiPriority w:val="8"/>
    <w:pPr>
      <w:jc w:val="both"/>
      <w:outlineLvl w:val="1"/>
    </w:pPr>
    <w:rPr>
      <w:rFonts w:ascii="Calibri" w:hAnsi="Calibri" w:eastAsia="Times New Roman" w:cstheme="minorBidi"/>
      <w:sz w:val="21"/>
      <w:szCs w:val="21"/>
      <w:lang w:val="en-US" w:eastAsia="zh-CN" w:bidi="ar-SA"/>
    </w:rPr>
  </w:style>
  <w:style w:type="paragraph" w:styleId="4">
    <w:name w:val="heading 3"/>
    <w:next w:val="1"/>
    <w:qFormat/>
    <w:uiPriority w:val="9"/>
    <w:pPr>
      <w:ind w:left="1000" w:hanging="400"/>
      <w:jc w:val="both"/>
      <w:outlineLvl w:val="2"/>
    </w:pPr>
    <w:rPr>
      <w:rFonts w:ascii="Calibri" w:hAnsi="Calibri" w:eastAsia="Times New Roman" w:cstheme="minorBidi"/>
      <w:sz w:val="21"/>
      <w:szCs w:val="21"/>
      <w:lang w:val="en-US" w:eastAsia="zh-CN" w:bidi="ar-SA"/>
    </w:rPr>
  </w:style>
  <w:style w:type="paragraph" w:styleId="5">
    <w:name w:val="heading 4"/>
    <w:basedOn w:val="1"/>
    <w:next w:val="1"/>
    <w:qFormat/>
    <w:uiPriority w:val="10"/>
    <w:pPr>
      <w:keepNext/>
      <w:keepLines/>
      <w:outlineLvl w:val="3"/>
    </w:pPr>
    <w:rPr>
      <w:rFonts w:ascii="Cambria" w:hAnsi="Cambria" w:eastAsia="Cambria"/>
      <w:b/>
      <w:sz w:val="28"/>
      <w:szCs w:val="28"/>
    </w:rPr>
  </w:style>
  <w:style w:type="paragraph" w:styleId="6">
    <w:name w:val="heading 5"/>
    <w:basedOn w:val="1"/>
    <w:next w:val="1"/>
    <w:qFormat/>
    <w:uiPriority w:val="11"/>
    <w:pPr>
      <w:keepNext/>
      <w:keepLines/>
      <w:outlineLvl w:val="4"/>
    </w:pPr>
    <w:rPr>
      <w:rFonts w:ascii="宋体" w:hAnsi="宋体" w:eastAsia="仿宋"/>
      <w:b/>
      <w:sz w:val="28"/>
      <w:szCs w:val="28"/>
    </w:rPr>
  </w:style>
  <w:style w:type="paragraph" w:styleId="7">
    <w:name w:val="heading 6"/>
    <w:next w:val="1"/>
    <w:qFormat/>
    <w:uiPriority w:val="12"/>
    <w:pPr>
      <w:ind w:left="1600" w:hanging="400"/>
      <w:jc w:val="both"/>
      <w:outlineLvl w:val="5"/>
    </w:pPr>
    <w:rPr>
      <w:rFonts w:ascii="Calibri" w:hAnsi="Calibri" w:eastAsia="Times New Roman" w:cstheme="minorBidi"/>
      <w:b/>
      <w:sz w:val="21"/>
      <w:szCs w:val="21"/>
      <w:lang w:val="en-US" w:eastAsia="zh-CN" w:bidi="ar-SA"/>
    </w:rPr>
  </w:style>
  <w:style w:type="paragraph" w:styleId="8">
    <w:name w:val="heading 7"/>
    <w:next w:val="1"/>
    <w:qFormat/>
    <w:uiPriority w:val="13"/>
    <w:pPr>
      <w:ind w:left="1800" w:hanging="400"/>
      <w:jc w:val="both"/>
      <w:outlineLvl w:val="6"/>
    </w:pPr>
    <w:rPr>
      <w:rFonts w:ascii="Calibri" w:hAnsi="Calibri" w:eastAsia="Times New Roman" w:cstheme="minorBidi"/>
      <w:sz w:val="21"/>
      <w:szCs w:val="21"/>
      <w:lang w:val="en-US" w:eastAsia="zh-CN" w:bidi="ar-SA"/>
    </w:rPr>
  </w:style>
  <w:style w:type="paragraph" w:styleId="9">
    <w:name w:val="heading 8"/>
    <w:next w:val="1"/>
    <w:qFormat/>
    <w:uiPriority w:val="14"/>
    <w:pPr>
      <w:ind w:left="2000" w:hanging="400"/>
      <w:jc w:val="both"/>
      <w:outlineLvl w:val="7"/>
    </w:pPr>
    <w:rPr>
      <w:rFonts w:ascii="Calibri" w:hAnsi="Calibri" w:eastAsia="Times New Roman" w:cstheme="minorBidi"/>
      <w:sz w:val="21"/>
      <w:szCs w:val="21"/>
      <w:lang w:val="en-US" w:eastAsia="zh-CN" w:bidi="ar-SA"/>
    </w:rPr>
  </w:style>
  <w:style w:type="paragraph" w:styleId="10">
    <w:name w:val="heading 9"/>
    <w:next w:val="1"/>
    <w:qFormat/>
    <w:uiPriority w:val="15"/>
    <w:pPr>
      <w:ind w:left="2200" w:hanging="400"/>
      <w:jc w:val="both"/>
      <w:outlineLvl w:val="8"/>
    </w:pPr>
    <w:rPr>
      <w:rFonts w:ascii="Calibri" w:hAnsi="Calibri" w:eastAsia="Times New Roman" w:cstheme="minorBidi"/>
      <w:sz w:val="21"/>
      <w:szCs w:val="21"/>
      <w:lang w:val="en-US" w:eastAsia="zh-CN" w:bidi="ar-SA"/>
    </w:rPr>
  </w:style>
  <w:style w:type="character" w:default="1" w:styleId="31">
    <w:name w:val="Default Paragraph Font"/>
    <w:semiHidden/>
    <w:unhideWhenUsed/>
    <w:qFormat/>
    <w:uiPriority w:val="1"/>
  </w:style>
  <w:style w:type="table" w:default="1" w:styleId="30">
    <w:name w:val="Normal Table"/>
    <w:semiHidden/>
    <w:unhideWhenUsed/>
    <w:qFormat/>
    <w:uiPriority w:val="99"/>
    <w:tblPr>
      <w:tblCellMar>
        <w:top w:w="0" w:type="dxa"/>
        <w:left w:w="108" w:type="dxa"/>
        <w:bottom w:w="0" w:type="dxa"/>
        <w:right w:w="108" w:type="dxa"/>
      </w:tblCellMar>
    </w:tblPr>
  </w:style>
  <w:style w:type="paragraph" w:styleId="11">
    <w:name w:val="toc 7"/>
    <w:next w:val="1"/>
    <w:unhideWhenUsed/>
    <w:qFormat/>
    <w:uiPriority w:val="34"/>
    <w:pPr>
      <w:ind w:left="2550"/>
      <w:jc w:val="both"/>
    </w:pPr>
    <w:rPr>
      <w:rFonts w:ascii="Calibri" w:hAnsi="Calibri" w:eastAsia="Times New Roman" w:cstheme="minorBidi"/>
      <w:sz w:val="21"/>
      <w:szCs w:val="21"/>
      <w:lang w:val="en-US" w:eastAsia="zh-CN" w:bidi="ar-SA"/>
    </w:rPr>
  </w:style>
  <w:style w:type="paragraph" w:styleId="12">
    <w:name w:val="Normal Indent"/>
    <w:basedOn w:val="1"/>
    <w:qFormat/>
    <w:uiPriority w:val="0"/>
    <w:pPr>
      <w:ind w:firstLine="420"/>
    </w:pPr>
    <w:rPr>
      <w:rFonts w:ascii="宋体" w:hAnsi="宋体" w:eastAsia="宋体"/>
      <w:sz w:val="21"/>
      <w:szCs w:val="21"/>
    </w:rPr>
  </w:style>
  <w:style w:type="paragraph" w:styleId="13">
    <w:name w:val="Body Text"/>
    <w:basedOn w:val="1"/>
    <w:next w:val="1"/>
    <w:qFormat/>
    <w:uiPriority w:val="0"/>
    <w:rPr>
      <w:sz w:val="21"/>
      <w:szCs w:val="21"/>
    </w:rPr>
  </w:style>
  <w:style w:type="paragraph" w:styleId="14">
    <w:name w:val="Body Text Indent"/>
    <w:basedOn w:val="1"/>
    <w:qFormat/>
    <w:uiPriority w:val="0"/>
    <w:pPr>
      <w:ind w:left="420"/>
    </w:pPr>
    <w:rPr>
      <w:sz w:val="21"/>
      <w:szCs w:val="21"/>
    </w:rPr>
  </w:style>
  <w:style w:type="paragraph" w:styleId="15">
    <w:name w:val="toc 5"/>
    <w:next w:val="1"/>
    <w:unhideWhenUsed/>
    <w:qFormat/>
    <w:uiPriority w:val="32"/>
    <w:pPr>
      <w:ind w:left="1700"/>
      <w:jc w:val="both"/>
    </w:pPr>
    <w:rPr>
      <w:rFonts w:ascii="Calibri" w:hAnsi="Calibri" w:eastAsia="Times New Roman" w:cstheme="minorBidi"/>
      <w:sz w:val="21"/>
      <w:szCs w:val="21"/>
      <w:lang w:val="en-US" w:eastAsia="zh-CN" w:bidi="ar-SA"/>
    </w:rPr>
  </w:style>
  <w:style w:type="paragraph" w:styleId="16">
    <w:name w:val="toc 3"/>
    <w:basedOn w:val="1"/>
    <w:next w:val="1"/>
    <w:qFormat/>
    <w:uiPriority w:val="30"/>
    <w:pPr>
      <w:ind w:left="400"/>
    </w:pPr>
  </w:style>
  <w:style w:type="paragraph" w:styleId="17">
    <w:name w:val="toc 8"/>
    <w:next w:val="1"/>
    <w:unhideWhenUsed/>
    <w:qFormat/>
    <w:uiPriority w:val="35"/>
    <w:pPr>
      <w:ind w:left="2975"/>
      <w:jc w:val="both"/>
    </w:pPr>
    <w:rPr>
      <w:rFonts w:ascii="Calibri" w:hAnsi="Calibri" w:eastAsia="Times New Roman" w:cstheme="minorBidi"/>
      <w:sz w:val="21"/>
      <w:szCs w:val="21"/>
      <w:lang w:val="en-US" w:eastAsia="zh-CN" w:bidi="ar-SA"/>
    </w:rPr>
  </w:style>
  <w:style w:type="paragraph" w:styleId="18">
    <w:name w:val="footer"/>
    <w:basedOn w:val="1"/>
    <w:qFormat/>
    <w:uiPriority w:val="0"/>
    <w:pPr>
      <w:tabs>
        <w:tab w:val="center" w:pos="4153"/>
        <w:tab w:val="right" w:pos="8306"/>
      </w:tabs>
    </w:pPr>
    <w:rPr>
      <w:sz w:val="18"/>
      <w:szCs w:val="18"/>
    </w:rPr>
  </w:style>
  <w:style w:type="paragraph" w:styleId="19">
    <w:name w:val="header"/>
    <w:basedOn w:val="1"/>
    <w:qFormat/>
    <w:uiPriority w:val="0"/>
    <w:pPr>
      <w:tabs>
        <w:tab w:val="center" w:pos="4153"/>
        <w:tab w:val="right" w:pos="8306"/>
      </w:tabs>
      <w:jc w:val="center"/>
    </w:pPr>
    <w:rPr>
      <w:sz w:val="18"/>
      <w:szCs w:val="18"/>
    </w:rPr>
  </w:style>
  <w:style w:type="paragraph" w:styleId="20">
    <w:name w:val="toc 1"/>
    <w:basedOn w:val="1"/>
    <w:next w:val="1"/>
    <w:qFormat/>
    <w:uiPriority w:val="28"/>
    <w:rPr>
      <w:rFonts w:ascii="宋体" w:hAnsi="宋体" w:eastAsia="宋体"/>
      <w:b/>
      <w:sz w:val="30"/>
      <w:szCs w:val="30"/>
    </w:rPr>
  </w:style>
  <w:style w:type="paragraph" w:styleId="21">
    <w:name w:val="toc 4"/>
    <w:basedOn w:val="1"/>
    <w:next w:val="1"/>
    <w:qFormat/>
    <w:uiPriority w:val="31"/>
    <w:pPr>
      <w:ind w:left="1260"/>
    </w:pPr>
  </w:style>
  <w:style w:type="paragraph" w:styleId="22">
    <w:name w:val="Subtitle"/>
    <w:basedOn w:val="1"/>
    <w:next w:val="1"/>
    <w:qFormat/>
    <w:uiPriority w:val="16"/>
    <w:pPr>
      <w:jc w:val="center"/>
    </w:pPr>
    <w:rPr>
      <w:rFonts w:ascii="Cambria" w:hAnsi="Cambria" w:eastAsia="仿宋"/>
      <w:b/>
      <w:sz w:val="30"/>
      <w:szCs w:val="30"/>
    </w:rPr>
  </w:style>
  <w:style w:type="paragraph" w:styleId="23">
    <w:name w:val="toc 6"/>
    <w:next w:val="1"/>
    <w:unhideWhenUsed/>
    <w:qFormat/>
    <w:uiPriority w:val="33"/>
    <w:pPr>
      <w:ind w:left="2125"/>
      <w:jc w:val="both"/>
    </w:pPr>
    <w:rPr>
      <w:rFonts w:ascii="Calibri" w:hAnsi="Calibri" w:eastAsia="Times New Roman" w:cstheme="minorBidi"/>
      <w:sz w:val="21"/>
      <w:szCs w:val="21"/>
      <w:lang w:val="en-US" w:eastAsia="zh-CN" w:bidi="ar-SA"/>
    </w:rPr>
  </w:style>
  <w:style w:type="paragraph" w:styleId="24">
    <w:name w:val="toc 2"/>
    <w:basedOn w:val="1"/>
    <w:next w:val="1"/>
    <w:qFormat/>
    <w:uiPriority w:val="29"/>
    <w:pPr>
      <w:ind w:left="200"/>
    </w:pPr>
    <w:rPr>
      <w:sz w:val="28"/>
      <w:szCs w:val="28"/>
    </w:rPr>
  </w:style>
  <w:style w:type="paragraph" w:styleId="25">
    <w:name w:val="toc 9"/>
    <w:next w:val="1"/>
    <w:unhideWhenUsed/>
    <w:qFormat/>
    <w:uiPriority w:val="36"/>
    <w:pPr>
      <w:ind w:left="3400"/>
      <w:jc w:val="both"/>
    </w:pPr>
    <w:rPr>
      <w:rFonts w:ascii="Calibri" w:hAnsi="Calibri" w:eastAsia="Times New Roman" w:cstheme="minorBidi"/>
      <w:sz w:val="21"/>
      <w:szCs w:val="21"/>
      <w:lang w:val="en-US" w:eastAsia="zh-CN" w:bidi="ar-SA"/>
    </w:rPr>
  </w:style>
  <w:style w:type="paragraph" w:styleId="26">
    <w:name w:val="Normal (Web)"/>
    <w:basedOn w:val="1"/>
    <w:qFormat/>
    <w:uiPriority w:val="0"/>
    <w:rPr>
      <w:rFonts w:ascii="宋体" w:hAnsi="宋体" w:eastAsia="宋体"/>
      <w:sz w:val="20"/>
      <w:szCs w:val="20"/>
    </w:rPr>
  </w:style>
  <w:style w:type="paragraph" w:styleId="27">
    <w:name w:val="Title"/>
    <w:basedOn w:val="1"/>
    <w:next w:val="1"/>
    <w:qFormat/>
    <w:uiPriority w:val="6"/>
    <w:pPr>
      <w:jc w:val="center"/>
    </w:pPr>
    <w:rPr>
      <w:rFonts w:ascii="Cambria" w:hAnsi="Cambria" w:eastAsia="仿宋"/>
      <w:b/>
      <w:sz w:val="30"/>
      <w:szCs w:val="30"/>
    </w:rPr>
  </w:style>
  <w:style w:type="paragraph" w:styleId="28">
    <w:name w:val="Body Text First Indent"/>
    <w:qFormat/>
    <w:uiPriority w:val="0"/>
    <w:pPr>
      <w:ind w:firstLine="420"/>
    </w:pPr>
    <w:rPr>
      <w:rFonts w:ascii="Calibri" w:hAnsi="Calibri" w:eastAsia="Times New Roman" w:cstheme="minorBidi"/>
      <w:lang w:val="en-US" w:eastAsia="zh-CN" w:bidi="ar-SA"/>
    </w:rPr>
  </w:style>
  <w:style w:type="paragraph" w:styleId="29">
    <w:name w:val="Body Text First Indent 2"/>
    <w:qFormat/>
    <w:uiPriority w:val="0"/>
    <w:pPr>
      <w:ind w:firstLine="420"/>
    </w:pPr>
    <w:rPr>
      <w:rFonts w:ascii="Calibri" w:hAnsi="Calibri" w:eastAsia="Times New Roman" w:cstheme="minorBidi"/>
      <w:lang w:val="en-US" w:eastAsia="zh-CN" w:bidi="ar-SA"/>
    </w:rPr>
  </w:style>
  <w:style w:type="character" w:styleId="32">
    <w:name w:val="Strong"/>
    <w:qFormat/>
    <w:uiPriority w:val="20"/>
    <w:rPr>
      <w:b/>
      <w:w w:val="100"/>
      <w:sz w:val="21"/>
      <w:szCs w:val="21"/>
      <w:shd w:val="clear" w:color="auto" w:fill="auto"/>
    </w:rPr>
  </w:style>
  <w:style w:type="character" w:styleId="33">
    <w:name w:val="page number"/>
    <w:basedOn w:val="31"/>
    <w:qFormat/>
    <w:uiPriority w:val="0"/>
  </w:style>
  <w:style w:type="character" w:styleId="34">
    <w:name w:val="Emphasis"/>
    <w:qFormat/>
    <w:uiPriority w:val="18"/>
    <w:rPr>
      <w:i/>
      <w:w w:val="100"/>
      <w:sz w:val="21"/>
      <w:szCs w:val="21"/>
      <w:shd w:val="clear" w:color="auto" w:fill="auto"/>
    </w:rPr>
  </w:style>
  <w:style w:type="character" w:styleId="35">
    <w:name w:val="Hyperlink"/>
    <w:unhideWhenUsed/>
    <w:qFormat/>
    <w:uiPriority w:val="0"/>
    <w:rPr>
      <w:color w:val="0000FF"/>
      <w:w w:val="100"/>
      <w:sz w:val="20"/>
      <w:szCs w:val="20"/>
      <w:u w:val="single"/>
      <w:shd w:val="clear" w:color="auto" w:fill="auto"/>
    </w:rPr>
  </w:style>
  <w:style w:type="paragraph" w:styleId="36">
    <w:name w:val="No Spacing"/>
    <w:qFormat/>
    <w:uiPriority w:val="5"/>
    <w:pPr>
      <w:jc w:val="both"/>
    </w:pPr>
    <w:rPr>
      <w:rFonts w:ascii="Calibri" w:hAnsi="Calibri" w:eastAsia="Times New Roman" w:cstheme="minorBidi"/>
      <w:sz w:val="21"/>
      <w:szCs w:val="21"/>
      <w:lang w:val="en-US" w:eastAsia="zh-CN" w:bidi="ar-SA"/>
    </w:rPr>
  </w:style>
  <w:style w:type="character" w:customStyle="1" w:styleId="37">
    <w:name w:val="不明显强调1"/>
    <w:qFormat/>
    <w:uiPriority w:val="17"/>
    <w:rPr>
      <w:i/>
      <w:color w:val="404040"/>
      <w:w w:val="100"/>
      <w:sz w:val="21"/>
      <w:szCs w:val="21"/>
      <w:shd w:val="clear" w:color="auto" w:fill="auto"/>
    </w:rPr>
  </w:style>
  <w:style w:type="character" w:customStyle="1" w:styleId="38">
    <w:name w:val="明显强调1"/>
    <w:qFormat/>
    <w:uiPriority w:val="19"/>
    <w:rPr>
      <w:i/>
      <w:color w:val="5B9BD5"/>
      <w:w w:val="100"/>
      <w:sz w:val="21"/>
      <w:szCs w:val="21"/>
      <w:shd w:val="clear" w:color="auto" w:fill="auto"/>
    </w:rPr>
  </w:style>
  <w:style w:type="paragraph" w:styleId="39">
    <w:name w:val="Quote"/>
    <w:qFormat/>
    <w:uiPriority w:val="21"/>
    <w:pPr>
      <w:ind w:left="864" w:right="864"/>
      <w:jc w:val="center"/>
    </w:pPr>
    <w:rPr>
      <w:rFonts w:ascii="Calibri" w:hAnsi="Calibri" w:eastAsia="Times New Roman" w:cstheme="minorBidi"/>
      <w:i/>
      <w:color w:val="404040"/>
      <w:sz w:val="21"/>
      <w:szCs w:val="21"/>
      <w:lang w:val="en-US" w:eastAsia="zh-CN" w:bidi="ar-SA"/>
    </w:rPr>
  </w:style>
  <w:style w:type="paragraph" w:styleId="40">
    <w:name w:val="Intense Quote"/>
    <w:qFormat/>
    <w:uiPriority w:val="22"/>
    <w:pPr>
      <w:ind w:left="950" w:right="950"/>
      <w:jc w:val="center"/>
    </w:pPr>
    <w:rPr>
      <w:rFonts w:ascii="Calibri" w:hAnsi="Calibri" w:eastAsia="Times New Roman" w:cstheme="minorBidi"/>
      <w:i/>
      <w:color w:val="5B9BD5"/>
      <w:sz w:val="21"/>
      <w:szCs w:val="21"/>
      <w:lang w:val="en-US" w:eastAsia="zh-CN" w:bidi="ar-SA"/>
    </w:rPr>
  </w:style>
  <w:style w:type="character" w:customStyle="1" w:styleId="41">
    <w:name w:val="不明显参考1"/>
    <w:qFormat/>
    <w:uiPriority w:val="23"/>
    <w:rPr>
      <w:smallCaps/>
      <w:color w:val="5A5A5A"/>
      <w:w w:val="100"/>
      <w:sz w:val="21"/>
      <w:szCs w:val="21"/>
      <w:shd w:val="clear" w:color="auto" w:fill="auto"/>
    </w:rPr>
  </w:style>
  <w:style w:type="character" w:customStyle="1" w:styleId="42">
    <w:name w:val="明显参考1"/>
    <w:qFormat/>
    <w:uiPriority w:val="24"/>
    <w:rPr>
      <w:b/>
      <w:smallCaps/>
      <w:color w:val="5B9BD5"/>
      <w:w w:val="100"/>
      <w:sz w:val="21"/>
      <w:szCs w:val="21"/>
      <w:shd w:val="clear" w:color="auto" w:fill="auto"/>
    </w:rPr>
  </w:style>
  <w:style w:type="character" w:customStyle="1" w:styleId="43">
    <w:name w:val="书籍标题1"/>
    <w:qFormat/>
    <w:uiPriority w:val="25"/>
    <w:rPr>
      <w:b/>
      <w:i/>
      <w:w w:val="100"/>
      <w:sz w:val="21"/>
      <w:szCs w:val="21"/>
      <w:shd w:val="clear" w:color="auto" w:fill="auto"/>
    </w:rPr>
  </w:style>
  <w:style w:type="paragraph" w:styleId="44">
    <w:name w:val="List Paragraph"/>
    <w:qFormat/>
    <w:uiPriority w:val="26"/>
    <w:pPr>
      <w:ind w:left="850"/>
      <w:jc w:val="both"/>
    </w:pPr>
    <w:rPr>
      <w:rFonts w:ascii="Calibri" w:hAnsi="Calibri" w:eastAsia="Times New Roman" w:cstheme="minorBidi"/>
      <w:sz w:val="21"/>
      <w:szCs w:val="21"/>
      <w:lang w:val="en-US" w:eastAsia="zh-CN" w:bidi="ar-SA"/>
    </w:rPr>
  </w:style>
  <w:style w:type="paragraph" w:customStyle="1" w:styleId="45">
    <w:name w:val="TOC 标题1"/>
    <w:unhideWhenUsed/>
    <w:qFormat/>
    <w:uiPriority w:val="27"/>
    <w:rPr>
      <w:rFonts w:ascii="Calibri" w:hAnsi="Calibri" w:eastAsia="Times New Roman" w:cstheme="minorBidi"/>
      <w:color w:val="2E74B5"/>
      <w:sz w:val="32"/>
      <w:szCs w:val="32"/>
      <w:lang w:val="en-US" w:eastAsia="zh-CN" w:bidi="ar-SA"/>
    </w:rPr>
  </w:style>
  <w:style w:type="paragraph" w:customStyle="1" w:styleId="46">
    <w:name w:val="正文格式"/>
    <w:qFormat/>
    <w:uiPriority w:val="0"/>
    <w:pPr>
      <w:ind w:firstLine="200"/>
    </w:pPr>
    <w:rPr>
      <w:rFonts w:ascii="宋体" w:hAnsi="宋体" w:eastAsia="Times New Roman" w:cstheme="minorBidi"/>
      <w:sz w:val="28"/>
      <w:szCs w:val="28"/>
      <w:lang w:val="en-US" w:eastAsia="zh-CN" w:bidi="ar-SA"/>
    </w:rPr>
  </w:style>
  <w:style w:type="paragraph" w:customStyle="1" w:styleId="47">
    <w:name w:val="！正文"/>
    <w:basedOn w:val="1"/>
    <w:qFormat/>
    <w:uiPriority w:val="0"/>
    <w:rPr>
      <w:sz w:val="21"/>
      <w:szCs w:val="21"/>
    </w:rPr>
  </w:style>
  <w:style w:type="paragraph" w:customStyle="1" w:styleId="48">
    <w:name w:val="Default"/>
    <w:qFormat/>
    <w:uiPriority w:val="0"/>
    <w:pPr>
      <w:autoSpaceDE w:val="0"/>
      <w:autoSpaceDN w:val="0"/>
    </w:pPr>
    <w:rPr>
      <w:rFonts w:ascii="宋体" w:hAnsi="宋体" w:eastAsia="宋体" w:cstheme="minorBidi"/>
      <w:color w:val="000000"/>
      <w:sz w:val="24"/>
      <w:szCs w:val="24"/>
      <w:lang w:val="en-US" w:eastAsia="zh-CN" w:bidi="ar-SA"/>
    </w:rPr>
  </w:style>
  <w:style w:type="paragraph" w:customStyle="1" w:styleId="49">
    <w:name w:val="Table Paragraph"/>
    <w:basedOn w:val="1"/>
    <w:qFormat/>
    <w:uiPriority w:val="0"/>
    <w:pPr>
      <w:autoSpaceDE w:val="0"/>
      <w:autoSpaceDN w:val="0"/>
    </w:pPr>
    <w:rPr>
      <w:rFonts w:ascii="宋体" w:hAnsi="宋体" w:eastAsia="宋体"/>
      <w:sz w:val="22"/>
      <w:szCs w:val="22"/>
    </w:rPr>
  </w:style>
  <w:style w:type="paragraph" w:customStyle="1" w:styleId="50">
    <w:name w:val="Normal_1"/>
    <w:qFormat/>
    <w:uiPriority w:val="0"/>
    <w:rPr>
      <w:rFonts w:ascii="Calibri" w:hAnsi="Calibri" w:eastAsia="Times New Roman" w:cstheme="minorBidi"/>
      <w:sz w:val="24"/>
      <w:szCs w:val="24"/>
      <w:lang w:val="en-US" w:eastAsia="zh-CN" w:bidi="ar-SA"/>
    </w:rPr>
  </w:style>
  <w:style w:type="paragraph" w:customStyle="1" w:styleId="51">
    <w:name w:val="1"/>
    <w:basedOn w:val="1"/>
    <w:next w:val="1"/>
    <w:qFormat/>
    <w:uiPriority w:val="0"/>
    <w:rPr>
      <w:rFonts w:ascii="宋体" w:hAnsi="宋体" w:eastAsia="宋体"/>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header" Target="header3.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106</Pages>
  <Words>43731</Words>
  <Characters>12373</Characters>
  <Lines>103</Lines>
  <Paragraphs>111</Paragraphs>
  <TotalTime>35</TotalTime>
  <ScaleCrop>false</ScaleCrop>
  <LinksUpToDate>false</LinksUpToDate>
  <CharactersWithSpaces>55993</CharactersWithSpaces>
  <Application>WPS Office_11.1.0.9564_F1E327BC-269C-435d-A152-05C5408002CA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2020-01-10T06:26:00Z</dcterms:created>
  <dc:creator>风轻云淡</dc:creator>
  <cp:lastModifiedBy>Administrator</cp:lastModifiedBy>
  <dcterms:modified xsi:type="dcterms:W3CDTF">2020-03-10T03:16:13Z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2052-11.1.0.9564</vt:lpwstr>
  </property>
</Properties>
</file>