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color w:val="auto"/>
          <w:sz w:val="10"/>
          <w:szCs w:val="10"/>
        </w:rPr>
      </w:pPr>
    </w:p>
    <w:p>
      <w:pPr>
        <w:autoSpaceDE w:val="0"/>
        <w:autoSpaceDN w:val="0"/>
        <w:adjustRightInd w:val="0"/>
        <w:jc w:val="center"/>
        <w:rPr>
          <w:rFonts w:hint="eastAsia" w:ascii="宋体" w:hAnsi="宋体" w:eastAsia="宋体" w:cs="宋体"/>
          <w:b/>
          <w:bCs w:val="0"/>
          <w:color w:val="auto"/>
          <w:sz w:val="52"/>
          <w:szCs w:val="52"/>
          <w:lang w:eastAsia="zh-CN"/>
        </w:rPr>
      </w:pPr>
      <w:r>
        <w:rPr>
          <w:rFonts w:hint="eastAsia" w:ascii="宋体" w:hAnsi="宋体" w:eastAsia="宋体" w:cs="宋体"/>
          <w:b/>
          <w:bCs w:val="0"/>
          <w:color w:val="auto"/>
          <w:sz w:val="52"/>
          <w:szCs w:val="52"/>
          <w:lang w:eastAsia="zh-CN"/>
        </w:rPr>
        <w:t>XCGC-F2020031许昌市东城区市政管理中心“裸露黄土有机覆盖物铺设工程”</w:t>
      </w:r>
    </w:p>
    <w:p>
      <w:pPr>
        <w:autoSpaceDE w:val="0"/>
        <w:autoSpaceDN w:val="0"/>
        <w:adjustRightInd w:val="0"/>
        <w:jc w:val="center"/>
        <w:rPr>
          <w:rFonts w:hint="eastAsia" w:ascii="宋体" w:hAnsi="宋体" w:eastAsia="宋体" w:cs="宋体"/>
          <w:b/>
          <w:bCs w:val="0"/>
          <w:color w:val="auto"/>
          <w:sz w:val="52"/>
          <w:szCs w:val="52"/>
          <w:lang w:eastAsia="zh-CN"/>
        </w:rPr>
      </w:pPr>
      <w:r>
        <w:rPr>
          <w:rFonts w:hint="eastAsia" w:ascii="宋体" w:hAnsi="宋体" w:eastAsia="宋体" w:cs="宋体"/>
          <w:b/>
          <w:bCs w:val="0"/>
          <w:color w:val="auto"/>
          <w:sz w:val="52"/>
          <w:szCs w:val="52"/>
          <w:lang w:eastAsia="zh-CN"/>
        </w:rPr>
        <w:t>（不见面开标）</w:t>
      </w:r>
    </w:p>
    <w:p>
      <w:pPr>
        <w:autoSpaceDE w:val="0"/>
        <w:autoSpaceDN w:val="0"/>
        <w:adjustRightInd w:val="0"/>
        <w:jc w:val="center"/>
        <w:rPr>
          <w:rFonts w:hint="eastAsia" w:eastAsiaTheme="minorEastAsia"/>
          <w:b/>
          <w:bCs/>
          <w:color w:val="auto"/>
          <w:sz w:val="44"/>
          <w:szCs w:val="44"/>
          <w:lang w:eastAsia="zh-CN"/>
        </w:rPr>
      </w:pPr>
    </w:p>
    <w:p>
      <w:pPr>
        <w:autoSpaceDE w:val="0"/>
        <w:autoSpaceDN w:val="0"/>
        <w:adjustRightInd w:val="0"/>
        <w:jc w:val="center"/>
        <w:rPr>
          <w:rFonts w:hAnsi="宋体" w:cs="宋体"/>
          <w:b/>
          <w:color w:val="auto"/>
          <w:spacing w:val="60"/>
          <w:szCs w:val="21"/>
        </w:rPr>
      </w:pPr>
    </w:p>
    <w:p>
      <w:pPr>
        <w:autoSpaceDE w:val="0"/>
        <w:autoSpaceDN w:val="0"/>
        <w:adjustRightInd w:val="0"/>
        <w:jc w:val="center"/>
        <w:rPr>
          <w:rFonts w:hAnsi="宋体" w:cs="宋体"/>
          <w:b/>
          <w:color w:val="auto"/>
          <w:spacing w:val="60"/>
          <w:szCs w:val="21"/>
        </w:rPr>
      </w:pPr>
    </w:p>
    <w:p>
      <w:pPr>
        <w:pStyle w:val="9"/>
        <w:ind w:firstLine="340"/>
        <w:rPr>
          <w:color w:val="auto"/>
        </w:rPr>
      </w:pPr>
    </w:p>
    <w:p>
      <w:pPr>
        <w:pStyle w:val="9"/>
        <w:ind w:firstLine="340"/>
        <w:rPr>
          <w:color w:val="auto"/>
        </w:rPr>
      </w:pPr>
    </w:p>
    <w:p>
      <w:pPr>
        <w:autoSpaceDE w:val="0"/>
        <w:autoSpaceDN w:val="0"/>
        <w:adjustRightInd w:val="0"/>
        <w:jc w:val="center"/>
        <w:rPr>
          <w:rFonts w:hAnsi="宋体" w:cs="宋体"/>
          <w:b/>
          <w:color w:val="auto"/>
          <w:sz w:val="52"/>
          <w:szCs w:val="52"/>
        </w:rPr>
      </w:pPr>
      <w:r>
        <w:rPr>
          <w:rFonts w:hint="eastAsia" w:hAnsi="宋体" w:cs="宋体"/>
          <w:b/>
          <w:color w:val="auto"/>
          <w:sz w:val="72"/>
          <w:szCs w:val="72"/>
        </w:rPr>
        <w:t>施工招标文件</w:t>
      </w:r>
    </w:p>
    <w:p>
      <w:pPr>
        <w:autoSpaceDE w:val="0"/>
        <w:autoSpaceDN w:val="0"/>
        <w:adjustRightInd w:val="0"/>
        <w:rPr>
          <w:rFonts w:hAnsi="宋体" w:cs="宋体"/>
          <w:b/>
          <w:color w:val="auto"/>
          <w:sz w:val="32"/>
          <w:szCs w:val="32"/>
        </w:rPr>
      </w:pPr>
    </w:p>
    <w:p>
      <w:pPr>
        <w:pStyle w:val="17"/>
        <w:tabs>
          <w:tab w:val="left" w:pos="1980"/>
        </w:tabs>
        <w:spacing w:line="1000" w:lineRule="exact"/>
        <w:rPr>
          <w:rFonts w:hAnsi="宋体"/>
          <w:b/>
          <w:color w:val="auto"/>
          <w:sz w:val="32"/>
          <w:szCs w:val="32"/>
        </w:rPr>
      </w:pPr>
    </w:p>
    <w:p>
      <w:pPr>
        <w:pStyle w:val="17"/>
        <w:tabs>
          <w:tab w:val="left" w:pos="1980"/>
        </w:tabs>
        <w:spacing w:line="1000" w:lineRule="exact"/>
        <w:rPr>
          <w:rFonts w:hAnsi="宋体"/>
          <w:b/>
          <w:color w:val="auto"/>
          <w:sz w:val="32"/>
          <w:szCs w:val="32"/>
        </w:rPr>
      </w:pPr>
    </w:p>
    <w:p>
      <w:pPr>
        <w:pStyle w:val="17"/>
        <w:tabs>
          <w:tab w:val="left" w:pos="1980"/>
        </w:tabs>
        <w:spacing w:line="1000" w:lineRule="exact"/>
        <w:rPr>
          <w:rFonts w:hAnsi="宋体"/>
          <w:b/>
          <w:color w:val="auto"/>
          <w:sz w:val="32"/>
          <w:szCs w:val="32"/>
        </w:rPr>
      </w:pPr>
    </w:p>
    <w:p>
      <w:pPr>
        <w:pStyle w:val="17"/>
        <w:tabs>
          <w:tab w:val="left" w:pos="1980"/>
        </w:tabs>
        <w:spacing w:line="480" w:lineRule="auto"/>
        <w:ind w:firstLine="1120" w:firstLineChars="350"/>
        <w:rPr>
          <w:rFonts w:hint="eastAsia" w:hAnsi="宋体"/>
          <w:b/>
          <w:color w:val="auto"/>
          <w:sz w:val="32"/>
          <w:szCs w:val="32"/>
        </w:rPr>
      </w:pPr>
    </w:p>
    <w:p>
      <w:pPr>
        <w:pStyle w:val="17"/>
        <w:tabs>
          <w:tab w:val="left" w:pos="1980"/>
        </w:tabs>
        <w:spacing w:line="480" w:lineRule="auto"/>
        <w:ind w:firstLine="1120" w:firstLineChars="350"/>
        <w:rPr>
          <w:rFonts w:hint="eastAsia" w:hAnsi="宋体"/>
          <w:b/>
          <w:color w:val="auto"/>
          <w:sz w:val="32"/>
          <w:szCs w:val="32"/>
        </w:rPr>
      </w:pPr>
    </w:p>
    <w:p>
      <w:pPr>
        <w:pStyle w:val="17"/>
        <w:tabs>
          <w:tab w:val="left" w:pos="1980"/>
        </w:tabs>
        <w:spacing w:line="480" w:lineRule="auto"/>
        <w:ind w:firstLine="1260" w:firstLineChars="350"/>
        <w:rPr>
          <w:rFonts w:hint="eastAsia" w:hAnsi="宋体" w:eastAsiaTheme="minorEastAsia"/>
          <w:b/>
          <w:color w:val="auto"/>
          <w:sz w:val="36"/>
          <w:szCs w:val="36"/>
          <w:lang w:eastAsia="zh-CN"/>
        </w:rPr>
      </w:pPr>
      <w:r>
        <w:rPr>
          <w:rFonts w:hint="eastAsia" w:hAnsi="宋体"/>
          <w:b/>
          <w:color w:val="auto"/>
          <w:sz w:val="36"/>
          <w:szCs w:val="36"/>
        </w:rPr>
        <w:t>招   标   人：</w:t>
      </w:r>
      <w:r>
        <w:rPr>
          <w:rFonts w:hint="eastAsia" w:hAnsi="宋体"/>
          <w:b/>
          <w:color w:val="auto"/>
          <w:sz w:val="36"/>
          <w:szCs w:val="36"/>
          <w:lang w:eastAsia="zh-CN"/>
        </w:rPr>
        <w:t>许昌市东城区市政管理中心</w:t>
      </w:r>
    </w:p>
    <w:p>
      <w:pPr>
        <w:pStyle w:val="17"/>
        <w:tabs>
          <w:tab w:val="left" w:pos="1980"/>
        </w:tabs>
        <w:spacing w:line="480" w:lineRule="auto"/>
        <w:ind w:firstLine="1260" w:firstLineChars="350"/>
        <w:rPr>
          <w:rFonts w:hAnsi="宋体" w:cs="宋体"/>
          <w:b/>
          <w:color w:val="auto"/>
          <w:sz w:val="36"/>
          <w:szCs w:val="36"/>
        </w:rPr>
      </w:pPr>
      <w:r>
        <w:rPr>
          <w:rFonts w:hint="eastAsia" w:hAnsi="宋体"/>
          <w:b/>
          <w:color w:val="auto"/>
          <w:sz w:val="36"/>
          <w:szCs w:val="36"/>
        </w:rPr>
        <w:t>招标代理机构：</w:t>
      </w:r>
      <w:r>
        <w:rPr>
          <w:rFonts w:hint="eastAsia" w:hAnsi="宋体"/>
          <w:b/>
          <w:color w:val="auto"/>
          <w:sz w:val="36"/>
          <w:szCs w:val="36"/>
          <w:lang w:eastAsia="zh-CN"/>
        </w:rPr>
        <w:t>河南华采工程管理有限公司</w:t>
      </w:r>
    </w:p>
    <w:p>
      <w:pPr>
        <w:ind w:firstLine="3465" w:firstLineChars="1083"/>
        <w:rPr>
          <w:rFonts w:hAnsi="宋体" w:cs="宋体"/>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ind w:firstLine="4765" w:firstLineChars="1083"/>
        <w:rPr>
          <w:rFonts w:hAnsi="宋体" w:cs="宋体"/>
          <w:b/>
          <w:color w:val="auto"/>
          <w:sz w:val="44"/>
        </w:rPr>
      </w:pPr>
    </w:p>
    <w:p>
      <w:pPr>
        <w:ind w:firstLine="4765" w:firstLineChars="1083"/>
        <w:rPr>
          <w:rFonts w:hAnsi="宋体" w:cs="宋体"/>
          <w:b/>
          <w:color w:val="auto"/>
          <w:sz w:val="44"/>
        </w:rPr>
      </w:pPr>
      <w:r>
        <w:rPr>
          <w:rFonts w:hint="eastAsia" w:hAnsi="宋体" w:cs="宋体"/>
          <w:b/>
          <w:color w:val="auto"/>
          <w:sz w:val="44"/>
        </w:rPr>
        <w:t>目  录</w:t>
      </w:r>
    </w:p>
    <w:p>
      <w:pPr>
        <w:jc w:val="center"/>
        <w:rPr>
          <w:rFonts w:hAnsi="宋体" w:cs="宋体"/>
          <w:b/>
          <w:color w:val="auto"/>
          <w:sz w:val="32"/>
        </w:rPr>
      </w:pP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szCs w:val="28"/>
        </w:rPr>
        <w:t>第一章  招标公告</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第二章  投标须知</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第三章  评标办法</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第四章  合同条款</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第五章  工程量清单</w:t>
      </w:r>
      <w:r>
        <w:rPr>
          <w:rFonts w:hint="eastAsia" w:hAnsi="宋体" w:cs="宋体"/>
          <w:b/>
          <w:color w:val="auto"/>
          <w:sz w:val="28"/>
        </w:rPr>
        <w:tab/>
      </w:r>
    </w:p>
    <w:p>
      <w:pPr>
        <w:tabs>
          <w:tab w:val="left" w:leader="hyphen" w:pos="7919"/>
        </w:tabs>
        <w:snapToGrid w:val="0"/>
        <w:spacing w:line="480" w:lineRule="auto"/>
        <w:ind w:firstLine="645"/>
        <w:rPr>
          <w:rFonts w:hAnsi="宋体" w:cs="宋体"/>
          <w:b/>
          <w:color w:val="auto"/>
          <w:sz w:val="28"/>
        </w:rPr>
      </w:pPr>
      <w:r>
        <w:rPr>
          <w:rFonts w:hint="eastAsia" w:hAnsi="宋体" w:cs="宋体"/>
          <w:b/>
          <w:color w:val="auto"/>
          <w:sz w:val="28"/>
        </w:rPr>
        <w:t>第六章  图  纸</w:t>
      </w:r>
      <w:r>
        <w:rPr>
          <w:rFonts w:hint="eastAsia" w:hAnsi="宋体" w:cs="宋体"/>
          <w:b/>
          <w:color w:val="auto"/>
          <w:sz w:val="28"/>
        </w:rPr>
        <w:tab/>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第七章  技术标准和要求</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第八章  投标文件格式</w:t>
      </w:r>
      <w:r>
        <w:rPr>
          <w:rFonts w:hint="eastAsia" w:hAnsi="宋体" w:cs="宋体"/>
          <w:b/>
          <w:color w:val="auto"/>
          <w:sz w:val="28"/>
        </w:rPr>
        <w:tab/>
      </w:r>
    </w:p>
    <w:p>
      <w:pPr>
        <w:autoSpaceDE w:val="0"/>
        <w:autoSpaceDN w:val="0"/>
        <w:adjustRightInd w:val="0"/>
        <w:spacing w:line="360" w:lineRule="auto"/>
        <w:jc w:val="center"/>
        <w:rPr>
          <w:rFonts w:hAnsi="宋体" w:cs="宋体"/>
          <w:b/>
          <w:color w:val="auto"/>
          <w:sz w:val="36"/>
          <w:szCs w:val="36"/>
        </w:rPr>
      </w:pPr>
      <w:bookmarkStart w:id="0" w:name="_Toc215282124"/>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snapToGrid w:val="0"/>
        <w:spacing w:beforeLines="50"/>
        <w:rPr>
          <w:rFonts w:hAnsi="宋体" w:cs="宋体"/>
          <w:b/>
          <w:color w:val="auto"/>
          <w:sz w:val="36"/>
          <w:szCs w:val="36"/>
        </w:rPr>
      </w:pPr>
    </w:p>
    <w:p>
      <w:pPr>
        <w:snapToGrid w:val="0"/>
        <w:spacing w:beforeLines="50"/>
        <w:rPr>
          <w:rFonts w:hAnsi="宋体" w:cs="宋体"/>
          <w:b/>
          <w:color w:val="auto"/>
          <w:sz w:val="36"/>
          <w:szCs w:val="36"/>
        </w:rPr>
      </w:pPr>
    </w:p>
    <w:p>
      <w:pPr>
        <w:numPr>
          <w:ilvl w:val="0"/>
          <w:numId w:val="1"/>
        </w:numPr>
        <w:snapToGrid w:val="0"/>
        <w:spacing w:before="156" w:beforeLines="50"/>
        <w:jc w:val="center"/>
        <w:rPr>
          <w:rFonts w:hint="eastAsia" w:ascii="宋体" w:hAnsi="宋体" w:cs="宋体"/>
          <w:b/>
          <w:color w:val="auto"/>
          <w:sz w:val="36"/>
          <w:szCs w:val="36"/>
        </w:rPr>
      </w:pPr>
      <w:r>
        <w:rPr>
          <w:rFonts w:hAnsi="宋体" w:cs="宋体"/>
          <w:b/>
          <w:color w:val="auto"/>
          <w:sz w:val="36"/>
          <w:szCs w:val="36"/>
        </w:rPr>
        <w:br w:type="page"/>
      </w:r>
      <w:r>
        <w:rPr>
          <w:rFonts w:hint="eastAsia" w:ascii="宋体" w:hAnsi="宋体" w:cs="宋体"/>
          <w:b/>
          <w:color w:val="auto"/>
          <w:sz w:val="36"/>
          <w:szCs w:val="36"/>
        </w:rPr>
        <w:t>招标公告</w:t>
      </w:r>
    </w:p>
    <w:p>
      <w:pPr>
        <w:spacing w:line="440" w:lineRule="exact"/>
        <w:jc w:val="center"/>
        <w:outlineLvl w:val="0"/>
        <w:rPr>
          <w:rFonts w:hint="eastAsia" w:hAnsi="宋体" w:cs="宋体" w:eastAsiaTheme="minorEastAsia"/>
          <w:b/>
          <w:color w:val="auto"/>
          <w:sz w:val="32"/>
          <w:szCs w:val="32"/>
          <w:lang w:eastAsia="zh-CN"/>
        </w:rPr>
      </w:pPr>
      <w:r>
        <w:rPr>
          <w:rFonts w:hint="eastAsia" w:hAnsi="宋体" w:cs="宋体"/>
          <w:b/>
          <w:color w:val="auto"/>
          <w:sz w:val="32"/>
          <w:szCs w:val="32"/>
          <w:lang w:eastAsia="zh-CN"/>
        </w:rPr>
        <w:t>XCGC-F2020</w:t>
      </w:r>
      <w:r>
        <w:rPr>
          <w:rFonts w:hint="eastAsia" w:hAnsi="宋体" w:cs="宋体"/>
          <w:b/>
          <w:color w:val="auto"/>
          <w:sz w:val="32"/>
          <w:szCs w:val="32"/>
          <w:lang w:val="en-US" w:eastAsia="zh-CN"/>
        </w:rPr>
        <w:t>031</w:t>
      </w:r>
      <w:r>
        <w:rPr>
          <w:rFonts w:hint="eastAsia" w:hAnsi="宋体" w:cs="宋体"/>
          <w:b/>
          <w:color w:val="auto"/>
          <w:sz w:val="32"/>
          <w:szCs w:val="32"/>
          <w:lang w:eastAsia="zh-CN"/>
        </w:rPr>
        <w:t>许昌市东城区市政管理中心</w:t>
      </w:r>
      <w:r>
        <w:rPr>
          <w:rFonts w:hint="eastAsia" w:hAnsi="宋体" w:cs="宋体"/>
          <w:b/>
          <w:color w:val="auto"/>
          <w:sz w:val="32"/>
          <w:szCs w:val="32"/>
        </w:rPr>
        <w:t>“</w:t>
      </w:r>
      <w:r>
        <w:rPr>
          <w:rFonts w:hint="eastAsia" w:hAnsi="宋体" w:cs="宋体"/>
          <w:b/>
          <w:color w:val="auto"/>
          <w:sz w:val="32"/>
          <w:szCs w:val="32"/>
          <w:lang w:eastAsia="zh-CN"/>
        </w:rPr>
        <w:t>裸露黄土有机覆盖物铺设工程</w:t>
      </w:r>
      <w:r>
        <w:rPr>
          <w:rFonts w:hint="eastAsia" w:hAnsi="宋体" w:cs="宋体"/>
          <w:b/>
          <w:color w:val="auto"/>
          <w:sz w:val="32"/>
          <w:szCs w:val="32"/>
        </w:rPr>
        <w:t>”</w:t>
      </w:r>
      <w:r>
        <w:rPr>
          <w:rFonts w:hint="eastAsia" w:hAnsi="宋体" w:cs="宋体"/>
          <w:b/>
          <w:color w:val="auto"/>
          <w:sz w:val="32"/>
          <w:szCs w:val="32"/>
          <w:lang w:val="en-US" w:eastAsia="zh-CN"/>
        </w:rPr>
        <w:t>（不见面开标）</w:t>
      </w:r>
      <w:r>
        <w:rPr>
          <w:rFonts w:hint="eastAsia" w:hAnsi="宋体" w:cs="宋体"/>
          <w:b/>
          <w:color w:val="auto"/>
          <w:sz w:val="32"/>
          <w:szCs w:val="32"/>
          <w:lang w:eastAsia="zh-CN"/>
        </w:rPr>
        <w:t>招标公告</w:t>
      </w:r>
    </w:p>
    <w:p>
      <w:pPr>
        <w:spacing w:line="440" w:lineRule="exact"/>
        <w:outlineLvl w:val="0"/>
        <w:rPr>
          <w:rFonts w:hAnsi="宋体" w:cs="宋体"/>
          <w:b/>
          <w:color w:val="auto"/>
          <w:sz w:val="24"/>
        </w:rPr>
      </w:pPr>
      <w:r>
        <w:rPr>
          <w:rFonts w:hint="eastAsia" w:hAnsi="宋体" w:cs="宋体"/>
          <w:b/>
          <w:color w:val="auto"/>
          <w:sz w:val="24"/>
        </w:rPr>
        <w:t>1.招标条件</w:t>
      </w:r>
    </w:p>
    <w:p>
      <w:pPr>
        <w:tabs>
          <w:tab w:val="left" w:pos="982"/>
        </w:tabs>
        <w:spacing w:line="440" w:lineRule="exact"/>
        <w:ind w:firstLine="480" w:firstLineChars="200"/>
        <w:jc w:val="left"/>
        <w:rPr>
          <w:rFonts w:hAnsi="宋体" w:cs="宋体"/>
          <w:b/>
          <w:color w:val="auto"/>
          <w:sz w:val="24"/>
          <w:u w:val="single"/>
        </w:rPr>
      </w:pPr>
      <w:r>
        <w:rPr>
          <w:rFonts w:hint="eastAsia" w:hAnsi="宋体" w:cs="宋体"/>
          <w:bCs/>
          <w:color w:val="auto"/>
          <w:sz w:val="24"/>
          <w:lang w:eastAsia="zh-CN"/>
        </w:rPr>
        <w:t>许昌市东城区市政管理中心“裸露黄土有机覆盖物铺设工程”</w:t>
      </w:r>
      <w:r>
        <w:rPr>
          <w:rFonts w:hint="eastAsia" w:hAnsi="宋体" w:cs="宋体"/>
          <w:bCs/>
          <w:color w:val="auto"/>
          <w:sz w:val="24"/>
        </w:rPr>
        <w:t>已由许昌市东城区经济发展服务局以许东经发【20</w:t>
      </w:r>
      <w:r>
        <w:rPr>
          <w:rFonts w:hint="eastAsia" w:hAnsi="宋体" w:cs="宋体"/>
          <w:bCs/>
          <w:color w:val="auto"/>
          <w:sz w:val="24"/>
          <w:lang w:val="en-US" w:eastAsia="zh-CN"/>
        </w:rPr>
        <w:t>20</w:t>
      </w:r>
      <w:r>
        <w:rPr>
          <w:rFonts w:hint="eastAsia" w:hAnsi="宋体" w:cs="宋体"/>
          <w:bCs/>
          <w:color w:val="auto"/>
          <w:sz w:val="24"/>
        </w:rPr>
        <w:t>】1号文件批准建设，招标人为</w:t>
      </w:r>
      <w:r>
        <w:rPr>
          <w:rFonts w:hint="eastAsia" w:hAnsi="宋体" w:cs="宋体"/>
          <w:bCs/>
          <w:color w:val="auto"/>
          <w:sz w:val="24"/>
          <w:lang w:eastAsia="zh-CN"/>
        </w:rPr>
        <w:t>许昌市东城区市政管理中心</w:t>
      </w:r>
      <w:r>
        <w:rPr>
          <w:rFonts w:hint="eastAsia" w:hAnsi="宋体" w:cs="宋体"/>
          <w:bCs/>
          <w:color w:val="auto"/>
          <w:sz w:val="24"/>
        </w:rPr>
        <w:t>，建设资金为财政资金，项目出资比例为100%。项目已具备招标条件，现对该项目的施工、监理进行公开招标。</w:t>
      </w:r>
    </w:p>
    <w:p>
      <w:pPr>
        <w:tabs>
          <w:tab w:val="left" w:pos="4420"/>
        </w:tabs>
        <w:spacing w:line="440" w:lineRule="exact"/>
        <w:outlineLvl w:val="0"/>
        <w:rPr>
          <w:rFonts w:hAnsi="宋体" w:cs="宋体"/>
          <w:b/>
          <w:color w:val="auto"/>
          <w:sz w:val="24"/>
        </w:rPr>
      </w:pPr>
      <w:r>
        <w:rPr>
          <w:rFonts w:hint="eastAsia" w:hAnsi="宋体" w:cs="宋体"/>
          <w:b/>
          <w:color w:val="auto"/>
          <w:sz w:val="24"/>
        </w:rPr>
        <w:t>2.项目概况与招标内容</w:t>
      </w:r>
      <w:r>
        <w:rPr>
          <w:rFonts w:hint="eastAsia" w:hAnsi="宋体" w:cs="宋体"/>
          <w:b/>
          <w:color w:val="auto"/>
          <w:sz w:val="24"/>
        </w:rPr>
        <w:tab/>
      </w:r>
    </w:p>
    <w:p>
      <w:pPr>
        <w:tabs>
          <w:tab w:val="left" w:pos="982"/>
        </w:tabs>
        <w:spacing w:line="440" w:lineRule="exact"/>
        <w:ind w:firstLine="480" w:firstLineChars="200"/>
        <w:jc w:val="left"/>
        <w:rPr>
          <w:rFonts w:hAnsi="宋体" w:cs="宋体"/>
          <w:bCs/>
          <w:color w:val="auto"/>
          <w:sz w:val="24"/>
        </w:rPr>
      </w:pPr>
      <w:r>
        <w:rPr>
          <w:rFonts w:hint="eastAsia" w:hAnsi="宋体" w:cs="宋体"/>
          <w:bCs/>
          <w:color w:val="auto"/>
          <w:sz w:val="24"/>
        </w:rPr>
        <w:t>2.1项目编号：</w:t>
      </w:r>
      <w:r>
        <w:rPr>
          <w:rFonts w:hint="eastAsia" w:hAnsi="宋体" w:cs="宋体"/>
          <w:bCs/>
          <w:color w:val="auto"/>
          <w:sz w:val="24"/>
          <w:lang w:eastAsia="zh-CN"/>
        </w:rPr>
        <w:t>XCGC-F2020</w:t>
      </w:r>
      <w:r>
        <w:rPr>
          <w:rFonts w:hint="eastAsia" w:hAnsi="宋体" w:cs="宋体"/>
          <w:bCs/>
          <w:color w:val="auto"/>
          <w:sz w:val="24"/>
          <w:lang w:val="en-US" w:eastAsia="zh-CN"/>
        </w:rPr>
        <w:t>031</w:t>
      </w:r>
      <w:r>
        <w:rPr>
          <w:rFonts w:hint="eastAsia" w:hAnsi="宋体" w:cs="宋体"/>
          <w:bCs/>
          <w:color w:val="auto"/>
          <w:sz w:val="24"/>
        </w:rPr>
        <w:t xml:space="preserve"> </w:t>
      </w:r>
    </w:p>
    <w:p>
      <w:pPr>
        <w:tabs>
          <w:tab w:val="left" w:pos="982"/>
        </w:tabs>
        <w:spacing w:line="440" w:lineRule="exact"/>
        <w:ind w:firstLine="480" w:firstLineChars="200"/>
        <w:jc w:val="left"/>
        <w:rPr>
          <w:rFonts w:hint="eastAsia" w:hAnsi="宋体" w:cs="宋体"/>
          <w:bCs/>
          <w:color w:val="auto"/>
          <w:sz w:val="24"/>
        </w:rPr>
      </w:pPr>
      <w:r>
        <w:rPr>
          <w:rFonts w:hint="eastAsia" w:hAnsi="宋体" w:cs="宋体"/>
          <w:bCs/>
          <w:color w:val="auto"/>
          <w:sz w:val="24"/>
        </w:rPr>
        <w:t>2.2项目概况：该项目建设面积约15000平方米，主要包括对游园广场等进行裸露黄土有机物覆盖铺设</w:t>
      </w:r>
      <w:r>
        <w:rPr>
          <w:rFonts w:hint="eastAsia" w:hAnsi="宋体" w:cs="宋体"/>
          <w:bCs/>
          <w:color w:val="auto"/>
          <w:sz w:val="24"/>
          <w:lang w:eastAsia="zh-CN"/>
        </w:rPr>
        <w:t>，实现城市绿地内裸土地绿化治理</w:t>
      </w:r>
      <w:r>
        <w:rPr>
          <w:rFonts w:hint="eastAsia" w:hAnsi="宋体" w:cs="宋体"/>
          <w:bCs/>
          <w:color w:val="auto"/>
          <w:sz w:val="24"/>
          <w:lang w:val="en-US" w:eastAsia="zh-CN"/>
        </w:rPr>
        <w:t>60%、80%以上。工程内容</w:t>
      </w:r>
      <w:r>
        <w:rPr>
          <w:rFonts w:hint="eastAsia" w:hAnsi="宋体" w:cs="宋体"/>
          <w:bCs/>
          <w:color w:val="auto"/>
          <w:sz w:val="24"/>
          <w:lang w:eastAsia="zh-CN"/>
        </w:rPr>
        <w:t>包括普通木奇铺设、</w:t>
      </w:r>
      <w:r>
        <w:rPr>
          <w:rFonts w:hint="eastAsia" w:hAnsi="宋体" w:cs="宋体"/>
          <w:bCs/>
          <w:color w:val="auto"/>
          <w:sz w:val="24"/>
          <w:lang w:val="en-US" w:eastAsia="zh-CN"/>
        </w:rPr>
        <w:t>8cm树穴胶粘固化木奇、8cm树穴彩色砂砾铺设、标准砖隔离带、塑料隔离带及装饰木椎隔离带</w:t>
      </w:r>
      <w:r>
        <w:rPr>
          <w:rFonts w:hint="eastAsia" w:hAnsi="宋体" w:cs="宋体"/>
          <w:bCs/>
          <w:color w:val="auto"/>
          <w:sz w:val="24"/>
        </w:rPr>
        <w:t>。</w:t>
      </w:r>
    </w:p>
    <w:p>
      <w:pPr>
        <w:tabs>
          <w:tab w:val="left" w:pos="982"/>
        </w:tabs>
        <w:spacing w:line="440" w:lineRule="exact"/>
        <w:ind w:firstLine="480" w:firstLineChars="200"/>
        <w:jc w:val="left"/>
        <w:rPr>
          <w:rFonts w:hAnsi="宋体" w:cs="宋体"/>
          <w:bCs/>
          <w:color w:val="auto"/>
          <w:sz w:val="24"/>
        </w:rPr>
      </w:pPr>
      <w:r>
        <w:rPr>
          <w:rFonts w:hint="eastAsia" w:hAnsi="宋体" w:cs="宋体"/>
          <w:bCs/>
          <w:color w:val="auto"/>
          <w:sz w:val="24"/>
        </w:rPr>
        <w:t>2.3招标控制价：一标段：</w:t>
      </w:r>
      <w:r>
        <w:rPr>
          <w:rFonts w:hint="eastAsia" w:hAnsi="宋体" w:cs="宋体"/>
          <w:bCs/>
          <w:color w:val="auto"/>
          <w:sz w:val="24"/>
          <w:lang w:eastAsia="zh-CN"/>
        </w:rPr>
        <w:t>2616630.85</w:t>
      </w:r>
      <w:r>
        <w:rPr>
          <w:rFonts w:hint="eastAsia" w:hAnsi="宋体" w:cs="宋体"/>
          <w:bCs/>
          <w:color w:val="auto"/>
          <w:sz w:val="24"/>
        </w:rPr>
        <w:t>元，二标段：</w:t>
      </w:r>
      <w:r>
        <w:rPr>
          <w:rFonts w:hint="eastAsia" w:hAnsi="宋体" w:cs="宋体"/>
          <w:bCs/>
          <w:color w:val="auto"/>
          <w:sz w:val="24"/>
          <w:lang w:eastAsia="zh-CN"/>
        </w:rPr>
        <w:t>47739.53</w:t>
      </w:r>
      <w:r>
        <w:rPr>
          <w:rFonts w:hint="eastAsia" w:hAnsi="宋体" w:cs="宋体"/>
          <w:bCs/>
          <w:color w:val="auto"/>
          <w:sz w:val="24"/>
        </w:rPr>
        <w:t>元。</w:t>
      </w:r>
    </w:p>
    <w:p>
      <w:pPr>
        <w:tabs>
          <w:tab w:val="left" w:pos="982"/>
        </w:tabs>
        <w:spacing w:line="440" w:lineRule="exact"/>
        <w:ind w:firstLine="480" w:firstLineChars="200"/>
        <w:jc w:val="left"/>
        <w:rPr>
          <w:rFonts w:hAnsi="宋体" w:cs="宋体"/>
          <w:bCs/>
          <w:color w:val="auto"/>
          <w:sz w:val="24"/>
        </w:rPr>
      </w:pPr>
      <w:r>
        <w:rPr>
          <w:rFonts w:hint="eastAsia" w:hAnsi="宋体" w:cs="宋体"/>
          <w:bCs/>
          <w:color w:val="auto"/>
          <w:sz w:val="24"/>
        </w:rPr>
        <w:t>2.4招标范围：</w:t>
      </w:r>
      <w:r>
        <w:rPr>
          <w:rFonts w:hint="eastAsia" w:hAnsi="宋体" w:cs="宋体"/>
          <w:color w:val="auto"/>
          <w:sz w:val="24"/>
        </w:rPr>
        <w:t>施工招标范围为招标文件、工程量清单、答疑纪要和补充文件（如有）范围内的所有建设内容</w:t>
      </w:r>
      <w:r>
        <w:rPr>
          <w:rFonts w:hint="eastAsia" w:hAnsi="宋体" w:cs="宋体"/>
          <w:bCs/>
          <w:color w:val="auto"/>
          <w:sz w:val="24"/>
        </w:rPr>
        <w:t>。监理范围为本项目施工及保修阶段全过程监理工作。</w:t>
      </w:r>
    </w:p>
    <w:p>
      <w:pPr>
        <w:tabs>
          <w:tab w:val="left" w:pos="982"/>
        </w:tabs>
        <w:spacing w:line="440" w:lineRule="exact"/>
        <w:ind w:firstLine="480" w:firstLineChars="200"/>
        <w:jc w:val="left"/>
        <w:rPr>
          <w:rFonts w:hAnsi="宋体" w:cs="宋体"/>
          <w:bCs/>
          <w:color w:val="auto"/>
          <w:sz w:val="24"/>
        </w:rPr>
      </w:pPr>
      <w:r>
        <w:rPr>
          <w:rFonts w:hint="eastAsia" w:hAnsi="宋体" w:cs="宋体"/>
          <w:bCs/>
          <w:color w:val="auto"/>
          <w:sz w:val="24"/>
        </w:rPr>
        <w:t>2.5标段划分：本项目共划分两个标段，一标段:施工，二标段：监理。</w:t>
      </w:r>
    </w:p>
    <w:p>
      <w:pPr>
        <w:tabs>
          <w:tab w:val="left" w:pos="982"/>
        </w:tabs>
        <w:spacing w:line="440" w:lineRule="exact"/>
        <w:ind w:firstLine="480" w:firstLineChars="200"/>
        <w:jc w:val="left"/>
        <w:rPr>
          <w:rFonts w:hAnsi="宋体" w:cs="宋体"/>
          <w:bCs/>
          <w:color w:val="auto"/>
          <w:sz w:val="24"/>
        </w:rPr>
      </w:pPr>
      <w:r>
        <w:rPr>
          <w:rFonts w:hint="eastAsia" w:hAnsi="宋体" w:cs="宋体"/>
          <w:bCs/>
          <w:color w:val="auto"/>
          <w:sz w:val="24"/>
        </w:rPr>
        <w:t>2.6计划工期: 施工工期：</w:t>
      </w:r>
      <w:r>
        <w:rPr>
          <w:rFonts w:hint="eastAsia" w:hAnsi="宋体" w:cs="宋体"/>
          <w:bCs/>
          <w:color w:val="auto"/>
          <w:sz w:val="24"/>
          <w:lang w:val="en-US" w:eastAsia="zh-CN"/>
        </w:rPr>
        <w:t>60</w:t>
      </w:r>
      <w:r>
        <w:rPr>
          <w:rFonts w:hint="eastAsia" w:hAnsi="宋体" w:cs="宋体"/>
          <w:bCs/>
          <w:color w:val="auto"/>
          <w:sz w:val="24"/>
        </w:rPr>
        <w:t>日历天，监理服务期：同施工工期。</w:t>
      </w:r>
    </w:p>
    <w:p>
      <w:pPr>
        <w:tabs>
          <w:tab w:val="left" w:pos="982"/>
        </w:tabs>
        <w:spacing w:line="440" w:lineRule="exact"/>
        <w:ind w:firstLine="480" w:firstLineChars="200"/>
        <w:jc w:val="left"/>
        <w:rPr>
          <w:rFonts w:hAnsi="宋体" w:cs="宋体"/>
          <w:bCs/>
          <w:color w:val="auto"/>
          <w:sz w:val="24"/>
        </w:rPr>
      </w:pPr>
      <w:r>
        <w:rPr>
          <w:rFonts w:hint="eastAsia" w:hAnsi="宋体" w:cs="宋体"/>
          <w:bCs/>
          <w:color w:val="auto"/>
          <w:sz w:val="24"/>
        </w:rPr>
        <w:t>2.7质量要求：合格（符合国家现行的验收规范和标准）。</w:t>
      </w:r>
    </w:p>
    <w:p>
      <w:pPr>
        <w:spacing w:line="440" w:lineRule="exact"/>
        <w:outlineLvl w:val="0"/>
        <w:rPr>
          <w:rFonts w:hAnsi="宋体" w:cs="宋体"/>
          <w:b/>
          <w:color w:val="auto"/>
          <w:sz w:val="24"/>
        </w:rPr>
      </w:pPr>
      <w:r>
        <w:rPr>
          <w:rFonts w:hint="eastAsia" w:hAnsi="宋体" w:cs="宋体"/>
          <w:b/>
          <w:color w:val="auto"/>
          <w:sz w:val="24"/>
        </w:rPr>
        <w:t>3.投标人资格要求</w:t>
      </w:r>
    </w:p>
    <w:p>
      <w:pPr>
        <w:tabs>
          <w:tab w:val="left" w:pos="982"/>
        </w:tabs>
        <w:spacing w:line="440" w:lineRule="exact"/>
        <w:ind w:firstLine="480" w:firstLineChars="200"/>
        <w:jc w:val="left"/>
        <w:rPr>
          <w:rFonts w:hAnsi="宋体" w:cs="宋体"/>
          <w:bCs/>
          <w:color w:val="auto"/>
          <w:sz w:val="24"/>
        </w:rPr>
      </w:pPr>
      <w:r>
        <w:rPr>
          <w:rFonts w:hint="eastAsia" w:hAnsi="宋体" w:cs="宋体"/>
          <w:bCs/>
          <w:color w:val="auto"/>
          <w:sz w:val="24"/>
        </w:rPr>
        <w:t>3.1施工标：投标人须具有市政公用工程施工总承包叁级及以上或建筑工程施工总承包叁级及以上资质，具有有效的安全生产许可证的独立法人企业，并在人员、设备、资金等方面具有相应的施工能力。拟派项目负责人具有与企业资质相对应的专业贰级及以上注册建造师资格和有效的安全生产考核合格证，且未担任其它在施建设工程的项目负责人。</w:t>
      </w:r>
    </w:p>
    <w:p>
      <w:pPr>
        <w:tabs>
          <w:tab w:val="left" w:pos="982"/>
        </w:tabs>
        <w:spacing w:line="440" w:lineRule="exact"/>
        <w:ind w:firstLine="480" w:firstLineChars="200"/>
        <w:jc w:val="left"/>
        <w:rPr>
          <w:rFonts w:hAnsi="宋体" w:cs="宋体"/>
          <w:bCs/>
          <w:color w:val="auto"/>
          <w:sz w:val="24"/>
        </w:rPr>
      </w:pPr>
      <w:r>
        <w:rPr>
          <w:rFonts w:hint="eastAsia" w:hAnsi="宋体" w:cs="宋体"/>
          <w:bCs/>
          <w:color w:val="auto"/>
          <w:sz w:val="24"/>
        </w:rPr>
        <w:t>监理标：投标人须具备独立的法人资格，并具备市政公用工程丙级及以上资质或工程监理综合资质。拟派项目总监须具有市政公共工程专业注册监理工程师资格。</w:t>
      </w:r>
    </w:p>
    <w:p>
      <w:pPr>
        <w:tabs>
          <w:tab w:val="left" w:pos="982"/>
        </w:tabs>
        <w:spacing w:line="440" w:lineRule="exact"/>
        <w:ind w:firstLine="480" w:firstLineChars="200"/>
        <w:jc w:val="left"/>
        <w:rPr>
          <w:rFonts w:hAnsi="宋体" w:cs="宋体"/>
          <w:bCs/>
          <w:color w:val="auto"/>
          <w:sz w:val="24"/>
        </w:rPr>
      </w:pPr>
      <w:r>
        <w:rPr>
          <w:rFonts w:hint="eastAsia" w:hAnsi="宋体" w:cs="宋体"/>
          <w:bCs/>
          <w:color w:val="auto"/>
          <w:sz w:val="24"/>
        </w:rPr>
        <w:t>3.2</w:t>
      </w:r>
      <w:r>
        <w:rPr>
          <w:rFonts w:hint="eastAsia" w:hAnsi="宋体" w:cs="宋体"/>
          <w:bCs/>
          <w:color w:val="auto"/>
          <w:sz w:val="24"/>
          <w:lang w:eastAsia="zh-CN"/>
        </w:rPr>
        <w:t>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bCs/>
          <w:color w:val="auto"/>
          <w:sz w:val="24"/>
        </w:rPr>
        <w:t>。</w:t>
      </w:r>
    </w:p>
    <w:p>
      <w:pPr>
        <w:tabs>
          <w:tab w:val="left" w:pos="982"/>
        </w:tabs>
        <w:spacing w:line="440" w:lineRule="exact"/>
        <w:ind w:firstLine="480" w:firstLineChars="200"/>
        <w:jc w:val="left"/>
        <w:rPr>
          <w:rFonts w:hAnsi="宋体" w:cs="宋体"/>
          <w:bCs/>
          <w:color w:val="auto"/>
          <w:sz w:val="24"/>
        </w:rPr>
      </w:pPr>
      <w:r>
        <w:rPr>
          <w:rFonts w:hint="eastAsia" w:hAnsi="宋体" w:cs="宋体"/>
          <w:bCs/>
          <w:color w:val="auto"/>
          <w:sz w:val="24"/>
        </w:rPr>
        <w:t>3.3本次招标不接受联合体投标。</w:t>
      </w:r>
    </w:p>
    <w:p>
      <w:pPr>
        <w:tabs>
          <w:tab w:val="left" w:pos="982"/>
        </w:tabs>
        <w:spacing w:line="440" w:lineRule="exact"/>
        <w:ind w:firstLine="480" w:firstLineChars="200"/>
        <w:jc w:val="left"/>
        <w:rPr>
          <w:rFonts w:hAnsi="宋体" w:cs="宋体"/>
          <w:bCs/>
          <w:color w:val="auto"/>
          <w:sz w:val="24"/>
        </w:rPr>
      </w:pPr>
      <w:r>
        <w:rPr>
          <w:rFonts w:hint="eastAsia" w:hAnsi="宋体" w:cs="宋体"/>
          <w:bCs/>
          <w:color w:val="auto"/>
          <w:sz w:val="24"/>
        </w:rPr>
        <w:t>3.4本次招标实行资格后审。</w:t>
      </w:r>
    </w:p>
    <w:p>
      <w:pPr>
        <w:spacing w:line="440" w:lineRule="exact"/>
        <w:outlineLvl w:val="0"/>
        <w:rPr>
          <w:rFonts w:hAnsi="宋体"/>
          <w:b/>
          <w:color w:val="auto"/>
          <w:sz w:val="24"/>
        </w:rPr>
      </w:pPr>
      <w:r>
        <w:rPr>
          <w:rFonts w:hint="eastAsia" w:hAnsi="宋体"/>
          <w:b/>
          <w:color w:val="auto"/>
          <w:sz w:val="24"/>
        </w:rPr>
        <w:t>4.网上下载招标文件</w:t>
      </w:r>
    </w:p>
    <w:p>
      <w:pPr>
        <w:tabs>
          <w:tab w:val="left" w:pos="982"/>
        </w:tabs>
        <w:spacing w:line="440" w:lineRule="exact"/>
        <w:ind w:firstLine="480" w:firstLineChars="200"/>
        <w:jc w:val="left"/>
        <w:rPr>
          <w:rFonts w:hAnsi="宋体" w:cs="宋体"/>
          <w:bCs/>
          <w:color w:val="auto"/>
          <w:sz w:val="24"/>
        </w:rPr>
      </w:pPr>
      <w:r>
        <w:rPr>
          <w:rFonts w:hint="eastAsia" w:hAnsi="宋体" w:cs="宋体"/>
          <w:bCs/>
          <w:color w:val="auto"/>
          <w:sz w:val="24"/>
        </w:rPr>
        <w:t>4.1投标人持CA数字认证证书，登录《全国公共资源交易平台（河南省·许昌市）》“系统用户注册”入口（http://221.14.6.70:8088/ggzy/eps/public/RegistAllJcxx.html）进行免费注册登记（详见“常见问题解答-诚信库网上注册相关资料下载”）；</w:t>
      </w:r>
    </w:p>
    <w:p>
      <w:pPr>
        <w:tabs>
          <w:tab w:val="left" w:pos="982"/>
        </w:tabs>
        <w:spacing w:line="440" w:lineRule="exact"/>
        <w:ind w:firstLine="480" w:firstLineChars="200"/>
        <w:jc w:val="left"/>
        <w:rPr>
          <w:rFonts w:hAnsi="宋体" w:cs="宋体"/>
          <w:bCs/>
          <w:color w:val="auto"/>
          <w:sz w:val="24"/>
        </w:rPr>
      </w:pPr>
      <w:r>
        <w:rPr>
          <w:rFonts w:hint="eastAsia" w:hAnsi="宋体" w:cs="宋体"/>
          <w:bCs/>
          <w:color w:val="auto"/>
          <w:sz w:val="24"/>
        </w:rPr>
        <w:t>4.2在投标截止时间前登录《全国公共资源交易平台（河南省·许昌市）》“投标人/供应商登录”入口（http://221.14.6.70:8088/ggzy/）自行下载招标文件（详见“常见问题解答-交易系统操作手册”）。</w:t>
      </w:r>
    </w:p>
    <w:p>
      <w:pPr>
        <w:spacing w:line="440" w:lineRule="exact"/>
        <w:outlineLvl w:val="0"/>
        <w:rPr>
          <w:rFonts w:hAnsi="宋体"/>
          <w:b/>
          <w:color w:val="auto"/>
          <w:sz w:val="24"/>
        </w:rPr>
      </w:pPr>
      <w:r>
        <w:rPr>
          <w:rFonts w:hint="eastAsia" w:hAnsi="宋体"/>
          <w:b/>
          <w:color w:val="auto"/>
          <w:sz w:val="24"/>
        </w:rPr>
        <w:t>5.招标文件和施工图纸的获取</w:t>
      </w:r>
    </w:p>
    <w:p>
      <w:pPr>
        <w:tabs>
          <w:tab w:val="left" w:pos="982"/>
        </w:tabs>
        <w:spacing w:line="440" w:lineRule="exact"/>
        <w:ind w:firstLine="480" w:firstLineChars="200"/>
        <w:jc w:val="left"/>
        <w:rPr>
          <w:rFonts w:hAnsi="宋体" w:cs="宋体"/>
          <w:bCs/>
          <w:color w:val="auto"/>
          <w:sz w:val="24"/>
        </w:rPr>
      </w:pPr>
      <w:r>
        <w:rPr>
          <w:rFonts w:hint="eastAsia" w:hAnsi="宋体" w:cs="宋体"/>
          <w:bCs/>
          <w:color w:val="auto"/>
          <w:sz w:val="24"/>
        </w:rPr>
        <w:t xml:space="preserve"> 5.1招标文件的获取：投标人于投标文件递交截止时间前均可登录《全国公共资源交易平台(河南省▪许昌市)》</w:t>
      </w:r>
      <w:r>
        <w:rPr>
          <w:rFonts w:hint="eastAsia" w:ascii="宋体" w:hAnsi="宋体" w:eastAsia="宋体" w:cs="宋体"/>
          <w:color w:val="auto"/>
          <w:sz w:val="24"/>
          <w:szCs w:val="24"/>
        </w:rPr>
        <w:t>（http://ggzy.xuchang.gov.cn/）</w:t>
      </w:r>
      <w:r>
        <w:rPr>
          <w:rFonts w:hint="eastAsia" w:ascii="宋体" w:hAnsi="宋体" w:eastAsia="宋体" w:cs="宋体"/>
          <w:bCs/>
          <w:color w:val="auto"/>
          <w:sz w:val="24"/>
        </w:rPr>
        <w:t>，通</w:t>
      </w:r>
      <w:r>
        <w:rPr>
          <w:rFonts w:hint="eastAsia" w:hAnsi="宋体" w:cs="宋体"/>
          <w:bCs/>
          <w:color w:val="auto"/>
          <w:sz w:val="24"/>
        </w:rPr>
        <w:t>过“投标人/供应商登录” 入口自行下载。</w:t>
      </w:r>
    </w:p>
    <w:p>
      <w:pPr>
        <w:tabs>
          <w:tab w:val="left" w:pos="982"/>
        </w:tabs>
        <w:spacing w:line="440" w:lineRule="exact"/>
        <w:ind w:firstLine="600" w:firstLineChars="250"/>
        <w:jc w:val="left"/>
        <w:rPr>
          <w:rFonts w:hAnsi="宋体" w:cs="宋体"/>
          <w:bCs/>
          <w:color w:val="auto"/>
          <w:sz w:val="24"/>
        </w:rPr>
      </w:pPr>
      <w:r>
        <w:rPr>
          <w:rFonts w:hint="eastAsia" w:hAnsi="宋体" w:cs="宋体"/>
          <w:bCs/>
          <w:color w:val="auto"/>
          <w:sz w:val="24"/>
          <w:lang w:val="en-US" w:eastAsia="zh-CN"/>
        </w:rPr>
        <w:t>5.2招标文件每套售价300元，投标人于开标结束后转账至支付宝账号15617225567（转账时请备注项目编号、所属标段及公司名称）。</w:t>
      </w:r>
    </w:p>
    <w:p>
      <w:pPr>
        <w:autoSpaceDE w:val="0"/>
        <w:autoSpaceDN w:val="0"/>
        <w:adjustRightInd w:val="0"/>
        <w:spacing w:line="440" w:lineRule="exact"/>
        <w:jc w:val="left"/>
        <w:rPr>
          <w:rFonts w:hAnsi="宋体" w:cs="宋体"/>
          <w:b/>
          <w:bCs/>
          <w:color w:val="auto"/>
          <w:sz w:val="24"/>
        </w:rPr>
      </w:pPr>
      <w:r>
        <w:rPr>
          <w:rFonts w:hint="eastAsia" w:hAnsi="宋体" w:cs="宋体"/>
          <w:b/>
          <w:bCs/>
          <w:color w:val="auto"/>
          <w:sz w:val="24"/>
        </w:rPr>
        <w:t>6.投标文件的提交</w:t>
      </w:r>
    </w:p>
    <w:p>
      <w:pPr>
        <w:spacing w:line="530" w:lineRule="exact"/>
        <w:ind w:firstLine="465"/>
        <w:rPr>
          <w:rFonts w:hAnsi="宋体" w:cs="宋体"/>
          <w:color w:val="auto"/>
          <w:sz w:val="24"/>
          <w:szCs w:val="24"/>
        </w:rPr>
      </w:pPr>
      <w:r>
        <w:rPr>
          <w:rFonts w:hint="eastAsia" w:hAnsi="宋体" w:cs="宋体"/>
          <w:color w:val="auto"/>
          <w:sz w:val="24"/>
        </w:rPr>
        <w:t xml:space="preserve">6.1 </w:t>
      </w:r>
      <w:r>
        <w:rPr>
          <w:rFonts w:hint="eastAsia" w:hAnsi="宋体"/>
          <w:bCs/>
          <w:color w:val="auto"/>
          <w:sz w:val="24"/>
        </w:rPr>
        <w:t xml:space="preserve"> 本项目为全流程电子化交易项目，投标人应按规定在投标截止时间（同开标时间）前通过《全国公共资源交易平台(河南省▪许昌市)》公共资源交易系统成功上传本项目加密电子投标文件。</w:t>
      </w:r>
    </w:p>
    <w:p>
      <w:pPr>
        <w:spacing w:line="440" w:lineRule="exact"/>
        <w:ind w:firstLine="465"/>
        <w:rPr>
          <w:rFonts w:hAnsi="宋体" w:cs="宋体"/>
          <w:color w:val="auto"/>
          <w:sz w:val="24"/>
        </w:rPr>
      </w:pPr>
      <w:r>
        <w:rPr>
          <w:rFonts w:hint="eastAsia" w:hAnsi="宋体" w:cs="宋体"/>
          <w:color w:val="auto"/>
          <w:sz w:val="24"/>
        </w:rPr>
        <w:t>6.2 投标文件提交的截止时间及开标时间：</w:t>
      </w:r>
      <w:r>
        <w:rPr>
          <w:rFonts w:hint="eastAsia" w:hAnsi="宋体" w:cs="宋体"/>
          <w:color w:val="auto"/>
          <w:sz w:val="24"/>
          <w:lang w:eastAsia="zh-CN"/>
        </w:rPr>
        <w:t>2020年</w:t>
      </w:r>
      <w:r>
        <w:rPr>
          <w:rFonts w:hint="eastAsia" w:hAnsi="宋体" w:cs="宋体"/>
          <w:color w:val="auto"/>
          <w:sz w:val="24"/>
          <w:u w:val="none"/>
          <w:lang w:val="en-US" w:eastAsia="zh-CN"/>
        </w:rPr>
        <w:t>3</w:t>
      </w:r>
      <w:r>
        <w:rPr>
          <w:rFonts w:hint="eastAsia" w:hAnsi="宋体" w:cs="宋体"/>
          <w:color w:val="auto"/>
          <w:sz w:val="24"/>
          <w:lang w:eastAsia="zh-CN"/>
        </w:rPr>
        <w:t>月</w:t>
      </w:r>
      <w:r>
        <w:rPr>
          <w:rFonts w:hint="eastAsia" w:hAnsi="宋体" w:cs="宋体"/>
          <w:color w:val="auto"/>
          <w:sz w:val="24"/>
          <w:u w:val="none"/>
          <w:lang w:val="en-US" w:eastAsia="zh-CN"/>
        </w:rPr>
        <w:t>19</w:t>
      </w:r>
      <w:r>
        <w:rPr>
          <w:rFonts w:hint="eastAsia" w:hAnsi="宋体" w:cs="宋体"/>
          <w:color w:val="auto"/>
          <w:sz w:val="24"/>
          <w:lang w:eastAsia="zh-CN"/>
        </w:rPr>
        <w:t>日</w:t>
      </w:r>
      <w:r>
        <w:rPr>
          <w:rFonts w:hint="eastAsia" w:hAnsi="宋体" w:cs="宋体"/>
          <w:color w:val="auto"/>
          <w:sz w:val="24"/>
          <w:lang w:val="en-US" w:eastAsia="zh-CN"/>
        </w:rPr>
        <w:t>8</w:t>
      </w:r>
      <w:r>
        <w:rPr>
          <w:rFonts w:hint="eastAsia" w:hAnsi="宋体" w:cs="宋体"/>
          <w:color w:val="auto"/>
          <w:sz w:val="24"/>
          <w:lang w:eastAsia="zh-CN"/>
        </w:rPr>
        <w:t>时</w:t>
      </w:r>
      <w:r>
        <w:rPr>
          <w:rFonts w:hint="eastAsia" w:hAnsi="宋体" w:cs="宋体"/>
          <w:color w:val="auto"/>
          <w:sz w:val="24"/>
          <w:lang w:val="en-US" w:eastAsia="zh-CN"/>
        </w:rPr>
        <w:t>30</w:t>
      </w:r>
      <w:r>
        <w:rPr>
          <w:rFonts w:hint="eastAsia" w:hAnsi="宋体" w:cs="宋体"/>
          <w:color w:val="auto"/>
          <w:sz w:val="24"/>
          <w:lang w:eastAsia="zh-CN"/>
        </w:rPr>
        <w:t>分</w:t>
      </w:r>
      <w:r>
        <w:rPr>
          <w:rFonts w:hint="eastAsia" w:hAnsi="宋体" w:cs="宋体"/>
          <w:color w:val="auto"/>
          <w:sz w:val="24"/>
        </w:rPr>
        <w:t>。</w:t>
      </w:r>
    </w:p>
    <w:p>
      <w:pPr>
        <w:spacing w:line="530" w:lineRule="exact"/>
        <w:ind w:firstLine="465"/>
        <w:rPr>
          <w:rFonts w:hint="default" w:hAnsi="宋体"/>
          <w:bCs/>
          <w:color w:val="auto"/>
          <w:sz w:val="24"/>
          <w:lang w:val="en-US" w:eastAsia="zh-CN"/>
        </w:rPr>
      </w:pPr>
      <w:r>
        <w:rPr>
          <w:rFonts w:hint="eastAsia" w:hAnsi="宋体"/>
          <w:bCs/>
          <w:color w:val="auto"/>
          <w:sz w:val="24"/>
        </w:rPr>
        <w:t>6.</w:t>
      </w:r>
      <w:r>
        <w:rPr>
          <w:rFonts w:hint="eastAsia" w:hAnsi="宋体"/>
          <w:bCs/>
          <w:color w:val="auto"/>
          <w:sz w:val="24"/>
          <w:lang w:val="en-US" w:eastAsia="zh-CN"/>
        </w:rPr>
        <w:t>3招标人（代理机构）线上开标地点：许昌市公共资源交易中心（龙兴路与竹林路交汇处创业服务中心 C 座）三楼开标（三）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spacing w:line="530" w:lineRule="exact"/>
        <w:ind w:firstLine="465"/>
        <w:rPr>
          <w:rFonts w:hint="eastAsia" w:hAnsi="宋体"/>
          <w:bCs/>
          <w:color w:val="auto"/>
          <w:sz w:val="24"/>
        </w:rPr>
      </w:pPr>
      <w:r>
        <w:rPr>
          <w:rFonts w:hint="eastAsia" w:hAnsi="宋体"/>
          <w:bCs/>
          <w:color w:val="auto"/>
          <w:sz w:val="24"/>
        </w:rPr>
        <w:t>6.</w:t>
      </w:r>
      <w:r>
        <w:rPr>
          <w:rFonts w:hint="eastAsia" w:hAnsi="宋体"/>
          <w:bCs/>
          <w:color w:val="auto"/>
          <w:sz w:val="24"/>
          <w:lang w:val="en-US" w:eastAsia="zh-CN"/>
        </w:rPr>
        <w:t>4</w:t>
      </w:r>
      <w:r>
        <w:rPr>
          <w:rFonts w:hint="eastAsia" w:hAnsi="宋体"/>
          <w:bCs/>
          <w:color w:val="auto"/>
          <w:sz w:val="24"/>
        </w:rPr>
        <w:t>逾期送达（未成功上传）的或者未按规定解密的电子投标文件，招标人不予受理。</w:t>
      </w:r>
    </w:p>
    <w:p>
      <w:pPr>
        <w:spacing w:line="440" w:lineRule="exact"/>
        <w:outlineLvl w:val="0"/>
        <w:rPr>
          <w:rFonts w:hAnsi="宋体" w:cs="宋体"/>
          <w:b/>
          <w:color w:val="auto"/>
          <w:sz w:val="24"/>
        </w:rPr>
      </w:pPr>
      <w:r>
        <w:rPr>
          <w:rFonts w:hint="eastAsia" w:hAnsi="宋体" w:cs="宋体"/>
          <w:b/>
          <w:color w:val="auto"/>
          <w:sz w:val="24"/>
        </w:rPr>
        <w:t>7.发布公告的媒介</w:t>
      </w:r>
    </w:p>
    <w:p>
      <w:pPr>
        <w:spacing w:line="440" w:lineRule="exact"/>
        <w:rPr>
          <w:rFonts w:hAnsi="宋体" w:cs="宋体"/>
          <w:b/>
          <w:color w:val="auto"/>
          <w:sz w:val="24"/>
        </w:rPr>
      </w:pPr>
      <w:r>
        <w:rPr>
          <w:rFonts w:hint="eastAsia" w:hAnsi="宋体" w:cs="宋体"/>
          <w:color w:val="auto"/>
          <w:sz w:val="24"/>
        </w:rPr>
        <w:t xml:space="preserve">    本公告同时在《全国公共资源交易平台(河南省▪许昌市)》、《河南省电子招标投标公共服务平台》上发布。</w:t>
      </w:r>
    </w:p>
    <w:p>
      <w:pPr>
        <w:spacing w:line="440" w:lineRule="exact"/>
        <w:outlineLvl w:val="0"/>
        <w:rPr>
          <w:rFonts w:hAnsi="宋体" w:cs="宋体"/>
          <w:b/>
          <w:color w:val="auto"/>
          <w:sz w:val="24"/>
        </w:rPr>
      </w:pPr>
      <w:r>
        <w:rPr>
          <w:rFonts w:hint="eastAsia" w:hAnsi="宋体" w:cs="宋体"/>
          <w:b/>
          <w:color w:val="auto"/>
          <w:sz w:val="24"/>
        </w:rPr>
        <w:t>8.联系方式</w:t>
      </w:r>
    </w:p>
    <w:p>
      <w:pPr>
        <w:spacing w:line="440" w:lineRule="exact"/>
        <w:ind w:firstLine="465"/>
        <w:rPr>
          <w:rFonts w:hint="eastAsia" w:hAnsi="宋体" w:eastAsia="宋体" w:cs="宋体"/>
          <w:color w:val="auto"/>
          <w:sz w:val="24"/>
          <w:lang w:eastAsia="zh-CN"/>
        </w:rPr>
      </w:pPr>
      <w:r>
        <w:rPr>
          <w:rFonts w:hint="eastAsia" w:hAnsi="宋体" w:cs="宋体"/>
          <w:color w:val="auto"/>
          <w:sz w:val="24"/>
        </w:rPr>
        <w:t>招 标 人：</w:t>
      </w:r>
      <w:r>
        <w:rPr>
          <w:rFonts w:hint="eastAsia" w:hAnsi="宋体" w:cs="宋体"/>
          <w:color w:val="auto"/>
          <w:sz w:val="24"/>
          <w:lang w:eastAsia="zh-CN"/>
        </w:rPr>
        <w:t>许昌市东城区市政管理中心</w:t>
      </w:r>
    </w:p>
    <w:p>
      <w:pPr>
        <w:spacing w:line="440" w:lineRule="exact"/>
        <w:ind w:firstLine="465"/>
        <w:rPr>
          <w:rFonts w:hAnsi="宋体" w:cs="宋体"/>
          <w:color w:val="auto"/>
          <w:sz w:val="24"/>
        </w:rPr>
      </w:pPr>
      <w:r>
        <w:rPr>
          <w:rFonts w:hint="eastAsia" w:hAnsi="宋体" w:cs="宋体"/>
          <w:color w:val="auto"/>
          <w:sz w:val="24"/>
        </w:rPr>
        <w:t>地    址：许昌市新兴东路    </w:t>
      </w:r>
    </w:p>
    <w:p>
      <w:pPr>
        <w:spacing w:line="440" w:lineRule="exact"/>
        <w:ind w:firstLine="465"/>
        <w:rPr>
          <w:rFonts w:hint="eastAsia" w:hAnsi="宋体" w:eastAsia="宋体" w:cs="宋体"/>
          <w:color w:val="auto"/>
          <w:sz w:val="24"/>
          <w:lang w:eastAsia="zh-CN"/>
        </w:rPr>
      </w:pPr>
      <w:r>
        <w:rPr>
          <w:rFonts w:hint="eastAsia" w:hAnsi="宋体" w:cs="宋体"/>
          <w:color w:val="auto"/>
          <w:sz w:val="24"/>
        </w:rPr>
        <w:t>联 系 人：</w:t>
      </w:r>
      <w:r>
        <w:rPr>
          <w:rFonts w:hint="eastAsia" w:hAnsi="宋体" w:cs="宋体"/>
          <w:color w:val="auto"/>
          <w:sz w:val="24"/>
          <w:lang w:val="en-US" w:eastAsia="zh-CN"/>
        </w:rPr>
        <w:t>徐女士</w:t>
      </w:r>
    </w:p>
    <w:p>
      <w:pPr>
        <w:spacing w:line="440" w:lineRule="exact"/>
        <w:ind w:firstLine="465"/>
        <w:rPr>
          <w:rFonts w:hAnsi="宋体" w:cs="宋体"/>
          <w:color w:val="auto"/>
          <w:sz w:val="24"/>
        </w:rPr>
      </w:pPr>
      <w:r>
        <w:rPr>
          <w:rFonts w:hint="eastAsia" w:hAnsi="宋体" w:cs="宋体"/>
          <w:color w:val="auto"/>
          <w:sz w:val="24"/>
        </w:rPr>
        <w:t>联系电话：0374-2956825</w:t>
      </w:r>
      <w:r>
        <w:rPr>
          <w:rFonts w:hint="eastAsia" w:hAnsi="宋体" w:cs="宋体"/>
          <w:color w:val="auto"/>
          <w:sz w:val="24"/>
          <w:lang w:val="en-US" w:eastAsia="zh-CN"/>
        </w:rPr>
        <w:t xml:space="preserve"> </w:t>
      </w:r>
      <w:r>
        <w:rPr>
          <w:rFonts w:hint="eastAsia" w:hAnsi="宋体" w:cs="宋体"/>
          <w:color w:val="auto"/>
          <w:sz w:val="24"/>
        </w:rPr>
        <w:t xml:space="preserve"> </w:t>
      </w:r>
    </w:p>
    <w:p>
      <w:pPr>
        <w:spacing w:line="440" w:lineRule="exact"/>
        <w:ind w:firstLine="465"/>
        <w:rPr>
          <w:rFonts w:hint="eastAsia" w:hAnsi="宋体" w:eastAsia="宋体" w:cs="宋体"/>
          <w:color w:val="auto"/>
          <w:sz w:val="24"/>
          <w:lang w:eastAsia="zh-CN"/>
        </w:rPr>
      </w:pPr>
      <w:r>
        <w:rPr>
          <w:rFonts w:hint="eastAsia" w:hAnsi="宋体" w:cs="宋体"/>
          <w:color w:val="auto"/>
          <w:sz w:val="24"/>
        </w:rPr>
        <w:t>代理机构：</w:t>
      </w:r>
      <w:r>
        <w:rPr>
          <w:rFonts w:hint="eastAsia" w:hAnsi="宋体" w:cs="宋体"/>
          <w:color w:val="auto"/>
          <w:sz w:val="24"/>
          <w:lang w:eastAsia="zh-CN"/>
        </w:rPr>
        <w:t>河南华采工程管理有限公司</w:t>
      </w:r>
    </w:p>
    <w:p>
      <w:pPr>
        <w:spacing w:line="440" w:lineRule="exact"/>
        <w:ind w:firstLine="465"/>
        <w:rPr>
          <w:rFonts w:hint="eastAsia" w:hAnsi="宋体" w:eastAsia="宋体" w:cs="宋体"/>
          <w:color w:val="auto"/>
          <w:sz w:val="24"/>
          <w:lang w:eastAsia="zh-CN"/>
        </w:rPr>
      </w:pPr>
      <w:r>
        <w:rPr>
          <w:rFonts w:hint="eastAsia" w:hAnsi="宋体" w:cs="宋体"/>
          <w:color w:val="auto"/>
          <w:sz w:val="24"/>
        </w:rPr>
        <w:t>地址：许昌市</w:t>
      </w:r>
      <w:r>
        <w:rPr>
          <w:rFonts w:hint="eastAsia" w:hAnsi="宋体" w:cs="宋体"/>
          <w:color w:val="auto"/>
          <w:sz w:val="24"/>
          <w:lang w:eastAsia="zh-CN"/>
        </w:rPr>
        <w:t>新许路建设银行三楼</w:t>
      </w:r>
    </w:p>
    <w:p>
      <w:pPr>
        <w:spacing w:line="440" w:lineRule="exact"/>
        <w:ind w:firstLine="465"/>
        <w:rPr>
          <w:rFonts w:hAnsi="宋体" w:cs="宋体"/>
          <w:color w:val="auto"/>
          <w:sz w:val="24"/>
        </w:rPr>
      </w:pPr>
      <w:r>
        <w:rPr>
          <w:rFonts w:hint="eastAsia" w:hAnsi="宋体" w:cs="宋体"/>
          <w:color w:val="auto"/>
          <w:sz w:val="24"/>
        </w:rPr>
        <w:t>联系人：</w:t>
      </w:r>
      <w:r>
        <w:rPr>
          <w:rFonts w:hint="eastAsia" w:hAnsi="宋体" w:cs="宋体"/>
          <w:color w:val="auto"/>
          <w:sz w:val="24"/>
          <w:lang w:eastAsia="zh-CN"/>
        </w:rPr>
        <w:t>户</w:t>
      </w:r>
      <w:r>
        <w:rPr>
          <w:rFonts w:hint="eastAsia" w:hAnsi="宋体" w:cs="宋体"/>
          <w:color w:val="auto"/>
          <w:sz w:val="24"/>
        </w:rPr>
        <w:t>女士</w:t>
      </w:r>
    </w:p>
    <w:p>
      <w:pPr>
        <w:spacing w:line="440" w:lineRule="exact"/>
        <w:ind w:firstLine="465"/>
        <w:rPr>
          <w:rFonts w:hAnsi="宋体" w:cs="宋体"/>
          <w:color w:val="auto"/>
          <w:sz w:val="24"/>
        </w:rPr>
      </w:pPr>
      <w:r>
        <w:rPr>
          <w:rFonts w:hint="eastAsia" w:hAnsi="宋体" w:cs="宋体"/>
          <w:color w:val="auto"/>
          <w:sz w:val="24"/>
        </w:rPr>
        <w:t>电话：</w:t>
      </w:r>
      <w:r>
        <w:rPr>
          <w:rFonts w:hint="eastAsia" w:hAnsi="宋体" w:cs="宋体"/>
          <w:color w:val="auto"/>
          <w:sz w:val="24"/>
          <w:lang w:val="en-US" w:eastAsia="zh-CN"/>
        </w:rPr>
        <w:t>13137420261</w:t>
      </w:r>
    </w:p>
    <w:p>
      <w:pPr>
        <w:pStyle w:val="9"/>
        <w:ind w:firstLine="240"/>
        <w:jc w:val="right"/>
        <w:rPr>
          <w:rFonts w:hint="eastAsia" w:hAnsi="宋体" w:eastAsia="宋体" w:cs="宋体"/>
          <w:bCs/>
          <w:color w:val="auto"/>
          <w:sz w:val="24"/>
          <w:lang w:eastAsia="zh-CN"/>
        </w:rPr>
      </w:pPr>
      <w:r>
        <w:rPr>
          <w:rFonts w:hint="eastAsia" w:hAnsi="宋体" w:cs="宋体"/>
          <w:bCs/>
          <w:color w:val="auto"/>
          <w:sz w:val="24"/>
          <w:lang w:eastAsia="zh-CN"/>
        </w:rPr>
        <w:t>许昌市东城区市政管理中心</w:t>
      </w:r>
    </w:p>
    <w:p>
      <w:pPr>
        <w:pStyle w:val="9"/>
        <w:wordWrap w:val="0"/>
        <w:ind w:firstLine="240"/>
        <w:jc w:val="right"/>
        <w:rPr>
          <w:color w:val="auto"/>
        </w:rPr>
      </w:pPr>
      <w:r>
        <w:rPr>
          <w:rFonts w:hint="eastAsia" w:hAnsi="宋体" w:cs="宋体"/>
          <w:bCs/>
          <w:color w:val="auto"/>
          <w:sz w:val="24"/>
        </w:rPr>
        <w:t>20</w:t>
      </w:r>
      <w:r>
        <w:rPr>
          <w:rFonts w:hint="eastAsia" w:hAnsi="宋体" w:cs="宋体"/>
          <w:bCs/>
          <w:color w:val="auto"/>
          <w:sz w:val="24"/>
          <w:lang w:val="en-US" w:eastAsia="zh-CN"/>
        </w:rPr>
        <w:t>20</w:t>
      </w:r>
      <w:r>
        <w:rPr>
          <w:rFonts w:hint="eastAsia" w:hAnsi="宋体" w:cs="宋体"/>
          <w:bCs/>
          <w:color w:val="auto"/>
          <w:sz w:val="24"/>
        </w:rPr>
        <w:t>年</w:t>
      </w:r>
      <w:r>
        <w:rPr>
          <w:rFonts w:hint="eastAsia" w:hAnsi="宋体" w:cs="宋体"/>
          <w:bCs/>
          <w:color w:val="auto"/>
          <w:sz w:val="24"/>
          <w:lang w:val="en-US" w:eastAsia="zh-CN"/>
        </w:rPr>
        <w:t>3</w:t>
      </w:r>
      <w:r>
        <w:rPr>
          <w:rFonts w:hint="eastAsia" w:hAnsi="宋体" w:cs="宋体"/>
          <w:bCs/>
          <w:color w:val="auto"/>
          <w:sz w:val="24"/>
        </w:rPr>
        <w:t>月</w:t>
      </w:r>
      <w:r>
        <w:rPr>
          <w:rFonts w:hint="eastAsia" w:hAnsi="宋体" w:cs="宋体"/>
          <w:bCs/>
          <w:color w:val="auto"/>
          <w:sz w:val="24"/>
          <w:lang w:val="en-US" w:eastAsia="zh-CN"/>
        </w:rPr>
        <w:t>9</w:t>
      </w:r>
      <w:r>
        <w:rPr>
          <w:rFonts w:hint="eastAsia" w:hAnsi="宋体" w:cs="宋体"/>
          <w:bCs/>
          <w:color w:val="auto"/>
          <w:sz w:val="24"/>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226" w:beforeAutospacing="0" w:after="0" w:afterAutospacing="0" w:line="360" w:lineRule="auto"/>
        <w:ind w:left="0" w:right="0"/>
        <w:jc w:val="left"/>
        <w:textAlignment w:val="auto"/>
        <w:rPr>
          <w:rFonts w:hint="eastAsia" w:ascii="仿宋" w:hAnsi="仿宋" w:eastAsia="仿宋" w:cs="仿宋"/>
          <w:b w:val="0"/>
          <w:i w:val="0"/>
          <w:color w:val="auto"/>
          <w:sz w:val="32"/>
          <w:szCs w:val="32"/>
        </w:rPr>
      </w:pPr>
      <w:r>
        <w:rPr>
          <w:rFonts w:hint="eastAsia" w:ascii="仿宋" w:hAnsi="仿宋" w:eastAsia="仿宋" w:cs="仿宋"/>
          <w:b/>
          <w:i w:val="0"/>
          <w:color w:val="auto"/>
          <w:kern w:val="0"/>
          <w:sz w:val="32"/>
          <w:szCs w:val="32"/>
          <w:u w:val="none"/>
          <w:shd w:val="clear" w:fill="FFFFFF"/>
          <w:lang w:val="en-US" w:eastAsia="zh-CN" w:bidi="ar"/>
        </w:rPr>
        <w:t>温馨提示：</w:t>
      </w:r>
    </w:p>
    <w:p>
      <w:pPr>
        <w:spacing w:line="530" w:lineRule="exact"/>
        <w:ind w:firstLine="465"/>
        <w:rPr>
          <w:rFonts w:hint="eastAsia" w:hAnsi="宋体"/>
          <w:b/>
          <w:bCs w:val="0"/>
          <w:color w:val="auto"/>
          <w:sz w:val="24"/>
          <w:lang w:val="en-US" w:eastAsia="zh-CN"/>
        </w:rPr>
      </w:pPr>
      <w:r>
        <w:rPr>
          <w:rFonts w:hint="eastAsia" w:hAnsi="宋体"/>
          <w:b/>
          <w:bCs w:val="0"/>
          <w:color w:val="auto"/>
          <w:sz w:val="24"/>
          <w:lang w:val="en-US" w:eastAsia="zh-CN"/>
        </w:rPr>
        <w:t>本项目为全流程电子化交易项目，请认真阅读招标文件，并注意以下事项。</w:t>
      </w:r>
    </w:p>
    <w:p>
      <w:pPr>
        <w:spacing w:line="530" w:lineRule="exact"/>
        <w:ind w:firstLine="465"/>
        <w:rPr>
          <w:rFonts w:hint="eastAsia" w:hAnsi="宋体"/>
          <w:b/>
          <w:bCs w:val="0"/>
          <w:color w:val="auto"/>
          <w:sz w:val="24"/>
          <w:lang w:val="en-US" w:eastAsia="zh-CN"/>
        </w:rPr>
      </w:pPr>
      <w:r>
        <w:rPr>
          <w:rFonts w:hint="eastAsia" w:hAnsi="宋体"/>
          <w:b/>
          <w:bCs w:val="0"/>
          <w:color w:val="auto"/>
          <w:sz w:val="24"/>
          <w:lang w:val="en-US" w:eastAsia="zh-CN"/>
        </w:rPr>
        <w:t>1.投标人应按招标文件规定编制、提交、解密电子投标文件。</w:t>
      </w:r>
    </w:p>
    <w:p>
      <w:pPr>
        <w:spacing w:line="530" w:lineRule="exact"/>
        <w:ind w:firstLine="465"/>
        <w:rPr>
          <w:rFonts w:hint="eastAsia" w:hAnsi="宋体"/>
          <w:b/>
          <w:bCs w:val="0"/>
          <w:color w:val="auto"/>
          <w:sz w:val="24"/>
          <w:lang w:val="en-US" w:eastAsia="zh-CN"/>
        </w:rPr>
      </w:pPr>
      <w:r>
        <w:rPr>
          <w:rFonts w:hint="eastAsia" w:hAnsi="宋体"/>
          <w:b/>
          <w:bCs w:val="0"/>
          <w:color w:val="auto"/>
          <w:sz w:val="24"/>
          <w:lang w:val="en-US" w:eastAsia="zh-CN"/>
        </w:rPr>
        <w:t>2.电子文件下载、制作、提交期间和远程不见面开标（电子投标文件的解密）环节，投标人须使用同一个CA数字证书（证书须在有效期内并可正常使用）。</w:t>
      </w:r>
    </w:p>
    <w:p>
      <w:pPr>
        <w:spacing w:line="530" w:lineRule="exact"/>
        <w:ind w:firstLine="465"/>
        <w:rPr>
          <w:rFonts w:hint="eastAsia" w:hAnsi="宋体"/>
          <w:b/>
          <w:bCs w:val="0"/>
          <w:color w:val="auto"/>
          <w:sz w:val="24"/>
          <w:lang w:val="en-US" w:eastAsia="zh-CN"/>
        </w:rPr>
      </w:pPr>
      <w:r>
        <w:rPr>
          <w:rFonts w:hint="eastAsia" w:hAnsi="宋体"/>
          <w:b/>
          <w:bCs w:val="0"/>
          <w:color w:val="auto"/>
          <w:sz w:val="24"/>
          <w:lang w:val="en-US" w:eastAsia="zh-CN"/>
        </w:rPr>
        <w:t>3.电子投标文件的制作</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3.1 投标人登录《全国公共资源交易平台(河南省▪许昌市)》公共资源交易系统（</w:t>
      </w:r>
      <w:r>
        <w:rPr>
          <w:rFonts w:hint="eastAsia" w:hAnsi="宋体"/>
          <w:bCs/>
          <w:color w:val="auto"/>
          <w:sz w:val="24"/>
          <w:lang w:val="en-US" w:eastAsia="zh-CN"/>
        </w:rPr>
        <w:fldChar w:fldCharType="begin"/>
      </w:r>
      <w:r>
        <w:rPr>
          <w:rFonts w:hint="eastAsia" w:hAnsi="宋体"/>
          <w:bCs/>
          <w:color w:val="auto"/>
          <w:sz w:val="24"/>
          <w:lang w:val="en-US" w:eastAsia="zh-CN"/>
        </w:rPr>
        <w:instrText xml:space="preserve"> HYPERLINK "http://221.14.6.70:8088/ggzy/" </w:instrText>
      </w:r>
      <w:r>
        <w:rPr>
          <w:rFonts w:hint="eastAsia" w:hAnsi="宋体"/>
          <w:bCs/>
          <w:color w:val="auto"/>
          <w:sz w:val="24"/>
          <w:lang w:val="en-US" w:eastAsia="zh-CN"/>
        </w:rPr>
        <w:fldChar w:fldCharType="separate"/>
      </w:r>
      <w:r>
        <w:rPr>
          <w:rFonts w:hint="eastAsia" w:hAnsi="宋体"/>
          <w:bCs/>
          <w:color w:val="auto"/>
          <w:sz w:val="24"/>
          <w:lang w:val="en-US" w:eastAsia="zh-CN"/>
        </w:rPr>
        <w:t>http://221.14.6.70:8088/ggzy/</w:t>
      </w:r>
      <w:r>
        <w:rPr>
          <w:rFonts w:hint="eastAsia" w:hAnsi="宋体"/>
          <w:bCs/>
          <w:color w:val="auto"/>
          <w:sz w:val="24"/>
          <w:lang w:val="en-US" w:eastAsia="zh-CN"/>
        </w:rPr>
        <w:fldChar w:fldCharType="end"/>
      </w:r>
      <w:r>
        <w:rPr>
          <w:rFonts w:hint="eastAsia" w:hAnsi="宋体"/>
          <w:bCs/>
          <w:color w:val="auto"/>
          <w:sz w:val="24"/>
          <w:lang w:val="en-US" w:eastAsia="zh-CN"/>
        </w:rPr>
        <w:t>）下载“许昌投标文件制作系统SEARUN 最新版本”，按招标文件要求制作电子投标文件。</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电子投标文件的制作，参考《全国公共资源交易平台(河南省▪许昌市)》公共资源交易系统——组件下载——交易系统操作手册（投标人、供应商）。</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3.2 投标人须将招标文件要求的资质、业绩、荣誉及相关人员证明材料等资料原件扫描件（或图片）制作到所提交的电子投标文件中。</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3.3投标人对同一项目多个标段进行投标的，应分别下载所投标段的招标文件，按标段制作电子投标文件，并按招标文件要求在相应位置加盖投标人电子印章和法人电子印章。</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一个标段对应生成一个文件夹（xxxx项目xx标段）,其中后缀名为“.file”的文件用于电子投标使用。</w:t>
      </w:r>
    </w:p>
    <w:p>
      <w:pPr>
        <w:spacing w:line="530" w:lineRule="exact"/>
        <w:ind w:firstLine="465"/>
        <w:rPr>
          <w:rFonts w:hint="eastAsia" w:hAnsi="宋体"/>
          <w:b/>
          <w:bCs w:val="0"/>
          <w:color w:val="auto"/>
          <w:sz w:val="24"/>
          <w:lang w:val="en-US" w:eastAsia="zh-CN"/>
        </w:rPr>
      </w:pPr>
      <w:r>
        <w:rPr>
          <w:rFonts w:hint="eastAsia" w:hAnsi="宋体"/>
          <w:b/>
          <w:bCs w:val="0"/>
          <w:color w:val="auto"/>
          <w:sz w:val="24"/>
          <w:lang w:val="en-US" w:eastAsia="zh-CN"/>
        </w:rPr>
        <w:t>4.投标保证金的提交</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4.1使用银行转帐方式提交的，投标人通过基本账户将款项一次足额递交、成功绑定，以收款人到账时间为准。</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4.1.1投标人网上下载招标文件并根据每个标段的缴纳说明单在开标截止时间前提交。每个投标人每个项目每个标段只有唯一缴纳账号，切勿重复缴纳或错误缴纳。</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4.1.2提交后再次登录</w:t>
      </w:r>
      <w:r>
        <w:rPr>
          <w:rFonts w:hint="eastAsia" w:hAnsi="宋体"/>
          <w:bCs/>
          <w:color w:val="auto"/>
          <w:sz w:val="24"/>
          <w:lang w:val="en-US" w:eastAsia="zh-CN"/>
        </w:rPr>
        <w:fldChar w:fldCharType="begin"/>
      </w:r>
      <w:r>
        <w:rPr>
          <w:rFonts w:hint="eastAsia" w:hAnsi="宋体"/>
          <w:bCs/>
          <w:color w:val="auto"/>
          <w:sz w:val="24"/>
          <w:lang w:val="en-US" w:eastAsia="zh-CN"/>
        </w:rPr>
        <w:instrText xml:space="preserve"> HYPERLINK "http://221.14.6.70:8088/ggzy" </w:instrText>
      </w:r>
      <w:r>
        <w:rPr>
          <w:rFonts w:hint="eastAsia" w:hAnsi="宋体"/>
          <w:bCs/>
          <w:color w:val="auto"/>
          <w:sz w:val="24"/>
          <w:lang w:val="en-US" w:eastAsia="zh-CN"/>
        </w:rPr>
        <w:fldChar w:fldCharType="separate"/>
      </w:r>
      <w:r>
        <w:rPr>
          <w:rFonts w:hint="eastAsia" w:hAnsi="宋体"/>
          <w:bCs/>
          <w:color w:val="auto"/>
          <w:sz w:val="24"/>
          <w:lang w:val="en-US" w:eastAsia="zh-CN"/>
        </w:rPr>
        <w:t>http://221.14.6.70:8088/ggzy</w:t>
      </w:r>
      <w:r>
        <w:rPr>
          <w:rFonts w:hint="eastAsia" w:hAnsi="宋体"/>
          <w:bCs/>
          <w:color w:val="auto"/>
          <w:sz w:val="24"/>
          <w:lang w:val="en-US" w:eastAsia="zh-CN"/>
        </w:rPr>
        <w:fldChar w:fldCharType="end"/>
      </w:r>
      <w:r>
        <w:rPr>
          <w:rFonts w:hint="eastAsia" w:hAnsi="宋体"/>
          <w:bCs/>
          <w:color w:val="auto"/>
          <w:sz w:val="24"/>
          <w:lang w:val="en-US" w:eastAsia="zh-CN"/>
        </w:rPr>
        <w:t>系统，依次点击“会员向导”→“参与投标”→“保证金绑定”→“绑定”进行投标保证金绑定，前述系统显示“许昌公共资源交易中心保证金缴纳回执”表示投标保证金提交完成。未绑定标段的投标保证金，视为未按规定提交。</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4.1.3投标人按照所投项目及标段将缴纳凭证“许昌公共资源交易中心保证金缴纳回执”附于投标文件中。</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530" w:lineRule="exact"/>
        <w:ind w:firstLine="465"/>
        <w:rPr>
          <w:rFonts w:hint="eastAsia" w:hAnsi="宋体"/>
          <w:b/>
          <w:bCs w:val="0"/>
          <w:color w:val="auto"/>
          <w:sz w:val="24"/>
          <w:lang w:val="en-US" w:eastAsia="zh-CN"/>
        </w:rPr>
      </w:pPr>
      <w:r>
        <w:rPr>
          <w:rFonts w:hint="eastAsia" w:hAnsi="宋体"/>
          <w:b/>
          <w:bCs w:val="0"/>
          <w:color w:val="auto"/>
          <w:sz w:val="24"/>
          <w:lang w:val="en-US" w:eastAsia="zh-CN"/>
        </w:rPr>
        <w:t>5.加密电子投标文件的提交</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5.1加密电子投标文件应按规定在投标截止时间（开标时间）之前成功提交至《全国公共资源交易平台(河南省▪许昌市)》公共资源交易系统（</w:t>
      </w:r>
      <w:r>
        <w:rPr>
          <w:rFonts w:hint="eastAsia" w:hAnsi="宋体"/>
          <w:bCs/>
          <w:color w:val="auto"/>
          <w:sz w:val="24"/>
          <w:lang w:val="en-US" w:eastAsia="zh-CN"/>
        </w:rPr>
        <w:fldChar w:fldCharType="begin"/>
      </w:r>
      <w:r>
        <w:rPr>
          <w:rFonts w:hint="eastAsia" w:hAnsi="宋体"/>
          <w:bCs/>
          <w:color w:val="auto"/>
          <w:sz w:val="24"/>
          <w:lang w:val="en-US" w:eastAsia="zh-CN"/>
        </w:rPr>
        <w:instrText xml:space="preserve"> HYPERLINK "http://221.14.6.70:8088/ggzy/" </w:instrText>
      </w:r>
      <w:r>
        <w:rPr>
          <w:rFonts w:hint="eastAsia" w:hAnsi="宋体"/>
          <w:bCs/>
          <w:color w:val="auto"/>
          <w:sz w:val="24"/>
          <w:lang w:val="en-US" w:eastAsia="zh-CN"/>
        </w:rPr>
        <w:fldChar w:fldCharType="separate"/>
      </w:r>
      <w:r>
        <w:rPr>
          <w:rFonts w:hint="eastAsia" w:hAnsi="宋体"/>
          <w:bCs/>
          <w:color w:val="auto"/>
          <w:sz w:val="24"/>
          <w:lang w:val="en-US" w:eastAsia="zh-CN"/>
        </w:rPr>
        <w:t>http://221.14.6.70:8088/ggzy/</w:t>
      </w:r>
      <w:r>
        <w:rPr>
          <w:rFonts w:hint="eastAsia" w:hAnsi="宋体"/>
          <w:bCs/>
          <w:color w:val="auto"/>
          <w:sz w:val="24"/>
          <w:lang w:val="en-US" w:eastAsia="zh-CN"/>
        </w:rPr>
        <w:fldChar w:fldCharType="end"/>
      </w:r>
      <w:r>
        <w:rPr>
          <w:rFonts w:hint="eastAsia" w:hAnsi="宋体"/>
          <w:bCs/>
          <w:color w:val="auto"/>
          <w:sz w:val="24"/>
          <w:lang w:val="en-US" w:eastAsia="zh-CN"/>
        </w:rPr>
        <w:t>）。</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投标人应充分考虑并预留技术处理和上传数据所需时间。</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5.2 投标人对同一项目多个标段进行投标的，加密电子投标文件应按标段分别提交。</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5.3 加密电子投标文件成功提交后，《全国公共资源交易平台(河南省▪许昌市)》公共资源交易系统（</w:t>
      </w:r>
      <w:r>
        <w:rPr>
          <w:rFonts w:hint="eastAsia" w:hAnsi="宋体"/>
          <w:bCs/>
          <w:color w:val="auto"/>
          <w:sz w:val="24"/>
          <w:lang w:val="en-US" w:eastAsia="zh-CN"/>
        </w:rPr>
        <w:fldChar w:fldCharType="begin"/>
      </w:r>
      <w:r>
        <w:rPr>
          <w:rFonts w:hint="eastAsia" w:hAnsi="宋体"/>
          <w:bCs/>
          <w:color w:val="auto"/>
          <w:sz w:val="24"/>
          <w:lang w:val="en-US" w:eastAsia="zh-CN"/>
        </w:rPr>
        <w:instrText xml:space="preserve"> HYPERLINK "http://221.14.6.70:8088/ggzy/" </w:instrText>
      </w:r>
      <w:r>
        <w:rPr>
          <w:rFonts w:hint="eastAsia" w:hAnsi="宋体"/>
          <w:bCs/>
          <w:color w:val="auto"/>
          <w:sz w:val="24"/>
          <w:lang w:val="en-US" w:eastAsia="zh-CN"/>
        </w:rPr>
        <w:fldChar w:fldCharType="separate"/>
      </w:r>
      <w:r>
        <w:rPr>
          <w:rFonts w:hint="eastAsia" w:hAnsi="宋体"/>
          <w:bCs/>
          <w:color w:val="auto"/>
          <w:sz w:val="24"/>
          <w:lang w:val="en-US" w:eastAsia="zh-CN"/>
        </w:rPr>
        <w:t>http://221.14.6.70:8088/ggzy/</w:t>
      </w:r>
      <w:r>
        <w:rPr>
          <w:rFonts w:hint="eastAsia" w:hAnsi="宋体"/>
          <w:bCs/>
          <w:color w:val="auto"/>
          <w:sz w:val="24"/>
          <w:lang w:val="en-US" w:eastAsia="zh-CN"/>
        </w:rPr>
        <w:fldChar w:fldCharType="end"/>
      </w:r>
      <w:r>
        <w:rPr>
          <w:rFonts w:hint="eastAsia" w:hAnsi="宋体"/>
          <w:bCs/>
          <w:color w:val="auto"/>
          <w:sz w:val="24"/>
          <w:lang w:val="en-US" w:eastAsia="zh-CN"/>
        </w:rPr>
        <w:t>）生成“投标文件提交回执单”。</w:t>
      </w:r>
    </w:p>
    <w:p>
      <w:pPr>
        <w:spacing w:line="530" w:lineRule="exact"/>
        <w:ind w:firstLine="465"/>
        <w:rPr>
          <w:rFonts w:hint="eastAsia" w:hAnsi="宋体"/>
          <w:b/>
          <w:bCs w:val="0"/>
          <w:color w:val="auto"/>
          <w:sz w:val="24"/>
          <w:lang w:val="en-US" w:eastAsia="zh-CN"/>
        </w:rPr>
      </w:pPr>
      <w:r>
        <w:rPr>
          <w:rFonts w:hint="eastAsia" w:hAnsi="宋体"/>
          <w:b/>
          <w:bCs w:val="0"/>
          <w:color w:val="auto"/>
          <w:sz w:val="24"/>
          <w:lang w:val="en-US" w:eastAsia="zh-CN"/>
        </w:rPr>
        <w:t>6.远程不见面开标（电子投标文件的解密）</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6.1 投标人应熟悉《许昌市不见面开标操作手册》，并提前设置不见面开标浏览器（设置流程详见《许昌市不见面开标操作手册》）。</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6.2 《许昌市不见面开标操作手册》下载路径：全国公共资源交易平台（河南省·许昌市）—“资料下载”栏目。</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6.3开标时间前投标人应登录本项目不见面开标大厅，按照招标文件确定的开标时间准时参加网上开标。</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6.4投标人对开标过程和开标记录如有疑义，可在本项目不见面开标大厅“文字互动”对话框或“新增质疑”处在线提出询问。</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6.5根据采购代理机构在“文字互动”对话框的通知，投标人选择功能栏“解密环节”按钮进行电子投标文件解密</w:t>
      </w:r>
      <w:r>
        <w:rPr>
          <w:rFonts w:hint="eastAsia" w:hAnsi="宋体"/>
          <w:color w:val="auto"/>
          <w:sz w:val="24"/>
        </w:rPr>
        <w:t>（投标人解密应自代理机构在到达投标截止时间时点击“开标”按钮，开标开始并进行解密60分钟内完成）</w:t>
      </w:r>
      <w:r>
        <w:rPr>
          <w:rFonts w:hint="eastAsia" w:hAnsi="宋体"/>
          <w:bCs/>
          <w:color w:val="auto"/>
          <w:sz w:val="24"/>
          <w:lang w:val="en-US" w:eastAsia="zh-CN"/>
        </w:rPr>
        <w:t>。投标人未解密或因投标人原因解密失败的，其投标将被拒绝。</w:t>
      </w:r>
    </w:p>
    <w:p>
      <w:pPr>
        <w:spacing w:line="530" w:lineRule="exact"/>
        <w:ind w:firstLine="465"/>
        <w:rPr>
          <w:rFonts w:hint="eastAsia" w:hAnsi="宋体"/>
          <w:bCs/>
          <w:color w:val="auto"/>
          <w:sz w:val="24"/>
          <w:lang w:val="en-US" w:eastAsia="zh-CN"/>
        </w:rPr>
      </w:pPr>
      <w:r>
        <w:rPr>
          <w:rFonts w:hint="eastAsia" w:hAnsi="宋体"/>
          <w:bCs/>
          <w:color w:val="auto"/>
          <w:sz w:val="24"/>
          <w:lang w:val="en-US" w:eastAsia="zh-CN"/>
        </w:rPr>
        <w:t>6.6项目远程不见面开标活动结束时，投标人应在《开标记录表》上进行电子签章。投标人未签章的，视同认可开标结果。</w:t>
      </w:r>
    </w:p>
    <w:p>
      <w:pPr>
        <w:numPr>
          <w:ilvl w:val="0"/>
          <w:numId w:val="2"/>
        </w:numPr>
        <w:spacing w:line="530" w:lineRule="exact"/>
        <w:ind w:firstLine="465"/>
        <w:rPr>
          <w:rFonts w:hint="eastAsia" w:hAnsi="宋体"/>
          <w:b/>
          <w:bCs w:val="0"/>
          <w:color w:val="auto"/>
          <w:sz w:val="24"/>
          <w:lang w:val="en-US" w:eastAsia="zh-CN"/>
        </w:rPr>
      </w:pPr>
      <w:r>
        <w:rPr>
          <w:rFonts w:hint="eastAsia" w:hAnsi="宋体"/>
          <w:b/>
          <w:bCs w:val="0"/>
          <w:color w:val="auto"/>
          <w:sz w:val="24"/>
          <w:lang w:val="en-US" w:eastAsia="zh-CN"/>
        </w:rPr>
        <w:t>评标依据</w:t>
      </w:r>
    </w:p>
    <w:p>
      <w:pPr>
        <w:numPr>
          <w:ilvl w:val="0"/>
          <w:numId w:val="0"/>
        </w:numPr>
        <w:spacing w:line="530" w:lineRule="exact"/>
        <w:ind w:firstLine="480" w:firstLineChars="200"/>
        <w:rPr>
          <w:rFonts w:hint="eastAsia" w:hAnsi="宋体"/>
          <w:b w:val="0"/>
          <w:bCs/>
          <w:color w:val="auto"/>
          <w:sz w:val="24"/>
          <w:lang w:val="en-US" w:eastAsia="zh-CN"/>
        </w:rPr>
      </w:pPr>
      <w:r>
        <w:rPr>
          <w:rFonts w:hint="eastAsia" w:hAnsi="宋体"/>
          <w:b w:val="0"/>
          <w:bCs/>
          <w:color w:val="auto"/>
          <w:sz w:val="24"/>
          <w:lang w:val="en-US" w:eastAsia="zh-CN"/>
        </w:rPr>
        <w:t>7.1全流程电子化交易（远程不见面开标）项目，评标委员会以成功上传、解密的电子投标文件为评标依据。</w:t>
      </w:r>
    </w:p>
    <w:p>
      <w:pPr>
        <w:spacing w:line="530" w:lineRule="exact"/>
        <w:ind w:firstLine="465"/>
        <w:rPr>
          <w:rFonts w:hint="eastAsia" w:hAnsi="宋体"/>
          <w:b w:val="0"/>
          <w:bCs/>
          <w:color w:val="auto"/>
          <w:sz w:val="24"/>
          <w:lang w:val="en-US" w:eastAsia="zh-CN"/>
        </w:rPr>
      </w:pPr>
      <w:r>
        <w:rPr>
          <w:rFonts w:hint="eastAsia" w:hAnsi="宋体"/>
          <w:b w:val="0"/>
          <w:bCs/>
          <w:color w:val="auto"/>
          <w:sz w:val="24"/>
          <w:lang w:val="en-US" w:eastAsia="zh-CN"/>
        </w:rPr>
        <w:t>7.2 评审期间，保持投标文件提供的联系方式畅通，评标委员会随时可能对投标文件内容质询，投标人应及时进行答复（包括但不限于电子文档、电子邮件等）。</w:t>
      </w:r>
    </w:p>
    <w:p>
      <w:pPr>
        <w:spacing w:line="530" w:lineRule="exact"/>
        <w:ind w:firstLine="465"/>
        <w:rPr>
          <w:rFonts w:hint="eastAsia" w:ascii="宋体" w:hAnsi="宋体" w:eastAsia="宋体" w:cs="宋体"/>
          <w:b w:val="0"/>
          <w:bCs/>
          <w:color w:val="auto"/>
          <w:sz w:val="24"/>
          <w:szCs w:val="24"/>
        </w:rPr>
      </w:pPr>
      <w:r>
        <w:rPr>
          <w:rFonts w:hint="eastAsia" w:hAnsi="宋体"/>
          <w:b w:val="0"/>
          <w:bCs/>
          <w:color w:val="auto"/>
          <w:sz w:val="24"/>
          <w:lang w:val="en-US" w:eastAsia="zh-CN"/>
        </w:rPr>
        <w:t>7.3 有多轮报价的，各投标人应提前准备好分项报价，为多轮报价做好准备，在谈判小组发起报价通知后，在规定时间内提交有效报价。</w:t>
      </w:r>
    </w:p>
    <w:p>
      <w:pPr>
        <w:rPr>
          <w:rFonts w:hint="eastAsia" w:hAnsi="宋体" w:cs="宋体"/>
          <w:b/>
          <w:color w:val="auto"/>
          <w:sz w:val="36"/>
          <w:szCs w:val="36"/>
        </w:rPr>
      </w:pPr>
      <w:r>
        <w:rPr>
          <w:rFonts w:hint="eastAsia" w:hAnsi="宋体" w:cs="宋体"/>
          <w:b/>
          <w:color w:val="auto"/>
          <w:sz w:val="36"/>
          <w:szCs w:val="36"/>
        </w:rPr>
        <w:br w:type="page"/>
      </w:r>
    </w:p>
    <w:p>
      <w:pPr>
        <w:widowControl/>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0"/>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44"/>
        <w:gridCol w:w="2928"/>
        <w:gridCol w:w="158"/>
        <w:gridCol w:w="351"/>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条款号</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条</w:t>
            </w:r>
            <w:r>
              <w:rPr>
                <w:rFonts w:ascii="宋体" w:hAnsi="宋体" w:cs="仿宋_GB2312"/>
                <w:color w:val="auto"/>
                <w:kern w:val="0"/>
                <w:sz w:val="24"/>
              </w:rPr>
              <w:t xml:space="preserve"> </w:t>
            </w:r>
            <w:r>
              <w:rPr>
                <w:rFonts w:hint="eastAsia" w:ascii="宋体" w:hAnsi="宋体" w:cs="仿宋_GB2312"/>
                <w:color w:val="auto"/>
                <w:kern w:val="0"/>
                <w:sz w:val="24"/>
              </w:rPr>
              <w:t>款</w:t>
            </w:r>
            <w:r>
              <w:rPr>
                <w:rFonts w:ascii="宋体" w:hAnsi="宋体" w:cs="仿宋_GB2312"/>
                <w:color w:val="auto"/>
                <w:kern w:val="0"/>
                <w:sz w:val="24"/>
              </w:rPr>
              <w:t xml:space="preserve"> </w:t>
            </w:r>
            <w:r>
              <w:rPr>
                <w:rFonts w:hint="eastAsia" w:ascii="宋体" w:hAnsi="宋体" w:cs="仿宋_GB2312"/>
                <w:color w:val="auto"/>
                <w:kern w:val="0"/>
                <w:sz w:val="24"/>
              </w:rPr>
              <w:t>名</w:t>
            </w:r>
            <w:r>
              <w:rPr>
                <w:rFonts w:ascii="宋体" w:hAnsi="宋体" w:cs="仿宋_GB2312"/>
                <w:color w:val="auto"/>
                <w:kern w:val="0"/>
                <w:sz w:val="24"/>
              </w:rPr>
              <w:t xml:space="preserve"> </w:t>
            </w:r>
            <w:r>
              <w:rPr>
                <w:rFonts w:hint="eastAsia" w:ascii="宋体" w:hAnsi="宋体" w:cs="仿宋_GB2312"/>
                <w:color w:val="auto"/>
                <w:kern w:val="0"/>
                <w:sz w:val="24"/>
              </w:rPr>
              <w:t>称</w:t>
            </w:r>
          </w:p>
        </w:tc>
        <w:tc>
          <w:tcPr>
            <w:tcW w:w="5905"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编</w:t>
            </w:r>
            <w:r>
              <w:rPr>
                <w:rFonts w:ascii="宋体" w:hAnsi="宋体" w:cs="仿宋_GB2312"/>
                <w:color w:val="auto"/>
                <w:kern w:val="0"/>
                <w:sz w:val="24"/>
              </w:rPr>
              <w:t xml:space="preserve"> </w:t>
            </w:r>
            <w:r>
              <w:rPr>
                <w:rFonts w:hint="eastAsia" w:ascii="宋体" w:hAnsi="宋体" w:cs="仿宋_GB2312"/>
                <w:color w:val="auto"/>
                <w:kern w:val="0"/>
                <w:sz w:val="24"/>
              </w:rPr>
              <w:t>列</w:t>
            </w:r>
            <w:r>
              <w:rPr>
                <w:rFonts w:ascii="宋体" w:hAnsi="宋体" w:cs="仿宋_GB2312"/>
                <w:color w:val="auto"/>
                <w:kern w:val="0"/>
                <w:sz w:val="24"/>
              </w:rPr>
              <w:t xml:space="preserve"> </w:t>
            </w:r>
            <w:r>
              <w:rPr>
                <w:rFonts w:hint="eastAsia" w:ascii="宋体" w:hAnsi="宋体" w:cs="仿宋_GB2312"/>
                <w:color w:val="auto"/>
                <w:kern w:val="0"/>
                <w:sz w:val="24"/>
              </w:rPr>
              <w:t>内</w:t>
            </w:r>
            <w:r>
              <w:rPr>
                <w:rFonts w:ascii="宋体" w:hAnsi="宋体" w:cs="仿宋_GB2312"/>
                <w:color w:val="auto"/>
                <w:kern w:val="0"/>
                <w:sz w:val="24"/>
              </w:rPr>
              <w:t xml:space="preserve"> </w:t>
            </w:r>
            <w:r>
              <w:rPr>
                <w:rFonts w:hint="eastAsia" w:ascii="宋体" w:hAnsi="宋体" w:cs="仿宋_GB2312"/>
                <w:color w:val="auto"/>
                <w:kern w:val="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51" w:type="dxa"/>
            <w:gridSpan w:val="2"/>
            <w:noWrap w:val="0"/>
            <w:vAlign w:val="center"/>
          </w:tcPr>
          <w:p>
            <w:pPr>
              <w:autoSpaceDE w:val="0"/>
              <w:autoSpaceDN w:val="0"/>
              <w:adjustRightInd w:val="0"/>
              <w:jc w:val="center"/>
              <w:rPr>
                <w:rFonts w:hint="eastAsia" w:ascii="宋体" w:hAnsi="宋体" w:cs="黑体"/>
                <w:color w:val="auto"/>
                <w:kern w:val="0"/>
                <w:sz w:val="24"/>
              </w:rPr>
            </w:pPr>
            <w:bookmarkStart w:id="2" w:name="OLE_LINK17" w:colFirst="1" w:colLast="2"/>
            <w:r>
              <w:rPr>
                <w:rFonts w:ascii="宋体" w:hAnsi="宋体" w:cs="TimesNewRomanPSMT"/>
                <w:color w:val="auto"/>
                <w:sz w:val="24"/>
              </w:rPr>
              <w:t>1.1.</w:t>
            </w:r>
            <w:r>
              <w:rPr>
                <w:rFonts w:hint="eastAsia" w:ascii="宋体" w:hAnsi="宋体" w:cs="TimesNewRomanPSMT"/>
                <w:color w:val="auto"/>
                <w:sz w:val="24"/>
              </w:rPr>
              <w:t>1</w:t>
            </w:r>
          </w:p>
        </w:tc>
        <w:tc>
          <w:tcPr>
            <w:tcW w:w="3086" w:type="dxa"/>
            <w:gridSpan w:val="2"/>
            <w:noWrap w:val="0"/>
            <w:vAlign w:val="center"/>
          </w:tcPr>
          <w:p>
            <w:pPr>
              <w:autoSpaceDE w:val="0"/>
              <w:autoSpaceDN w:val="0"/>
              <w:adjustRightInd w:val="0"/>
              <w:jc w:val="center"/>
              <w:rPr>
                <w:rFonts w:hint="eastAsia" w:ascii="宋体" w:hAnsi="宋体" w:cs="仿宋_GB2312"/>
                <w:color w:val="auto"/>
                <w:kern w:val="0"/>
                <w:sz w:val="24"/>
              </w:rPr>
            </w:pPr>
            <w:r>
              <w:rPr>
                <w:rFonts w:hint="eastAsia" w:ascii="宋体" w:hAnsi="宋体" w:cs="仿宋_GB2312"/>
                <w:color w:val="auto"/>
                <w:sz w:val="24"/>
              </w:rPr>
              <w:t>招标人</w:t>
            </w:r>
          </w:p>
        </w:tc>
        <w:tc>
          <w:tcPr>
            <w:tcW w:w="5905" w:type="dxa"/>
            <w:gridSpan w:val="2"/>
            <w:noWrap w:val="0"/>
            <w:vAlign w:val="center"/>
          </w:tcPr>
          <w:p>
            <w:pPr>
              <w:autoSpaceDE w:val="0"/>
              <w:autoSpaceDN w:val="0"/>
              <w:adjustRightInd w:val="0"/>
              <w:spacing w:line="420" w:lineRule="exact"/>
              <w:jc w:val="left"/>
              <w:rPr>
                <w:rFonts w:hint="eastAsia" w:hAnsi="宋体" w:eastAsia="宋体" w:cs="宋体"/>
                <w:color w:val="auto"/>
                <w:sz w:val="24"/>
                <w:lang w:eastAsia="zh-CN"/>
              </w:rPr>
            </w:pPr>
            <w:r>
              <w:rPr>
                <w:rFonts w:hint="eastAsia" w:hAnsi="宋体" w:eastAsia="宋体" w:cs="宋体"/>
                <w:color w:val="auto"/>
                <w:sz w:val="24"/>
              </w:rPr>
              <w:t>招 标 人：</w:t>
            </w:r>
            <w:r>
              <w:rPr>
                <w:rFonts w:hint="eastAsia" w:hAnsi="宋体" w:eastAsia="宋体" w:cs="宋体"/>
                <w:color w:val="auto"/>
                <w:sz w:val="24"/>
                <w:lang w:eastAsia="zh-CN"/>
              </w:rPr>
              <w:t>许昌市东城区市政管理中心</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地    址：许昌市新兴东路    </w:t>
            </w:r>
          </w:p>
          <w:p>
            <w:pPr>
              <w:autoSpaceDE w:val="0"/>
              <w:autoSpaceDN w:val="0"/>
              <w:adjustRightInd w:val="0"/>
              <w:spacing w:line="420" w:lineRule="exact"/>
              <w:jc w:val="left"/>
              <w:rPr>
                <w:rFonts w:hint="eastAsia" w:hAnsi="宋体" w:eastAsia="宋体" w:cs="宋体"/>
                <w:color w:val="auto"/>
                <w:sz w:val="24"/>
                <w:lang w:eastAsia="zh-CN"/>
              </w:rPr>
            </w:pPr>
            <w:r>
              <w:rPr>
                <w:rFonts w:hint="eastAsia" w:hAnsi="宋体" w:eastAsia="宋体" w:cs="宋体"/>
                <w:color w:val="auto"/>
                <w:sz w:val="24"/>
              </w:rPr>
              <w:t>联 系 人：</w:t>
            </w:r>
            <w:r>
              <w:rPr>
                <w:rFonts w:hint="eastAsia" w:hAnsi="宋体" w:eastAsia="宋体" w:cs="宋体"/>
                <w:color w:val="auto"/>
                <w:sz w:val="24"/>
                <w:lang w:val="en-US" w:eastAsia="zh-CN"/>
              </w:rPr>
              <w:t>徐女士</w:t>
            </w:r>
          </w:p>
          <w:p>
            <w:pPr>
              <w:autoSpaceDE w:val="0"/>
              <w:autoSpaceDN w:val="0"/>
              <w:adjustRightInd w:val="0"/>
              <w:spacing w:line="420" w:lineRule="exact"/>
              <w:jc w:val="left"/>
              <w:rPr>
                <w:rFonts w:ascii="宋体" w:hAnsi="宋体" w:cs="仿宋_GB2312"/>
                <w:color w:val="auto"/>
                <w:sz w:val="24"/>
              </w:rPr>
            </w:pPr>
            <w:r>
              <w:rPr>
                <w:rFonts w:hint="eastAsia" w:hAnsi="宋体" w:eastAsia="宋体" w:cs="宋体"/>
                <w:color w:val="auto"/>
                <w:sz w:val="24"/>
              </w:rPr>
              <w:t>联系电话：0374-2956825</w:t>
            </w:r>
            <w:r>
              <w:rPr>
                <w:rFonts w:hint="eastAsia" w:hAnsi="宋体" w:eastAsia="宋体" w:cs="宋体"/>
                <w:color w:val="auto"/>
                <w:sz w:val="24"/>
                <w:lang w:val="en-US" w:eastAsia="zh-CN"/>
              </w:rPr>
              <w:t xml:space="preserve"> </w:t>
            </w:r>
            <w:r>
              <w:rPr>
                <w:rFonts w:hint="eastAsia" w:hAnsi="宋体" w:eastAsia="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51" w:type="dxa"/>
            <w:gridSpan w:val="2"/>
            <w:noWrap w:val="0"/>
            <w:vAlign w:val="center"/>
          </w:tcPr>
          <w:p>
            <w:pPr>
              <w:autoSpaceDE w:val="0"/>
              <w:autoSpaceDN w:val="0"/>
              <w:adjustRightInd w:val="0"/>
              <w:jc w:val="center"/>
              <w:rPr>
                <w:rFonts w:hint="eastAsia" w:ascii="宋体" w:hAnsi="宋体" w:cs="仿宋_GB2312"/>
                <w:color w:val="auto"/>
                <w:kern w:val="0"/>
                <w:sz w:val="24"/>
              </w:rPr>
            </w:pPr>
            <w:r>
              <w:rPr>
                <w:rFonts w:hint="eastAsia" w:ascii="宋体" w:hAnsi="宋体" w:cs="TimesNewRomanPSMT"/>
                <w:color w:val="auto"/>
                <w:sz w:val="24"/>
              </w:rPr>
              <w:t>1.1.2</w:t>
            </w:r>
          </w:p>
        </w:tc>
        <w:tc>
          <w:tcPr>
            <w:tcW w:w="3086" w:type="dxa"/>
            <w:gridSpan w:val="2"/>
            <w:noWrap w:val="0"/>
            <w:vAlign w:val="center"/>
          </w:tcPr>
          <w:p>
            <w:pPr>
              <w:autoSpaceDE w:val="0"/>
              <w:autoSpaceDN w:val="0"/>
              <w:adjustRightInd w:val="0"/>
              <w:jc w:val="center"/>
              <w:rPr>
                <w:rFonts w:hint="eastAsia" w:ascii="宋体" w:hAnsi="宋体" w:cs="仿宋_GB2312"/>
                <w:color w:val="auto"/>
                <w:kern w:val="0"/>
                <w:sz w:val="24"/>
              </w:rPr>
            </w:pPr>
            <w:r>
              <w:rPr>
                <w:rFonts w:hint="eastAsia" w:ascii="宋体" w:hAnsi="宋体" w:cs="黑体"/>
                <w:color w:val="auto"/>
                <w:sz w:val="24"/>
              </w:rPr>
              <w:t>招标代理机构</w:t>
            </w:r>
          </w:p>
        </w:tc>
        <w:tc>
          <w:tcPr>
            <w:tcW w:w="5905" w:type="dxa"/>
            <w:gridSpan w:val="2"/>
            <w:noWrap w:val="0"/>
            <w:vAlign w:val="center"/>
          </w:tcPr>
          <w:p>
            <w:pPr>
              <w:autoSpaceDE w:val="0"/>
              <w:autoSpaceDN w:val="0"/>
              <w:adjustRightInd w:val="0"/>
              <w:spacing w:line="420" w:lineRule="exact"/>
              <w:jc w:val="left"/>
              <w:rPr>
                <w:rFonts w:hint="eastAsia" w:hAnsi="宋体" w:eastAsia="宋体" w:cs="宋体"/>
                <w:color w:val="auto"/>
                <w:sz w:val="24"/>
                <w:lang w:eastAsia="zh-CN"/>
              </w:rPr>
            </w:pPr>
            <w:r>
              <w:rPr>
                <w:rFonts w:hint="eastAsia" w:hAnsi="宋体" w:eastAsia="宋体" w:cs="宋体"/>
                <w:color w:val="auto"/>
                <w:sz w:val="24"/>
              </w:rPr>
              <w:t>代理机构：</w:t>
            </w:r>
            <w:r>
              <w:rPr>
                <w:rFonts w:hint="eastAsia" w:hAnsi="宋体" w:eastAsia="宋体" w:cs="宋体"/>
                <w:color w:val="auto"/>
                <w:sz w:val="24"/>
                <w:lang w:eastAsia="zh-CN"/>
              </w:rPr>
              <w:t>河南华采工程管理有限公司</w:t>
            </w:r>
          </w:p>
          <w:p>
            <w:pPr>
              <w:autoSpaceDE w:val="0"/>
              <w:autoSpaceDN w:val="0"/>
              <w:adjustRightInd w:val="0"/>
              <w:spacing w:line="420" w:lineRule="exact"/>
              <w:jc w:val="left"/>
              <w:rPr>
                <w:rFonts w:hint="eastAsia" w:hAnsi="宋体" w:eastAsia="宋体" w:cs="宋体"/>
                <w:color w:val="auto"/>
                <w:sz w:val="24"/>
                <w:lang w:eastAsia="zh-CN"/>
              </w:rPr>
            </w:pPr>
            <w:r>
              <w:rPr>
                <w:rFonts w:hint="eastAsia" w:hAnsi="宋体" w:eastAsia="宋体" w:cs="宋体"/>
                <w:color w:val="auto"/>
                <w:sz w:val="24"/>
              </w:rPr>
              <w:t>地址：许昌市</w:t>
            </w:r>
            <w:r>
              <w:rPr>
                <w:rFonts w:hint="eastAsia" w:hAnsi="宋体" w:eastAsia="宋体" w:cs="宋体"/>
                <w:color w:val="auto"/>
                <w:sz w:val="24"/>
                <w:lang w:eastAsia="zh-CN"/>
              </w:rPr>
              <w:t>新许路建设银行三楼</w:t>
            </w:r>
          </w:p>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联系人：</w:t>
            </w:r>
            <w:r>
              <w:rPr>
                <w:rFonts w:hint="eastAsia" w:hAnsi="宋体" w:eastAsia="宋体" w:cs="宋体"/>
                <w:color w:val="auto"/>
                <w:sz w:val="24"/>
                <w:lang w:eastAsia="zh-CN"/>
              </w:rPr>
              <w:t>户</w:t>
            </w:r>
            <w:r>
              <w:rPr>
                <w:rFonts w:hint="eastAsia" w:hAnsi="宋体" w:eastAsia="宋体" w:cs="宋体"/>
                <w:color w:val="auto"/>
                <w:sz w:val="24"/>
              </w:rPr>
              <w:t>女士</w:t>
            </w:r>
          </w:p>
          <w:p>
            <w:pPr>
              <w:autoSpaceDE w:val="0"/>
              <w:autoSpaceDN w:val="0"/>
              <w:adjustRightInd w:val="0"/>
              <w:spacing w:line="420" w:lineRule="exact"/>
              <w:jc w:val="left"/>
              <w:rPr>
                <w:rFonts w:ascii="宋体" w:hAnsi="宋体" w:cs="仿宋_GB2312"/>
                <w:color w:val="auto"/>
                <w:sz w:val="24"/>
              </w:rPr>
            </w:pPr>
            <w:r>
              <w:rPr>
                <w:rFonts w:hint="eastAsia" w:hAnsi="宋体" w:eastAsia="宋体" w:cs="宋体"/>
                <w:color w:val="auto"/>
                <w:sz w:val="24"/>
              </w:rPr>
              <w:t>电话：</w:t>
            </w:r>
            <w:r>
              <w:rPr>
                <w:rFonts w:hint="eastAsia" w:hAnsi="宋体" w:eastAsia="宋体" w:cs="宋体"/>
                <w:color w:val="auto"/>
                <w:sz w:val="24"/>
                <w:lang w:val="en-US" w:eastAsia="zh-CN"/>
              </w:rPr>
              <w:t>13137420261</w:t>
            </w:r>
            <w:r>
              <w:rPr>
                <w:rFonts w:hint="eastAsia" w:hAnsi="宋体" w:eastAsia="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1.1.4</w:t>
            </w:r>
          </w:p>
        </w:tc>
        <w:tc>
          <w:tcPr>
            <w:tcW w:w="3086" w:type="dxa"/>
            <w:gridSpan w:val="2"/>
            <w:noWrap w:val="0"/>
            <w:vAlign w:val="center"/>
          </w:tcPr>
          <w:p>
            <w:pPr>
              <w:widowControl/>
              <w:spacing w:line="440" w:lineRule="exact"/>
              <w:jc w:val="center"/>
              <w:rPr>
                <w:rFonts w:hint="eastAsia" w:ascii="宋体" w:hAnsi="宋体" w:cs="宋体"/>
                <w:color w:val="auto"/>
                <w:sz w:val="24"/>
              </w:rPr>
            </w:pPr>
            <w:r>
              <w:rPr>
                <w:rFonts w:hint="eastAsia" w:ascii="宋体" w:hAnsi="宋体" w:cs="宋体"/>
                <w:color w:val="auto"/>
                <w:sz w:val="24"/>
              </w:rPr>
              <w:t>项目名称</w:t>
            </w:r>
          </w:p>
        </w:tc>
        <w:tc>
          <w:tcPr>
            <w:tcW w:w="5905" w:type="dxa"/>
            <w:gridSpan w:val="2"/>
            <w:noWrap w:val="0"/>
            <w:vAlign w:val="center"/>
          </w:tcPr>
          <w:p>
            <w:pPr>
              <w:rPr>
                <w:rFonts w:hint="eastAsia" w:ascii="宋体" w:hAnsi="宋体" w:eastAsia="宋体" w:cs="宋体"/>
                <w:color w:val="auto"/>
                <w:sz w:val="24"/>
                <w:lang w:eastAsia="zh-CN"/>
              </w:rPr>
            </w:pPr>
            <w:r>
              <w:rPr>
                <w:rFonts w:hint="eastAsia" w:hAnsi="宋体" w:eastAsia="宋体" w:cs="宋体"/>
                <w:bCs/>
                <w:color w:val="auto"/>
                <w:sz w:val="24"/>
                <w:szCs w:val="24"/>
                <w:lang w:eastAsia="zh-CN"/>
              </w:rPr>
              <w:t>许昌市东城区市政管理中心“裸露黄土有机覆盖物铺设工程”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51" w:type="dxa"/>
            <w:gridSpan w:val="2"/>
            <w:noWrap w:val="0"/>
            <w:vAlign w:val="center"/>
          </w:tcPr>
          <w:p>
            <w:pPr>
              <w:jc w:val="center"/>
              <w:rPr>
                <w:rFonts w:hint="eastAsia" w:ascii="宋体" w:hAnsi="宋体" w:cs="仿宋_GB2312"/>
                <w:color w:val="auto"/>
                <w:kern w:val="0"/>
                <w:sz w:val="24"/>
              </w:rPr>
            </w:pPr>
            <w:r>
              <w:rPr>
                <w:rFonts w:hint="eastAsia" w:ascii="宋体" w:hAnsi="宋体" w:cs="仿宋_GB2312"/>
                <w:color w:val="auto"/>
                <w:kern w:val="0"/>
                <w:sz w:val="24"/>
              </w:rPr>
              <w:t>1.1.5</w:t>
            </w:r>
          </w:p>
        </w:tc>
        <w:tc>
          <w:tcPr>
            <w:tcW w:w="3086" w:type="dxa"/>
            <w:gridSpan w:val="2"/>
            <w:noWrap w:val="0"/>
            <w:vAlign w:val="center"/>
          </w:tcPr>
          <w:p>
            <w:pPr>
              <w:jc w:val="center"/>
              <w:rPr>
                <w:rFonts w:hint="eastAsia" w:ascii="宋体" w:hAnsi="宋体" w:cs="仿宋_GB2312"/>
                <w:color w:val="auto"/>
                <w:kern w:val="0"/>
                <w:sz w:val="24"/>
              </w:rPr>
            </w:pPr>
            <w:r>
              <w:rPr>
                <w:rFonts w:hint="eastAsia" w:ascii="宋体" w:hAnsi="宋体" w:cs="仿宋_GB2312"/>
                <w:color w:val="auto"/>
                <w:kern w:val="0"/>
                <w:sz w:val="24"/>
              </w:rPr>
              <w:t>建设地点</w:t>
            </w:r>
          </w:p>
        </w:tc>
        <w:tc>
          <w:tcPr>
            <w:tcW w:w="5905" w:type="dxa"/>
            <w:gridSpan w:val="2"/>
            <w:noWrap w:val="0"/>
            <w:vAlign w:val="center"/>
          </w:tcPr>
          <w:p>
            <w:pPr>
              <w:autoSpaceDE w:val="0"/>
              <w:autoSpaceDN w:val="0"/>
              <w:adjustRightInd w:val="0"/>
              <w:spacing w:line="420" w:lineRule="exact"/>
              <w:jc w:val="left"/>
              <w:rPr>
                <w:rFonts w:ascii="宋体" w:hAnsi="宋体" w:cs="宋体"/>
                <w:color w:val="auto"/>
                <w:sz w:val="24"/>
              </w:rPr>
            </w:pPr>
            <w:r>
              <w:rPr>
                <w:rFonts w:hint="eastAsia" w:hAnsi="宋体" w:eastAsia="宋体" w:cs="宋体"/>
                <w:color w:val="auto"/>
                <w:sz w:val="24"/>
                <w:lang w:eastAsia="zh-CN"/>
              </w:rPr>
              <w:t>许昌市东城区游园广场、道路绿化带</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1.2.1</w:t>
            </w:r>
          </w:p>
        </w:tc>
        <w:tc>
          <w:tcPr>
            <w:tcW w:w="3086" w:type="dxa"/>
            <w:gridSpan w:val="2"/>
            <w:noWrap w:val="0"/>
            <w:vAlign w:val="center"/>
          </w:tcPr>
          <w:p>
            <w:pPr>
              <w:jc w:val="center"/>
              <w:rPr>
                <w:rFonts w:hint="eastAsia" w:ascii="宋体" w:hAnsi="宋体" w:cs="仿宋_GB2312"/>
                <w:color w:val="auto"/>
                <w:kern w:val="0"/>
                <w:sz w:val="24"/>
              </w:rPr>
            </w:pPr>
            <w:r>
              <w:rPr>
                <w:rFonts w:hint="eastAsia" w:ascii="宋体" w:hAnsi="宋体" w:cs="仿宋_GB2312"/>
                <w:color w:val="auto"/>
                <w:kern w:val="0"/>
                <w:sz w:val="24"/>
              </w:rPr>
              <w:t>资金来源</w:t>
            </w:r>
          </w:p>
        </w:tc>
        <w:tc>
          <w:tcPr>
            <w:tcW w:w="5905" w:type="dxa"/>
            <w:gridSpan w:val="2"/>
            <w:noWrap w:val="0"/>
            <w:vAlign w:val="center"/>
          </w:tcPr>
          <w:p>
            <w:pPr>
              <w:autoSpaceDE w:val="0"/>
              <w:autoSpaceDN w:val="0"/>
              <w:adjustRightInd w:val="0"/>
              <w:spacing w:line="320" w:lineRule="exact"/>
              <w:rPr>
                <w:rFonts w:ascii="宋体" w:hAnsi="宋体"/>
                <w:color w:val="auto"/>
                <w:sz w:val="24"/>
              </w:rPr>
            </w:pPr>
            <w:r>
              <w:rPr>
                <w:rFonts w:hint="eastAsia" w:ascii="宋体" w:hAnsi="宋体" w:cs="黑体"/>
                <w:color w:val="auto"/>
                <w:kern w:val="0"/>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1.2.2</w:t>
            </w:r>
          </w:p>
        </w:tc>
        <w:tc>
          <w:tcPr>
            <w:tcW w:w="3086"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出资比例</w:t>
            </w:r>
          </w:p>
        </w:tc>
        <w:tc>
          <w:tcPr>
            <w:tcW w:w="5905" w:type="dxa"/>
            <w:gridSpan w:val="2"/>
            <w:noWrap w:val="0"/>
            <w:vAlign w:val="center"/>
          </w:tcPr>
          <w:p>
            <w:pPr>
              <w:autoSpaceDE w:val="0"/>
              <w:autoSpaceDN w:val="0"/>
              <w:adjustRightInd w:val="0"/>
              <w:spacing w:line="320" w:lineRule="exact"/>
              <w:rPr>
                <w:rFonts w:ascii="宋体" w:hAnsi="宋体" w:cs="黑体"/>
                <w:color w:val="auto"/>
                <w:sz w:val="24"/>
              </w:rPr>
            </w:pPr>
            <w:r>
              <w:rPr>
                <w:rFonts w:hint="eastAsia" w:ascii="宋体" w:hAnsi="宋体"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1.2.3</w:t>
            </w:r>
          </w:p>
        </w:tc>
        <w:tc>
          <w:tcPr>
            <w:tcW w:w="3086"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资金落实情况</w:t>
            </w:r>
          </w:p>
        </w:tc>
        <w:tc>
          <w:tcPr>
            <w:tcW w:w="5905" w:type="dxa"/>
            <w:gridSpan w:val="2"/>
            <w:noWrap w:val="0"/>
            <w:vAlign w:val="center"/>
          </w:tcPr>
          <w:p>
            <w:pPr>
              <w:autoSpaceDE w:val="0"/>
              <w:autoSpaceDN w:val="0"/>
              <w:adjustRightInd w:val="0"/>
              <w:spacing w:line="420" w:lineRule="exact"/>
              <w:rPr>
                <w:rFonts w:hint="eastAsia" w:ascii="宋体" w:hAnsi="宋体" w:cs="黑体"/>
                <w:color w:val="auto"/>
                <w:kern w:val="0"/>
                <w:sz w:val="24"/>
              </w:rPr>
            </w:pPr>
            <w:r>
              <w:rPr>
                <w:rFonts w:hint="eastAsia" w:ascii="宋体" w:hAnsi="宋体" w:cs="仿宋_GB2312"/>
                <w:color w:val="auto"/>
                <w:kern w:val="0"/>
                <w:sz w:val="24"/>
              </w:rPr>
              <w:t>已经落实</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1.3.1</w:t>
            </w:r>
          </w:p>
        </w:tc>
        <w:tc>
          <w:tcPr>
            <w:tcW w:w="3086" w:type="dxa"/>
            <w:gridSpan w:val="2"/>
            <w:noWrap w:val="0"/>
            <w:vAlign w:val="center"/>
          </w:tcPr>
          <w:p>
            <w:pPr>
              <w:jc w:val="center"/>
              <w:rPr>
                <w:rFonts w:hint="eastAsia" w:ascii="宋体" w:hAnsi="宋体" w:cs="仿宋_GB2312"/>
                <w:color w:val="auto"/>
                <w:kern w:val="0"/>
                <w:sz w:val="24"/>
              </w:rPr>
            </w:pPr>
            <w:r>
              <w:rPr>
                <w:rFonts w:hint="eastAsia" w:ascii="宋体" w:hAnsi="宋体" w:cs="仿宋_GB2312"/>
                <w:color w:val="auto"/>
                <w:kern w:val="0"/>
                <w:sz w:val="24"/>
              </w:rPr>
              <w:t>监理范围</w:t>
            </w:r>
          </w:p>
        </w:tc>
        <w:tc>
          <w:tcPr>
            <w:tcW w:w="5905" w:type="dxa"/>
            <w:gridSpan w:val="2"/>
            <w:tcBorders>
              <w:bottom w:val="single" w:color="auto" w:sz="4" w:space="0"/>
            </w:tcBorders>
            <w:noWrap w:val="0"/>
            <w:vAlign w:val="center"/>
          </w:tcPr>
          <w:p>
            <w:pPr>
              <w:rPr>
                <w:rFonts w:hint="eastAsia" w:ascii="宋体" w:hAnsi="宋体" w:cs="仿宋_GB2312"/>
                <w:color w:val="auto"/>
                <w:kern w:val="0"/>
                <w:sz w:val="24"/>
              </w:rPr>
            </w:pPr>
            <w:r>
              <w:rPr>
                <w:rFonts w:hint="eastAsia" w:hAnsi="宋体" w:cs="宋体"/>
                <w:color w:val="auto"/>
                <w:sz w:val="24"/>
              </w:rPr>
              <w:t>为本项目施工及保修阶段全过程监理工作。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1.3.2</w:t>
            </w:r>
          </w:p>
        </w:tc>
        <w:tc>
          <w:tcPr>
            <w:tcW w:w="3086" w:type="dxa"/>
            <w:gridSpan w:val="2"/>
            <w:tcBorders>
              <w:right w:val="single" w:color="auto" w:sz="4" w:space="0"/>
            </w:tcBorders>
            <w:noWrap w:val="0"/>
            <w:vAlign w:val="center"/>
          </w:tcPr>
          <w:p>
            <w:pPr>
              <w:autoSpaceDE w:val="0"/>
              <w:autoSpaceDN w:val="0"/>
              <w:adjustRightInd w:val="0"/>
              <w:spacing w:line="460" w:lineRule="exact"/>
              <w:jc w:val="center"/>
              <w:rPr>
                <w:rFonts w:hint="eastAsia" w:ascii="宋体" w:hAnsi="宋体" w:cs="仿宋_GB2312"/>
                <w:color w:val="auto"/>
                <w:kern w:val="0"/>
                <w:sz w:val="24"/>
              </w:rPr>
            </w:pPr>
            <w:r>
              <w:rPr>
                <w:rFonts w:hint="eastAsia" w:ascii="宋体" w:hAnsi="宋体" w:cs="仿宋_GB2312"/>
                <w:color w:val="auto"/>
                <w:kern w:val="0"/>
                <w:sz w:val="24"/>
              </w:rPr>
              <w:t>监理服务期</w:t>
            </w:r>
          </w:p>
        </w:tc>
        <w:tc>
          <w:tcPr>
            <w:tcW w:w="590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rPr>
                <w:rFonts w:hint="eastAsia" w:ascii="宋体" w:hAnsi="宋体" w:cs="仿宋_GB2312"/>
                <w:color w:val="auto"/>
                <w:kern w:val="0"/>
                <w:sz w:val="24"/>
              </w:rPr>
            </w:pPr>
            <w:r>
              <w:rPr>
                <w:rFonts w:hint="eastAsia" w:ascii="宋体" w:hAnsi="宋体" w:cs="宋体"/>
                <w:bCs/>
                <w:color w:val="auto"/>
                <w:sz w:val="24"/>
              </w:rPr>
              <w:t>同施工工期。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1.3.3</w:t>
            </w:r>
          </w:p>
        </w:tc>
        <w:tc>
          <w:tcPr>
            <w:tcW w:w="3086" w:type="dxa"/>
            <w:gridSpan w:val="2"/>
            <w:noWrap w:val="0"/>
            <w:vAlign w:val="center"/>
          </w:tcPr>
          <w:p>
            <w:pPr>
              <w:ind w:right="-1047" w:rightChars="-308" w:firstLine="960" w:firstLineChars="400"/>
              <w:rPr>
                <w:rFonts w:hint="eastAsia" w:ascii="宋体" w:hAnsi="宋体" w:cs="仿宋_GB2312"/>
                <w:color w:val="auto"/>
                <w:kern w:val="0"/>
                <w:sz w:val="24"/>
              </w:rPr>
            </w:pPr>
            <w:r>
              <w:rPr>
                <w:rFonts w:hint="eastAsia" w:ascii="宋体" w:hAnsi="宋体" w:cs="仿宋_GB2312"/>
                <w:color w:val="auto"/>
                <w:kern w:val="0"/>
                <w:sz w:val="24"/>
              </w:rPr>
              <w:t>质量要求</w:t>
            </w:r>
          </w:p>
        </w:tc>
        <w:tc>
          <w:tcPr>
            <w:tcW w:w="5905" w:type="dxa"/>
            <w:gridSpan w:val="2"/>
            <w:noWrap w:val="0"/>
            <w:vAlign w:val="center"/>
          </w:tcPr>
          <w:p>
            <w:pPr>
              <w:ind w:right="-1047" w:rightChars="-308"/>
              <w:rPr>
                <w:rFonts w:hint="eastAsia" w:ascii="宋体" w:hAnsi="宋体" w:cs="仿宋_GB2312"/>
                <w:color w:val="auto"/>
                <w:kern w:val="0"/>
                <w:sz w:val="24"/>
              </w:rPr>
            </w:pPr>
            <w:r>
              <w:rPr>
                <w:rFonts w:hint="eastAsia" w:hAnsi="宋体" w:cs="宋体"/>
                <w:bCs/>
                <w:color w:val="auto"/>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1.4.1</w:t>
            </w:r>
          </w:p>
        </w:tc>
        <w:tc>
          <w:tcPr>
            <w:tcW w:w="3086" w:type="dxa"/>
            <w:gridSpan w:val="2"/>
            <w:noWrap w:val="0"/>
            <w:vAlign w:val="center"/>
          </w:tcPr>
          <w:p>
            <w:pPr>
              <w:autoSpaceDE w:val="0"/>
              <w:autoSpaceDN w:val="0"/>
              <w:adjustRightInd w:val="0"/>
              <w:spacing w:line="460" w:lineRule="exact"/>
              <w:jc w:val="center"/>
              <w:rPr>
                <w:rFonts w:hint="eastAsia" w:ascii="宋体" w:hAnsi="宋体" w:cs="仿宋_GB2312"/>
                <w:color w:val="auto"/>
                <w:kern w:val="0"/>
                <w:sz w:val="24"/>
              </w:rPr>
            </w:pPr>
            <w:r>
              <w:rPr>
                <w:rFonts w:hint="eastAsia" w:ascii="宋体" w:hAnsi="宋体" w:cs="仿宋_GB2312"/>
                <w:color w:val="auto"/>
                <w:kern w:val="0"/>
                <w:sz w:val="24"/>
              </w:rPr>
              <w:t>投标人资质条件</w:t>
            </w:r>
          </w:p>
        </w:tc>
        <w:tc>
          <w:tcPr>
            <w:tcW w:w="5905" w:type="dxa"/>
            <w:gridSpan w:val="2"/>
            <w:noWrap w:val="0"/>
            <w:vAlign w:val="center"/>
          </w:tcPr>
          <w:p>
            <w:pPr>
              <w:widowControl/>
              <w:spacing w:line="400" w:lineRule="exact"/>
              <w:rPr>
                <w:rFonts w:ascii="宋体" w:hAnsi="宋体"/>
                <w:color w:val="auto"/>
                <w:sz w:val="24"/>
              </w:rPr>
            </w:pPr>
            <w:r>
              <w:rPr>
                <w:rFonts w:hint="eastAsia" w:ascii="宋体" w:hAnsi="宋体"/>
                <w:color w:val="auto"/>
                <w:sz w:val="24"/>
                <w:szCs w:val="22"/>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1.4.2</w:t>
            </w:r>
          </w:p>
        </w:tc>
        <w:tc>
          <w:tcPr>
            <w:tcW w:w="3086" w:type="dxa"/>
            <w:gridSpan w:val="2"/>
            <w:noWrap w:val="0"/>
            <w:vAlign w:val="center"/>
          </w:tcPr>
          <w:p>
            <w:pPr>
              <w:autoSpaceDE w:val="0"/>
              <w:autoSpaceDN w:val="0"/>
              <w:adjustRightInd w:val="0"/>
              <w:spacing w:line="460" w:lineRule="exact"/>
              <w:jc w:val="center"/>
              <w:rPr>
                <w:rFonts w:hint="eastAsia" w:ascii="宋体" w:hAnsi="宋体" w:cs="仿宋_GB2312"/>
                <w:color w:val="auto"/>
                <w:kern w:val="0"/>
                <w:sz w:val="24"/>
              </w:rPr>
            </w:pPr>
            <w:r>
              <w:rPr>
                <w:rFonts w:hint="eastAsia" w:ascii="宋体" w:hAnsi="宋体" w:cs="仿宋_GB2312"/>
                <w:color w:val="auto"/>
                <w:kern w:val="0"/>
                <w:sz w:val="24"/>
              </w:rPr>
              <w:t>是否接受联合体投标</w:t>
            </w:r>
          </w:p>
        </w:tc>
        <w:tc>
          <w:tcPr>
            <w:tcW w:w="5905" w:type="dxa"/>
            <w:gridSpan w:val="2"/>
            <w:noWrap w:val="0"/>
            <w:vAlign w:val="top"/>
          </w:tcPr>
          <w:p>
            <w:pPr>
              <w:autoSpaceDE w:val="0"/>
              <w:autoSpaceDN w:val="0"/>
              <w:adjustRightInd w:val="0"/>
              <w:spacing w:line="420" w:lineRule="exact"/>
              <w:jc w:val="left"/>
              <w:rPr>
                <w:rFonts w:ascii="宋体" w:hAnsi="宋体"/>
                <w:color w:val="auto"/>
                <w:sz w:val="24"/>
              </w:rPr>
            </w:pPr>
            <w:r>
              <w:rPr>
                <w:rFonts w:hint="eastAsia" w:ascii="宋体" w:hAnsi="宋体" w:cs="仿宋_GB2312"/>
                <w:color w:val="auto"/>
                <w:kern w:val="0"/>
                <w:sz w:val="24"/>
              </w:rPr>
              <w:t>不接受</w:t>
            </w:r>
            <w:r>
              <w:rPr>
                <w:rFonts w:hint="eastAsia" w:ascii="宋体" w:hAnsi="宋体" w:cs="宋体"/>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1.9.1</w:t>
            </w:r>
          </w:p>
        </w:tc>
        <w:tc>
          <w:tcPr>
            <w:tcW w:w="3086"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踏勘现场</w:t>
            </w:r>
          </w:p>
        </w:tc>
        <w:tc>
          <w:tcPr>
            <w:tcW w:w="5905" w:type="dxa"/>
            <w:gridSpan w:val="2"/>
            <w:noWrap w:val="0"/>
            <w:vAlign w:val="top"/>
          </w:tcPr>
          <w:p>
            <w:pPr>
              <w:spacing w:line="312" w:lineRule="auto"/>
              <w:rPr>
                <w:rFonts w:ascii="宋体" w:hAnsi="宋体"/>
                <w:color w:val="auto"/>
                <w:sz w:val="24"/>
              </w:rPr>
            </w:pPr>
            <w:r>
              <w:rPr>
                <w:rFonts w:hint="eastAsia" w:ascii="宋体" w:hAnsi="宋体" w:cs="仿宋_GB2312"/>
                <w:color w:val="auto"/>
                <w:kern w:val="0"/>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jc w:val="center"/>
              <w:rPr>
                <w:rFonts w:hint="eastAsia" w:ascii="宋体" w:hAnsi="宋体" w:cs="TimesNewRomanPSMT"/>
                <w:color w:val="auto"/>
                <w:kern w:val="0"/>
                <w:sz w:val="24"/>
              </w:rPr>
            </w:pPr>
            <w:r>
              <w:rPr>
                <w:rFonts w:hint="eastAsia" w:ascii="宋体" w:hAnsi="宋体" w:cs="仿宋_GB2312"/>
                <w:color w:val="auto"/>
                <w:kern w:val="0"/>
                <w:sz w:val="24"/>
              </w:rPr>
              <w:t>1.10.1</w:t>
            </w:r>
          </w:p>
        </w:tc>
        <w:tc>
          <w:tcPr>
            <w:tcW w:w="3086" w:type="dxa"/>
            <w:gridSpan w:val="2"/>
            <w:noWrap w:val="0"/>
            <w:vAlign w:val="center"/>
          </w:tcPr>
          <w:p>
            <w:pPr>
              <w:jc w:val="center"/>
              <w:rPr>
                <w:rFonts w:hint="eastAsia" w:ascii="宋体" w:hAnsi="宋体" w:cs="仿宋_GB2312"/>
                <w:color w:val="auto"/>
                <w:kern w:val="0"/>
                <w:sz w:val="24"/>
              </w:rPr>
            </w:pPr>
            <w:r>
              <w:rPr>
                <w:rFonts w:hint="eastAsia" w:ascii="宋体" w:hAnsi="宋体" w:cs="仿宋_GB2312"/>
                <w:color w:val="auto"/>
                <w:kern w:val="0"/>
                <w:sz w:val="24"/>
              </w:rPr>
              <w:t>投标预备会</w:t>
            </w:r>
          </w:p>
        </w:tc>
        <w:tc>
          <w:tcPr>
            <w:tcW w:w="5905" w:type="dxa"/>
            <w:gridSpan w:val="2"/>
            <w:noWrap w:val="0"/>
            <w:vAlign w:val="top"/>
          </w:tcPr>
          <w:p>
            <w:pPr>
              <w:spacing w:line="312" w:lineRule="auto"/>
              <w:rPr>
                <w:rFonts w:ascii="宋体" w:hAnsi="宋体"/>
                <w:color w:val="auto"/>
                <w:sz w:val="24"/>
              </w:rPr>
            </w:pPr>
            <w:r>
              <w:rPr>
                <w:rFonts w:hint="eastAsia" w:ascii="宋体" w:hAnsi="宋体" w:cs="仿宋_GB2312"/>
                <w:color w:val="auto"/>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spacing w:line="360" w:lineRule="auto"/>
              <w:jc w:val="center"/>
              <w:rPr>
                <w:rFonts w:hint="eastAsia" w:ascii="宋体" w:hAnsi="宋体"/>
                <w:color w:val="auto"/>
                <w:sz w:val="24"/>
              </w:rPr>
            </w:pPr>
            <w:r>
              <w:rPr>
                <w:rFonts w:hint="eastAsia" w:ascii="宋体" w:hAnsi="宋体"/>
                <w:color w:val="auto"/>
                <w:sz w:val="24"/>
              </w:rPr>
              <w:t>1.10.2</w:t>
            </w:r>
          </w:p>
        </w:tc>
        <w:tc>
          <w:tcPr>
            <w:tcW w:w="3086" w:type="dxa"/>
            <w:gridSpan w:val="2"/>
            <w:noWrap w:val="0"/>
            <w:vAlign w:val="center"/>
          </w:tcPr>
          <w:p>
            <w:pPr>
              <w:autoSpaceDE w:val="0"/>
              <w:autoSpaceDN w:val="0"/>
              <w:adjustRightInd w:val="0"/>
              <w:spacing w:line="420" w:lineRule="exact"/>
              <w:jc w:val="center"/>
              <w:rPr>
                <w:rFonts w:hint="eastAsia" w:ascii="宋体" w:hAnsi="宋体"/>
                <w:color w:val="auto"/>
                <w:sz w:val="24"/>
              </w:rPr>
            </w:pPr>
            <w:r>
              <w:rPr>
                <w:rFonts w:hint="eastAsia" w:ascii="宋体" w:hAnsi="宋体" w:cs="仿宋_GB2312"/>
                <w:color w:val="auto"/>
                <w:sz w:val="24"/>
              </w:rPr>
              <w:t>投标人提出问题的截止时间</w:t>
            </w:r>
          </w:p>
        </w:tc>
        <w:tc>
          <w:tcPr>
            <w:tcW w:w="5905" w:type="dxa"/>
            <w:gridSpan w:val="2"/>
            <w:noWrap w:val="0"/>
            <w:vAlign w:val="center"/>
          </w:tcPr>
          <w:p>
            <w:pPr>
              <w:autoSpaceDE w:val="0"/>
              <w:autoSpaceDN w:val="0"/>
              <w:adjustRightInd w:val="0"/>
              <w:spacing w:line="420" w:lineRule="exact"/>
              <w:jc w:val="left"/>
              <w:rPr>
                <w:rFonts w:hint="eastAsia" w:ascii="宋体" w:hAnsi="宋体"/>
                <w:color w:val="auto"/>
                <w:sz w:val="24"/>
              </w:rPr>
            </w:pPr>
            <w:r>
              <w:rPr>
                <w:rFonts w:hint="eastAsia" w:ascii="宋体" w:hAnsi="宋体" w:cs="仿宋_GB2312"/>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spacing w:line="360" w:lineRule="auto"/>
              <w:jc w:val="center"/>
              <w:rPr>
                <w:rFonts w:hint="eastAsia" w:ascii="宋体" w:hAnsi="宋体"/>
                <w:color w:val="auto"/>
                <w:sz w:val="24"/>
              </w:rPr>
            </w:pPr>
            <w:r>
              <w:rPr>
                <w:rFonts w:hint="eastAsia" w:ascii="宋体" w:hAnsi="宋体"/>
                <w:color w:val="auto"/>
                <w:sz w:val="24"/>
              </w:rPr>
              <w:t>1.10.3</w:t>
            </w:r>
          </w:p>
        </w:tc>
        <w:tc>
          <w:tcPr>
            <w:tcW w:w="3086" w:type="dxa"/>
            <w:gridSpan w:val="2"/>
            <w:noWrap w:val="0"/>
            <w:vAlign w:val="center"/>
          </w:tcPr>
          <w:p>
            <w:pPr>
              <w:jc w:val="center"/>
              <w:rPr>
                <w:rFonts w:hint="eastAsia" w:ascii="宋体" w:hAnsi="宋体"/>
                <w:color w:val="auto"/>
                <w:sz w:val="24"/>
              </w:rPr>
            </w:pPr>
            <w:r>
              <w:rPr>
                <w:rFonts w:hint="eastAsia" w:ascii="宋体" w:hAnsi="宋体"/>
                <w:color w:val="auto"/>
                <w:sz w:val="24"/>
              </w:rPr>
              <w:t>招标人澄清的时间</w:t>
            </w:r>
          </w:p>
        </w:tc>
        <w:tc>
          <w:tcPr>
            <w:tcW w:w="5905" w:type="dxa"/>
            <w:gridSpan w:val="2"/>
            <w:noWrap w:val="0"/>
            <w:vAlign w:val="center"/>
          </w:tcPr>
          <w:p>
            <w:pPr>
              <w:rPr>
                <w:rFonts w:hint="eastAsia" w:ascii="宋体" w:hAnsi="宋体"/>
                <w:color w:val="auto"/>
                <w:sz w:val="24"/>
              </w:rPr>
            </w:pPr>
            <w:r>
              <w:rPr>
                <w:rFonts w:hint="eastAsia" w:ascii="宋体" w:hAnsi="宋体" w:cs="仿宋_GB2312"/>
                <w:color w:val="auto"/>
                <w:sz w:val="24"/>
              </w:rPr>
              <w:t>投标截止时间15日</w:t>
            </w:r>
            <w:r>
              <w:rPr>
                <w:rFonts w:ascii="宋体" w:hAnsi="宋体" w:cs="仿宋_GB2312"/>
                <w:color w:val="auto"/>
                <w:sz w:val="24"/>
              </w:rPr>
              <w:t>前</w:t>
            </w:r>
            <w:r>
              <w:rPr>
                <w:rFonts w:hint="eastAsia" w:ascii="宋体" w:hAnsi="宋体" w:cs="仿宋_GB2312"/>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1.11</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分包</w:t>
            </w:r>
          </w:p>
        </w:tc>
        <w:tc>
          <w:tcPr>
            <w:tcW w:w="5905" w:type="dxa"/>
            <w:gridSpan w:val="2"/>
            <w:noWrap w:val="0"/>
            <w:vAlign w:val="top"/>
          </w:tcPr>
          <w:p>
            <w:pPr>
              <w:autoSpaceDE w:val="0"/>
              <w:autoSpaceDN w:val="0"/>
              <w:adjustRightInd w:val="0"/>
              <w:spacing w:line="360" w:lineRule="auto"/>
              <w:jc w:val="left"/>
              <w:rPr>
                <w:rFonts w:hint="eastAsia" w:ascii="宋体" w:hAnsi="宋体" w:cs="黑体"/>
                <w:color w:val="auto"/>
                <w:kern w:val="0"/>
                <w:sz w:val="24"/>
              </w:rPr>
            </w:pPr>
            <w:r>
              <w:rPr>
                <w:rFonts w:hint="eastAsia" w:ascii="宋体" w:hAnsi="宋体" w:cs="仿宋_GB2312"/>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 xml:space="preserve">1.12 </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偏离</w:t>
            </w:r>
          </w:p>
        </w:tc>
        <w:tc>
          <w:tcPr>
            <w:tcW w:w="5905" w:type="dxa"/>
            <w:gridSpan w:val="2"/>
            <w:noWrap w:val="0"/>
            <w:vAlign w:val="top"/>
          </w:tcPr>
          <w:p>
            <w:pPr>
              <w:autoSpaceDE w:val="0"/>
              <w:autoSpaceDN w:val="0"/>
              <w:adjustRightInd w:val="0"/>
              <w:spacing w:line="360" w:lineRule="auto"/>
              <w:jc w:val="left"/>
              <w:rPr>
                <w:rFonts w:hint="eastAsia" w:ascii="宋体" w:hAnsi="宋体" w:cs="黑体"/>
                <w:color w:val="auto"/>
                <w:kern w:val="0"/>
                <w:sz w:val="24"/>
              </w:rPr>
            </w:pPr>
            <w:r>
              <w:rPr>
                <w:rFonts w:hint="eastAsia" w:ascii="宋体" w:hAnsi="宋体" w:cs="仿宋_GB2312"/>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 xml:space="preserve">2.1 </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构成招标文件的其他材料</w:t>
            </w:r>
          </w:p>
        </w:tc>
        <w:tc>
          <w:tcPr>
            <w:tcW w:w="5905" w:type="dxa"/>
            <w:gridSpan w:val="2"/>
            <w:noWrap w:val="0"/>
            <w:vAlign w:val="top"/>
          </w:tcPr>
          <w:p>
            <w:pPr>
              <w:autoSpaceDE w:val="0"/>
              <w:autoSpaceDN w:val="0"/>
              <w:adjustRightInd w:val="0"/>
              <w:spacing w:line="360" w:lineRule="auto"/>
              <w:jc w:val="left"/>
              <w:rPr>
                <w:rFonts w:hint="eastAsia" w:ascii="宋体" w:hAnsi="宋体" w:cs="黑体"/>
                <w:color w:val="auto"/>
                <w:kern w:val="0"/>
                <w:sz w:val="24"/>
              </w:rPr>
            </w:pPr>
            <w:r>
              <w:rPr>
                <w:rFonts w:hint="eastAsia" w:ascii="宋体" w:hAnsi="宋体" w:cs="仿宋_GB2312"/>
                <w:color w:val="auto"/>
                <w:kern w:val="0"/>
                <w:sz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2.2.1</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投标人要求澄清招标文件的截止时间</w:t>
            </w:r>
          </w:p>
        </w:tc>
        <w:tc>
          <w:tcPr>
            <w:tcW w:w="5905" w:type="dxa"/>
            <w:gridSpan w:val="2"/>
            <w:noWrap w:val="0"/>
            <w:vAlign w:val="center"/>
          </w:tcPr>
          <w:p>
            <w:pPr>
              <w:autoSpaceDE w:val="0"/>
              <w:autoSpaceDN w:val="0"/>
              <w:adjustRightInd w:val="0"/>
              <w:spacing w:line="360" w:lineRule="auto"/>
              <w:rPr>
                <w:rFonts w:hint="eastAsia" w:ascii="宋体" w:hAnsi="宋体" w:cs="黑体"/>
                <w:color w:val="auto"/>
                <w:kern w:val="0"/>
                <w:sz w:val="24"/>
              </w:rPr>
            </w:pPr>
            <w:r>
              <w:rPr>
                <w:rFonts w:hint="eastAsia" w:ascii="宋体" w:hAnsi="宋体" w:cs="黑体"/>
                <w:color w:val="auto"/>
                <w:kern w:val="0"/>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2.2.2</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投标截止时间</w:t>
            </w:r>
          </w:p>
        </w:tc>
        <w:tc>
          <w:tcPr>
            <w:tcW w:w="5905" w:type="dxa"/>
            <w:gridSpan w:val="2"/>
            <w:noWrap w:val="0"/>
            <w:vAlign w:val="top"/>
          </w:tcPr>
          <w:p>
            <w:pPr>
              <w:autoSpaceDE w:val="0"/>
              <w:autoSpaceDN w:val="0"/>
              <w:adjustRightInd w:val="0"/>
              <w:spacing w:line="360" w:lineRule="auto"/>
              <w:jc w:val="left"/>
              <w:rPr>
                <w:rFonts w:hint="eastAsia" w:ascii="宋体" w:hAnsi="宋体" w:cs="黑体"/>
                <w:color w:val="auto"/>
                <w:kern w:val="0"/>
                <w:sz w:val="24"/>
              </w:rPr>
            </w:pPr>
            <w:r>
              <w:rPr>
                <w:rFonts w:hint="eastAsia" w:ascii="宋体" w:hAnsi="宋体"/>
                <w:bCs/>
                <w:color w:val="auto"/>
                <w:sz w:val="24"/>
                <w:lang w:eastAsia="zh-CN"/>
              </w:rPr>
              <w:t>2020年</w:t>
            </w:r>
            <w:r>
              <w:rPr>
                <w:rFonts w:hint="eastAsia" w:hAnsi="宋体"/>
                <w:bCs/>
                <w:color w:val="auto"/>
                <w:sz w:val="24"/>
                <w:lang w:val="en-US" w:eastAsia="zh-CN"/>
              </w:rPr>
              <w:t>3</w:t>
            </w:r>
            <w:r>
              <w:rPr>
                <w:rFonts w:hint="eastAsia" w:ascii="宋体" w:hAnsi="宋体"/>
                <w:bCs/>
                <w:color w:val="auto"/>
                <w:sz w:val="24"/>
                <w:lang w:eastAsia="zh-CN"/>
              </w:rPr>
              <w:t>月</w:t>
            </w:r>
            <w:r>
              <w:rPr>
                <w:rFonts w:hint="eastAsia" w:hAnsi="宋体"/>
                <w:bCs/>
                <w:color w:val="auto"/>
                <w:sz w:val="24"/>
                <w:lang w:val="en-US" w:eastAsia="zh-CN"/>
              </w:rPr>
              <w:t>19</w:t>
            </w:r>
            <w:r>
              <w:rPr>
                <w:rFonts w:hint="eastAsia" w:ascii="宋体" w:hAnsi="宋体"/>
                <w:bCs/>
                <w:color w:val="auto"/>
                <w:sz w:val="24"/>
                <w:lang w:eastAsia="zh-CN"/>
              </w:rPr>
              <w:t>日</w:t>
            </w:r>
            <w:r>
              <w:rPr>
                <w:rFonts w:hint="eastAsia" w:hAnsi="宋体"/>
                <w:bCs/>
                <w:color w:val="auto"/>
                <w:sz w:val="24"/>
                <w:lang w:val="en-US" w:eastAsia="zh-CN"/>
              </w:rPr>
              <w:t>8</w:t>
            </w:r>
            <w:r>
              <w:rPr>
                <w:rFonts w:hint="eastAsia" w:ascii="宋体" w:hAnsi="宋体"/>
                <w:bCs/>
                <w:color w:val="auto"/>
                <w:sz w:val="24"/>
                <w:lang w:eastAsia="zh-CN"/>
              </w:rPr>
              <w:t>时</w:t>
            </w:r>
            <w:r>
              <w:rPr>
                <w:rFonts w:hint="eastAsia" w:hAnsi="宋体"/>
                <w:bCs/>
                <w:color w:val="auto"/>
                <w:sz w:val="24"/>
                <w:lang w:val="en-US" w:eastAsia="zh-CN"/>
              </w:rPr>
              <w:t>30</w:t>
            </w:r>
            <w:r>
              <w:rPr>
                <w:rFonts w:hint="eastAsia" w:ascii="宋体" w:hAnsi="宋体"/>
                <w:bCs/>
                <w:color w:val="auto"/>
                <w:sz w:val="24"/>
                <w:lang w:eastAsia="zh-CN"/>
              </w:rPr>
              <w:t>分</w:t>
            </w:r>
            <w:r>
              <w:rPr>
                <w:rFonts w:hint="eastAsia" w:ascii="宋体" w:hAnsi="宋体" w:cs="仿宋_GB2312"/>
                <w:color w:val="auto"/>
                <w:kern w:val="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2.2.3</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投标人确认收到招标文件澄清的时间</w:t>
            </w:r>
          </w:p>
        </w:tc>
        <w:tc>
          <w:tcPr>
            <w:tcW w:w="5905" w:type="dxa"/>
            <w:gridSpan w:val="2"/>
            <w:noWrap w:val="0"/>
            <w:vAlign w:val="center"/>
          </w:tcPr>
          <w:p>
            <w:pPr>
              <w:autoSpaceDE w:val="0"/>
              <w:autoSpaceDN w:val="0"/>
              <w:adjustRightInd w:val="0"/>
              <w:spacing w:line="360" w:lineRule="auto"/>
              <w:rPr>
                <w:rFonts w:hint="eastAsia" w:ascii="宋体" w:hAnsi="宋体" w:cs="黑体"/>
                <w:color w:val="auto"/>
                <w:kern w:val="0"/>
                <w:sz w:val="24"/>
              </w:rPr>
            </w:pPr>
            <w:r>
              <w:rPr>
                <w:rFonts w:hint="eastAsia" w:ascii="宋体" w:hAnsi="宋体" w:cs="黑体"/>
                <w:color w:val="auto"/>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2.3.2</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投标人确认收到招标文件修改的时间</w:t>
            </w:r>
          </w:p>
        </w:tc>
        <w:tc>
          <w:tcPr>
            <w:tcW w:w="5905" w:type="dxa"/>
            <w:gridSpan w:val="2"/>
            <w:noWrap w:val="0"/>
            <w:vAlign w:val="center"/>
          </w:tcPr>
          <w:p>
            <w:pPr>
              <w:autoSpaceDE w:val="0"/>
              <w:autoSpaceDN w:val="0"/>
              <w:adjustRightInd w:val="0"/>
              <w:spacing w:line="360" w:lineRule="auto"/>
              <w:rPr>
                <w:rFonts w:hint="eastAsia" w:ascii="宋体" w:hAnsi="宋体" w:cs="黑体"/>
                <w:color w:val="auto"/>
                <w:kern w:val="0"/>
                <w:sz w:val="24"/>
              </w:rPr>
            </w:pPr>
            <w:r>
              <w:rPr>
                <w:rFonts w:hint="eastAsia" w:ascii="宋体" w:hAnsi="宋体" w:cs="黑体"/>
                <w:color w:val="auto"/>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3.1.1</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构成投标文件的其他材料</w:t>
            </w:r>
          </w:p>
        </w:tc>
        <w:tc>
          <w:tcPr>
            <w:tcW w:w="5905" w:type="dxa"/>
            <w:gridSpan w:val="2"/>
            <w:noWrap w:val="0"/>
            <w:vAlign w:val="top"/>
          </w:tcPr>
          <w:p>
            <w:pPr>
              <w:autoSpaceDE w:val="0"/>
              <w:autoSpaceDN w:val="0"/>
              <w:adjustRightInd w:val="0"/>
              <w:spacing w:line="360" w:lineRule="auto"/>
              <w:jc w:val="left"/>
              <w:rPr>
                <w:rFonts w:hint="eastAsia" w:ascii="宋体" w:hAnsi="宋体" w:cs="黑体"/>
                <w:color w:val="auto"/>
                <w:kern w:val="0"/>
                <w:sz w:val="24"/>
              </w:rPr>
            </w:pPr>
            <w:r>
              <w:rPr>
                <w:rFonts w:hint="eastAsia" w:ascii="宋体" w:hAnsi="宋体" w:cs="黑体"/>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3.3.1</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投标有效期</w:t>
            </w:r>
          </w:p>
        </w:tc>
        <w:tc>
          <w:tcPr>
            <w:tcW w:w="5905" w:type="dxa"/>
            <w:gridSpan w:val="2"/>
            <w:noWrap w:val="0"/>
            <w:vAlign w:val="top"/>
          </w:tcPr>
          <w:p>
            <w:pPr>
              <w:autoSpaceDE w:val="0"/>
              <w:autoSpaceDN w:val="0"/>
              <w:adjustRightInd w:val="0"/>
              <w:spacing w:line="360" w:lineRule="auto"/>
              <w:jc w:val="left"/>
              <w:rPr>
                <w:rFonts w:hint="eastAsia" w:ascii="宋体" w:hAnsi="宋体" w:cs="黑体"/>
                <w:color w:val="auto"/>
                <w:kern w:val="0"/>
                <w:sz w:val="24"/>
              </w:rPr>
            </w:pPr>
            <w:r>
              <w:rPr>
                <w:rFonts w:hint="eastAsia" w:ascii="宋体" w:hAnsi="宋体" w:cs="仿宋_GB2312"/>
                <w:color w:val="auto"/>
                <w:kern w:val="0"/>
                <w:sz w:val="24"/>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51" w:type="dxa"/>
            <w:gridSpan w:val="2"/>
            <w:noWrap w:val="0"/>
            <w:vAlign w:val="center"/>
          </w:tcPr>
          <w:p>
            <w:pPr>
              <w:autoSpaceDE w:val="0"/>
              <w:autoSpaceDN w:val="0"/>
              <w:adjustRightInd w:val="0"/>
              <w:spacing w:line="420" w:lineRule="exact"/>
              <w:jc w:val="center"/>
              <w:rPr>
                <w:rFonts w:hint="eastAsia" w:ascii="宋体" w:hAnsi="宋体" w:cs="黑体"/>
                <w:color w:val="auto"/>
                <w:kern w:val="0"/>
                <w:sz w:val="24"/>
              </w:rPr>
            </w:pPr>
            <w:bookmarkStart w:id="3" w:name="OLE_LINK22" w:colFirst="1" w:colLast="2"/>
            <w:r>
              <w:rPr>
                <w:rFonts w:ascii="宋体" w:hAnsi="宋体" w:cs="TimesNewRomanPSMT"/>
                <w:color w:val="auto"/>
                <w:kern w:val="0"/>
                <w:sz w:val="24"/>
              </w:rPr>
              <w:t>3.4.1</w:t>
            </w:r>
          </w:p>
        </w:tc>
        <w:tc>
          <w:tcPr>
            <w:tcW w:w="3086" w:type="dxa"/>
            <w:gridSpan w:val="2"/>
            <w:noWrap w:val="0"/>
            <w:vAlign w:val="center"/>
          </w:tcPr>
          <w:p>
            <w:pPr>
              <w:autoSpaceDE w:val="0"/>
              <w:autoSpaceDN w:val="0"/>
              <w:adjustRightInd w:val="0"/>
              <w:spacing w:line="420" w:lineRule="exact"/>
              <w:jc w:val="center"/>
              <w:rPr>
                <w:rFonts w:hint="eastAsia" w:ascii="宋体" w:hAnsi="宋体" w:cs="黑体"/>
                <w:color w:val="auto"/>
                <w:kern w:val="0"/>
                <w:sz w:val="24"/>
              </w:rPr>
            </w:pPr>
            <w:r>
              <w:rPr>
                <w:rFonts w:hint="eastAsia" w:ascii="宋体" w:hAnsi="宋体" w:cs="仿宋_GB2312"/>
                <w:color w:val="auto"/>
                <w:sz w:val="24"/>
              </w:rPr>
              <w:t>投标保证金须知</w:t>
            </w:r>
          </w:p>
        </w:tc>
        <w:tc>
          <w:tcPr>
            <w:tcW w:w="5905" w:type="dxa"/>
            <w:gridSpan w:val="2"/>
            <w:noWrap w:val="0"/>
            <w:vAlign w:val="center"/>
          </w:tcPr>
          <w:p>
            <w:pPr>
              <w:widowControl/>
              <w:spacing w:line="360" w:lineRule="auto"/>
              <w:rPr>
                <w:rFonts w:hint="eastAsia" w:ascii="宋体" w:hAnsi="宋体"/>
                <w:color w:val="auto"/>
                <w:sz w:val="24"/>
              </w:rPr>
            </w:pPr>
            <w:r>
              <w:rPr>
                <w:rFonts w:hint="eastAsia" w:ascii="宋体" w:hAnsi="宋体"/>
                <w:color w:val="auto"/>
                <w:sz w:val="24"/>
              </w:rPr>
              <w:t>1、自文件发布之日起，投标人需进行基本户备案（建设工程项目），已备案的基本户开户银行、账户发生变化的，须在投标保证金缴纳前办理变更手续。</w:t>
            </w:r>
          </w:p>
          <w:p>
            <w:pPr>
              <w:widowControl/>
              <w:spacing w:line="360" w:lineRule="auto"/>
              <w:rPr>
                <w:rFonts w:hint="eastAsia" w:ascii="宋体" w:hAnsi="宋体"/>
                <w:color w:val="auto"/>
                <w:sz w:val="24"/>
              </w:rPr>
            </w:pPr>
            <w:r>
              <w:rPr>
                <w:rFonts w:hint="eastAsia" w:ascii="宋体" w:hAnsi="宋体"/>
                <w:color w:val="auto"/>
                <w:sz w:val="24"/>
              </w:rPr>
              <w:t xml:space="preserve">2、基本户备案流程： </w:t>
            </w:r>
          </w:p>
          <w:p>
            <w:pPr>
              <w:widowControl/>
              <w:spacing w:line="360" w:lineRule="auto"/>
              <w:rPr>
                <w:rFonts w:hint="eastAsia" w:ascii="宋体" w:hAnsi="宋体"/>
                <w:color w:val="auto"/>
                <w:sz w:val="24"/>
              </w:rPr>
            </w:pPr>
            <w:r>
              <w:rPr>
                <w:rFonts w:hint="eastAsia" w:ascii="宋体" w:hAnsi="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widowControl/>
              <w:spacing w:line="360" w:lineRule="auto"/>
              <w:rPr>
                <w:rFonts w:hint="eastAsia" w:ascii="宋体" w:hAnsi="宋体"/>
                <w:color w:val="auto"/>
                <w:sz w:val="24"/>
              </w:rPr>
            </w:pPr>
            <w:r>
              <w:rPr>
                <w:rFonts w:hint="eastAsia" w:ascii="宋体" w:hAnsi="宋体"/>
                <w:color w:val="auto"/>
                <w:sz w:val="24"/>
              </w:rPr>
              <w:t>3、特殊情况处理：</w:t>
            </w:r>
          </w:p>
          <w:p>
            <w:pPr>
              <w:widowControl/>
              <w:spacing w:line="360" w:lineRule="auto"/>
              <w:rPr>
                <w:rFonts w:hint="eastAsia" w:ascii="宋体" w:hAnsi="宋体"/>
                <w:color w:val="auto"/>
                <w:sz w:val="24"/>
              </w:rPr>
            </w:pPr>
            <w:r>
              <w:rPr>
                <w:rFonts w:hint="eastAsia" w:ascii="宋体" w:hAnsi="宋体"/>
                <w:color w:val="auto"/>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widowControl/>
              <w:spacing w:line="360" w:lineRule="auto"/>
              <w:rPr>
                <w:rFonts w:hint="eastAsia" w:ascii="宋体" w:hAnsi="宋体" w:cs="仿宋_GB2312"/>
                <w:b/>
                <w:color w:val="auto"/>
                <w:kern w:val="0"/>
                <w:sz w:val="24"/>
              </w:rPr>
            </w:pPr>
            <w:r>
              <w:rPr>
                <w:rFonts w:hint="eastAsia" w:ascii="宋体" w:hAnsi="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gridSpan w:val="2"/>
            <w:noWrap w:val="0"/>
            <w:vAlign w:val="center"/>
          </w:tcPr>
          <w:p>
            <w:pPr>
              <w:autoSpaceDE w:val="0"/>
              <w:autoSpaceDN w:val="0"/>
              <w:adjustRightInd w:val="0"/>
              <w:spacing w:line="420" w:lineRule="exact"/>
              <w:jc w:val="center"/>
              <w:rPr>
                <w:rFonts w:hint="eastAsia" w:ascii="宋体" w:hAnsi="宋体" w:cs="TimesNewRomanPSMT"/>
                <w:color w:val="auto"/>
                <w:kern w:val="0"/>
                <w:sz w:val="24"/>
              </w:rPr>
            </w:pPr>
            <w:r>
              <w:rPr>
                <w:rFonts w:hint="eastAsia" w:ascii="宋体" w:hAnsi="宋体" w:cs="TimesNewRomanPSMT"/>
                <w:color w:val="auto"/>
                <w:kern w:val="0"/>
                <w:sz w:val="24"/>
              </w:rPr>
              <w:t>3.4.2</w:t>
            </w:r>
          </w:p>
        </w:tc>
        <w:tc>
          <w:tcPr>
            <w:tcW w:w="3086" w:type="dxa"/>
            <w:gridSpan w:val="2"/>
            <w:noWrap w:val="0"/>
            <w:vAlign w:val="center"/>
          </w:tcPr>
          <w:p>
            <w:pPr>
              <w:autoSpaceDE w:val="0"/>
              <w:autoSpaceDN w:val="0"/>
              <w:adjustRightInd w:val="0"/>
              <w:spacing w:line="420" w:lineRule="exact"/>
              <w:jc w:val="center"/>
              <w:rPr>
                <w:rFonts w:hint="eastAsia" w:ascii="宋体" w:hAnsi="宋体" w:cs="仿宋_GB2312"/>
                <w:color w:val="auto"/>
                <w:kern w:val="0"/>
                <w:sz w:val="24"/>
              </w:rPr>
            </w:pPr>
            <w:r>
              <w:rPr>
                <w:rFonts w:hint="eastAsia" w:ascii="宋体" w:hAnsi="宋体" w:cs="仿宋_GB2312"/>
                <w:color w:val="auto"/>
                <w:sz w:val="24"/>
              </w:rPr>
              <w:t>投标保证金</w:t>
            </w:r>
          </w:p>
        </w:tc>
        <w:tc>
          <w:tcPr>
            <w:tcW w:w="5905" w:type="dxa"/>
            <w:gridSpan w:val="2"/>
            <w:noWrap w:val="0"/>
            <w:vAlign w:val="center"/>
          </w:tcPr>
          <w:p>
            <w:pPr>
              <w:widowControl/>
              <w:spacing w:line="360" w:lineRule="auto"/>
              <w:rPr>
                <w:rFonts w:hint="eastAsia" w:ascii="宋体" w:hAnsi="宋体"/>
                <w:b/>
                <w:bCs/>
                <w:color w:val="auto"/>
                <w:sz w:val="24"/>
              </w:rPr>
            </w:pPr>
            <w:r>
              <w:rPr>
                <w:rFonts w:hint="eastAsia" w:ascii="宋体" w:hAnsi="宋体"/>
                <w:color w:val="auto"/>
                <w:sz w:val="24"/>
              </w:rPr>
              <w:t>投标保证金递交截止时间：</w:t>
            </w:r>
            <w:r>
              <w:rPr>
                <w:rFonts w:hint="eastAsia" w:ascii="宋体" w:hAnsi="宋体"/>
                <w:b/>
                <w:bCs/>
                <w:color w:val="auto"/>
                <w:sz w:val="24"/>
              </w:rPr>
              <w:t>同投标截止时间。</w:t>
            </w:r>
          </w:p>
          <w:p>
            <w:pPr>
              <w:widowControl/>
              <w:spacing w:line="360" w:lineRule="auto"/>
              <w:rPr>
                <w:rFonts w:hint="eastAsia" w:ascii="宋体" w:hAnsi="宋体"/>
                <w:b/>
                <w:bCs/>
                <w:color w:val="auto"/>
                <w:sz w:val="24"/>
              </w:rPr>
            </w:pPr>
            <w:r>
              <w:rPr>
                <w:rFonts w:hint="eastAsia" w:ascii="宋体" w:hAnsi="宋体"/>
                <w:b/>
                <w:bCs/>
                <w:color w:val="auto"/>
                <w:sz w:val="24"/>
              </w:rPr>
              <w:t>金额：</w:t>
            </w:r>
            <w:r>
              <w:rPr>
                <w:rFonts w:hint="eastAsia" w:hAnsi="宋体"/>
                <w:b/>
                <w:bCs/>
                <w:color w:val="auto"/>
                <w:sz w:val="24"/>
                <w:lang w:val="en-US" w:eastAsia="zh-CN"/>
              </w:rPr>
              <w:t>伍万贰仟元</w:t>
            </w:r>
            <w:r>
              <w:rPr>
                <w:rFonts w:hint="eastAsia" w:ascii="宋体" w:hAnsi="宋体"/>
                <w:b/>
                <w:bCs/>
                <w:color w:val="auto"/>
                <w:sz w:val="24"/>
              </w:rPr>
              <w:t>整</w:t>
            </w:r>
            <w:r>
              <w:rPr>
                <w:rFonts w:hint="eastAsia" w:ascii="宋体" w:hAnsi="宋体" w:cs="仿宋_GB2312"/>
                <w:b/>
                <w:bCs/>
                <w:color w:val="auto"/>
                <w:sz w:val="24"/>
              </w:rPr>
              <w:t>（￥</w:t>
            </w:r>
            <w:r>
              <w:rPr>
                <w:rFonts w:hint="eastAsia" w:hAnsi="宋体" w:cs="仿宋_GB2312"/>
                <w:b/>
                <w:bCs/>
                <w:color w:val="auto"/>
                <w:sz w:val="24"/>
                <w:lang w:val="en-US" w:eastAsia="zh-CN"/>
              </w:rPr>
              <w:t>52000</w:t>
            </w:r>
            <w:r>
              <w:rPr>
                <w:rFonts w:hint="eastAsia" w:ascii="宋体" w:hAnsi="宋体" w:cs="仿宋_GB2312"/>
                <w:b/>
                <w:bCs/>
                <w:color w:val="auto"/>
                <w:sz w:val="24"/>
              </w:rPr>
              <w:t>元）</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w:t>
            </w:r>
            <w:r>
              <w:rPr>
                <w:rFonts w:hint="eastAsia" w:hAnsi="宋体" w:cs="宋体"/>
                <w:color w:val="auto"/>
                <w:sz w:val="24"/>
                <w:lang w:val="en-US" w:eastAsia="zh-CN"/>
              </w:rPr>
              <w:t>投标</w:t>
            </w:r>
            <w:r>
              <w:rPr>
                <w:rFonts w:hint="eastAsia" w:hAnsi="宋体" w:cs="宋体"/>
                <w:color w:val="auto"/>
                <w:sz w:val="24"/>
                <w:lang w:val="zh-CN"/>
              </w:rPr>
              <w:t>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lang w:val="en-US" w:eastAsia="zh-CN"/>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widowControl/>
              <w:spacing w:line="360" w:lineRule="auto"/>
              <w:rPr>
                <w:rFonts w:hint="eastAsia" w:ascii="宋体" w:hAnsi="宋体" w:cs="仿宋_GB2312"/>
                <w:color w:val="auto"/>
                <w:kern w:val="0"/>
                <w:sz w:val="24"/>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lang w:val="zh-CN"/>
              </w:rPr>
              <w:t>。</w:t>
            </w:r>
            <w:r>
              <w:rPr>
                <w:rFonts w:hint="eastAsia" w:hAnsi="宋体" w:cs="宋体"/>
                <w:color w:val="auto"/>
                <w:sz w:val="24"/>
                <w:lang w:val="zh-CN"/>
              </w:rPr>
              <w:t>不予退还的保证金上缴国库</w:t>
            </w:r>
            <w:r>
              <w:rPr>
                <w:rFonts w:hint="eastAsia" w:ascii="宋体" w:hAnsi="宋体"/>
                <w:color w:val="auto"/>
                <w:sz w:val="24"/>
                <w:lang w:val="zh-CN"/>
              </w:rPr>
              <w:t>。</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TimesNewRomanPSMT"/>
                <w:color w:val="auto"/>
                <w:kern w:val="0"/>
                <w:sz w:val="24"/>
              </w:rPr>
            </w:pPr>
            <w:r>
              <w:rPr>
                <w:rFonts w:hint="eastAsia" w:ascii="宋体" w:hAnsi="宋体" w:cs="TimesNewRomanPSMT"/>
                <w:color w:val="auto"/>
                <w:kern w:val="0"/>
                <w:sz w:val="24"/>
              </w:rPr>
              <w:t>3.5.2</w:t>
            </w:r>
          </w:p>
        </w:tc>
        <w:tc>
          <w:tcPr>
            <w:tcW w:w="3086" w:type="dxa"/>
            <w:gridSpan w:val="2"/>
            <w:noWrap w:val="0"/>
            <w:vAlign w:val="center"/>
          </w:tcPr>
          <w:p>
            <w:pPr>
              <w:autoSpaceDE w:val="0"/>
              <w:autoSpaceDN w:val="0"/>
              <w:adjustRightInd w:val="0"/>
              <w:rPr>
                <w:rFonts w:hint="eastAsia" w:ascii="宋体" w:hAnsi="宋体" w:cs="TimesNewRomanPSMT"/>
                <w:color w:val="auto"/>
                <w:kern w:val="0"/>
                <w:sz w:val="24"/>
              </w:rPr>
            </w:pPr>
            <w:r>
              <w:rPr>
                <w:rFonts w:hint="eastAsia" w:ascii="宋体" w:hAnsi="宋体" w:cs="TimesNewRomanPSMT"/>
                <w:color w:val="auto"/>
                <w:kern w:val="0"/>
                <w:sz w:val="24"/>
              </w:rPr>
              <w:t>近年财务状况的年份要求</w:t>
            </w:r>
          </w:p>
        </w:tc>
        <w:tc>
          <w:tcPr>
            <w:tcW w:w="5905" w:type="dxa"/>
            <w:gridSpan w:val="2"/>
            <w:noWrap w:val="0"/>
            <w:vAlign w:val="center"/>
          </w:tcPr>
          <w:p>
            <w:pPr>
              <w:autoSpaceDE w:val="0"/>
              <w:autoSpaceDN w:val="0"/>
              <w:adjustRightInd w:val="0"/>
              <w:rPr>
                <w:rFonts w:hint="eastAsia" w:ascii="宋体" w:hAnsi="宋体" w:cs="TimesNewRomanPSMT"/>
                <w:color w:val="auto"/>
                <w:kern w:val="0"/>
                <w:sz w:val="24"/>
              </w:rPr>
            </w:pPr>
            <w:r>
              <w:rPr>
                <w:rFonts w:hint="eastAsia" w:ascii="宋体" w:hAnsi="宋体" w:cs="TimesNewRomanPSMT"/>
                <w:color w:val="auto"/>
                <w:sz w:val="24"/>
              </w:rPr>
              <w:t>近年，指2016、2017、2018年。</w:t>
            </w:r>
            <w:r>
              <w:rPr>
                <w:rFonts w:hint="eastAsia" w:hAnsi="宋体" w:cs="宋体"/>
                <w:color w:val="auto"/>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TimesNewRomanPSMT"/>
                <w:color w:val="auto"/>
                <w:kern w:val="0"/>
                <w:sz w:val="24"/>
              </w:rPr>
            </w:pPr>
            <w:r>
              <w:rPr>
                <w:rFonts w:hint="eastAsia" w:ascii="宋体" w:hAnsi="宋体" w:cs="TimesNewRomanPSMT"/>
                <w:color w:val="auto"/>
                <w:kern w:val="0"/>
                <w:sz w:val="24"/>
              </w:rPr>
              <w:t>3.5.3</w:t>
            </w:r>
          </w:p>
        </w:tc>
        <w:tc>
          <w:tcPr>
            <w:tcW w:w="3086" w:type="dxa"/>
            <w:gridSpan w:val="2"/>
            <w:noWrap w:val="0"/>
            <w:vAlign w:val="center"/>
          </w:tcPr>
          <w:p>
            <w:pPr>
              <w:autoSpaceDE w:val="0"/>
              <w:autoSpaceDN w:val="0"/>
              <w:adjustRightInd w:val="0"/>
              <w:spacing w:line="360" w:lineRule="auto"/>
              <w:rPr>
                <w:rFonts w:hint="eastAsia" w:ascii="宋体" w:hAnsi="宋体" w:cs="仿宋_GB2312"/>
                <w:color w:val="auto"/>
                <w:kern w:val="0"/>
                <w:sz w:val="24"/>
              </w:rPr>
            </w:pPr>
            <w:r>
              <w:rPr>
                <w:rFonts w:hint="eastAsia" w:ascii="宋体" w:hAnsi="宋体" w:cs="仿宋_GB2312"/>
                <w:color w:val="auto"/>
                <w:kern w:val="0"/>
                <w:sz w:val="24"/>
              </w:rPr>
              <w:t>近年完成的类似项目</w:t>
            </w:r>
          </w:p>
        </w:tc>
        <w:tc>
          <w:tcPr>
            <w:tcW w:w="5905" w:type="dxa"/>
            <w:gridSpan w:val="2"/>
            <w:noWrap w:val="0"/>
            <w:vAlign w:val="center"/>
          </w:tcPr>
          <w:p>
            <w:pPr>
              <w:autoSpaceDE w:val="0"/>
              <w:autoSpaceDN w:val="0"/>
              <w:adjustRightInd w:val="0"/>
              <w:rPr>
                <w:rFonts w:hint="eastAsia" w:ascii="宋体" w:hAnsi="宋体" w:cs="TimesNewRomanPSMT"/>
                <w:color w:val="auto"/>
                <w:kern w:val="0"/>
                <w:sz w:val="24"/>
              </w:rPr>
            </w:pPr>
            <w:r>
              <w:rPr>
                <w:rFonts w:hint="eastAsia" w:hAnsi="宋体" w:cs="宋体"/>
                <w:color w:val="auto"/>
                <w:sz w:val="24"/>
              </w:rPr>
              <w:t>近年，指 201</w:t>
            </w:r>
            <w:r>
              <w:rPr>
                <w:rFonts w:hint="eastAsia" w:hAnsi="宋体" w:cs="宋体"/>
                <w:color w:val="auto"/>
                <w:sz w:val="24"/>
                <w:lang w:val="en-US" w:eastAsia="zh-CN"/>
              </w:rPr>
              <w:t>7</w:t>
            </w:r>
            <w:r>
              <w:rPr>
                <w:rFonts w:hint="eastAsia" w:hAnsi="宋体" w:cs="宋体"/>
                <w:color w:val="auto"/>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TimesNewRomanPSMT"/>
                <w:color w:val="auto"/>
                <w:kern w:val="0"/>
                <w:sz w:val="24"/>
              </w:rPr>
            </w:pPr>
            <w:r>
              <w:rPr>
                <w:rFonts w:hint="eastAsia" w:ascii="宋体" w:hAnsi="宋体" w:cs="TimesNewRomanPSMT"/>
                <w:color w:val="auto"/>
                <w:kern w:val="0"/>
                <w:sz w:val="24"/>
              </w:rPr>
              <w:t>3.5.5</w:t>
            </w:r>
          </w:p>
        </w:tc>
        <w:tc>
          <w:tcPr>
            <w:tcW w:w="3086" w:type="dxa"/>
            <w:gridSpan w:val="2"/>
            <w:noWrap w:val="0"/>
            <w:vAlign w:val="center"/>
          </w:tcPr>
          <w:p>
            <w:pPr>
              <w:autoSpaceDE w:val="0"/>
              <w:autoSpaceDN w:val="0"/>
              <w:adjustRightInd w:val="0"/>
              <w:spacing w:line="360" w:lineRule="auto"/>
              <w:rPr>
                <w:rFonts w:hint="eastAsia" w:ascii="宋体" w:hAnsi="宋体" w:cs="仿宋_GB2312"/>
                <w:color w:val="auto"/>
                <w:kern w:val="0"/>
                <w:sz w:val="24"/>
              </w:rPr>
            </w:pPr>
            <w:r>
              <w:rPr>
                <w:rFonts w:hint="eastAsia" w:ascii="宋体" w:hAnsi="宋体" w:cs="仿宋_GB2312"/>
                <w:color w:val="auto"/>
                <w:kern w:val="0"/>
                <w:sz w:val="24"/>
              </w:rPr>
              <w:t>近年发生的诉讼及仲裁</w:t>
            </w:r>
          </w:p>
        </w:tc>
        <w:tc>
          <w:tcPr>
            <w:tcW w:w="5905" w:type="dxa"/>
            <w:gridSpan w:val="2"/>
            <w:noWrap w:val="0"/>
            <w:vAlign w:val="center"/>
          </w:tcPr>
          <w:p>
            <w:pPr>
              <w:autoSpaceDE w:val="0"/>
              <w:autoSpaceDN w:val="0"/>
              <w:adjustRightInd w:val="0"/>
              <w:rPr>
                <w:rFonts w:hint="eastAsia" w:ascii="宋体" w:hAnsi="宋体" w:cs="TimesNewRomanPSMT"/>
                <w:color w:val="auto"/>
                <w:kern w:val="0"/>
                <w:sz w:val="24"/>
              </w:rPr>
            </w:pPr>
            <w:r>
              <w:rPr>
                <w:rFonts w:hint="eastAsia" w:ascii="宋体" w:hAnsi="宋体" w:cs="仿宋_GB2312"/>
                <w:color w:val="auto"/>
                <w:kern w:val="0"/>
                <w:sz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TimesNewRomanPSMT"/>
                <w:color w:val="auto"/>
                <w:kern w:val="0"/>
                <w:sz w:val="24"/>
              </w:rPr>
            </w:pPr>
            <w:r>
              <w:rPr>
                <w:rFonts w:hint="eastAsia" w:ascii="宋体" w:hAnsi="宋体" w:cs="TimesNewRomanPSMT"/>
                <w:color w:val="auto"/>
                <w:kern w:val="0"/>
                <w:sz w:val="24"/>
              </w:rPr>
              <w:t>3.6</w:t>
            </w:r>
          </w:p>
        </w:tc>
        <w:tc>
          <w:tcPr>
            <w:tcW w:w="3086" w:type="dxa"/>
            <w:gridSpan w:val="2"/>
            <w:noWrap w:val="0"/>
            <w:vAlign w:val="center"/>
          </w:tcPr>
          <w:p>
            <w:pPr>
              <w:autoSpaceDE w:val="0"/>
              <w:autoSpaceDN w:val="0"/>
              <w:adjustRightInd w:val="0"/>
              <w:spacing w:line="360" w:lineRule="auto"/>
              <w:rPr>
                <w:rFonts w:hint="eastAsia" w:ascii="宋体" w:hAnsi="宋体" w:cs="黑体"/>
                <w:color w:val="auto"/>
                <w:kern w:val="0"/>
                <w:sz w:val="24"/>
              </w:rPr>
            </w:pPr>
            <w:r>
              <w:rPr>
                <w:rFonts w:hint="eastAsia" w:ascii="宋体" w:hAnsi="宋体" w:cs="仿宋_GB2312"/>
                <w:color w:val="auto"/>
                <w:kern w:val="0"/>
                <w:sz w:val="24"/>
              </w:rPr>
              <w:t>是否允许递交备选投标方案</w:t>
            </w:r>
          </w:p>
        </w:tc>
        <w:tc>
          <w:tcPr>
            <w:tcW w:w="5905" w:type="dxa"/>
            <w:gridSpan w:val="2"/>
            <w:noWrap w:val="0"/>
            <w:vAlign w:val="center"/>
          </w:tcPr>
          <w:p>
            <w:pPr>
              <w:autoSpaceDE w:val="0"/>
              <w:autoSpaceDN w:val="0"/>
              <w:adjustRightInd w:val="0"/>
              <w:spacing w:line="360" w:lineRule="auto"/>
              <w:rPr>
                <w:rFonts w:hint="eastAsia" w:ascii="宋体" w:hAnsi="宋体" w:cs="仿宋_GB2312"/>
                <w:color w:val="auto"/>
                <w:kern w:val="0"/>
                <w:sz w:val="24"/>
              </w:rPr>
            </w:pPr>
            <w:r>
              <w:rPr>
                <w:rFonts w:hint="eastAsia" w:ascii="宋体" w:hAnsi="宋体" w:cs="仿宋_GB2312"/>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bookmarkStart w:id="4" w:name="OLE_LINK23" w:colFirst="1" w:colLast="2"/>
            <w:r>
              <w:rPr>
                <w:rFonts w:ascii="宋体" w:hAnsi="宋体" w:cs="TimesNewRomanPSMT"/>
                <w:color w:val="auto"/>
                <w:kern w:val="0"/>
                <w:sz w:val="24"/>
              </w:rPr>
              <w:t>3.7.3</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签字或盖章要求</w:t>
            </w:r>
          </w:p>
        </w:tc>
        <w:tc>
          <w:tcPr>
            <w:tcW w:w="5905" w:type="dxa"/>
            <w:gridSpan w:val="2"/>
            <w:noWrap w:val="0"/>
            <w:vAlign w:val="top"/>
          </w:tcPr>
          <w:p>
            <w:pPr>
              <w:widowControl/>
              <w:spacing w:line="360" w:lineRule="auto"/>
              <w:rPr>
                <w:rFonts w:hint="eastAsia" w:ascii="宋体" w:hAnsi="宋体"/>
                <w:b/>
                <w:color w:val="auto"/>
                <w:sz w:val="24"/>
                <w:lang w:val="zh-CN"/>
              </w:rPr>
            </w:pPr>
            <w:r>
              <w:rPr>
                <w:rFonts w:hint="eastAsia" w:ascii="宋体" w:hAnsi="宋体"/>
                <w:color w:val="auto"/>
                <w:sz w:val="24"/>
                <w:szCs w:val="22"/>
              </w:rPr>
              <w:t>电子投标文件：按招标文件要求加盖</w:t>
            </w:r>
            <w:r>
              <w:rPr>
                <w:rFonts w:hint="eastAsia" w:ascii="宋体" w:hAnsi="宋体" w:cs="宋体"/>
                <w:color w:val="auto"/>
                <w:sz w:val="24"/>
                <w:szCs w:val="22"/>
                <w:lang w:val="zh-CN"/>
              </w:rPr>
              <w:t>电子印章和法人电子印章</w:t>
            </w:r>
            <w:r>
              <w:rPr>
                <w:rFonts w:hint="eastAsia" w:ascii="宋体" w:hAnsi="宋体" w:cs="宋体"/>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3.7.4</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投标文件份数</w:t>
            </w:r>
          </w:p>
        </w:tc>
        <w:tc>
          <w:tcPr>
            <w:tcW w:w="5905" w:type="dxa"/>
            <w:gridSpan w:val="2"/>
            <w:noWrap w:val="0"/>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widowControl/>
              <w:spacing w:line="360" w:lineRule="auto"/>
              <w:rPr>
                <w:rFonts w:hint="eastAsia" w:ascii="宋体" w:hAnsi="宋体"/>
                <w:color w:val="auto"/>
                <w:sz w:val="24"/>
                <w:lang w:val="zh-CN"/>
              </w:rPr>
            </w:pPr>
            <w:r>
              <w:rPr>
                <w:rFonts w:hint="eastAsia" w:hAnsi="宋体" w:eastAsia="宋体" w:cs="宋体"/>
                <w:b/>
                <w:color w:val="auto"/>
                <w:sz w:val="24"/>
              </w:rPr>
              <w:t>注:投标人提交的电子投标文件，必须是通过“许昌投标文件制作系统SEARUNV1.1”制作，并经过签章和加密后生成的电子投标文件。</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3.7.5</w:t>
            </w:r>
          </w:p>
        </w:tc>
        <w:tc>
          <w:tcPr>
            <w:tcW w:w="3086" w:type="dxa"/>
            <w:gridSpan w:val="2"/>
            <w:noWrap w:val="0"/>
            <w:vAlign w:val="center"/>
          </w:tcPr>
          <w:p>
            <w:pPr>
              <w:autoSpaceDE w:val="0"/>
              <w:autoSpaceDN w:val="0"/>
              <w:adjustRightInd w:val="0"/>
              <w:spacing w:line="420" w:lineRule="exact"/>
              <w:jc w:val="center"/>
              <w:rPr>
                <w:rFonts w:hint="eastAsia" w:ascii="宋体" w:hAnsi="宋体" w:cs="黑体"/>
                <w:color w:val="auto"/>
                <w:kern w:val="0"/>
                <w:sz w:val="24"/>
              </w:rPr>
            </w:pPr>
            <w:r>
              <w:rPr>
                <w:rFonts w:hint="eastAsia" w:hAnsi="宋体" w:eastAsia="宋体" w:cs="宋体"/>
                <w:color w:val="auto"/>
                <w:sz w:val="24"/>
              </w:rPr>
              <w:t>本项目是否采用不见面开标</w:t>
            </w:r>
          </w:p>
        </w:tc>
        <w:tc>
          <w:tcPr>
            <w:tcW w:w="5905" w:type="dxa"/>
            <w:gridSpan w:val="2"/>
            <w:noWrap w:val="0"/>
            <w:vAlign w:val="center"/>
          </w:tcPr>
          <w:p>
            <w:pPr>
              <w:autoSpaceDE w:val="0"/>
              <w:autoSpaceDN w:val="0"/>
              <w:adjustRightInd w:val="0"/>
              <w:spacing w:line="360" w:lineRule="auto"/>
              <w:rPr>
                <w:rFonts w:hint="eastAsia" w:ascii="宋体" w:hAnsi="宋体" w:cs="仿宋_GB2312"/>
                <w:b/>
                <w:color w:val="auto"/>
                <w:kern w:val="0"/>
                <w:sz w:val="24"/>
              </w:rPr>
            </w:pPr>
            <w:r>
              <w:rPr>
                <w:rFonts w:hint="eastAsia" w:hAnsi="宋体" w:eastAsia="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bookmarkStart w:id="5" w:name="OLE_LINK27" w:colFirst="1" w:colLast="2"/>
            <w:r>
              <w:rPr>
                <w:rFonts w:ascii="宋体" w:hAnsi="宋体" w:cs="TimesNewRomanPSMT"/>
                <w:color w:val="auto"/>
                <w:kern w:val="0"/>
                <w:sz w:val="24"/>
              </w:rPr>
              <w:t>4.2.2</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递交投标文件地点</w:t>
            </w:r>
          </w:p>
        </w:tc>
        <w:tc>
          <w:tcPr>
            <w:tcW w:w="5905" w:type="dxa"/>
            <w:gridSpan w:val="2"/>
            <w:noWrap w:val="0"/>
            <w:vAlign w:val="center"/>
          </w:tcPr>
          <w:p>
            <w:pPr>
              <w:spacing w:line="360" w:lineRule="auto"/>
              <w:rPr>
                <w:rFonts w:hint="eastAsia" w:ascii="宋体" w:hAnsi="宋体"/>
                <w:color w:val="auto"/>
                <w:sz w:val="24"/>
                <w:u w:val="single"/>
              </w:rPr>
            </w:pPr>
            <w:r>
              <w:rPr>
                <w:rFonts w:hint="eastAsia" w:hAnsi="宋体" w:eastAsia="宋体" w:cs="宋体"/>
                <w:color w:val="auto"/>
                <w:sz w:val="24"/>
              </w:rPr>
              <w:t>电子投标文件递交地点：电子投标文件应按规定在投标截止时间（开标时间）之前成功提交至【全国公共资源交易平台</w:t>
            </w:r>
            <w:r>
              <w:rPr>
                <w:rFonts w:hAnsi="宋体" w:eastAsia="宋体" w:cs="宋体"/>
                <w:color w:val="auto"/>
                <w:sz w:val="24"/>
              </w:rPr>
              <w:t>(</w:t>
            </w:r>
            <w:r>
              <w:rPr>
                <w:rFonts w:hint="eastAsia" w:hAnsi="宋体" w:eastAsia="宋体" w:cs="宋体"/>
                <w:color w:val="auto"/>
                <w:sz w:val="24"/>
              </w:rPr>
              <w:t>河南省</w:t>
            </w:r>
            <w:r>
              <w:rPr>
                <w:rFonts w:hint="eastAsia" w:ascii="MS Mincho" w:hAnsi="MS Mincho" w:eastAsia="MS Mincho" w:cs="MS Mincho"/>
                <w:color w:val="auto"/>
                <w:sz w:val="24"/>
              </w:rPr>
              <w:t>▪</w:t>
            </w:r>
            <w:r>
              <w:rPr>
                <w:rFonts w:hint="eastAsia" w:hAnsi="宋体" w:eastAsia="宋体" w:cs="宋体"/>
                <w:color w:val="auto"/>
                <w:sz w:val="24"/>
              </w:rPr>
              <w:t>许昌市</w:t>
            </w:r>
            <w:r>
              <w:rPr>
                <w:rFonts w:hAnsi="宋体" w:eastAsia="宋体" w:cs="宋体"/>
                <w:color w:val="auto"/>
                <w:sz w:val="24"/>
              </w:rPr>
              <w:t>)</w:t>
            </w:r>
            <w:r>
              <w:rPr>
                <w:rFonts w:hint="eastAsia" w:hAnsi="宋体" w:eastAsia="宋体" w:cs="宋体"/>
                <w:color w:val="auto"/>
                <w:sz w:val="24"/>
              </w:rPr>
              <w:t>】公共资源交易系统（</w:t>
            </w:r>
            <w:r>
              <w:rPr>
                <w:rFonts w:hAnsi="宋体" w:eastAsia="宋体" w:cs="宋体"/>
                <w:color w:val="auto"/>
                <w:sz w:val="24"/>
              </w:rPr>
              <w:t>http://221.14.6.70:8088/ggzy/</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4.2.3</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是否退还投标文件</w:t>
            </w:r>
          </w:p>
        </w:tc>
        <w:tc>
          <w:tcPr>
            <w:tcW w:w="5905" w:type="dxa"/>
            <w:gridSpan w:val="2"/>
            <w:noWrap w:val="0"/>
            <w:vAlign w:val="center"/>
          </w:tcPr>
          <w:p>
            <w:pPr>
              <w:autoSpaceDE w:val="0"/>
              <w:autoSpaceDN w:val="0"/>
              <w:adjustRightInd w:val="0"/>
              <w:spacing w:line="360" w:lineRule="auto"/>
              <w:rPr>
                <w:rFonts w:hint="eastAsia" w:ascii="宋体" w:hAnsi="宋体" w:cs="仿宋_GB2312"/>
                <w:color w:val="auto"/>
                <w:kern w:val="0"/>
                <w:sz w:val="24"/>
              </w:rPr>
            </w:pPr>
            <w:r>
              <w:rPr>
                <w:rFonts w:hint="eastAsia" w:ascii="宋体" w:hAnsi="宋体" w:cs="仿宋_GB2312"/>
                <w:color w:val="auto"/>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5.1</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开标时间和地点</w:t>
            </w:r>
          </w:p>
        </w:tc>
        <w:tc>
          <w:tcPr>
            <w:tcW w:w="5905" w:type="dxa"/>
            <w:gridSpan w:val="2"/>
            <w:noWrap w:val="0"/>
            <w:vAlign w:val="top"/>
          </w:tcPr>
          <w:p>
            <w:pPr>
              <w:autoSpaceDE w:val="0"/>
              <w:autoSpaceDN w:val="0"/>
              <w:adjustRightInd w:val="0"/>
              <w:spacing w:line="420" w:lineRule="exact"/>
              <w:jc w:val="left"/>
              <w:rPr>
                <w:rFonts w:ascii="宋体" w:hAnsi="宋体" w:cs="仿宋_GB2312"/>
                <w:color w:val="auto"/>
                <w:kern w:val="0"/>
                <w:sz w:val="24"/>
              </w:rPr>
            </w:pPr>
            <w:r>
              <w:rPr>
                <w:rFonts w:hint="eastAsia" w:ascii="宋体" w:hAnsi="宋体" w:cs="仿宋_GB2312"/>
                <w:color w:val="auto"/>
                <w:kern w:val="0"/>
                <w:sz w:val="24"/>
              </w:rPr>
              <w:t>开标时间：同投标截止时间</w:t>
            </w:r>
          </w:p>
          <w:p>
            <w:pPr>
              <w:spacing w:line="360" w:lineRule="auto"/>
              <w:rPr>
                <w:rFonts w:hint="eastAsia" w:ascii="宋体" w:hAnsi="宋体" w:cs="黑体"/>
                <w:color w:val="auto"/>
                <w:kern w:val="0"/>
                <w:sz w:val="24"/>
              </w:rPr>
            </w:pPr>
            <w:r>
              <w:rPr>
                <w:rFonts w:hint="eastAsia" w:ascii="宋体" w:hAnsi="宋体" w:cs="仿宋_GB2312"/>
                <w:color w:val="auto"/>
                <w:kern w:val="0"/>
                <w:sz w:val="24"/>
              </w:rPr>
              <w:t>开标地点：开标地点:许昌市公共资源交易中心（龙兴路与竹林路交汇处创业服务中心C 座）三楼开标（</w:t>
            </w:r>
            <w:r>
              <w:rPr>
                <w:rFonts w:hint="eastAsia" w:hAnsi="宋体" w:cs="仿宋_GB2312"/>
                <w:color w:val="auto"/>
                <w:kern w:val="0"/>
                <w:sz w:val="24"/>
                <w:lang w:val="en-US" w:eastAsia="zh-CN"/>
              </w:rPr>
              <w:t>三</w:t>
            </w:r>
            <w:bookmarkStart w:id="83" w:name="_GoBack"/>
            <w:bookmarkEnd w:id="83"/>
            <w:r>
              <w:rPr>
                <w:rFonts w:hint="eastAsia" w:ascii="宋体" w:hAnsi="宋体" w:cs="仿宋_GB2312"/>
                <w:color w:val="auto"/>
                <w:kern w:val="0"/>
                <w:sz w:val="24"/>
              </w:rPr>
              <w:t>）室。</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 xml:space="preserve">5.2 </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开标程序</w:t>
            </w:r>
          </w:p>
        </w:tc>
        <w:tc>
          <w:tcPr>
            <w:tcW w:w="5905" w:type="dxa"/>
            <w:gridSpan w:val="2"/>
            <w:noWrap w:val="0"/>
            <w:vAlign w:val="top"/>
          </w:tcPr>
          <w:p>
            <w:pPr>
              <w:spacing w:line="520" w:lineRule="exact"/>
              <w:rPr>
                <w:rFonts w:hAnsi="宋体" w:eastAsia="宋体" w:cs="宋体"/>
                <w:color w:val="auto"/>
                <w:sz w:val="24"/>
              </w:rPr>
            </w:pPr>
            <w:r>
              <w:rPr>
                <w:rFonts w:hint="eastAsia" w:hAnsi="宋体" w:eastAsia="宋体" w:cs="宋体"/>
                <w:color w:val="auto"/>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eastAsia="宋体" w:cs="宋体"/>
                <w:color w:val="auto"/>
                <w:sz w:val="24"/>
              </w:rPr>
            </w:pPr>
            <w:r>
              <w:rPr>
                <w:rFonts w:hint="eastAsia" w:hAnsi="宋体" w:eastAsia="宋体" w:cs="宋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eastAsia="宋体" w:cs="宋体"/>
                <w:color w:val="auto"/>
                <w:sz w:val="24"/>
              </w:rPr>
            </w:pPr>
            <w:r>
              <w:rPr>
                <w:rFonts w:hint="eastAsia" w:hAnsi="宋体" w:eastAsia="宋体" w:cs="宋体"/>
                <w:color w:val="auto"/>
                <w:sz w:val="24"/>
              </w:rPr>
              <w:t>(3)解密完成后，招标人（代理机构）点击“系数抽取”按钮进行系数抽取，系数抽取情况在“公告通知”处显示。</w:t>
            </w:r>
            <w:r>
              <w:rPr>
                <w:rFonts w:hAnsi="宋体" w:eastAsia="宋体" w:cs="宋体"/>
                <w:color w:val="auto"/>
                <w:sz w:val="24"/>
              </w:rPr>
              <w:t xml:space="preserve"> </w:t>
            </w:r>
          </w:p>
          <w:p>
            <w:pPr>
              <w:spacing w:line="520" w:lineRule="exact"/>
              <w:rPr>
                <w:rFonts w:hAnsi="宋体" w:eastAsia="宋体" w:cs="宋体"/>
                <w:color w:val="auto"/>
                <w:sz w:val="24"/>
              </w:rPr>
            </w:pPr>
            <w:r>
              <w:rPr>
                <w:rFonts w:hint="eastAsia" w:hAnsi="宋体" w:eastAsia="宋体" w:cs="宋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rPr>
                <w:rFonts w:hAnsi="宋体" w:eastAsia="宋体" w:cs="宋体"/>
                <w:color w:val="auto"/>
                <w:sz w:val="24"/>
              </w:rPr>
            </w:pPr>
            <w:r>
              <w:rPr>
                <w:rFonts w:hint="eastAsia" w:hAnsi="宋体" w:eastAsia="宋体" w:cs="宋体"/>
                <w:color w:val="auto"/>
                <w:sz w:val="24"/>
              </w:rPr>
              <w:t>(5)如无投标人提出异议，招标代理机构通过“文字互动”对话框通知各投标人进行电子签章。投标人应在《开标记录表》上进行电子签章，未进行电子签章的视为对开标结果无异议。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hint="eastAsia" w:ascii="宋体" w:hAnsi="宋体" w:cs="黑体"/>
                <w:color w:val="auto"/>
                <w:kern w:val="0"/>
                <w:sz w:val="24"/>
              </w:rPr>
            </w:pPr>
            <w:r>
              <w:rPr>
                <w:rFonts w:hint="eastAsia" w:hAnsi="宋体" w:eastAsia="宋体" w:cs="宋体"/>
                <w:color w:val="auto"/>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 xml:space="preserve">6.1.1 </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评标委员会的组建</w:t>
            </w:r>
          </w:p>
        </w:tc>
        <w:tc>
          <w:tcPr>
            <w:tcW w:w="5905" w:type="dxa"/>
            <w:gridSpan w:val="2"/>
            <w:noWrap w:val="0"/>
            <w:vAlign w:val="center"/>
          </w:tcPr>
          <w:p>
            <w:pPr>
              <w:spacing w:line="288" w:lineRule="auto"/>
              <w:rPr>
                <w:rFonts w:hint="eastAsia" w:ascii="宋体" w:hAnsi="宋体"/>
                <w:color w:val="auto"/>
                <w:sz w:val="24"/>
              </w:rPr>
            </w:pPr>
            <w:r>
              <w:rPr>
                <w:rFonts w:hint="eastAsia" w:hAnsi="宋体" w:cs="宋体"/>
                <w:color w:val="auto"/>
                <w:sz w:val="24"/>
              </w:rPr>
              <w:t>评标委员会构成：</w:t>
            </w:r>
            <w:r>
              <w:rPr>
                <w:rFonts w:hint="eastAsia" w:ascii="新宋体" w:hAnsi="新宋体" w:eastAsia="新宋体"/>
                <w:color w:val="auto"/>
                <w:sz w:val="24"/>
              </w:rPr>
              <w:t>5人，从河南省综合评标专家库中随机抽取（其中注册造价工程师不少于2人）。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7.1</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是否授权评标委员会确定中标人</w:t>
            </w:r>
          </w:p>
        </w:tc>
        <w:tc>
          <w:tcPr>
            <w:tcW w:w="5905" w:type="dxa"/>
            <w:gridSpan w:val="2"/>
            <w:noWrap w:val="0"/>
            <w:vAlign w:val="center"/>
          </w:tcPr>
          <w:p>
            <w:pPr>
              <w:autoSpaceDE w:val="0"/>
              <w:autoSpaceDN w:val="0"/>
              <w:adjustRightInd w:val="0"/>
              <w:spacing w:line="360" w:lineRule="auto"/>
              <w:rPr>
                <w:rFonts w:hint="eastAsia" w:ascii="宋体" w:hAnsi="宋体" w:cs="黑体"/>
                <w:color w:val="auto"/>
                <w:kern w:val="0"/>
                <w:sz w:val="24"/>
              </w:rPr>
            </w:pPr>
            <w:r>
              <w:rPr>
                <w:rFonts w:hint="eastAsia" w:ascii="宋体" w:hAnsi="宋体" w:cs="仿宋_GB2312"/>
                <w:color w:val="auto"/>
                <w:kern w:val="0"/>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15" w:hRule="atLeast"/>
          <w:jc w:val="center"/>
        </w:trPr>
        <w:tc>
          <w:tcPr>
            <w:tcW w:w="9935" w:type="dxa"/>
            <w:gridSpan w:val="5"/>
            <w:noWrap w:val="0"/>
            <w:vAlign w:val="center"/>
          </w:tcPr>
          <w:p>
            <w:pPr>
              <w:autoSpaceDE w:val="0"/>
              <w:autoSpaceDN w:val="0"/>
              <w:adjustRightInd w:val="0"/>
              <w:spacing w:line="360" w:lineRule="auto"/>
              <w:jc w:val="left"/>
              <w:rPr>
                <w:rFonts w:hint="eastAsia" w:ascii="宋体" w:hAnsi="宋体" w:cs="仿宋_GB2312"/>
                <w:color w:val="auto"/>
                <w:kern w:val="0"/>
                <w:sz w:val="24"/>
              </w:rPr>
            </w:pPr>
            <w:r>
              <w:rPr>
                <w:rFonts w:hint="eastAsia" w:ascii="宋体" w:hAnsi="宋体" w:cs="TimesNewRomanPSMT"/>
                <w:color w:val="auto"/>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15" w:hRule="atLeast"/>
          <w:jc w:val="center"/>
        </w:trPr>
        <w:tc>
          <w:tcPr>
            <w:tcW w:w="9935" w:type="dxa"/>
            <w:gridSpan w:val="5"/>
            <w:noWrap w:val="0"/>
            <w:vAlign w:val="center"/>
          </w:tcPr>
          <w:p>
            <w:pPr>
              <w:autoSpaceDE w:val="0"/>
              <w:autoSpaceDN w:val="0"/>
              <w:adjustRightInd w:val="0"/>
              <w:spacing w:line="360" w:lineRule="auto"/>
              <w:jc w:val="left"/>
              <w:rPr>
                <w:rFonts w:hint="eastAsia" w:ascii="宋体" w:hAnsi="宋体" w:cs="TimesNewRomanPSMT"/>
                <w:color w:val="auto"/>
                <w:kern w:val="0"/>
                <w:sz w:val="24"/>
              </w:rPr>
            </w:pPr>
            <w:r>
              <w:rPr>
                <w:rFonts w:hint="eastAsia" w:ascii="宋体" w:hAnsi="宋体" w:cs="TimesNewRomanPSMT"/>
                <w:color w:val="auto"/>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15" w:hRule="atLeast"/>
          <w:jc w:val="center"/>
        </w:trPr>
        <w:tc>
          <w:tcPr>
            <w:tcW w:w="944" w:type="dxa"/>
            <w:noWrap w:val="0"/>
            <w:vAlign w:val="center"/>
          </w:tcPr>
          <w:p>
            <w:pPr>
              <w:autoSpaceDE w:val="0"/>
              <w:autoSpaceDN w:val="0"/>
              <w:adjustRightInd w:val="0"/>
              <w:spacing w:line="360" w:lineRule="auto"/>
              <w:jc w:val="left"/>
              <w:rPr>
                <w:rFonts w:hint="eastAsia" w:ascii="宋体" w:hAnsi="宋体" w:cs="TimesNewRomanPSMT"/>
                <w:color w:val="auto"/>
                <w:kern w:val="0"/>
                <w:sz w:val="24"/>
              </w:rPr>
            </w:pPr>
            <w:r>
              <w:rPr>
                <w:rFonts w:hint="eastAsia" w:ascii="宋体" w:hAnsi="宋体" w:cs="TimesNewRomanPSMT"/>
                <w:color w:val="auto"/>
                <w:kern w:val="0"/>
                <w:sz w:val="24"/>
              </w:rPr>
              <w:t>10.1.1</w:t>
            </w:r>
          </w:p>
        </w:tc>
        <w:tc>
          <w:tcPr>
            <w:tcW w:w="2928" w:type="dxa"/>
            <w:noWrap w:val="0"/>
            <w:vAlign w:val="center"/>
          </w:tcPr>
          <w:p>
            <w:pPr>
              <w:autoSpaceDE w:val="0"/>
              <w:autoSpaceDN w:val="0"/>
              <w:adjustRightInd w:val="0"/>
              <w:spacing w:line="360" w:lineRule="auto"/>
              <w:jc w:val="left"/>
              <w:rPr>
                <w:rFonts w:hint="eastAsia" w:ascii="宋体" w:hAnsi="宋体" w:cs="TimesNewRomanPSMT"/>
                <w:color w:val="auto"/>
                <w:kern w:val="0"/>
                <w:sz w:val="24"/>
              </w:rPr>
            </w:pPr>
            <w:r>
              <w:rPr>
                <w:rFonts w:hint="eastAsia" w:ascii="宋体" w:hAnsi="宋体" w:cs="TimesNewRomanPSMT"/>
                <w:color w:val="auto"/>
                <w:kern w:val="0"/>
                <w:sz w:val="24"/>
              </w:rPr>
              <w:t>类似项目</w:t>
            </w:r>
          </w:p>
        </w:tc>
        <w:tc>
          <w:tcPr>
            <w:tcW w:w="6063" w:type="dxa"/>
            <w:gridSpan w:val="3"/>
            <w:noWrap w:val="0"/>
            <w:vAlign w:val="center"/>
          </w:tcPr>
          <w:p>
            <w:pPr>
              <w:autoSpaceDE w:val="0"/>
              <w:autoSpaceDN w:val="0"/>
              <w:adjustRightInd w:val="0"/>
              <w:spacing w:line="360" w:lineRule="auto"/>
              <w:jc w:val="left"/>
              <w:rPr>
                <w:rFonts w:hint="eastAsia" w:ascii="宋体" w:hAnsi="宋体" w:cs="TimesNewRomanPSMT"/>
                <w:color w:val="auto"/>
                <w:kern w:val="0"/>
                <w:sz w:val="24"/>
              </w:rPr>
            </w:pPr>
            <w:r>
              <w:rPr>
                <w:rFonts w:hint="eastAsia" w:hAnsi="宋体" w:eastAsia="宋体" w:cs="宋体"/>
                <w:color w:val="auto"/>
                <w:sz w:val="24"/>
              </w:rPr>
              <w:t>指201</w:t>
            </w:r>
            <w:r>
              <w:rPr>
                <w:rFonts w:hint="eastAsia" w:hAnsi="宋体" w:eastAsia="宋体" w:cs="宋体"/>
                <w:color w:val="auto"/>
                <w:sz w:val="24"/>
                <w:lang w:val="en-US" w:eastAsia="zh-CN"/>
              </w:rPr>
              <w:t>7</w:t>
            </w:r>
            <w:r>
              <w:rPr>
                <w:rFonts w:hint="eastAsia" w:hAnsi="宋体" w:eastAsia="宋体" w:cs="宋体"/>
                <w:color w:val="auto"/>
                <w:sz w:val="24"/>
              </w:rPr>
              <w:t>年1月1日以来（以合同签订时间为准）已经完成的</w:t>
            </w:r>
            <w:r>
              <w:rPr>
                <w:rFonts w:hint="eastAsia" w:hAnsi="宋体" w:eastAsia="宋体" w:cs="宋体"/>
                <w:color w:val="auto"/>
                <w:sz w:val="24"/>
                <w:lang w:eastAsia="zh-CN"/>
              </w:rPr>
              <w:t>不低于本项目招标控制价的市政公用</w:t>
            </w:r>
            <w:r>
              <w:rPr>
                <w:rFonts w:hint="eastAsia" w:hAnsi="宋体" w:eastAsia="宋体" w:cs="宋体"/>
                <w:color w:val="auto"/>
                <w:sz w:val="24"/>
              </w:rPr>
              <w:t>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15" w:hRule="atLeast"/>
          <w:jc w:val="center"/>
        </w:trPr>
        <w:tc>
          <w:tcPr>
            <w:tcW w:w="9935" w:type="dxa"/>
            <w:gridSpan w:val="5"/>
            <w:noWrap w:val="0"/>
            <w:vAlign w:val="center"/>
          </w:tcPr>
          <w:p>
            <w:pPr>
              <w:autoSpaceDE w:val="0"/>
              <w:autoSpaceDN w:val="0"/>
              <w:adjustRightInd w:val="0"/>
              <w:spacing w:line="360" w:lineRule="auto"/>
              <w:jc w:val="left"/>
              <w:rPr>
                <w:rFonts w:hint="eastAsia" w:ascii="宋体" w:hAnsi="宋体" w:cs="仿宋_GB2312"/>
                <w:color w:val="auto"/>
                <w:kern w:val="0"/>
                <w:sz w:val="24"/>
              </w:rPr>
            </w:pPr>
            <w:r>
              <w:rPr>
                <w:rFonts w:hint="eastAsia" w:ascii="宋体" w:hAnsi="宋体" w:cs="TimesNewRomanPSMT"/>
                <w:color w:val="auto"/>
                <w:kern w:val="0"/>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61" w:hRule="atLeast"/>
          <w:jc w:val="center"/>
        </w:trPr>
        <w:tc>
          <w:tcPr>
            <w:tcW w:w="944" w:type="dxa"/>
            <w:noWrap w:val="0"/>
            <w:vAlign w:val="center"/>
          </w:tcPr>
          <w:p>
            <w:pPr>
              <w:autoSpaceDE w:val="0"/>
              <w:autoSpaceDN w:val="0"/>
              <w:adjustRightInd w:val="0"/>
              <w:spacing w:line="360" w:lineRule="auto"/>
              <w:jc w:val="center"/>
              <w:rPr>
                <w:rFonts w:ascii="宋体" w:hAnsi="宋体"/>
                <w:bCs/>
                <w:color w:val="auto"/>
                <w:kern w:val="0"/>
                <w:sz w:val="24"/>
              </w:rPr>
            </w:pPr>
          </w:p>
        </w:tc>
        <w:tc>
          <w:tcPr>
            <w:tcW w:w="8991" w:type="dxa"/>
            <w:gridSpan w:val="4"/>
            <w:noWrap w:val="0"/>
            <w:vAlign w:val="center"/>
          </w:tcPr>
          <w:p>
            <w:pPr>
              <w:spacing w:line="360" w:lineRule="auto"/>
              <w:rPr>
                <w:rFonts w:hint="eastAsia" w:ascii="宋体" w:hAnsi="宋体"/>
                <w:color w:val="auto"/>
                <w:sz w:val="24"/>
              </w:rPr>
            </w:pPr>
            <w:r>
              <w:rPr>
                <w:rFonts w:hint="eastAsia" w:ascii="宋体" w:hAnsi="宋体"/>
                <w:color w:val="auto"/>
                <w:sz w:val="24"/>
              </w:rPr>
              <w:t>本工程设招标控制价：</w:t>
            </w:r>
          </w:p>
          <w:p>
            <w:pPr>
              <w:keepNext/>
              <w:spacing w:line="276" w:lineRule="auto"/>
              <w:ind w:firstLine="240" w:firstLineChars="100"/>
              <w:rPr>
                <w:rFonts w:hint="eastAsia" w:ascii="宋体" w:hAnsi="宋体"/>
                <w:b/>
                <w:color w:val="auto"/>
                <w:sz w:val="24"/>
              </w:rPr>
            </w:pPr>
            <w:r>
              <w:rPr>
                <w:rFonts w:hint="eastAsia" w:ascii="宋体" w:hAnsi="宋体"/>
                <w:b/>
                <w:color w:val="auto"/>
                <w:sz w:val="24"/>
              </w:rPr>
              <w:t>大写：</w:t>
            </w:r>
            <w:r>
              <w:rPr>
                <w:rFonts w:hint="eastAsia" w:hAnsi="宋体"/>
                <w:b/>
                <w:color w:val="auto"/>
                <w:sz w:val="24"/>
                <w:lang w:val="en-US" w:eastAsia="zh-CN"/>
              </w:rPr>
              <w:t>贰佰陆拾壹万陆仟陆佰叁拾元捌角伍分</w:t>
            </w:r>
            <w:r>
              <w:rPr>
                <w:rFonts w:hint="eastAsia" w:ascii="宋体" w:hAnsi="宋体"/>
                <w:b/>
                <w:color w:val="auto"/>
                <w:sz w:val="24"/>
              </w:rPr>
              <w:t xml:space="preserve">整 </w:t>
            </w:r>
          </w:p>
          <w:p>
            <w:pPr>
              <w:keepNext/>
              <w:spacing w:line="276" w:lineRule="auto"/>
              <w:ind w:firstLine="240" w:firstLineChars="100"/>
              <w:rPr>
                <w:rFonts w:hint="eastAsia" w:ascii="宋体" w:hAnsi="宋体"/>
                <w:b/>
                <w:color w:val="auto"/>
                <w:sz w:val="24"/>
              </w:rPr>
            </w:pPr>
            <w:r>
              <w:rPr>
                <w:rFonts w:hint="eastAsia" w:ascii="宋体" w:hAnsi="宋体"/>
                <w:b/>
                <w:color w:val="auto"/>
                <w:sz w:val="24"/>
              </w:rPr>
              <w:t>小写：</w:t>
            </w:r>
            <w:r>
              <w:rPr>
                <w:rFonts w:hint="eastAsia" w:hAnsi="宋体"/>
                <w:b/>
                <w:color w:val="auto"/>
                <w:sz w:val="24"/>
                <w:lang w:val="en-US" w:eastAsia="zh-CN"/>
              </w:rPr>
              <w:t>2616630.85</w:t>
            </w:r>
            <w:r>
              <w:rPr>
                <w:rFonts w:hint="eastAsia" w:ascii="宋体" w:hAnsi="宋体"/>
                <w:b/>
                <w:color w:val="auto"/>
                <w:sz w:val="24"/>
              </w:rPr>
              <w:t>元</w:t>
            </w:r>
          </w:p>
          <w:p>
            <w:pPr>
              <w:autoSpaceDE w:val="0"/>
              <w:autoSpaceDN w:val="0"/>
              <w:adjustRightInd w:val="0"/>
              <w:spacing w:line="360" w:lineRule="auto"/>
              <w:ind w:firstLine="240" w:firstLineChars="100"/>
              <w:jc w:val="left"/>
              <w:rPr>
                <w:rFonts w:hint="eastAsia" w:ascii="宋体" w:hAnsi="宋体"/>
                <w:b/>
                <w:color w:val="auto"/>
                <w:sz w:val="24"/>
              </w:rPr>
            </w:pPr>
            <w:r>
              <w:rPr>
                <w:rFonts w:hint="eastAsia" w:ascii="宋体" w:hAnsi="宋体"/>
                <w:b/>
                <w:color w:val="auto"/>
                <w:sz w:val="24"/>
              </w:rPr>
              <w:t>凡投标人的投标报价高于“招标控制价”（不含等于“招标控制价”）的，该投标人的投标文件作废标处理。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61" w:hRule="atLeast"/>
          <w:jc w:val="center"/>
        </w:trPr>
        <w:tc>
          <w:tcPr>
            <w:tcW w:w="9935" w:type="dxa"/>
            <w:gridSpan w:val="5"/>
            <w:noWrap w:val="0"/>
            <w:vAlign w:val="center"/>
          </w:tcPr>
          <w:p>
            <w:pPr>
              <w:autoSpaceDE w:val="0"/>
              <w:autoSpaceDN w:val="0"/>
              <w:adjustRightInd w:val="0"/>
              <w:spacing w:line="360" w:lineRule="auto"/>
              <w:ind w:firstLine="240" w:firstLineChars="100"/>
              <w:jc w:val="left"/>
              <w:rPr>
                <w:rFonts w:hint="eastAsia" w:ascii="宋体" w:hAnsi="宋体"/>
                <w:b/>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61" w:hRule="atLeast"/>
          <w:jc w:val="center"/>
        </w:trPr>
        <w:tc>
          <w:tcPr>
            <w:tcW w:w="944" w:type="dxa"/>
            <w:noWrap w:val="0"/>
            <w:vAlign w:val="center"/>
          </w:tcPr>
          <w:p>
            <w:pPr>
              <w:spacing w:line="312" w:lineRule="auto"/>
              <w:rPr>
                <w:rFonts w:hint="eastAsia" w:hAnsi="宋体" w:eastAsia="宋体" w:cs="宋体"/>
                <w:color w:val="auto"/>
                <w:sz w:val="24"/>
              </w:rPr>
            </w:pPr>
          </w:p>
        </w:tc>
        <w:tc>
          <w:tcPr>
            <w:tcW w:w="3437" w:type="dxa"/>
            <w:gridSpan w:val="3"/>
            <w:noWrap w:val="0"/>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int="eastAsia" w:hAnsi="宋体" w:eastAsia="宋体" w:cs="宋体"/>
                <w:color w:val="auto"/>
                <w:sz w:val="24"/>
              </w:rPr>
            </w:pPr>
            <w:r>
              <w:rPr>
                <w:rFonts w:hint="eastAsia" w:hAnsi="宋体" w:eastAsia="宋体" w:cs="宋体"/>
                <w:color w:val="auto"/>
                <w:sz w:val="24"/>
              </w:rPr>
              <w:t>评审方式</w:t>
            </w:r>
          </w:p>
        </w:tc>
        <w:tc>
          <w:tcPr>
            <w:tcW w:w="5554" w:type="dxa"/>
            <w:noWrap w:val="0"/>
            <w:vAlign w:val="center"/>
          </w:tcPr>
          <w:p>
            <w:pPr>
              <w:spacing w:line="312" w:lineRule="auto"/>
              <w:rPr>
                <w:rFonts w:hint="eastAsia"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ind w:left="240" w:hanging="240" w:hangingChars="100"/>
              <w:rPr>
                <w:rFonts w:hint="eastAsia" w:ascii="宋体" w:hAnsi="宋体"/>
                <w:color w:val="auto"/>
                <w:sz w:val="24"/>
              </w:rPr>
            </w:pPr>
            <w:r>
              <w:rPr>
                <w:rFonts w:hint="eastAsia" w:ascii="宋体" w:hAnsi="宋体"/>
                <w:color w:val="auto"/>
                <w:sz w:val="24"/>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noWrap w:val="0"/>
            <w:vAlign w:val="center"/>
          </w:tcPr>
          <w:p>
            <w:pPr>
              <w:spacing w:line="360" w:lineRule="auto"/>
              <w:rPr>
                <w:rFonts w:hint="eastAsia" w:ascii="宋体" w:hAnsi="宋体"/>
                <w:color w:val="auto"/>
                <w:sz w:val="24"/>
              </w:rPr>
            </w:pPr>
          </w:p>
        </w:tc>
        <w:tc>
          <w:tcPr>
            <w:tcW w:w="8991" w:type="dxa"/>
            <w:gridSpan w:val="4"/>
            <w:noWrap w:val="0"/>
            <w:vAlign w:val="center"/>
          </w:tcPr>
          <w:p>
            <w:pPr>
              <w:numPr>
                <w:ilvl w:val="0"/>
                <w:numId w:val="0"/>
              </w:numPr>
              <w:spacing w:line="360" w:lineRule="auto"/>
              <w:rPr>
                <w:rFonts w:hint="eastAsia" w:ascii="宋体" w:hAnsi="宋体" w:cs="宋体"/>
                <w:color w:val="auto"/>
                <w:sz w:val="24"/>
                <w:szCs w:val="22"/>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rPr>
                <w:rFonts w:hint="eastAsia" w:ascii="宋体" w:hAnsi="宋体" w:cs="宋体"/>
                <w:color w:val="auto"/>
                <w:sz w:val="24"/>
                <w:szCs w:val="22"/>
              </w:rPr>
            </w:pPr>
            <w:r>
              <w:rPr>
                <w:rFonts w:hint="eastAsia" w:ascii="宋体" w:hAnsi="宋体" w:cs="宋体"/>
                <w:color w:val="auto"/>
                <w:sz w:val="24"/>
                <w:szCs w:val="22"/>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noWrap w:val="0"/>
            <w:vAlign w:val="center"/>
          </w:tcPr>
          <w:p>
            <w:pPr>
              <w:spacing w:line="360" w:lineRule="auto"/>
              <w:rPr>
                <w:rFonts w:hint="eastAsia" w:ascii="宋体" w:hAnsi="宋体"/>
                <w:color w:val="auto"/>
                <w:sz w:val="24"/>
              </w:rPr>
            </w:pPr>
          </w:p>
        </w:tc>
        <w:tc>
          <w:tcPr>
            <w:tcW w:w="8991" w:type="dxa"/>
            <w:gridSpan w:val="4"/>
            <w:noWrap w:val="0"/>
            <w:vAlign w:val="center"/>
          </w:tcPr>
          <w:p>
            <w:pPr>
              <w:spacing w:line="360" w:lineRule="auto"/>
              <w:rPr>
                <w:rFonts w:hint="eastAsia" w:ascii="宋体" w:hAnsi="宋体" w:cs="宋体"/>
                <w:color w:val="auto"/>
                <w:sz w:val="24"/>
                <w:szCs w:val="22"/>
              </w:rPr>
            </w:pPr>
            <w:r>
              <w:rPr>
                <w:rFonts w:hint="eastAsia" w:ascii="宋体" w:hAnsi="宋体" w:cs="宋体"/>
                <w:color w:val="auto"/>
                <w:sz w:val="24"/>
                <w:szCs w:val="22"/>
              </w:rPr>
              <w:t>1、在中标通知书发出前，招标人将中标候选人的情况在《全国公共资源交易平台（河南省·许昌市）》、</w:t>
            </w:r>
            <w:r>
              <w:rPr>
                <w:rFonts w:hint="eastAsia" w:ascii="宋体" w:hAnsi="宋体" w:cs="宋体"/>
                <w:color w:val="auto"/>
                <w:sz w:val="24"/>
              </w:rPr>
              <w:t>《河南省电子招标投标公共服务平台》</w:t>
            </w:r>
            <w:r>
              <w:rPr>
                <w:rFonts w:hint="eastAsia" w:ascii="宋体" w:hAnsi="宋体" w:cs="宋体"/>
                <w:color w:val="auto"/>
                <w:sz w:val="24"/>
                <w:szCs w:val="22"/>
              </w:rPr>
              <w:t>予以公示，公示期不少于</w:t>
            </w:r>
            <w:r>
              <w:rPr>
                <w:rFonts w:ascii="宋体" w:hAnsi="宋体" w:cs="宋体"/>
                <w:color w:val="auto"/>
                <w:sz w:val="24"/>
                <w:szCs w:val="22"/>
              </w:rPr>
              <w:t>3</w:t>
            </w:r>
            <w:r>
              <w:rPr>
                <w:rFonts w:hint="eastAsia" w:ascii="宋体" w:hAnsi="宋体" w:cs="宋体"/>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rPr>
                <w:rFonts w:hint="eastAsia" w:ascii="宋体" w:hAnsi="宋体"/>
                <w:color w:val="auto"/>
                <w:sz w:val="24"/>
              </w:rPr>
            </w:pPr>
            <w:r>
              <w:rPr>
                <w:rFonts w:hint="eastAsia" w:ascii="宋体" w:hAnsi="宋体"/>
                <w:color w:val="auto"/>
                <w:sz w:val="24"/>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noWrap w:val="0"/>
            <w:vAlign w:val="center"/>
          </w:tcPr>
          <w:p>
            <w:pPr>
              <w:spacing w:line="360" w:lineRule="auto"/>
              <w:rPr>
                <w:rFonts w:hint="eastAsia" w:ascii="宋体" w:hAnsi="宋体"/>
                <w:color w:val="auto"/>
                <w:sz w:val="24"/>
              </w:rPr>
            </w:pPr>
          </w:p>
        </w:tc>
        <w:tc>
          <w:tcPr>
            <w:tcW w:w="8991" w:type="dxa"/>
            <w:gridSpan w:val="4"/>
            <w:noWrap w:val="0"/>
            <w:vAlign w:val="center"/>
          </w:tcPr>
          <w:p>
            <w:pPr>
              <w:spacing w:line="360" w:lineRule="auto"/>
              <w:rPr>
                <w:rFonts w:hint="eastAsia" w:ascii="宋体" w:hAnsi="宋体"/>
                <w:color w:val="auto"/>
                <w:sz w:val="24"/>
              </w:rPr>
            </w:pPr>
            <w:r>
              <w:rPr>
                <w:rFonts w:hint="eastAsia" w:ascii="宋体" w:hAnsi="宋体"/>
                <w:color w:val="auto"/>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rPr>
                <w:rFonts w:hint="eastAsia" w:ascii="宋体" w:hAnsi="宋体"/>
                <w:color w:val="auto"/>
                <w:sz w:val="24"/>
              </w:rPr>
            </w:pPr>
            <w:r>
              <w:rPr>
                <w:rFonts w:hint="eastAsia" w:ascii="宋体" w:hAnsi="宋体"/>
                <w:color w:val="auto"/>
                <w:sz w:val="24"/>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noWrap w:val="0"/>
            <w:vAlign w:val="center"/>
          </w:tcPr>
          <w:p>
            <w:pPr>
              <w:spacing w:line="360" w:lineRule="auto"/>
              <w:rPr>
                <w:rFonts w:hint="eastAsia" w:ascii="宋体" w:hAnsi="宋体"/>
                <w:color w:val="auto"/>
                <w:sz w:val="24"/>
              </w:rPr>
            </w:pPr>
          </w:p>
        </w:tc>
        <w:tc>
          <w:tcPr>
            <w:tcW w:w="8991" w:type="dxa"/>
            <w:gridSpan w:val="4"/>
            <w:noWrap w:val="0"/>
            <w:vAlign w:val="center"/>
          </w:tcPr>
          <w:p>
            <w:pPr>
              <w:spacing w:line="360" w:lineRule="auto"/>
              <w:rPr>
                <w:rFonts w:hint="eastAsia" w:ascii="宋体" w:hAnsi="宋体"/>
                <w:color w:val="auto"/>
                <w:sz w:val="24"/>
              </w:rPr>
            </w:pPr>
            <w:r>
              <w:rPr>
                <w:rFonts w:hint="eastAsia" w:ascii="宋体" w:hAnsi="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rPr>
                <w:rFonts w:hint="eastAsia" w:ascii="宋体" w:hAnsi="宋体"/>
                <w:color w:val="auto"/>
                <w:sz w:val="24"/>
              </w:rPr>
            </w:pPr>
            <w:r>
              <w:rPr>
                <w:rFonts w:hint="eastAsia" w:ascii="宋体" w:hAnsi="宋体"/>
                <w:color w:val="auto"/>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noWrap w:val="0"/>
            <w:vAlign w:val="center"/>
          </w:tcPr>
          <w:p>
            <w:pPr>
              <w:spacing w:line="360" w:lineRule="auto"/>
              <w:rPr>
                <w:rFonts w:hint="eastAsia" w:ascii="宋体" w:hAnsi="宋体"/>
                <w:color w:val="auto"/>
                <w:sz w:val="24"/>
              </w:rPr>
            </w:pPr>
          </w:p>
        </w:tc>
        <w:tc>
          <w:tcPr>
            <w:tcW w:w="8991" w:type="dxa"/>
            <w:gridSpan w:val="4"/>
            <w:noWrap w:val="0"/>
            <w:vAlign w:val="center"/>
          </w:tcPr>
          <w:p>
            <w:pPr>
              <w:spacing w:line="360" w:lineRule="auto"/>
              <w:rPr>
                <w:rFonts w:hint="eastAsia" w:ascii="宋体" w:hAnsi="宋体"/>
                <w:color w:val="auto"/>
                <w:sz w:val="24"/>
              </w:rPr>
            </w:pPr>
            <w:r>
              <w:rPr>
                <w:rFonts w:hint="eastAsia" w:ascii="宋体" w:hAnsi="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rPr>
                <w:rFonts w:hint="eastAsia" w:ascii="宋体" w:hAnsi="宋体"/>
                <w:color w:val="auto"/>
                <w:sz w:val="24"/>
              </w:rPr>
            </w:pPr>
            <w:r>
              <w:rPr>
                <w:rFonts w:hint="eastAsia" w:ascii="宋体" w:hAnsi="宋体" w:cs="仿宋_GB2312"/>
                <w:color w:val="auto"/>
                <w:kern w:val="0"/>
                <w:sz w:val="24"/>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noWrap w:val="0"/>
            <w:vAlign w:val="center"/>
          </w:tcPr>
          <w:p>
            <w:pPr>
              <w:spacing w:line="360" w:lineRule="auto"/>
              <w:rPr>
                <w:rFonts w:hint="eastAsia" w:ascii="宋体" w:hAnsi="宋体"/>
                <w:color w:val="auto"/>
                <w:sz w:val="24"/>
              </w:rPr>
            </w:pPr>
          </w:p>
        </w:tc>
        <w:tc>
          <w:tcPr>
            <w:tcW w:w="8991" w:type="dxa"/>
            <w:gridSpan w:val="4"/>
            <w:noWrap w:val="0"/>
            <w:vAlign w:val="center"/>
          </w:tcPr>
          <w:p>
            <w:pPr>
              <w:spacing w:line="360" w:lineRule="auto"/>
              <w:rPr>
                <w:rFonts w:hint="eastAsia" w:ascii="宋体" w:hAnsi="宋体" w:cs="仿宋_GB2312"/>
                <w:color w:val="auto"/>
                <w:kern w:val="0"/>
                <w:sz w:val="24"/>
              </w:rPr>
            </w:pPr>
            <w:r>
              <w:rPr>
                <w:rFonts w:hint="eastAsia" w:ascii="宋体" w:hAnsi="宋体" w:cs="仿宋_GB2312"/>
                <w:color w:val="auto"/>
                <w:kern w:val="0"/>
                <w:sz w:val="24"/>
              </w:rPr>
              <w:t>构成本招标文件的各个组成文件应互为解释，互为说明；</w:t>
            </w:r>
          </w:p>
          <w:p>
            <w:pPr>
              <w:spacing w:line="360" w:lineRule="auto"/>
              <w:rPr>
                <w:rFonts w:hint="eastAsia" w:ascii="宋体" w:hAnsi="宋体" w:cs="仿宋_GB2312"/>
                <w:color w:val="auto"/>
                <w:kern w:val="0"/>
                <w:sz w:val="24"/>
              </w:rPr>
            </w:pPr>
            <w:r>
              <w:rPr>
                <w:rFonts w:hint="eastAsia" w:ascii="宋体" w:hAnsi="宋体" w:cs="仿宋_GB2312"/>
                <w:color w:val="auto"/>
                <w:kern w:val="0"/>
                <w:sz w:val="24"/>
              </w:rPr>
              <w:t>10.12.1如有不明确或不一致，构成合同文件组成内容，以合同文件约定内容为准，且以专用合同条款约定的合同文件优先顺序解释；</w:t>
            </w:r>
          </w:p>
          <w:p>
            <w:pPr>
              <w:spacing w:line="360" w:lineRule="auto"/>
              <w:rPr>
                <w:rFonts w:hint="eastAsia" w:ascii="宋体" w:hAnsi="宋体" w:cs="仿宋_GB2312"/>
                <w:color w:val="auto"/>
                <w:kern w:val="0"/>
                <w:sz w:val="24"/>
              </w:rPr>
            </w:pPr>
            <w:r>
              <w:rPr>
                <w:rFonts w:hint="eastAsia" w:ascii="宋体" w:hAnsi="宋体" w:cs="仿宋_GB2312"/>
                <w:color w:val="auto"/>
                <w:kern w:val="0"/>
                <w:sz w:val="24"/>
              </w:rPr>
              <w:t>10.12.2除招标文件中有特别规定外，仅适用于招标投标阶段的规定，按招标公告（投标邀请书）、投标人须知、评标办法、投标文件格式的先后顺序解释；</w:t>
            </w:r>
          </w:p>
          <w:p>
            <w:pPr>
              <w:spacing w:line="360" w:lineRule="auto"/>
              <w:rPr>
                <w:rFonts w:hint="eastAsia" w:ascii="宋体" w:hAnsi="宋体" w:cs="仿宋_GB2312"/>
                <w:color w:val="auto"/>
                <w:kern w:val="0"/>
                <w:sz w:val="24"/>
              </w:rPr>
            </w:pPr>
            <w:r>
              <w:rPr>
                <w:rFonts w:hint="eastAsia" w:ascii="宋体" w:hAnsi="宋体" w:cs="仿宋_GB2312"/>
                <w:color w:val="auto"/>
                <w:kern w:val="0"/>
                <w:sz w:val="24"/>
              </w:rPr>
              <w:t>10.12.3同一组成文件中就同一事项的规定或约定不一致的，以编排顺序在后者为准；</w:t>
            </w:r>
          </w:p>
          <w:p>
            <w:pPr>
              <w:spacing w:line="360" w:lineRule="auto"/>
              <w:rPr>
                <w:rFonts w:hint="eastAsia" w:ascii="宋体" w:hAnsi="宋体" w:cs="仿宋_GB2312"/>
                <w:color w:val="auto"/>
                <w:kern w:val="0"/>
                <w:sz w:val="24"/>
              </w:rPr>
            </w:pPr>
            <w:r>
              <w:rPr>
                <w:rFonts w:hint="eastAsia" w:ascii="宋体" w:hAnsi="宋体" w:cs="仿宋_GB2312"/>
                <w:color w:val="auto"/>
                <w:kern w:val="0"/>
                <w:sz w:val="24"/>
              </w:rPr>
              <w:t>10.12.4同一组成文件不同版本之间有不一致的，以形成时间在后者为准。</w:t>
            </w:r>
          </w:p>
          <w:p>
            <w:pPr>
              <w:spacing w:line="360" w:lineRule="auto"/>
              <w:rPr>
                <w:rFonts w:hint="eastAsia" w:ascii="宋体" w:hAnsi="宋体"/>
                <w:color w:val="auto"/>
                <w:sz w:val="24"/>
              </w:rPr>
            </w:pPr>
            <w:r>
              <w:rPr>
                <w:rFonts w:hint="eastAsia" w:ascii="宋体" w:hAnsi="宋体" w:cs="仿宋_GB2312"/>
                <w:color w:val="auto"/>
                <w:kern w:val="0"/>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rPr>
                <w:rFonts w:hint="eastAsia" w:ascii="宋体" w:hAnsi="宋体" w:cs="仿宋_GB2312"/>
                <w:color w:val="auto"/>
                <w:kern w:val="0"/>
                <w:sz w:val="24"/>
              </w:rPr>
            </w:pPr>
            <w:r>
              <w:rPr>
                <w:rFonts w:hint="eastAsia" w:ascii="宋体" w:hAnsi="宋体" w:cs="仿宋_GB2312"/>
                <w:color w:val="auto"/>
                <w:kern w:val="0"/>
                <w:sz w:val="24"/>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rPr>
                <w:rFonts w:hint="eastAsia" w:ascii="宋体" w:hAnsi="宋体" w:cs="宋体"/>
                <w:b/>
                <w:color w:val="auto"/>
                <w:kern w:val="0"/>
                <w:sz w:val="24"/>
              </w:rPr>
            </w:pPr>
            <w:r>
              <w:rPr>
                <w:rFonts w:hint="eastAsia" w:ascii="宋体" w:hAnsi="宋体" w:cs="宋体"/>
                <w:b/>
                <w:color w:val="auto"/>
                <w:kern w:val="0"/>
                <w:sz w:val="24"/>
              </w:rPr>
              <w:t>10.13.1投标文件的拒收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noWrap w:val="0"/>
            <w:vAlign w:val="center"/>
          </w:tcPr>
          <w:p>
            <w:pPr>
              <w:spacing w:line="360" w:lineRule="auto"/>
              <w:rPr>
                <w:rFonts w:hint="eastAsia" w:ascii="宋体" w:hAnsi="宋体" w:cs="宋体"/>
                <w:b/>
                <w:color w:val="auto"/>
                <w:kern w:val="0"/>
                <w:sz w:val="24"/>
              </w:rPr>
            </w:pPr>
          </w:p>
        </w:tc>
        <w:tc>
          <w:tcPr>
            <w:tcW w:w="8991" w:type="dxa"/>
            <w:gridSpan w:val="4"/>
            <w:noWrap w:val="0"/>
            <w:vAlign w:val="center"/>
          </w:tcPr>
          <w:p>
            <w:pPr>
              <w:numPr>
                <w:ilvl w:val="0"/>
                <w:numId w:val="3"/>
              </w:numPr>
              <w:autoSpaceDE w:val="0"/>
              <w:autoSpaceDN w:val="0"/>
              <w:spacing w:line="440" w:lineRule="exact"/>
              <w:jc w:val="left"/>
              <w:outlineLvl w:val="0"/>
              <w:rPr>
                <w:rFonts w:hint="eastAsia" w:hAnsi="宋体" w:eastAsia="宋体" w:cs="宋体"/>
                <w:color w:val="auto"/>
                <w:sz w:val="24"/>
              </w:rPr>
            </w:pPr>
            <w:bookmarkStart w:id="6" w:name="OLE_LINK41"/>
            <w:r>
              <w:rPr>
                <w:rFonts w:hint="eastAsia" w:hAnsi="宋体" w:eastAsia="宋体" w:cs="宋体"/>
                <w:color w:val="auto"/>
                <w:sz w:val="24"/>
              </w:rPr>
              <w:t>未成功上传的投标文件；</w:t>
            </w:r>
            <w:bookmarkEnd w:id="6"/>
          </w:p>
          <w:p>
            <w:pPr>
              <w:numPr>
                <w:ilvl w:val="0"/>
                <w:numId w:val="0"/>
              </w:numPr>
              <w:autoSpaceDE w:val="0"/>
              <w:autoSpaceDN w:val="0"/>
              <w:spacing w:line="440" w:lineRule="exact"/>
              <w:jc w:val="left"/>
              <w:outlineLvl w:val="0"/>
              <w:rPr>
                <w:rFonts w:hint="eastAsia" w:ascii="宋体" w:hAnsi="宋体" w:cs="宋体"/>
                <w:color w:val="auto"/>
                <w:sz w:val="24"/>
              </w:rPr>
            </w:pPr>
            <w:r>
              <w:rPr>
                <w:rFonts w:hint="eastAsia" w:hAnsi="宋体" w:eastAsia="宋体" w:cs="宋体"/>
                <w:color w:val="auto"/>
                <w:sz w:val="24"/>
              </w:rPr>
              <w:t>2、未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rPr>
                <w:rFonts w:hint="eastAsia" w:ascii="宋体" w:hAnsi="宋体" w:cs="仿宋_GB2312"/>
                <w:color w:val="auto"/>
                <w:kern w:val="0"/>
                <w:sz w:val="24"/>
              </w:rPr>
            </w:pPr>
            <w:bookmarkStart w:id="7" w:name="_Toc225243456"/>
            <w:bookmarkStart w:id="8" w:name="_Toc283559965"/>
            <w:bookmarkStart w:id="9" w:name="OLE_LINK30" w:colFirst="0" w:colLast="1"/>
            <w:r>
              <w:rPr>
                <w:rFonts w:hint="eastAsia" w:ascii="宋体" w:hAnsi="宋体" w:cs="宋体"/>
                <w:b/>
                <w:color w:val="auto"/>
                <w:kern w:val="0"/>
                <w:sz w:val="24"/>
              </w:rPr>
              <w:t>10.13.</w:t>
            </w:r>
            <w:bookmarkEnd w:id="7"/>
            <w:bookmarkEnd w:id="8"/>
            <w:r>
              <w:rPr>
                <w:rFonts w:hint="eastAsia" w:ascii="宋体" w:hAnsi="宋体" w:cs="宋体"/>
                <w:b/>
                <w:color w:val="auto"/>
                <w:kern w:val="0"/>
                <w:sz w:val="24"/>
              </w:rPr>
              <w:t>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noWrap w:val="0"/>
            <w:vAlign w:val="center"/>
          </w:tcPr>
          <w:p>
            <w:pPr>
              <w:spacing w:line="360" w:lineRule="auto"/>
              <w:rPr>
                <w:rFonts w:hint="eastAsia" w:ascii="宋体" w:hAnsi="宋体" w:cs="宋体"/>
                <w:b/>
                <w:color w:val="auto"/>
                <w:kern w:val="0"/>
                <w:sz w:val="24"/>
              </w:rPr>
            </w:pPr>
          </w:p>
        </w:tc>
        <w:tc>
          <w:tcPr>
            <w:tcW w:w="8991" w:type="dxa"/>
            <w:gridSpan w:val="4"/>
            <w:noWrap w:val="0"/>
            <w:vAlign w:val="center"/>
          </w:tcPr>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5、招标人及其代理机构需留存项目电子档案时，可在质疑期满后使用</w:t>
            </w:r>
            <w:r>
              <w:rPr>
                <w:rFonts w:hAnsi="宋体" w:eastAsia="宋体" w:cs="宋体"/>
                <w:color w:val="auto"/>
                <w:sz w:val="24"/>
              </w:rPr>
              <w:t>CA锁从交易平台自行下载。</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6、商务标投标文件制作注意事项：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6.6投标人</w:t>
            </w:r>
            <w:r>
              <w:rPr>
                <w:rFonts w:hint="eastAsia" w:hAnsi="宋体" w:eastAsia="宋体" w:cs="宋体"/>
                <w:color w:val="auto"/>
                <w:sz w:val="24"/>
                <w:lang w:val="en-US" w:eastAsia="zh-CN"/>
              </w:rPr>
              <w:t>采用银行转账方式提交投标保证金的，</w:t>
            </w:r>
            <w:r>
              <w:rPr>
                <w:rFonts w:hint="eastAsia" w:hAnsi="宋体" w:eastAsia="宋体" w:cs="宋体"/>
                <w:color w:val="auto"/>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7、投标人需提前熟悉招标文件相关事项及《</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》，并设置不见面开标浏览器（设置流程详见《</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10、从参与项目交易开始至项目交易活动结束止，投标（响应）人应时刻关注电子交易系统中的项目进度和状态，特别在项目评审期间，保持投标文件提供的联系方式畅通，评标委员会随时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电子邮件等）。由于自身原因错过变更通知、文件澄清、报价响应（自系统发起30分钟内做出）等重要信息的，后果由投标（响应）人自行承担。</w:t>
            </w:r>
          </w:p>
          <w:p>
            <w:pPr>
              <w:spacing w:line="360" w:lineRule="auto"/>
              <w:rPr>
                <w:rFonts w:hint="eastAsia" w:ascii="宋体" w:hAnsi="宋体" w:cs="宋体"/>
                <w:b/>
                <w:color w:val="auto"/>
                <w:kern w:val="0"/>
                <w:sz w:val="24"/>
              </w:rPr>
            </w:pPr>
            <w:r>
              <w:rPr>
                <w:rFonts w:hint="eastAsia" w:hAnsi="宋体" w:eastAsia="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bookmarkEnd w:id="9"/>
    </w:tbl>
    <w:p>
      <w:pPr>
        <w:autoSpaceDE w:val="0"/>
        <w:autoSpaceDN w:val="0"/>
        <w:adjustRightInd w:val="0"/>
        <w:outlineLvl w:val="0"/>
        <w:rPr>
          <w:rFonts w:hAnsi="宋体" w:cs="宋体"/>
          <w:b/>
          <w:color w:val="auto"/>
          <w:sz w:val="28"/>
          <w:szCs w:val="28"/>
        </w:rPr>
      </w:pPr>
    </w:p>
    <w:p>
      <w:pPr>
        <w:autoSpaceDE w:val="0"/>
        <w:autoSpaceDN w:val="0"/>
        <w:spacing w:line="440" w:lineRule="exact"/>
        <w:jc w:val="left"/>
        <w:outlineLvl w:val="0"/>
        <w:rPr>
          <w:rFonts w:hAnsi="宋体" w:cs="宋体"/>
          <w:color w:val="auto"/>
          <w:sz w:val="24"/>
        </w:rPr>
      </w:pPr>
      <w:bookmarkStart w:id="10" w:name="_Toc283559947"/>
      <w:r>
        <w:rPr>
          <w:rFonts w:hint="eastAsia" w:hAnsi="宋体" w:cs="宋体"/>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11" w:name="_Toc144974503"/>
      <w:bookmarkStart w:id="12" w:name="_Toc179632552"/>
      <w:bookmarkStart w:id="13" w:name="_Toc152045535"/>
      <w:bookmarkStart w:id="14" w:name="_Toc152042311"/>
      <w:r>
        <w:rPr>
          <w:rFonts w:hint="eastAsia" w:hAnsi="宋体" w:cs="宋体"/>
          <w:b/>
          <w:color w:val="auto"/>
          <w:sz w:val="24"/>
        </w:rPr>
        <w:t>1.5 费用承担</w:t>
      </w:r>
      <w:bookmarkEnd w:id="11"/>
      <w:bookmarkEnd w:id="12"/>
      <w:bookmarkEnd w:id="13"/>
      <w:bookmarkEnd w:id="14"/>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5" w:name="_Toc152042312"/>
      <w:bookmarkStart w:id="16" w:name="_Toc179632553"/>
      <w:bookmarkStart w:id="17" w:name="_Toc152045536"/>
      <w:bookmarkStart w:id="18" w:name="_Toc144974504"/>
      <w:r>
        <w:rPr>
          <w:rFonts w:hint="eastAsia" w:hAnsi="宋体" w:cs="宋体"/>
          <w:b/>
          <w:color w:val="auto"/>
          <w:sz w:val="24"/>
        </w:rPr>
        <w:t>1.6 保密</w:t>
      </w:r>
      <w:bookmarkEnd w:id="15"/>
      <w:bookmarkEnd w:id="16"/>
      <w:bookmarkEnd w:id="17"/>
      <w:bookmarkEnd w:id="18"/>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9" w:name="_Toc144974505"/>
      <w:bookmarkStart w:id="20" w:name="_Toc152042313"/>
      <w:bookmarkStart w:id="21" w:name="_Toc179632554"/>
      <w:bookmarkStart w:id="22" w:name="_Toc152045537"/>
      <w:r>
        <w:rPr>
          <w:rFonts w:hint="eastAsia" w:hAnsi="宋体" w:cs="宋体"/>
          <w:b/>
          <w:color w:val="auto"/>
          <w:sz w:val="24"/>
        </w:rPr>
        <w:t>1.7 语言</w:t>
      </w:r>
      <w:bookmarkEnd w:id="19"/>
      <w:r>
        <w:rPr>
          <w:rFonts w:hint="eastAsia" w:hAnsi="宋体" w:cs="宋体"/>
          <w:b/>
          <w:color w:val="auto"/>
          <w:sz w:val="24"/>
        </w:rPr>
        <w:t>文字</w:t>
      </w:r>
      <w:bookmarkEnd w:id="20"/>
      <w:bookmarkEnd w:id="21"/>
      <w:bookmarkEnd w:id="22"/>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23" w:name="_Toc152045538"/>
      <w:bookmarkStart w:id="24" w:name="_Toc144974506"/>
      <w:bookmarkStart w:id="25" w:name="_Toc152042314"/>
      <w:bookmarkStart w:id="26" w:name="_Toc179632555"/>
      <w:r>
        <w:rPr>
          <w:rFonts w:hint="eastAsia" w:hAnsi="宋体" w:cs="宋体"/>
          <w:b/>
          <w:color w:val="auto"/>
          <w:sz w:val="24"/>
        </w:rPr>
        <w:t>1.8 计量单位</w:t>
      </w:r>
      <w:bookmarkEnd w:id="23"/>
      <w:bookmarkEnd w:id="24"/>
      <w:bookmarkEnd w:id="25"/>
      <w:bookmarkEnd w:id="2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10"/>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7" w:name="_Toc283559948"/>
      <w:r>
        <w:rPr>
          <w:rFonts w:hint="eastAsia" w:hAnsi="宋体" w:cs="宋体"/>
          <w:b/>
          <w:color w:val="auto"/>
          <w:sz w:val="24"/>
        </w:rPr>
        <w:t>1.10 投标预备会</w:t>
      </w:r>
      <w:bookmarkEnd w:id="27"/>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8" w:name="_Toc283559949"/>
      <w:r>
        <w:rPr>
          <w:rFonts w:hint="eastAsia" w:hAnsi="宋体" w:cs="宋体"/>
          <w:b/>
          <w:color w:val="auto"/>
          <w:sz w:val="24"/>
        </w:rPr>
        <w:t>1.11 分包</w:t>
      </w:r>
      <w:bookmarkEnd w:id="28"/>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9" w:name="_Toc283559950"/>
      <w:r>
        <w:rPr>
          <w:rFonts w:hint="eastAsia" w:hAnsi="宋体" w:cs="宋体"/>
          <w:b/>
          <w:color w:val="auto"/>
          <w:sz w:val="24"/>
        </w:rPr>
        <w:t>1.12 偏离</w:t>
      </w:r>
      <w:bookmarkEnd w:id="29"/>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17"/>
        <w:spacing w:line="450" w:lineRule="exact"/>
        <w:jc w:val="both"/>
        <w:outlineLvl w:val="0"/>
        <w:rPr>
          <w:rFonts w:hAnsi="宋体"/>
          <w:b/>
          <w:color w:val="auto"/>
        </w:rPr>
      </w:pPr>
      <w:bookmarkStart w:id="30" w:name="_Toc283559951"/>
      <w:r>
        <w:rPr>
          <w:rFonts w:hint="eastAsia" w:hAnsi="宋体"/>
          <w:b/>
          <w:color w:val="auto"/>
        </w:rPr>
        <w:t>2. 招标文件</w:t>
      </w:r>
      <w:bookmarkEnd w:id="30"/>
    </w:p>
    <w:p>
      <w:pPr>
        <w:autoSpaceDE w:val="0"/>
        <w:autoSpaceDN w:val="0"/>
        <w:spacing w:line="450" w:lineRule="exact"/>
        <w:jc w:val="left"/>
        <w:outlineLvl w:val="0"/>
        <w:rPr>
          <w:rFonts w:hAnsi="宋体" w:cs="宋体"/>
          <w:b/>
          <w:color w:val="auto"/>
          <w:sz w:val="24"/>
        </w:rPr>
      </w:pPr>
      <w:bookmarkStart w:id="31" w:name="_Toc283559952"/>
      <w:r>
        <w:rPr>
          <w:rFonts w:hint="eastAsia" w:hAnsi="宋体" w:cs="宋体"/>
          <w:b/>
          <w:color w:val="auto"/>
          <w:sz w:val="24"/>
        </w:rPr>
        <w:t>2.1 招标文件的组成</w:t>
      </w:r>
      <w:bookmarkEnd w:id="31"/>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32" w:name="_Toc283559953"/>
      <w:r>
        <w:rPr>
          <w:rFonts w:hint="eastAsia" w:hAnsi="宋体" w:cs="宋体"/>
          <w:b/>
          <w:color w:val="auto"/>
          <w:sz w:val="24"/>
        </w:rPr>
        <w:t>2.2 招标文件的澄清</w:t>
      </w:r>
      <w:bookmarkEnd w:id="32"/>
    </w:p>
    <w:p>
      <w:pPr>
        <w:autoSpaceDE w:val="0"/>
        <w:autoSpaceDN w:val="0"/>
        <w:adjustRightInd w:val="0"/>
        <w:spacing w:line="450" w:lineRule="exact"/>
        <w:ind w:firstLine="616" w:firstLineChars="257"/>
        <w:jc w:val="left"/>
        <w:rPr>
          <w:rFonts w:hAnsi="宋体" w:cs="宋体"/>
          <w:color w:val="auto"/>
          <w:sz w:val="24"/>
        </w:rPr>
      </w:pPr>
      <w:bookmarkStart w:id="33"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33"/>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34" w:name="_Toc152045546"/>
      <w:bookmarkStart w:id="35" w:name="_Toc152042322"/>
      <w:bookmarkStart w:id="36" w:name="_Toc179632564"/>
      <w:bookmarkStart w:id="37" w:name="_Toc144974514"/>
      <w:r>
        <w:rPr>
          <w:rFonts w:hint="eastAsia" w:hAnsi="宋体" w:cs="宋体"/>
          <w:b/>
          <w:color w:val="auto"/>
          <w:sz w:val="24"/>
        </w:rPr>
        <w:t>3. 投标文件</w:t>
      </w:r>
      <w:bookmarkEnd w:id="34"/>
      <w:bookmarkEnd w:id="35"/>
      <w:bookmarkEnd w:id="36"/>
      <w:bookmarkEnd w:id="37"/>
    </w:p>
    <w:p>
      <w:pPr>
        <w:autoSpaceDE w:val="0"/>
        <w:autoSpaceDN w:val="0"/>
        <w:spacing w:line="420" w:lineRule="exact"/>
        <w:jc w:val="left"/>
        <w:outlineLvl w:val="0"/>
        <w:rPr>
          <w:rFonts w:hAnsi="宋体" w:cs="宋体"/>
          <w:b/>
          <w:color w:val="auto"/>
          <w:sz w:val="24"/>
        </w:rPr>
      </w:pPr>
      <w:bookmarkStart w:id="38" w:name="_Toc278443453"/>
      <w:r>
        <w:rPr>
          <w:rFonts w:hint="eastAsia" w:hAnsi="宋体" w:cs="宋体"/>
          <w:b/>
          <w:color w:val="auto"/>
          <w:sz w:val="24"/>
        </w:rPr>
        <w:t>3.1投标文件由商务标、综合标和技术标三部分组成。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3.1.2综合标组成：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（1）投标函及投标函附录；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（2）法定代表人身份证明、授权委托书；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（3）投标保证金；</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（4）项目管理机构配备情况； </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（5）投标单位基本信息表；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（6）资格证明文件；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（7）近年完成的类似项目情况；</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（9）近年发生的诉讼及仲裁</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autoSpaceDE w:val="0"/>
        <w:autoSpaceDN w:val="0"/>
        <w:spacing w:line="440" w:lineRule="exact"/>
        <w:ind w:firstLine="520" w:firstLineChars="200"/>
        <w:jc w:val="left"/>
        <w:outlineLvl w:val="0"/>
        <w:rPr>
          <w:rFonts w:hAnsi="宋体" w:cs="宋体"/>
          <w:color w:val="auto"/>
          <w:sz w:val="24"/>
        </w:rPr>
      </w:pPr>
      <w:r>
        <w:rPr>
          <w:rFonts w:hint="eastAsia" w:hAnsi="宋体" w:cs="宋体"/>
          <w:bCs/>
          <w:color w:val="auto"/>
          <w:sz w:val="26"/>
          <w:szCs w:val="26"/>
        </w:rPr>
        <w:t>（</w:t>
      </w:r>
      <w:r>
        <w:rPr>
          <w:rFonts w:hint="eastAsia" w:hAnsi="宋体" w:cs="宋体"/>
          <w:color w:val="auto"/>
          <w:sz w:val="24"/>
        </w:rPr>
        <w:t>1）内容完整性</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（2）主要施工方案与技术措施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（3）质量管理体系与措施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（4）安全管理体系与措施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（6）工期保证措施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（7）拟投入资源配备计划</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（8）施工进度表和网络计划图</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（9）施工总平面图布置</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（10）技术创新的应用实施措施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（11）采用新工艺、新技术、新设备、新材料、BIM等的程度</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（12）施工现场实施信息化监控和数据处理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（13）风险管理措施</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9"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bookmarkEnd w:id="39"/>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8"/>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40" w:name="_Toc282436964"/>
      <w:bookmarkStart w:id="41" w:name="_Toc283559960"/>
      <w:r>
        <w:rPr>
          <w:rFonts w:hint="eastAsia" w:hAnsi="宋体" w:cs="宋体"/>
          <w:b/>
          <w:bCs/>
          <w:color w:val="auto"/>
          <w:sz w:val="24"/>
        </w:rPr>
        <w:t xml:space="preserve">3.4 </w:t>
      </w:r>
      <w:bookmarkEnd w:id="40"/>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rPr>
        <w:t>：按《投标人须知前附表》3.4.2条规定。</w:t>
      </w:r>
    </w:p>
    <w:p>
      <w:pPr>
        <w:autoSpaceDE w:val="0"/>
        <w:autoSpaceDN w:val="0"/>
        <w:adjustRightInd w:val="0"/>
        <w:spacing w:line="276" w:lineRule="auto"/>
        <w:ind w:firstLine="480" w:firstLineChars="200"/>
        <w:jc w:val="left"/>
        <w:rPr>
          <w:rFonts w:hAnsi="宋体" w:eastAsia="宋体" w:cs="宋体"/>
          <w:b/>
          <w:bCs/>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lang w:val="zh-CN"/>
        </w:rPr>
        <w:t>方式：</w:t>
      </w:r>
      <w:r>
        <w:rPr>
          <w:rFonts w:hAnsi="宋体" w:eastAsia="宋体" w:cs="宋体"/>
          <w:b/>
          <w:bCs/>
          <w:color w:val="auto"/>
          <w:sz w:val="24"/>
        </w:rPr>
        <w:t xml:space="preserve"> </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投标保证金的</w:t>
      </w:r>
      <w:r>
        <w:rPr>
          <w:rFonts w:hint="eastAsia" w:hAnsi="宋体" w:cs="宋体"/>
          <w:color w:val="auto"/>
          <w:sz w:val="24"/>
          <w:lang w:val="en-US" w:eastAsia="zh-CN"/>
        </w:rPr>
        <w:t>提交</w:t>
      </w:r>
      <w:r>
        <w:rPr>
          <w:rFonts w:hint="eastAsia" w:hAnsi="宋体" w:cs="宋体"/>
          <w:color w:val="auto"/>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int="default" w:hAnsi="宋体" w:cs="宋体" w:eastAsiaTheme="minorEastAsia"/>
          <w:color w:val="auto"/>
          <w:sz w:val="24"/>
          <w:lang w:val="en-US" w:eastAsia="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w:t>
      </w:r>
      <w:r>
        <w:rPr>
          <w:rFonts w:hint="eastAsia" w:hAnsi="宋体" w:cs="宋体"/>
          <w:color w:val="auto"/>
          <w:sz w:val="24"/>
          <w:lang w:val="en-US" w:eastAsia="zh-CN"/>
        </w:rPr>
        <w:t>投标</w:t>
      </w:r>
      <w:r>
        <w:rPr>
          <w:rFonts w:hint="eastAsia" w:hAnsi="宋体" w:cs="宋体"/>
          <w:color w:val="auto"/>
          <w:sz w:val="24"/>
          <w:lang w:val="zh-CN"/>
        </w:rPr>
        <w:t>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r>
        <w:rPr>
          <w:rFonts w:hint="eastAsia" w:hAnsi="宋体" w:cs="宋体"/>
          <w:b w:val="0"/>
          <w:bCs w:val="0"/>
          <w:color w:val="auto"/>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auto"/>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3.4.2.2 </w:t>
      </w:r>
      <w:r>
        <w:rPr>
          <w:rFonts w:hint="eastAsia" w:ascii="新宋体" w:hAnsi="新宋体" w:eastAsia="新宋体" w:cs="仿宋_GB2312"/>
          <w:color w:val="auto"/>
          <w:sz w:val="24"/>
          <w:lang w:val="zh-CN"/>
        </w:rPr>
        <w:t>投标保证金</w:t>
      </w:r>
      <w:r>
        <w:rPr>
          <w:rFonts w:hint="eastAsia" w:ascii="新宋体" w:hAnsi="新宋体" w:eastAsia="新宋体" w:cs="仿宋_GB2312"/>
          <w:color w:val="auto"/>
          <w:sz w:val="24"/>
          <w:lang w:val="en-US" w:eastAsia="zh-CN"/>
        </w:rPr>
        <w:t>提交方式</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投标人网上下载招标文件后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rPr>
        <w:t>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投标人成功绑定投标保证金，将缴纳凭证“许昌公共资源交易中心保证金缴纳回执”附于投标文件中；未绑定标段的投标保证金，视为未按</w:t>
      </w:r>
      <w:r>
        <w:rPr>
          <w:rFonts w:hint="eastAsia" w:hAnsi="宋体" w:cs="宋体"/>
          <w:color w:val="auto"/>
          <w:sz w:val="24"/>
          <w:lang w:val="en-US" w:eastAsia="zh-CN"/>
        </w:rPr>
        <w:t>规定</w:t>
      </w:r>
      <w:r>
        <w:rPr>
          <w:rFonts w:hint="eastAsia" w:hAnsi="宋体" w:cs="宋体"/>
          <w:color w:val="auto"/>
          <w:sz w:val="24"/>
          <w:lang w:val="zh-CN"/>
        </w:rPr>
        <w:t>交纳。</w:t>
      </w:r>
      <w:r>
        <w:rPr>
          <w:rFonts w:hint="eastAsia" w:hAnsi="宋体" w:eastAsia="宋体" w:cs="宋体"/>
          <w:color w:val="auto"/>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3.5.1 “投标人基本情况表”应附企业法人营业执照副本等材料的原件扫描件（或图片）。</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3.5.2 “近年财务状况表”应附经会计师事务所或审计机构审计的财务会计报表，包括资产负债表、现金流量表、利润表和财务情况说明书（或会计报表附注）的原件扫描件，具体年份要求见投标人须知前附表。</w:t>
      </w:r>
      <w:r>
        <w:rPr>
          <w:rFonts w:hint="eastAsia" w:hAnsi="宋体" w:cs="宋体"/>
          <w:b/>
          <w:color w:val="auto"/>
          <w:sz w:val="24"/>
        </w:rPr>
        <w:t xml:space="preserve">（新成立不足三年的企业提供自成立之日以来现有年限的财务会计报表） </w:t>
      </w:r>
      <w:r>
        <w:rPr>
          <w:rFonts w:hint="eastAsia" w:hAnsi="宋体" w:cs="宋体"/>
          <w:color w:val="auto"/>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auto"/>
          <w:sz w:val="24"/>
        </w:rPr>
      </w:pPr>
      <w:r>
        <w:rPr>
          <w:rFonts w:hint="eastAsia" w:hAnsi="宋体" w:cs="宋体"/>
          <w:color w:val="auto"/>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Ansi="宋体" w:cs="宋体"/>
          <w:color w:val="auto"/>
          <w:sz w:val="24"/>
        </w:rPr>
      </w:pPr>
      <w:r>
        <w:rPr>
          <w:rFonts w:hint="eastAsia" w:hAnsi="宋体" w:cs="宋体"/>
          <w:color w:val="auto"/>
          <w:sz w:val="24"/>
        </w:rPr>
        <w:t xml:space="preserve">3.5.6  </w:t>
      </w:r>
      <w:r>
        <w:rPr>
          <w:rFonts w:hint="eastAsia" w:ascii="新宋体" w:hAnsi="新宋体" w:eastAsia="新宋体" w:cs="仿宋_GB2312"/>
          <w:color w:val="auto"/>
          <w:sz w:val="24"/>
        </w:rPr>
        <w:t>未按规定提交投标保证金的，由评标委员会否决其投标。</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42" w:name="_Toc152042329"/>
      <w:bookmarkStart w:id="43" w:name="_Toc152045553"/>
      <w:bookmarkStart w:id="44" w:name="_Toc144974521"/>
      <w:bookmarkStart w:id="45" w:name="_Toc179632571"/>
      <w:r>
        <w:rPr>
          <w:rFonts w:hint="eastAsia" w:hAnsi="宋体" w:cs="宋体"/>
          <w:b/>
          <w:color w:val="auto"/>
          <w:sz w:val="24"/>
        </w:rPr>
        <w:t>备选投标方案</w:t>
      </w:r>
    </w:p>
    <w:bookmarkEnd w:id="42"/>
    <w:bookmarkEnd w:id="43"/>
    <w:bookmarkEnd w:id="44"/>
    <w:bookmarkEnd w:id="45"/>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41"/>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w:t>
      </w:r>
      <w:bookmarkStart w:id="46" w:name="_Toc283559961"/>
      <w:r>
        <w:rPr>
          <w:rFonts w:hint="eastAsia" w:hAnsi="宋体"/>
          <w:color w:val="auto"/>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17"/>
        <w:spacing w:line="440" w:lineRule="exact"/>
        <w:jc w:val="both"/>
        <w:outlineLvl w:val="0"/>
        <w:rPr>
          <w:rFonts w:hAnsi="宋体"/>
          <w:b/>
          <w:color w:val="auto"/>
        </w:rPr>
      </w:pPr>
      <w:r>
        <w:rPr>
          <w:rFonts w:hint="eastAsia" w:hAnsi="宋体"/>
          <w:b/>
          <w:color w:val="auto"/>
        </w:rPr>
        <w:t>4. 投标</w:t>
      </w:r>
      <w:bookmarkEnd w:id="46"/>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bookmarkStart w:id="47" w:name="_Toc283559964"/>
      <w:r>
        <w:rPr>
          <w:rFonts w:hint="eastAsia" w:hAnsi="宋体" w:cs="宋体"/>
          <w:b/>
          <w:color w:val="auto"/>
          <w:sz w:val="24"/>
        </w:rPr>
        <w:t>4.2 投标文件的修改与撤回</w:t>
      </w:r>
      <w:bookmarkEnd w:id="47"/>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17"/>
        <w:spacing w:line="440" w:lineRule="exact"/>
        <w:jc w:val="both"/>
        <w:outlineLvl w:val="0"/>
        <w:rPr>
          <w:rFonts w:hAnsi="宋体"/>
          <w:b/>
          <w:color w:val="auto"/>
        </w:rPr>
      </w:pPr>
      <w:bookmarkStart w:id="48" w:name="_Toc283559967"/>
      <w:r>
        <w:rPr>
          <w:rFonts w:hint="eastAsia" w:hAnsi="宋体"/>
          <w:b/>
          <w:color w:val="auto"/>
        </w:rPr>
        <w:t>5. 开标</w:t>
      </w:r>
      <w:bookmarkEnd w:id="48"/>
    </w:p>
    <w:p>
      <w:pPr>
        <w:autoSpaceDE w:val="0"/>
        <w:autoSpaceDN w:val="0"/>
        <w:adjustRightInd w:val="0"/>
        <w:spacing w:line="440" w:lineRule="exact"/>
        <w:jc w:val="left"/>
        <w:outlineLvl w:val="0"/>
        <w:rPr>
          <w:rFonts w:hAnsi="宋体" w:cs="宋体"/>
          <w:b/>
          <w:color w:val="auto"/>
          <w:sz w:val="24"/>
        </w:rPr>
      </w:pPr>
      <w:bookmarkStart w:id="49" w:name="_Toc283559968"/>
      <w:r>
        <w:rPr>
          <w:rFonts w:hint="eastAsia" w:hAnsi="宋体" w:cs="宋体"/>
          <w:b/>
          <w:color w:val="auto"/>
          <w:sz w:val="24"/>
        </w:rPr>
        <w:t>5.1 开标时间和地点</w:t>
      </w:r>
      <w:bookmarkEnd w:id="49"/>
    </w:p>
    <w:p>
      <w:pPr>
        <w:spacing w:line="400" w:lineRule="exact"/>
        <w:ind w:firstLine="480" w:firstLineChars="200"/>
        <w:rPr>
          <w:rFonts w:hAnsi="宋体" w:cs="宋体"/>
          <w:color w:val="auto"/>
          <w:sz w:val="24"/>
        </w:rPr>
      </w:pPr>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开标程序</w:t>
      </w:r>
    </w:p>
    <w:p>
      <w:pPr>
        <w:pStyle w:val="17"/>
        <w:spacing w:line="440" w:lineRule="exact"/>
        <w:ind w:firstLine="480" w:firstLineChars="200"/>
        <w:jc w:val="both"/>
        <w:outlineLvl w:val="0"/>
        <w:rPr>
          <w:rFonts w:hint="eastAsia" w:hAnsi="宋体" w:eastAsia="宋体" w:cs="宋体"/>
          <w:color w:val="auto"/>
          <w:sz w:val="24"/>
        </w:rPr>
      </w:pPr>
      <w:bookmarkStart w:id="50" w:name="_Toc283559970"/>
      <w:r>
        <w:rPr>
          <w:rFonts w:hint="eastAsia" w:hAnsi="宋体" w:eastAsia="宋体" w:cs="宋体"/>
          <w:color w:val="auto"/>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pStyle w:val="17"/>
        <w:spacing w:line="440" w:lineRule="exact"/>
        <w:ind w:firstLine="480" w:firstLineChars="200"/>
        <w:jc w:val="both"/>
        <w:outlineLvl w:val="0"/>
        <w:rPr>
          <w:rFonts w:hint="eastAsia" w:hAnsi="宋体" w:eastAsia="宋体" w:cs="宋体"/>
          <w:color w:val="auto"/>
          <w:sz w:val="24"/>
        </w:rPr>
      </w:pPr>
      <w:r>
        <w:rPr>
          <w:rFonts w:hint="eastAsia" w:hAnsi="宋体" w:eastAsia="宋体" w:cs="宋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pStyle w:val="17"/>
        <w:spacing w:line="440" w:lineRule="exact"/>
        <w:ind w:firstLine="480" w:firstLineChars="200"/>
        <w:jc w:val="both"/>
        <w:outlineLvl w:val="0"/>
        <w:rPr>
          <w:rFonts w:hint="eastAsia" w:hAnsi="宋体" w:eastAsia="宋体" w:cs="宋体"/>
          <w:color w:val="auto"/>
          <w:sz w:val="24"/>
        </w:rPr>
      </w:pPr>
      <w:r>
        <w:rPr>
          <w:rFonts w:hint="eastAsia" w:hAnsi="宋体" w:eastAsia="宋体" w:cs="宋体"/>
          <w:color w:val="auto"/>
          <w:sz w:val="24"/>
        </w:rPr>
        <w:t xml:space="preserve">(3)解密完成后，招标人（代理机构）点击“系数抽取”按钮进行系数抽取，系数抽取情况在“公告通知”处显示。 </w:t>
      </w:r>
    </w:p>
    <w:p>
      <w:pPr>
        <w:pStyle w:val="17"/>
        <w:spacing w:line="440" w:lineRule="exact"/>
        <w:ind w:firstLine="480" w:firstLineChars="200"/>
        <w:jc w:val="both"/>
        <w:outlineLvl w:val="0"/>
        <w:rPr>
          <w:rFonts w:hint="eastAsia" w:hAnsi="宋体" w:eastAsia="宋体" w:cs="宋体"/>
          <w:color w:val="auto"/>
          <w:sz w:val="24"/>
        </w:rPr>
      </w:pPr>
      <w:r>
        <w:rPr>
          <w:rFonts w:hint="eastAsia" w:hAnsi="宋体" w:eastAsia="宋体" w:cs="宋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pStyle w:val="17"/>
        <w:spacing w:line="440" w:lineRule="exact"/>
        <w:ind w:firstLine="480" w:firstLineChars="200"/>
        <w:jc w:val="both"/>
        <w:outlineLvl w:val="0"/>
        <w:rPr>
          <w:rFonts w:hint="eastAsia" w:hAnsi="宋体" w:eastAsia="宋体" w:cs="宋体"/>
          <w:color w:val="auto"/>
          <w:sz w:val="24"/>
        </w:rPr>
      </w:pPr>
      <w:r>
        <w:rPr>
          <w:rFonts w:hint="eastAsia" w:hAnsi="宋体" w:eastAsia="宋体" w:cs="宋体"/>
          <w:color w:val="auto"/>
          <w:sz w:val="24"/>
        </w:rPr>
        <w:t xml:space="preserve"> (5)如无投标人提出异议，招标代理机构通过“文字互动”对话框通知各投标人进行电子签章。投标人应在《开标记录表》上进行电子签章，未进行电子签章的视为对开标结果无异议。</w:t>
      </w:r>
    </w:p>
    <w:p>
      <w:pPr>
        <w:pStyle w:val="17"/>
        <w:spacing w:line="440" w:lineRule="exact"/>
        <w:ind w:firstLine="480" w:firstLineChars="200"/>
        <w:jc w:val="both"/>
        <w:outlineLvl w:val="0"/>
        <w:rPr>
          <w:rFonts w:hAnsi="宋体" w:eastAsia="宋体"/>
          <w:bCs/>
          <w:color w:val="auto"/>
          <w:szCs w:val="22"/>
        </w:rPr>
      </w:pPr>
      <w:r>
        <w:rPr>
          <w:rFonts w:hint="eastAsia" w:hAnsi="宋体" w:eastAsia="宋体" w:cs="宋体"/>
          <w:color w:val="auto"/>
          <w:sz w:val="24"/>
        </w:rPr>
        <w:t>（6）招标人（代理机构）签章并上传《开标记录表》，不见面开标活动结束。</w:t>
      </w:r>
    </w:p>
    <w:p>
      <w:pPr>
        <w:pStyle w:val="17"/>
        <w:spacing w:line="440" w:lineRule="exact"/>
        <w:ind w:firstLine="480" w:firstLineChars="200"/>
        <w:jc w:val="both"/>
        <w:outlineLvl w:val="0"/>
        <w:rPr>
          <w:rFonts w:hAnsi="宋体"/>
          <w:b/>
          <w:color w:val="auto"/>
        </w:rPr>
      </w:pPr>
      <w:r>
        <w:rPr>
          <w:rFonts w:hint="eastAsia" w:hAnsi="宋体"/>
          <w:b/>
          <w:color w:val="auto"/>
        </w:rPr>
        <w:t>6. 评标</w:t>
      </w:r>
      <w:bookmarkEnd w:id="50"/>
    </w:p>
    <w:p>
      <w:pPr>
        <w:autoSpaceDE w:val="0"/>
        <w:autoSpaceDN w:val="0"/>
        <w:adjustRightInd w:val="0"/>
        <w:spacing w:line="440" w:lineRule="exact"/>
        <w:jc w:val="left"/>
        <w:outlineLvl w:val="0"/>
        <w:rPr>
          <w:rFonts w:hAnsi="宋体" w:cs="宋体"/>
          <w:b/>
          <w:color w:val="auto"/>
          <w:sz w:val="24"/>
        </w:rPr>
      </w:pPr>
      <w:bookmarkStart w:id="51" w:name="_Toc283559971"/>
      <w:r>
        <w:rPr>
          <w:rFonts w:hint="eastAsia" w:hAnsi="宋体" w:cs="宋体"/>
          <w:b/>
          <w:color w:val="auto"/>
          <w:sz w:val="24"/>
        </w:rPr>
        <w:t>6.1 评标委员会</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52" w:name="_Toc283559972"/>
      <w:r>
        <w:rPr>
          <w:rFonts w:hint="eastAsia" w:hAnsi="宋体" w:cs="宋体"/>
          <w:b/>
          <w:color w:val="auto"/>
          <w:sz w:val="24"/>
        </w:rPr>
        <w:t>6.2 评标原则</w:t>
      </w:r>
      <w:bookmarkEnd w:id="52"/>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53" w:name="_Toc283559973"/>
      <w:r>
        <w:rPr>
          <w:rFonts w:hint="eastAsia" w:hAnsi="宋体" w:cs="宋体"/>
          <w:b/>
          <w:color w:val="auto"/>
          <w:sz w:val="24"/>
        </w:rPr>
        <w:t>6.3 评标</w:t>
      </w:r>
      <w:bookmarkEnd w:id="5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17"/>
        <w:spacing w:line="440" w:lineRule="exact"/>
        <w:jc w:val="both"/>
        <w:outlineLvl w:val="0"/>
        <w:rPr>
          <w:rFonts w:hAnsi="宋体"/>
          <w:b/>
          <w:color w:val="auto"/>
        </w:rPr>
      </w:pPr>
      <w:bookmarkStart w:id="54" w:name="_Toc283559974"/>
      <w:r>
        <w:rPr>
          <w:rFonts w:hint="eastAsia" w:hAnsi="宋体"/>
          <w:b/>
          <w:color w:val="auto"/>
        </w:rPr>
        <w:t>7. 合同授予</w:t>
      </w:r>
      <w:bookmarkEnd w:id="54"/>
    </w:p>
    <w:p>
      <w:pPr>
        <w:autoSpaceDE w:val="0"/>
        <w:autoSpaceDN w:val="0"/>
        <w:spacing w:line="440" w:lineRule="exact"/>
        <w:jc w:val="left"/>
        <w:outlineLvl w:val="0"/>
        <w:rPr>
          <w:rFonts w:hAnsi="宋体" w:cs="宋体"/>
          <w:b/>
          <w:color w:val="auto"/>
          <w:sz w:val="24"/>
        </w:rPr>
      </w:pPr>
      <w:bookmarkStart w:id="55" w:name="_Toc283559975"/>
      <w:r>
        <w:rPr>
          <w:rFonts w:hint="eastAsia" w:hAnsi="宋体" w:cs="宋体"/>
          <w:b/>
          <w:color w:val="auto"/>
          <w:sz w:val="24"/>
        </w:rPr>
        <w:t>7.1 定标方式</w:t>
      </w:r>
      <w:bookmarkEnd w:id="55"/>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6" w:name="_Toc283559976"/>
      <w:r>
        <w:rPr>
          <w:rFonts w:hint="eastAsia" w:hAnsi="宋体" w:cs="宋体"/>
          <w:b/>
          <w:color w:val="auto"/>
          <w:sz w:val="24"/>
        </w:rPr>
        <w:t>7.2 中标通知</w:t>
      </w:r>
      <w:bookmarkEnd w:id="5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7" w:name="_Toc179632587"/>
      <w:bookmarkStart w:id="58" w:name="_Toc144974537"/>
      <w:bookmarkStart w:id="59" w:name="_Toc152042345"/>
      <w:bookmarkStart w:id="60" w:name="_Toc152045569"/>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7"/>
      <w:bookmarkEnd w:id="58"/>
      <w:bookmarkEnd w:id="59"/>
      <w:bookmarkEnd w:id="60"/>
      <w:bookmarkStart w:id="61" w:name="_Toc283559977"/>
      <w:r>
        <w:rPr>
          <w:rFonts w:hint="eastAsia" w:hAnsi="宋体" w:cs="宋体"/>
          <w:b/>
          <w:color w:val="auto"/>
          <w:sz w:val="24"/>
        </w:rPr>
        <w:t>3签订合同</w:t>
      </w:r>
      <w:bookmarkEnd w:id="6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62" w:name="_Toc283559978"/>
      <w:r>
        <w:rPr>
          <w:rFonts w:hint="eastAsia" w:hAnsi="宋体" w:cs="宋体"/>
          <w:b/>
          <w:color w:val="auto"/>
          <w:sz w:val="24"/>
        </w:rPr>
        <w:t>8. 重新招标和不再招标</w:t>
      </w:r>
      <w:bookmarkEnd w:id="62"/>
    </w:p>
    <w:p>
      <w:pPr>
        <w:autoSpaceDE w:val="0"/>
        <w:autoSpaceDN w:val="0"/>
        <w:adjustRightInd w:val="0"/>
        <w:spacing w:line="440" w:lineRule="exact"/>
        <w:jc w:val="left"/>
        <w:outlineLvl w:val="0"/>
        <w:rPr>
          <w:rFonts w:hAnsi="宋体" w:cs="宋体"/>
          <w:b/>
          <w:color w:val="auto"/>
          <w:sz w:val="24"/>
        </w:rPr>
      </w:pPr>
      <w:bookmarkStart w:id="63" w:name="_Toc283559979"/>
      <w:r>
        <w:rPr>
          <w:rFonts w:hint="eastAsia" w:hAnsi="宋体" w:cs="宋体"/>
          <w:b/>
          <w:color w:val="auto"/>
          <w:sz w:val="24"/>
        </w:rPr>
        <w:t>8.1 重新招标</w:t>
      </w:r>
      <w:bookmarkEnd w:id="63"/>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64" w:name="_Toc283559980"/>
      <w:r>
        <w:rPr>
          <w:rFonts w:hint="eastAsia" w:hAnsi="宋体" w:cs="宋体"/>
          <w:b/>
          <w:color w:val="auto"/>
          <w:sz w:val="24"/>
        </w:rPr>
        <w:t>8.2 不再招标</w:t>
      </w:r>
      <w:bookmarkEnd w:id="64"/>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17"/>
        <w:spacing w:line="440" w:lineRule="exact"/>
        <w:jc w:val="both"/>
        <w:outlineLvl w:val="0"/>
        <w:rPr>
          <w:rFonts w:hAnsi="宋体"/>
          <w:b/>
          <w:color w:val="auto"/>
        </w:rPr>
      </w:pPr>
      <w:bookmarkStart w:id="65" w:name="_Toc283559981"/>
      <w:r>
        <w:rPr>
          <w:rFonts w:hint="eastAsia" w:hAnsi="宋体"/>
          <w:b/>
          <w:color w:val="auto"/>
        </w:rPr>
        <w:t>9. 纪律和监督</w:t>
      </w:r>
      <w:bookmarkEnd w:id="65"/>
    </w:p>
    <w:p>
      <w:pPr>
        <w:autoSpaceDE w:val="0"/>
        <w:autoSpaceDN w:val="0"/>
        <w:adjustRightInd w:val="0"/>
        <w:spacing w:line="440" w:lineRule="exact"/>
        <w:jc w:val="left"/>
        <w:outlineLvl w:val="0"/>
        <w:rPr>
          <w:rFonts w:hAnsi="宋体" w:cs="宋体"/>
          <w:b/>
          <w:color w:val="auto"/>
          <w:sz w:val="24"/>
        </w:rPr>
      </w:pPr>
      <w:bookmarkStart w:id="66" w:name="_Toc283559982"/>
      <w:r>
        <w:rPr>
          <w:rFonts w:hint="eastAsia" w:hAnsi="宋体" w:cs="宋体"/>
          <w:b/>
          <w:color w:val="auto"/>
          <w:sz w:val="24"/>
        </w:rPr>
        <w:t>9.1 对招标人的纪律要求</w:t>
      </w:r>
      <w:bookmarkEnd w:id="66"/>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7" w:name="_Toc283559983"/>
      <w:r>
        <w:rPr>
          <w:rFonts w:hint="eastAsia" w:hAnsi="宋体" w:cs="宋体"/>
          <w:b/>
          <w:color w:val="auto"/>
          <w:sz w:val="24"/>
        </w:rPr>
        <w:t>9.2 对投标人的纪律要求</w:t>
      </w:r>
      <w:bookmarkEnd w:id="67"/>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8" w:name="_Toc283559984"/>
      <w:r>
        <w:rPr>
          <w:rFonts w:hint="eastAsia" w:hAnsi="宋体" w:cs="宋体"/>
          <w:b/>
          <w:color w:val="auto"/>
          <w:sz w:val="24"/>
        </w:rPr>
        <w:t>9.3 对评标委员会成员的纪律要求</w:t>
      </w:r>
      <w:bookmarkEnd w:id="68"/>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9" w:name="_Toc283559985"/>
      <w:r>
        <w:rPr>
          <w:rFonts w:hint="eastAsia" w:hAnsi="宋体" w:cs="宋体"/>
          <w:b/>
          <w:color w:val="auto"/>
          <w:sz w:val="24"/>
        </w:rPr>
        <w:t>9.4 对与评标活动有关的工作人员的纪律要求</w:t>
      </w:r>
      <w:bookmarkEnd w:id="69"/>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70" w:name="_Toc283559986"/>
      <w:r>
        <w:rPr>
          <w:rFonts w:hint="eastAsia" w:hAnsi="宋体" w:cs="宋体"/>
          <w:b/>
          <w:color w:val="auto"/>
          <w:sz w:val="24"/>
        </w:rPr>
        <w:t>9.5 投诉</w:t>
      </w:r>
      <w:bookmarkEnd w:id="70"/>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17"/>
        <w:spacing w:line="440" w:lineRule="exact"/>
        <w:jc w:val="both"/>
        <w:outlineLvl w:val="0"/>
        <w:rPr>
          <w:rFonts w:hAnsi="宋体"/>
          <w:b/>
          <w:color w:val="auto"/>
        </w:rPr>
      </w:pPr>
      <w:bookmarkStart w:id="71" w:name="_Toc283559987"/>
      <w:r>
        <w:rPr>
          <w:rFonts w:hint="eastAsia" w:hAnsi="宋体"/>
          <w:b/>
          <w:color w:val="auto"/>
        </w:rPr>
        <w:t>10. 需要补充的其他内容</w:t>
      </w:r>
      <w:bookmarkEnd w:id="7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hAnsi="宋体" w:cs="宋体"/>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年月日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jc w:val="right"/>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ind w:right="960"/>
        <w:jc w:val="right"/>
        <w:rPr>
          <w:rFonts w:hAnsi="宋体" w:cs="宋体"/>
          <w:color w:val="auto"/>
          <w:sz w:val="24"/>
        </w:rPr>
      </w:pPr>
      <w:r>
        <w:rPr>
          <w:rFonts w:hint="eastAsia" w:hAnsi="宋体" w:cs="宋体"/>
          <w:color w:val="auto"/>
          <w:sz w:val="24"/>
        </w:rPr>
        <w:t>年    月   日</w:t>
      </w:r>
    </w:p>
    <w:p>
      <w:pPr>
        <w:spacing w:line="480" w:lineRule="exact"/>
        <w:jc w:val="righ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napToGrid w:val="0"/>
        <w:spacing w:line="360" w:lineRule="auto"/>
        <w:jc w:val="center"/>
        <w:rPr>
          <w:rFonts w:hAnsi="宋体" w:cs="宋体"/>
          <w:b/>
          <w:bCs/>
          <w:color w:val="auto"/>
          <w:sz w:val="36"/>
          <w:szCs w:val="36"/>
        </w:rPr>
      </w:pPr>
    </w:p>
    <w:p>
      <w:pPr>
        <w:snapToGrid w:val="0"/>
        <w:spacing w:line="360" w:lineRule="auto"/>
        <w:jc w:val="center"/>
        <w:rPr>
          <w:rFonts w:hAnsi="宋体" w:cs="宋体"/>
          <w:color w:val="auto"/>
          <w:sz w:val="24"/>
        </w:rPr>
      </w:pPr>
      <w:r>
        <w:rPr>
          <w:rFonts w:hint="eastAsia" w:hAnsi="宋体" w:cs="宋体"/>
          <w:b/>
          <w:bCs/>
          <w:color w:val="auto"/>
          <w:sz w:val="36"/>
          <w:szCs w:val="36"/>
        </w:rPr>
        <w:t>第三章 评标办法（综合评标法）</w:t>
      </w:r>
    </w:p>
    <w:p>
      <w:pPr>
        <w:snapToGrid w:val="0"/>
        <w:spacing w:line="360" w:lineRule="auto"/>
        <w:rPr>
          <w:rFonts w:hAnsi="宋体" w:cs="宋体"/>
          <w:color w:val="auto"/>
          <w:sz w:val="24"/>
        </w:rPr>
      </w:pPr>
      <w:r>
        <w:rPr>
          <w:rFonts w:hint="eastAsia" w:hAnsi="宋体" w:cs="宋体"/>
          <w:color w:val="auto"/>
          <w:sz w:val="24"/>
        </w:rPr>
        <w:t xml:space="preserve">     </w:t>
      </w:r>
      <w:bookmarkStart w:id="72" w:name="_Toc283559990"/>
      <w:r>
        <w:rPr>
          <w:rFonts w:hint="eastAsia" w:hAnsi="宋体" w:cs="宋体"/>
          <w:color w:val="auto"/>
          <w:sz w:val="24"/>
        </w:rPr>
        <w:t>一、评标应遵循公正、公平、择优的原则严格按照招标文件进行。</w:t>
      </w:r>
    </w:p>
    <w:p>
      <w:pPr>
        <w:snapToGrid w:val="0"/>
        <w:spacing w:line="360" w:lineRule="auto"/>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5人组成，其中注册造价工程师不少于2人。评标委员会主任从5名随机抽取的评标专家中产生，与投标人有利害关系的专家不得进入评标委员会。</w:t>
      </w:r>
    </w:p>
    <w:p>
      <w:pPr>
        <w:snapToGrid w:val="0"/>
        <w:spacing w:line="360" w:lineRule="auto"/>
        <w:rPr>
          <w:rFonts w:ascii="新宋体" w:hAnsi="新宋体" w:eastAsia="新宋体"/>
          <w:color w:val="auto"/>
          <w:sz w:val="24"/>
        </w:rPr>
      </w:pPr>
      <w:r>
        <w:rPr>
          <w:rFonts w:hint="eastAsia" w:hAnsi="宋体" w:cs="宋体"/>
          <w:color w:val="auto"/>
          <w:sz w:val="24"/>
        </w:rPr>
        <w:t xml:space="preserve">     </w:t>
      </w:r>
      <w:r>
        <w:rPr>
          <w:rFonts w:hint="eastAsia" w:ascii="新宋体" w:hAnsi="新宋体" w:eastAsia="新宋体"/>
          <w:color w:val="auto"/>
          <w:sz w:val="24"/>
        </w:rPr>
        <w:t>三、评标采用综合评标法，是指评标委员会根据招标文件要求，应从技术标、商务标、综合标三部分进行综合评审。</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四、评标程序为：</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（一）清标；</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（二）初步评审；</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（三）详细评审；</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（四）问题的澄清、说明或补正；</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（五）推荐中标候选人；</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（六）评标现场宣布中标候选人确定结果并在指定媒体上进行公示。</w:t>
      </w:r>
    </w:p>
    <w:p>
      <w:pPr>
        <w:spacing w:line="440" w:lineRule="exact"/>
        <w:ind w:firstLine="480" w:firstLineChars="200"/>
        <w:rPr>
          <w:rFonts w:ascii="新宋体" w:hAnsi="新宋体" w:eastAsia="新宋体"/>
          <w:b/>
          <w:color w:val="auto"/>
          <w:sz w:val="24"/>
        </w:rPr>
      </w:pPr>
      <w:r>
        <w:rPr>
          <w:rFonts w:hint="eastAsia" w:ascii="新宋体" w:hAnsi="新宋体" w:eastAsia="新宋体"/>
          <w:bCs/>
          <w:color w:val="auto"/>
          <w:sz w:val="24"/>
        </w:rPr>
        <w:t>五、</w:t>
      </w:r>
      <w:r>
        <w:rPr>
          <w:rFonts w:hint="eastAsia" w:ascii="新宋体" w:hAnsi="新宋体" w:eastAsia="新宋体"/>
          <w:b/>
          <w:color w:val="auto"/>
          <w:sz w:val="24"/>
        </w:rPr>
        <w:t>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重大偏差是指投标文件存在标的物、价格、工期、质量、付款方式等不符合《评标委员会和评标方法暂行规定》第二十五条规定及招标文件实质性要求的情况。</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5.1 </w:t>
      </w:r>
      <w:r>
        <w:rPr>
          <w:rFonts w:hint="eastAsia" w:ascii="新宋体" w:hAnsi="新宋体" w:eastAsia="新宋体"/>
          <w:bCs/>
          <w:color w:val="auto"/>
          <w:sz w:val="24"/>
        </w:rPr>
        <w:t>投标文件存在下列情形之一的，按废标处理：</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（6）投标文件没有对招标文件的实质性要求和条件作出响应（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p>
    <w:p>
      <w:pPr>
        <w:spacing w:line="360" w:lineRule="auto"/>
        <w:ind w:firstLine="480" w:firstLineChars="200"/>
        <w:rPr>
          <w:rFonts w:hint="eastAsia" w:ascii="新宋体" w:hAnsi="新宋体" w:eastAsia="新宋体" w:cs="宋体"/>
          <w:bCs/>
          <w:color w:val="auto"/>
          <w:sz w:val="24"/>
          <w:lang w:eastAsia="zh-CN"/>
        </w:rPr>
      </w:pPr>
      <w:r>
        <w:rPr>
          <w:rFonts w:hint="eastAsia" w:ascii="新宋体" w:hAnsi="新宋体" w:eastAsia="新宋体" w:cs="宋体"/>
          <w:bCs/>
          <w:color w:val="auto"/>
          <w:sz w:val="24"/>
        </w:rPr>
        <w:t>（7）投标人是否有串通投标、弄虚作假、行贿等违法行为</w:t>
      </w:r>
      <w:r>
        <w:rPr>
          <w:rFonts w:hint="eastAsia" w:ascii="新宋体" w:hAnsi="新宋体" w:eastAsia="新宋体" w:cs="宋体"/>
          <w:bCs/>
          <w:color w:val="auto"/>
          <w:sz w:val="24"/>
          <w:lang w:eastAsia="zh-CN"/>
        </w:rPr>
        <w:t>。</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5.2投标文件存在下列情形之一的，按废标处理：</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（3）规费和安全文明施工措施费违背工程造价计价有关规定的；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（5）未按照招标文件所列明的暂列金额、暂估价编制投标报价的。</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（6）住房和城乡建设部《标准施工招标文件》规定的其他否决条件。</w:t>
      </w:r>
    </w:p>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5.3清标内容：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315"/>
        <w:gridCol w:w="3915"/>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序号</w:t>
            </w:r>
          </w:p>
        </w:tc>
        <w:tc>
          <w:tcPr>
            <w:tcW w:w="3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清标项目</w:t>
            </w:r>
          </w:p>
        </w:tc>
        <w:tc>
          <w:tcPr>
            <w:tcW w:w="3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sz w:val="20"/>
              </w:rPr>
            </w:pPr>
          </w:p>
        </w:tc>
        <w:tc>
          <w:tcPr>
            <w:tcW w:w="33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sz w:val="20"/>
              </w:rPr>
            </w:pPr>
          </w:p>
        </w:tc>
        <w:tc>
          <w:tcPr>
            <w:tcW w:w="39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1.1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项目总报价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1.2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单项工程费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1.3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单位工程费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分部分项工程费及单价措施费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分部分项及单价措施项目编码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分部分项及单价措施项目名称</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分部分项及单价措施项目特征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分部分项及单价措施项目计量单位</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分部分项及单价措施项目工程量</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2.7</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分部分项工程费及单价措施费清单单价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2.8</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材料单价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3.1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安全文明施工费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3.2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其他措施费（费率类）项目</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其他项目费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暂列金额</w:t>
            </w:r>
          </w:p>
        </w:tc>
        <w:tc>
          <w:tcPr>
            <w:tcW w:w="39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b/>
                <w:color w:val="auto"/>
                <w:sz w:val="21"/>
                <w:szCs w:val="21"/>
              </w:rPr>
            </w:pPr>
            <w:r>
              <w:rPr>
                <w:rFonts w:hint="eastAsia" w:ascii="新宋体" w:hAnsi="新宋体" w:eastAsia="新宋体" w:cs="新宋体"/>
                <w:b/>
                <w:color w:val="auto"/>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专业工程暂估价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计日工</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总承包服务费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规费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增值税</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bl>
    <w:p>
      <w:pPr>
        <w:tabs>
          <w:tab w:val="left" w:pos="1260"/>
        </w:tabs>
        <w:autoSpaceDE w:val="0"/>
        <w:autoSpaceDN w:val="0"/>
        <w:adjustRightInd w:val="0"/>
        <w:spacing w:line="420" w:lineRule="exact"/>
        <w:ind w:firstLine="480" w:firstLineChars="200"/>
        <w:jc w:val="left"/>
        <w:rPr>
          <w:rFonts w:hAnsi="宋体" w:cs="宋体"/>
          <w:b/>
          <w:color w:val="auto"/>
          <w:sz w:val="24"/>
          <w:szCs w:val="24"/>
        </w:rPr>
      </w:pPr>
      <w:r>
        <w:rPr>
          <w:rFonts w:hint="eastAsia" w:hAnsi="宋体" w:cs="宋体"/>
          <w:b/>
          <w:color w:val="auto"/>
          <w:sz w:val="24"/>
          <w:szCs w:val="24"/>
        </w:rPr>
        <w:t>注：不在上述范围内且不具有实质性影响的内容，均不能作为清标的依据或理由。</w:t>
      </w:r>
    </w:p>
    <w:p>
      <w:pPr>
        <w:pStyle w:val="9"/>
        <w:spacing w:line="420" w:lineRule="exact"/>
        <w:ind w:firstLine="480" w:firstLineChars="200"/>
        <w:rPr>
          <w:rFonts w:hAnsi="宋体" w:cs="宋体"/>
          <w:b/>
          <w:color w:val="auto"/>
          <w:sz w:val="24"/>
          <w:szCs w:val="24"/>
        </w:rPr>
      </w:pPr>
      <w:r>
        <w:rPr>
          <w:rFonts w:hint="eastAsia" w:hAnsi="宋体" w:cs="宋体"/>
          <w:b/>
          <w:color w:val="auto"/>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4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w:t>
      </w:r>
    </w:p>
    <w:p>
      <w:pPr>
        <w:spacing w:line="4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4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20" w:lineRule="exact"/>
        <w:ind w:firstLine="480" w:firstLineChars="200"/>
        <w:rPr>
          <w:rFonts w:hAnsi="宋体" w:eastAsia="宋体" w:cs="宋体"/>
          <w:b/>
          <w:color w:val="auto"/>
          <w:sz w:val="24"/>
        </w:rPr>
      </w:pPr>
      <w:r>
        <w:rPr>
          <w:rFonts w:hint="eastAsia" w:hAnsi="宋体" w:eastAsia="宋体" w:cs="宋体"/>
          <w:b/>
          <w:color w:val="auto"/>
          <w:sz w:val="24"/>
        </w:rPr>
        <w:t>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20" w:lineRule="exact"/>
        <w:ind w:firstLine="480" w:firstLineChars="200"/>
        <w:rPr>
          <w:rFonts w:hAnsi="宋体" w:eastAsia="宋体" w:cs="宋体"/>
          <w:b/>
          <w:color w:val="auto"/>
          <w:sz w:val="24"/>
        </w:rPr>
      </w:pPr>
      <w:r>
        <w:rPr>
          <w:rFonts w:hint="eastAsia" w:hAnsi="宋体" w:eastAsia="宋体" w:cs="宋体"/>
          <w:b/>
          <w:color w:val="auto"/>
          <w:sz w:val="24"/>
        </w:rPr>
        <w:t>六、详细评审</w:t>
      </w:r>
    </w:p>
    <w:p>
      <w:pPr>
        <w:spacing w:line="420" w:lineRule="exact"/>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评标委员会根据招标文件要求应从技术标、商务标、综合标三部分进行综合评审。技术标的权重占25%，商务标的权重占50%，综合标的权重占25%。</w:t>
      </w:r>
    </w:p>
    <w:p>
      <w:pPr>
        <w:snapToGrid w:val="0"/>
        <w:spacing w:line="360" w:lineRule="auto"/>
        <w:rPr>
          <w:rFonts w:hAnsi="宋体" w:cs="宋体"/>
          <w:b/>
          <w:color w:val="auto"/>
          <w:sz w:val="24"/>
        </w:rPr>
      </w:pPr>
      <w:r>
        <w:rPr>
          <w:rFonts w:hint="eastAsia" w:hAnsi="宋体" w:cs="宋体"/>
          <w:b/>
          <w:color w:val="auto"/>
          <w:sz w:val="24"/>
        </w:rPr>
        <w:t>（一）技术标（25分）</w:t>
      </w:r>
    </w:p>
    <w:p>
      <w:pPr>
        <w:snapToGrid w:val="0"/>
        <w:spacing w:line="360" w:lineRule="auto"/>
        <w:rPr>
          <w:rFonts w:ascii="新宋体" w:hAnsi="新宋体" w:eastAsia="新宋体"/>
          <w:color w:val="auto"/>
          <w:sz w:val="24"/>
        </w:rPr>
      </w:pPr>
      <w:r>
        <w:rPr>
          <w:rFonts w:ascii="新宋体" w:hAnsi="新宋体" w:eastAsia="新宋体"/>
          <w:color w:val="auto"/>
          <w:sz w:val="24"/>
        </w:rPr>
        <w:t>评审内容</w:t>
      </w:r>
      <w:r>
        <w:rPr>
          <w:rFonts w:hint="eastAsia" w:ascii="新宋体" w:hAnsi="新宋体" w:eastAsia="新宋体"/>
          <w:color w:val="auto"/>
          <w:sz w:val="24"/>
        </w:rPr>
        <w:t>：</w:t>
      </w:r>
    </w:p>
    <w:tbl>
      <w:tblPr>
        <w:tblStyle w:val="1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color w:val="auto"/>
                <w:sz w:val="21"/>
                <w:szCs w:val="21"/>
              </w:rPr>
            </w:pPr>
            <w:bookmarkStart w:id="73" w:name="_Toc270931534"/>
            <w:bookmarkStart w:id="74" w:name="_Toc273546398"/>
            <w:bookmarkStart w:id="75" w:name="_Toc272833453"/>
            <w:bookmarkStart w:id="76" w:name="_Toc295572535"/>
            <w:r>
              <w:rPr>
                <w:rFonts w:hint="eastAsia" w:hAnsi="宋体" w:eastAsia="宋体" w:cs="宋体"/>
                <w:b/>
                <w:bCs/>
                <w:color w:val="auto"/>
                <w:sz w:val="21"/>
                <w:szCs w:val="21"/>
              </w:rPr>
              <w:t>序号</w:t>
            </w:r>
          </w:p>
        </w:tc>
        <w:tc>
          <w:tcPr>
            <w:tcW w:w="1123"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内容</w:t>
            </w:r>
          </w:p>
        </w:tc>
        <w:tc>
          <w:tcPr>
            <w:tcW w:w="980"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分值</w:t>
            </w:r>
          </w:p>
        </w:tc>
        <w:tc>
          <w:tcPr>
            <w:tcW w:w="5344"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评审标准</w:t>
            </w:r>
          </w:p>
        </w:tc>
        <w:tc>
          <w:tcPr>
            <w:tcW w:w="1241"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内容完整性</w:t>
            </w:r>
          </w:p>
        </w:tc>
        <w:tc>
          <w:tcPr>
            <w:tcW w:w="980" w:type="dxa"/>
            <w:vMerge w:val="restart"/>
            <w:tcBorders>
              <w:tl2br w:val="nil"/>
              <w:tr2bl w:val="nil"/>
            </w:tcBorders>
            <w:vAlign w:val="center"/>
          </w:tcPr>
          <w:p>
            <w:pPr>
              <w:jc w:val="center"/>
              <w:rPr>
                <w:color w:val="auto"/>
                <w:sz w:val="21"/>
                <w:szCs w:val="21"/>
              </w:rPr>
            </w:pPr>
            <w:r>
              <w:rPr>
                <w:color w:val="auto"/>
                <w:sz w:val="21"/>
                <w:szCs w:val="21"/>
              </w:rPr>
              <w:t>0-0.5</w:t>
            </w:r>
            <w:r>
              <w:rPr>
                <w:rFonts w:hint="eastAsia"/>
                <w:color w:val="auto"/>
                <w:sz w:val="21"/>
                <w:szCs w:val="21"/>
              </w:rPr>
              <w:t>分</w:t>
            </w: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技术标的主要内容具有完整性，符合招标文件的要求。</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技术标不符合招标文件要求。</w:t>
            </w:r>
          </w:p>
        </w:tc>
        <w:tc>
          <w:tcPr>
            <w:tcW w:w="1241" w:type="dxa"/>
            <w:tcBorders>
              <w:tl2br w:val="nil"/>
              <w:tr2bl w:val="nil"/>
            </w:tcBorders>
            <w:vAlign w:val="center"/>
          </w:tcPr>
          <w:p>
            <w:pPr>
              <w:jc w:val="center"/>
              <w:rPr>
                <w:color w:val="auto"/>
                <w:sz w:val="21"/>
                <w:szCs w:val="21"/>
              </w:rPr>
            </w:pPr>
            <w:r>
              <w:rPr>
                <w:color w:val="auto"/>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2</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主要施工方案与技术措施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1-3</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color w:val="auto"/>
                <w:sz w:val="21"/>
                <w:szCs w:val="21"/>
              </w:rPr>
            </w:pPr>
            <w:r>
              <w:rPr>
                <w:color w:val="auto"/>
                <w:sz w:val="21"/>
                <w:szCs w:val="21"/>
              </w:rPr>
              <w:t xml:space="preserve"> 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3</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质量管理体系与措施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4</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安全管理体系与措施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40" w:lineRule="exact"/>
              <w:rPr>
                <w:color w:val="auto"/>
                <w:sz w:val="21"/>
                <w:szCs w:val="21"/>
              </w:rPr>
            </w:pPr>
            <w:r>
              <w:rPr>
                <w:rFonts w:hint="eastAsia"/>
                <w:color w:val="auto"/>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63"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5</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文明施工、环境保护管理体系及施工现场扬尘治理措施</w:t>
            </w:r>
            <w:r>
              <w:rPr>
                <w:color w:val="auto"/>
                <w:sz w:val="21"/>
                <w:szCs w:val="21"/>
              </w:rPr>
              <w:t xml:space="preserve">  </w:t>
            </w:r>
          </w:p>
        </w:tc>
        <w:tc>
          <w:tcPr>
            <w:tcW w:w="980" w:type="dxa"/>
            <w:vMerge w:val="restart"/>
            <w:tcBorders>
              <w:tl2br w:val="nil"/>
              <w:tr2bl w:val="nil"/>
            </w:tcBorders>
            <w:vAlign w:val="center"/>
          </w:tcPr>
          <w:p>
            <w:pPr>
              <w:jc w:val="center"/>
              <w:rPr>
                <w:color w:val="auto"/>
                <w:sz w:val="21"/>
                <w:szCs w:val="21"/>
              </w:rPr>
            </w:pPr>
            <w:r>
              <w:rPr>
                <w:color w:val="auto"/>
                <w:sz w:val="21"/>
                <w:szCs w:val="21"/>
              </w:rPr>
              <w:t>1-3</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color w:val="auto"/>
                <w:sz w:val="21"/>
                <w:szCs w:val="21"/>
              </w:rPr>
              <w:t>DBJ41/174</w:t>
            </w:r>
            <w:r>
              <w:rPr>
                <w:rFonts w:hint="eastAsia"/>
                <w:color w:val="auto"/>
                <w:sz w:val="21"/>
                <w:szCs w:val="21"/>
              </w:rPr>
              <w:t>）的规定，防治方案科学、先进。</w:t>
            </w:r>
          </w:p>
        </w:tc>
        <w:tc>
          <w:tcPr>
            <w:tcW w:w="1241" w:type="dxa"/>
            <w:tcBorders>
              <w:tl2br w:val="nil"/>
              <w:tr2bl w:val="nil"/>
            </w:tcBorders>
            <w:vAlign w:val="center"/>
          </w:tcPr>
          <w:p>
            <w:pPr>
              <w:jc w:val="center"/>
              <w:rPr>
                <w:rFonts w:eastAsia="宋体"/>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color w:val="auto"/>
                <w:sz w:val="21"/>
                <w:szCs w:val="21"/>
              </w:rPr>
              <w:t>DBJ41/174</w:t>
            </w:r>
            <w:r>
              <w:rPr>
                <w:rFonts w:hint="eastAsia"/>
                <w:color w:val="auto"/>
                <w:sz w:val="21"/>
                <w:szCs w:val="21"/>
              </w:rPr>
              <w:t>）的规定，有防治方案。</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6</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工期保证措施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工期承诺满足招标文件要求，工期保证措施基本合理，有具体的违约责任承诺。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7</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拟投入资源配备计划</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机械：投入计划与进度计划呼应，采用先进机械设备且配置合理、先进，满足安全技术规范和施工进度需要；</w:t>
            </w:r>
            <w:r>
              <w:rPr>
                <w:color w:val="auto"/>
                <w:sz w:val="21"/>
                <w:szCs w:val="21"/>
              </w:rPr>
              <w:t>PC</w:t>
            </w:r>
            <w:r>
              <w:rPr>
                <w:rFonts w:hint="eastAsia"/>
                <w:color w:val="auto"/>
                <w:sz w:val="21"/>
                <w:szCs w:val="21"/>
              </w:rPr>
              <w:t>构件运输、安装设备满足施工要求；</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劳动力：投入计划与进度计划呼应，较好满足施工需要，调配投入计划合理、准确；</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机械：投入计划与进度计划呼应，机械设备配置基本合理，满足安全技术规范和施工进度需要；</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劳动力：投入计划与进度计划呼应，基本满足施工需要，调配投入计划基本合理；</w:t>
            </w:r>
          </w:p>
          <w:p>
            <w:pPr>
              <w:spacing w:line="300" w:lineRule="exact"/>
              <w:rPr>
                <w:color w:val="auto"/>
                <w:spacing w:val="-4"/>
                <w:sz w:val="21"/>
                <w:szCs w:val="21"/>
              </w:rPr>
            </w:pPr>
            <w:r>
              <w:rPr>
                <w:color w:val="auto"/>
                <w:spacing w:val="-4"/>
                <w:sz w:val="21"/>
                <w:szCs w:val="21"/>
              </w:rPr>
              <w:t>3.</w:t>
            </w:r>
            <w:r>
              <w:rPr>
                <w:rFonts w:hint="eastAsia"/>
                <w:color w:val="auto"/>
                <w:spacing w:val="-4"/>
                <w:sz w:val="21"/>
                <w:szCs w:val="21"/>
              </w:rPr>
              <w:t>主要物资计划：主要物资（含</w:t>
            </w:r>
            <w:r>
              <w:rPr>
                <w:color w:val="auto"/>
                <w:spacing w:val="-4"/>
                <w:sz w:val="21"/>
                <w:szCs w:val="21"/>
              </w:rPr>
              <w:t>PC</w:t>
            </w:r>
            <w:r>
              <w:rPr>
                <w:rFonts w:hint="eastAsia"/>
                <w:color w:val="auto"/>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8</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施工进度表或网络计划图</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关键线路清晰、准确、完整、计划编制合理、可行、满足招标文件对工期的要求。</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关键线路基本准确，计划编制基本可行。</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9</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施工总平面图布置</w:t>
            </w:r>
          </w:p>
        </w:tc>
        <w:tc>
          <w:tcPr>
            <w:tcW w:w="980" w:type="dxa"/>
            <w:vMerge w:val="restart"/>
            <w:tcBorders>
              <w:tl2br w:val="nil"/>
              <w:tr2bl w:val="nil"/>
            </w:tcBorders>
            <w:vAlign w:val="center"/>
          </w:tcPr>
          <w:p>
            <w:pPr>
              <w:jc w:val="center"/>
              <w:rPr>
                <w:color w:val="auto"/>
                <w:sz w:val="21"/>
                <w:szCs w:val="21"/>
              </w:rPr>
            </w:pPr>
            <w:r>
              <w:rPr>
                <w:color w:val="auto"/>
                <w:sz w:val="21"/>
                <w:szCs w:val="21"/>
              </w:rPr>
              <w:t>0.5-1</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color w:val="auto"/>
                <w:sz w:val="21"/>
                <w:szCs w:val="21"/>
              </w:rPr>
            </w:pP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总体布置基本合理、基本满足施工需要。</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10</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技术创新的应用实施措施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w:t>
            </w:r>
            <w:r>
              <w:rPr>
                <w:color w:val="auto"/>
                <w:sz w:val="21"/>
                <w:szCs w:val="21"/>
              </w:rPr>
              <w:t>1</w:t>
            </w:r>
            <w:r>
              <w:rPr>
                <w:rFonts w:hint="eastAsia"/>
                <w:color w:val="auto"/>
                <w:sz w:val="21"/>
                <w:szCs w:val="21"/>
              </w:rPr>
              <w:t>）节能减排、（</w:t>
            </w:r>
            <w:r>
              <w:rPr>
                <w:color w:val="auto"/>
                <w:sz w:val="21"/>
                <w:szCs w:val="21"/>
              </w:rPr>
              <w:t>2</w:t>
            </w:r>
            <w:r>
              <w:rPr>
                <w:rFonts w:hint="eastAsia"/>
                <w:color w:val="auto"/>
                <w:sz w:val="21"/>
                <w:szCs w:val="21"/>
              </w:rPr>
              <w:t>）绿色施工、（</w:t>
            </w:r>
            <w:r>
              <w:rPr>
                <w:color w:val="auto"/>
                <w:sz w:val="21"/>
                <w:szCs w:val="21"/>
              </w:rPr>
              <w:t>3</w:t>
            </w:r>
            <w:r>
              <w:rPr>
                <w:rFonts w:hint="eastAsia"/>
                <w:color w:val="auto"/>
                <w:sz w:val="21"/>
                <w:szCs w:val="21"/>
              </w:rPr>
              <w:t>）工艺创新、（</w:t>
            </w:r>
            <w:r>
              <w:rPr>
                <w:color w:val="auto"/>
                <w:sz w:val="21"/>
                <w:szCs w:val="21"/>
              </w:rPr>
              <w:t>4</w:t>
            </w:r>
            <w:r>
              <w:rPr>
                <w:rFonts w:hint="eastAsia"/>
                <w:color w:val="auto"/>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pacing w:val="-8"/>
                <w:sz w:val="21"/>
                <w:szCs w:val="21"/>
              </w:rPr>
              <w:t>（</w:t>
            </w:r>
            <w:r>
              <w:rPr>
                <w:color w:val="auto"/>
                <w:spacing w:val="-8"/>
                <w:sz w:val="21"/>
                <w:szCs w:val="21"/>
              </w:rPr>
              <w:t>1</w:t>
            </w:r>
            <w:r>
              <w:rPr>
                <w:rFonts w:hint="eastAsia"/>
                <w:color w:val="auto"/>
                <w:spacing w:val="-8"/>
                <w:sz w:val="21"/>
                <w:szCs w:val="21"/>
              </w:rPr>
              <w:t>）节能减排、（</w:t>
            </w:r>
            <w:r>
              <w:rPr>
                <w:color w:val="auto"/>
                <w:spacing w:val="-8"/>
                <w:sz w:val="21"/>
                <w:szCs w:val="21"/>
              </w:rPr>
              <w:t>2</w:t>
            </w:r>
            <w:r>
              <w:rPr>
                <w:rFonts w:hint="eastAsia"/>
                <w:color w:val="auto"/>
                <w:spacing w:val="-8"/>
                <w:sz w:val="21"/>
                <w:szCs w:val="21"/>
              </w:rPr>
              <w:t>）绿色施工、（</w:t>
            </w:r>
            <w:r>
              <w:rPr>
                <w:color w:val="auto"/>
                <w:spacing w:val="-8"/>
                <w:sz w:val="21"/>
                <w:szCs w:val="21"/>
              </w:rPr>
              <w:t>3</w:t>
            </w:r>
            <w:r>
              <w:rPr>
                <w:rFonts w:hint="eastAsia"/>
                <w:color w:val="auto"/>
                <w:spacing w:val="-8"/>
                <w:sz w:val="21"/>
                <w:szCs w:val="21"/>
              </w:rPr>
              <w:t>）工艺创新、（</w:t>
            </w:r>
            <w:r>
              <w:rPr>
                <w:color w:val="auto"/>
                <w:spacing w:val="-8"/>
                <w:sz w:val="21"/>
                <w:szCs w:val="21"/>
              </w:rPr>
              <w:t>4</w:t>
            </w:r>
            <w:r>
              <w:rPr>
                <w:rFonts w:hint="eastAsia"/>
                <w:color w:val="auto"/>
                <w:spacing w:val="-8"/>
                <w:sz w:val="21"/>
                <w:szCs w:val="21"/>
              </w:rPr>
              <w:t>）装配式建筑等技术创新的应用实施措施基本符合工程情况，具有针</w:t>
            </w:r>
            <w:r>
              <w:rPr>
                <w:rFonts w:hint="eastAsia"/>
                <w:color w:val="auto"/>
                <w:sz w:val="21"/>
                <w:szCs w:val="21"/>
              </w:rPr>
              <w:t>对性。</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等的程度满足设计要求，符合施工需要和相应技术标准等规定，经济适用。</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w:t>
            </w:r>
            <w:r>
              <w:rPr>
                <w:color w:val="auto"/>
                <w:sz w:val="21"/>
                <w:szCs w:val="21"/>
              </w:rPr>
              <w:t xml:space="preserve"> </w:t>
            </w:r>
            <w:r>
              <w:rPr>
                <w:rFonts w:hint="eastAsia"/>
                <w:color w:val="auto"/>
                <w:sz w:val="21"/>
                <w:szCs w:val="21"/>
              </w:rPr>
              <w:t>基本符合施工要求和相应技术标准等规定。</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12</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施工现场实施信息化监控和数据处理</w:t>
            </w:r>
          </w:p>
        </w:tc>
        <w:tc>
          <w:tcPr>
            <w:tcW w:w="980" w:type="dxa"/>
            <w:vMerge w:val="restart"/>
            <w:tcBorders>
              <w:tl2br w:val="nil"/>
              <w:tr2bl w:val="nil"/>
            </w:tcBorders>
            <w:vAlign w:val="center"/>
          </w:tcPr>
          <w:p>
            <w:pPr>
              <w:jc w:val="center"/>
              <w:rPr>
                <w:color w:val="auto"/>
                <w:sz w:val="21"/>
                <w:szCs w:val="21"/>
              </w:rPr>
            </w:pPr>
            <w:r>
              <w:rPr>
                <w:color w:val="auto"/>
                <w:sz w:val="21"/>
                <w:szCs w:val="21"/>
              </w:rPr>
              <w:t>0.5-1.5</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施工现场实施信息化监控和数据处理系统布置合理，满足需要。</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施工现场实施信息化监控和数据处理系统布置基本符合需要。</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13</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风险管理措施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color w:val="auto"/>
                <w:sz w:val="21"/>
                <w:szCs w:val="21"/>
              </w:rPr>
            </w:pPr>
            <w:r>
              <w:rPr>
                <w:rFonts w:hint="eastAsia"/>
                <w:color w:val="auto"/>
                <w:sz w:val="21"/>
                <w:szCs w:val="21"/>
              </w:rPr>
              <w:t>合计</w:t>
            </w:r>
          </w:p>
        </w:tc>
        <w:tc>
          <w:tcPr>
            <w:tcW w:w="980" w:type="dxa"/>
            <w:tcBorders>
              <w:tl2br w:val="nil"/>
              <w:tr2bl w:val="nil"/>
            </w:tcBorders>
            <w:vAlign w:val="center"/>
          </w:tcPr>
          <w:p>
            <w:pPr>
              <w:jc w:val="center"/>
              <w:rPr>
                <w:color w:val="auto"/>
                <w:sz w:val="21"/>
                <w:szCs w:val="21"/>
              </w:rPr>
            </w:pPr>
            <w:r>
              <w:rPr>
                <w:color w:val="auto"/>
                <w:sz w:val="21"/>
                <w:szCs w:val="21"/>
              </w:rPr>
              <w:t>10-25</w:t>
            </w:r>
            <w:r>
              <w:rPr>
                <w:rFonts w:hint="eastAsia"/>
                <w:color w:val="auto"/>
                <w:sz w:val="21"/>
                <w:szCs w:val="21"/>
              </w:rPr>
              <w:t>分</w:t>
            </w:r>
          </w:p>
        </w:tc>
        <w:tc>
          <w:tcPr>
            <w:tcW w:w="5344" w:type="dxa"/>
            <w:tcBorders>
              <w:tl2br w:val="nil"/>
              <w:tr2bl w:val="nil"/>
            </w:tcBorders>
            <w:vAlign w:val="center"/>
          </w:tcPr>
          <w:p>
            <w:pPr>
              <w:rPr>
                <w:color w:val="auto"/>
                <w:sz w:val="21"/>
                <w:szCs w:val="21"/>
              </w:rPr>
            </w:pPr>
          </w:p>
        </w:tc>
        <w:tc>
          <w:tcPr>
            <w:tcW w:w="1241" w:type="dxa"/>
            <w:tcBorders>
              <w:tl2br w:val="nil"/>
              <w:tr2bl w:val="nil"/>
            </w:tcBorders>
            <w:vAlign w:val="center"/>
          </w:tcPr>
          <w:p>
            <w:pPr>
              <w:jc w:val="center"/>
              <w:rPr>
                <w:color w:val="auto"/>
                <w:sz w:val="21"/>
                <w:szCs w:val="21"/>
              </w:rPr>
            </w:pPr>
            <w:r>
              <w:rPr>
                <w:color w:val="auto"/>
                <w:sz w:val="21"/>
                <w:szCs w:val="21"/>
              </w:rPr>
              <w:t>10≤</w:t>
            </w:r>
            <w:r>
              <w:rPr>
                <w:rFonts w:hint="eastAsia"/>
                <w:color w:val="auto"/>
                <w:sz w:val="21"/>
                <w:szCs w:val="21"/>
              </w:rPr>
              <w:t>得分</w:t>
            </w:r>
            <w:r>
              <w:rPr>
                <w:color w:val="auto"/>
                <w:sz w:val="21"/>
                <w:szCs w:val="21"/>
              </w:rPr>
              <w:t>≤25</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napToGrid w:val="0"/>
        <w:spacing w:line="360" w:lineRule="auto"/>
        <w:rPr>
          <w:rFonts w:hAnsi="宋体" w:cs="宋体"/>
          <w:b/>
          <w:bCs/>
          <w:color w:val="auto"/>
          <w:sz w:val="24"/>
          <w:szCs w:val="24"/>
        </w:rPr>
      </w:pPr>
      <w:r>
        <w:rPr>
          <w:rFonts w:hint="eastAsia" w:hAnsi="宋体" w:cs="宋体"/>
          <w:b/>
          <w:bCs/>
          <w:color w:val="auto"/>
          <w:sz w:val="24"/>
          <w:szCs w:val="24"/>
        </w:rPr>
        <w:t xml:space="preserve">    1、投标报价（30分） </w:t>
      </w:r>
    </w:p>
    <w:p>
      <w:pPr>
        <w:snapToGrid w:val="0"/>
        <w:spacing w:line="360" w:lineRule="auto"/>
        <w:ind w:firstLine="484"/>
        <w:rPr>
          <w:rFonts w:hAnsi="宋体" w:cs="宋体"/>
          <w:color w:val="auto"/>
          <w:sz w:val="24"/>
          <w:szCs w:val="24"/>
        </w:rPr>
      </w:pPr>
      <w:r>
        <w:rPr>
          <w:rFonts w:hint="eastAsia" w:hAnsi="宋体" w:cs="宋体"/>
          <w:color w:val="auto"/>
          <w:sz w:val="24"/>
          <w:szCs w:val="24"/>
        </w:rPr>
        <w:t>（1）工程量清单报价评标基准价计算公式为：</w:t>
      </w:r>
    </w:p>
    <w:p>
      <w:pPr>
        <w:snapToGrid w:val="0"/>
        <w:spacing w:line="360" w:lineRule="auto"/>
        <w:ind w:firstLine="484"/>
        <w:rPr>
          <w:rFonts w:hAnsi="宋体" w:cs="宋体"/>
          <w:color w:val="auto"/>
          <w:sz w:val="24"/>
          <w:szCs w:val="24"/>
        </w:rPr>
      </w:pPr>
      <w:r>
        <w:rPr>
          <w:rFonts w:hint="eastAsia" w:hAnsi="宋体" w:cs="宋体"/>
          <w:color w:val="auto"/>
          <w:sz w:val="24"/>
          <w:szCs w:val="24"/>
        </w:rPr>
        <w:t>评标基准价＝最高投标限价×K+投标报价×（1－K）。</w:t>
      </w:r>
    </w:p>
    <w:p>
      <w:pPr>
        <w:snapToGrid w:val="0"/>
        <w:spacing w:line="360" w:lineRule="auto"/>
        <w:ind w:firstLine="484"/>
        <w:rPr>
          <w:rFonts w:hAnsi="宋体" w:cs="宋体"/>
          <w:color w:val="auto"/>
          <w:sz w:val="24"/>
          <w:szCs w:val="24"/>
        </w:rPr>
      </w:pPr>
      <w:r>
        <w:rPr>
          <w:rFonts w:hint="eastAsia" w:hAnsi="宋体" w:cs="宋体"/>
          <w:color w:val="auto"/>
          <w:sz w:val="24"/>
          <w:szCs w:val="24"/>
        </w:rPr>
        <w:t>其中：K为最高投标限价权重系数，取值范围为（0.3、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pPr>
        <w:snapToGrid w:val="0"/>
        <w:spacing w:line="360" w:lineRule="auto"/>
        <w:ind w:firstLine="484"/>
        <w:rPr>
          <w:rFonts w:hAnsi="宋体" w:cs="宋体"/>
          <w:color w:val="auto"/>
          <w:sz w:val="24"/>
          <w:szCs w:val="24"/>
        </w:rPr>
      </w:pPr>
      <w:r>
        <w:rPr>
          <w:rFonts w:hint="eastAsia" w:hAnsi="宋体" w:cs="宋体"/>
          <w:color w:val="auto"/>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numPr>
          <w:ilvl w:val="0"/>
          <w:numId w:val="4"/>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分部分项工程项目清单单价评审（10分）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从最高投标限价中分部分项工程项目权重最大的前10-30项清单项目中抽取15项，在剩余的分部分项工程项目清单项目中抽取5项。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w:t>
      </w:r>
    </w:p>
    <w:p>
      <w:pPr>
        <w:snapToGrid w:val="0"/>
        <w:spacing w:line="360" w:lineRule="auto"/>
        <w:ind w:firstLine="484"/>
        <w:rPr>
          <w:rFonts w:hAnsi="宋体" w:cs="宋体"/>
          <w:b/>
          <w:bCs/>
          <w:color w:val="auto"/>
          <w:sz w:val="24"/>
          <w:szCs w:val="24"/>
        </w:rPr>
      </w:pPr>
      <w:r>
        <w:rPr>
          <w:rFonts w:hint="eastAsia" w:hAnsi="宋体" w:cs="宋体"/>
          <w:color w:val="auto"/>
          <w:sz w:val="24"/>
          <w:szCs w:val="24"/>
        </w:rPr>
        <w:t>投标人报价在综合单价基准值95%–103%范围内（不含95%和103%）的，每项得0.5分；在综合单价基准值90%–95%范围内（含90%和95%）每项得0.25分。满分共计10分。超出该范围的不得分。</w:t>
      </w:r>
      <w:r>
        <w:rPr>
          <w:rFonts w:hint="eastAsia" w:hAnsi="宋体" w:cs="宋体"/>
          <w:b/>
          <w:bCs/>
          <w:color w:val="auto"/>
          <w:sz w:val="24"/>
          <w:szCs w:val="24"/>
        </w:rPr>
        <w:t xml:space="preserve">    </w:t>
      </w:r>
    </w:p>
    <w:p>
      <w:pPr>
        <w:numPr>
          <w:ilvl w:val="0"/>
          <w:numId w:val="4"/>
        </w:numPr>
        <w:snapToGrid w:val="0"/>
        <w:spacing w:line="360" w:lineRule="auto"/>
        <w:ind w:firstLine="481"/>
        <w:rPr>
          <w:rFonts w:hAnsi="宋体" w:cs="宋体"/>
          <w:b/>
          <w:bCs/>
          <w:color w:val="auto"/>
          <w:sz w:val="24"/>
          <w:szCs w:val="24"/>
        </w:rPr>
      </w:pPr>
      <w:r>
        <w:rPr>
          <w:rFonts w:hint="eastAsia" w:hAnsi="宋体" w:cs="宋体"/>
          <w:b/>
          <w:bCs/>
          <w:color w:val="auto"/>
          <w:sz w:val="24"/>
          <w:szCs w:val="24"/>
        </w:rPr>
        <w:t>措施项目费的评审（不含安全文明措施费）（5分）</w:t>
      </w:r>
    </w:p>
    <w:p>
      <w:pPr>
        <w:snapToGrid w:val="0"/>
        <w:spacing w:line="360" w:lineRule="auto"/>
        <w:ind w:firstLine="480" w:firstLineChars="200"/>
        <w:rPr>
          <w:rFonts w:hAnsi="宋体" w:cs="宋体"/>
          <w:b/>
          <w:bCs/>
          <w:color w:val="auto"/>
          <w:sz w:val="24"/>
          <w:szCs w:val="24"/>
        </w:rPr>
      </w:pPr>
      <w:r>
        <w:rPr>
          <w:rFonts w:hint="eastAsia" w:hAnsi="宋体" w:cs="宋体"/>
          <w:color w:val="auto"/>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numPr>
          <w:ilvl w:val="0"/>
          <w:numId w:val="5"/>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主要材料单价的评审（5分）</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从最高投标限价中材料总价权重最大的前10-20项材料中抽取6项，在剩余材料中抽取4项。</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主要材料单价基准值是以各有效投标报价中（当有效投标人5名及以上时，去掉1个最高、1个最低值）对应抽取材料单价的算术平均值。</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pPr>
        <w:snapToGrid w:val="0"/>
        <w:spacing w:line="360" w:lineRule="auto"/>
        <w:ind w:firstLine="480" w:firstLineChars="200"/>
        <w:rPr>
          <w:rFonts w:hAnsi="宋体" w:cs="宋体"/>
          <w:b/>
          <w:color w:val="auto"/>
          <w:sz w:val="24"/>
          <w:szCs w:val="24"/>
        </w:rPr>
      </w:pPr>
      <w:r>
        <w:rPr>
          <w:rFonts w:hint="eastAsia" w:hAnsi="宋体" w:cs="宋体"/>
          <w:b/>
          <w:color w:val="auto"/>
          <w:sz w:val="24"/>
          <w:szCs w:val="24"/>
        </w:rPr>
        <w:t>注:主材价格不应调整，中标价格不可变更。</w:t>
      </w:r>
    </w:p>
    <w:p>
      <w:pPr>
        <w:snapToGrid w:val="0"/>
        <w:spacing w:line="360" w:lineRule="auto"/>
        <w:rPr>
          <w:rFonts w:hAnsi="宋体" w:cs="宋体"/>
          <w:b/>
          <w:bCs/>
          <w:color w:val="auto"/>
          <w:sz w:val="24"/>
          <w:szCs w:val="24"/>
        </w:rPr>
      </w:pPr>
      <w:r>
        <w:rPr>
          <w:rFonts w:hint="eastAsia" w:hAnsi="宋体" w:cs="宋体"/>
          <w:b/>
          <w:bCs/>
          <w:color w:val="auto"/>
          <w:sz w:val="24"/>
          <w:szCs w:val="24"/>
        </w:rPr>
        <w:t>（四）综合标（25分）</w:t>
      </w:r>
    </w:p>
    <w:tbl>
      <w:tblPr>
        <w:tblStyle w:val="1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2"/>
        <w:gridCol w:w="2050"/>
        <w:gridCol w:w="4950"/>
        <w:gridCol w:w="20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9" w:hRule="atLeast"/>
          <w:jc w:val="center"/>
        </w:trPr>
        <w:tc>
          <w:tcPr>
            <w:tcW w:w="662" w:type="dxa"/>
            <w:vAlign w:val="center"/>
          </w:tcPr>
          <w:p>
            <w:pPr>
              <w:jc w:val="center"/>
              <w:rPr>
                <w:rFonts w:hAnsi="宋体" w:eastAsia="宋体" w:cs="宋体"/>
                <w:color w:val="auto"/>
                <w:sz w:val="21"/>
                <w:szCs w:val="21"/>
              </w:rPr>
            </w:pPr>
            <w:r>
              <w:rPr>
                <w:rFonts w:hint="eastAsia" w:hAnsi="宋体" w:eastAsia="宋体" w:cs="宋体"/>
                <w:color w:val="auto"/>
                <w:sz w:val="21"/>
                <w:szCs w:val="21"/>
              </w:rPr>
              <w:t>序号</w:t>
            </w:r>
          </w:p>
        </w:tc>
        <w:tc>
          <w:tcPr>
            <w:tcW w:w="2050" w:type="dxa"/>
            <w:vAlign w:val="center"/>
          </w:tcPr>
          <w:p>
            <w:pPr>
              <w:jc w:val="center"/>
              <w:rPr>
                <w:rFonts w:hAnsi="宋体" w:eastAsia="宋体" w:cs="宋体"/>
                <w:color w:val="auto"/>
                <w:sz w:val="21"/>
                <w:szCs w:val="21"/>
              </w:rPr>
            </w:pPr>
            <w:r>
              <w:rPr>
                <w:rFonts w:hint="eastAsia" w:hAnsi="宋体" w:eastAsia="宋体" w:cs="宋体"/>
                <w:b/>
                <w:color w:val="auto"/>
                <w:sz w:val="21"/>
                <w:szCs w:val="21"/>
              </w:rPr>
              <w:t>量化因素</w:t>
            </w:r>
          </w:p>
        </w:tc>
        <w:tc>
          <w:tcPr>
            <w:tcW w:w="4950" w:type="dxa"/>
            <w:vAlign w:val="center"/>
          </w:tcPr>
          <w:p>
            <w:pPr>
              <w:jc w:val="center"/>
              <w:rPr>
                <w:rFonts w:hAnsi="宋体" w:eastAsia="宋体" w:cs="宋体"/>
                <w:color w:val="auto"/>
                <w:sz w:val="21"/>
                <w:szCs w:val="21"/>
              </w:rPr>
            </w:pPr>
            <w:r>
              <w:rPr>
                <w:rFonts w:hint="eastAsia" w:hAnsi="宋体" w:eastAsia="宋体" w:cs="宋体"/>
                <w:b/>
                <w:color w:val="auto"/>
                <w:sz w:val="21"/>
                <w:szCs w:val="21"/>
              </w:rPr>
              <w:t>评分标准</w:t>
            </w:r>
          </w:p>
        </w:tc>
        <w:tc>
          <w:tcPr>
            <w:tcW w:w="2074" w:type="dxa"/>
            <w:vAlign w:val="center"/>
          </w:tcPr>
          <w:p>
            <w:pPr>
              <w:jc w:val="center"/>
              <w:rPr>
                <w:rFonts w:hAnsi="宋体" w:eastAsia="宋体" w:cs="宋体"/>
                <w:b/>
                <w:color w:val="auto"/>
                <w:sz w:val="21"/>
                <w:szCs w:val="21"/>
              </w:rPr>
            </w:pPr>
            <w:r>
              <w:rPr>
                <w:rFonts w:hint="eastAsia" w:hAnsi="宋体" w:eastAsia="宋体" w:cs="宋体"/>
                <w:b/>
                <w:color w:val="auto"/>
                <w:sz w:val="21"/>
                <w:szCs w:val="21"/>
              </w:rPr>
              <w:t>评审得分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662" w:type="dxa"/>
            <w:vAlign w:val="center"/>
          </w:tcPr>
          <w:p>
            <w:pPr>
              <w:autoSpaceDE w:val="0"/>
              <w:autoSpaceDN w:val="0"/>
              <w:adjustRightInd w:val="0"/>
              <w:jc w:val="center"/>
              <w:rPr>
                <w:rFonts w:eastAsia="宋体"/>
                <w:color w:val="auto"/>
                <w:sz w:val="21"/>
                <w:szCs w:val="21"/>
              </w:rPr>
            </w:pPr>
            <w:r>
              <w:rPr>
                <w:rFonts w:hint="eastAsia"/>
                <w:color w:val="auto"/>
                <w:sz w:val="21"/>
                <w:szCs w:val="21"/>
              </w:rPr>
              <w:t>1</w:t>
            </w:r>
          </w:p>
        </w:tc>
        <w:tc>
          <w:tcPr>
            <w:tcW w:w="2050" w:type="dxa"/>
            <w:vAlign w:val="center"/>
          </w:tcPr>
          <w:p>
            <w:pPr>
              <w:autoSpaceDE w:val="0"/>
              <w:autoSpaceDN w:val="0"/>
              <w:adjustRightInd w:val="0"/>
              <w:rPr>
                <w:color w:val="auto"/>
                <w:sz w:val="21"/>
                <w:szCs w:val="21"/>
              </w:rPr>
            </w:pPr>
            <w:r>
              <w:rPr>
                <w:rFonts w:hint="eastAsia"/>
                <w:color w:val="auto"/>
                <w:sz w:val="21"/>
                <w:szCs w:val="21"/>
              </w:rPr>
              <w:t>企业业绩（0-4分）</w:t>
            </w:r>
          </w:p>
        </w:tc>
        <w:tc>
          <w:tcPr>
            <w:tcW w:w="4950" w:type="dxa"/>
            <w:vAlign w:val="center"/>
          </w:tcPr>
          <w:p>
            <w:pPr>
              <w:snapToGrid w:val="0"/>
              <w:spacing w:line="360" w:lineRule="auto"/>
              <w:rPr>
                <w:color w:val="auto"/>
                <w:sz w:val="21"/>
                <w:szCs w:val="21"/>
              </w:rPr>
            </w:pPr>
            <w:r>
              <w:rPr>
                <w:rFonts w:hint="eastAsia" w:hAnsi="宋体" w:eastAsia="宋体" w:cs="宋体"/>
                <w:color w:val="auto"/>
                <w:sz w:val="21"/>
                <w:szCs w:val="21"/>
              </w:rPr>
              <w:t>201</w:t>
            </w:r>
            <w:r>
              <w:rPr>
                <w:rFonts w:hint="eastAsia" w:hAnsi="宋体" w:eastAsia="宋体" w:cs="宋体"/>
                <w:color w:val="auto"/>
                <w:sz w:val="21"/>
                <w:szCs w:val="21"/>
                <w:lang w:val="en-US" w:eastAsia="zh-CN"/>
              </w:rPr>
              <w:t>7</w:t>
            </w:r>
            <w:r>
              <w:rPr>
                <w:rFonts w:hint="eastAsia" w:hAnsi="宋体" w:eastAsia="宋体" w:cs="宋体"/>
                <w:color w:val="auto"/>
                <w:sz w:val="21"/>
                <w:szCs w:val="21"/>
              </w:rPr>
              <w:t>年1月1日以来（以合同签订时间为准）：企业具有类似工程施工业绩者，每项得2分，本项最高得</w:t>
            </w:r>
            <w:r>
              <w:rPr>
                <w:rFonts w:hint="eastAsia" w:hAnsi="宋体" w:cs="宋体"/>
                <w:color w:val="auto"/>
                <w:sz w:val="21"/>
                <w:szCs w:val="21"/>
              </w:rPr>
              <w:t>4</w:t>
            </w:r>
            <w:r>
              <w:rPr>
                <w:rFonts w:hint="eastAsia" w:hAnsi="宋体" w:eastAsia="宋体" w:cs="宋体"/>
                <w:color w:val="auto"/>
                <w:sz w:val="21"/>
                <w:szCs w:val="21"/>
              </w:rPr>
              <w:t>分。（以施工合同和竣工验收表为准或施工合同和中标通知书为准）</w:t>
            </w:r>
          </w:p>
        </w:tc>
        <w:tc>
          <w:tcPr>
            <w:tcW w:w="2074" w:type="dxa"/>
            <w:vAlign w:val="center"/>
          </w:tcPr>
          <w:p>
            <w:pPr>
              <w:autoSpaceDN w:val="0"/>
              <w:jc w:val="center"/>
              <w:rPr>
                <w:color w:val="auto"/>
                <w:sz w:val="21"/>
                <w:szCs w:val="21"/>
              </w:rPr>
            </w:pPr>
            <w:r>
              <w:rPr>
                <w:rFonts w:hint="eastAsia"/>
                <w:color w:val="auto"/>
                <w:sz w:val="21"/>
                <w:szCs w:val="21"/>
              </w:rPr>
              <w:t>0</w:t>
            </w:r>
            <w:r>
              <w:rPr>
                <w:color w:val="auto"/>
                <w:sz w:val="21"/>
                <w:szCs w:val="21"/>
              </w:rPr>
              <w:t>≤</w:t>
            </w:r>
            <w:r>
              <w:rPr>
                <w:rFonts w:hint="eastAsia"/>
                <w:color w:val="auto"/>
                <w:sz w:val="21"/>
                <w:szCs w:val="21"/>
              </w:rPr>
              <w:t>得分</w:t>
            </w:r>
            <w:r>
              <w:rPr>
                <w:color w:val="auto"/>
                <w:sz w:val="21"/>
                <w:szCs w:val="21"/>
              </w:rPr>
              <w:t>≤</w:t>
            </w:r>
            <w:r>
              <w:rPr>
                <w:rFonts w:hint="eastAsia"/>
                <w:color w:val="auto"/>
                <w:sz w:val="21"/>
                <w:szCs w:val="21"/>
              </w:rPr>
              <w:t xml:space="preserve">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662" w:type="dxa"/>
            <w:vAlign w:val="center"/>
          </w:tcPr>
          <w:p>
            <w:pPr>
              <w:jc w:val="center"/>
              <w:rPr>
                <w:rFonts w:eastAsia="宋体"/>
                <w:color w:val="auto"/>
                <w:sz w:val="21"/>
                <w:szCs w:val="21"/>
              </w:rPr>
            </w:pPr>
            <w:r>
              <w:rPr>
                <w:rFonts w:hint="eastAsia"/>
                <w:color w:val="auto"/>
                <w:sz w:val="21"/>
                <w:szCs w:val="21"/>
              </w:rPr>
              <w:t>2</w:t>
            </w:r>
          </w:p>
        </w:tc>
        <w:tc>
          <w:tcPr>
            <w:tcW w:w="2050" w:type="dxa"/>
            <w:vAlign w:val="center"/>
          </w:tcPr>
          <w:p>
            <w:pPr>
              <w:rPr>
                <w:color w:val="auto"/>
                <w:sz w:val="21"/>
                <w:szCs w:val="21"/>
              </w:rPr>
            </w:pPr>
            <w:r>
              <w:rPr>
                <w:rFonts w:hint="eastAsia"/>
                <w:color w:val="auto"/>
                <w:sz w:val="21"/>
                <w:szCs w:val="21"/>
              </w:rPr>
              <w:t>项目经理业绩(0-6分）</w:t>
            </w:r>
          </w:p>
        </w:tc>
        <w:tc>
          <w:tcPr>
            <w:tcW w:w="4950" w:type="dxa"/>
            <w:vAlign w:val="center"/>
          </w:tcPr>
          <w:p>
            <w:pPr>
              <w:snapToGrid w:val="0"/>
              <w:spacing w:line="360" w:lineRule="auto"/>
              <w:rPr>
                <w:color w:val="auto"/>
                <w:sz w:val="21"/>
                <w:szCs w:val="21"/>
              </w:rPr>
            </w:pPr>
            <w:r>
              <w:rPr>
                <w:rFonts w:hint="eastAsia" w:hAnsi="宋体" w:eastAsia="宋体" w:cs="宋体"/>
                <w:color w:val="auto"/>
                <w:sz w:val="21"/>
                <w:szCs w:val="21"/>
              </w:rPr>
              <w:t>201</w:t>
            </w:r>
            <w:r>
              <w:rPr>
                <w:rFonts w:hint="eastAsia" w:hAnsi="宋体" w:eastAsia="宋体" w:cs="宋体"/>
                <w:color w:val="auto"/>
                <w:sz w:val="21"/>
                <w:szCs w:val="21"/>
                <w:lang w:val="en-US" w:eastAsia="zh-CN"/>
              </w:rPr>
              <w:t>7</w:t>
            </w:r>
            <w:r>
              <w:rPr>
                <w:rFonts w:hint="eastAsia" w:hAnsi="宋体" w:eastAsia="宋体" w:cs="宋体"/>
                <w:color w:val="auto"/>
                <w:sz w:val="21"/>
                <w:szCs w:val="21"/>
              </w:rPr>
              <w:t>年1月1日以来（以合同签订时间为准）：拟派项目经理具有类似工程施工业绩者，得6分，本项最高得</w:t>
            </w:r>
            <w:r>
              <w:rPr>
                <w:rFonts w:hint="eastAsia" w:hAnsi="宋体" w:cs="宋体"/>
                <w:color w:val="auto"/>
                <w:sz w:val="21"/>
                <w:szCs w:val="21"/>
              </w:rPr>
              <w:t>6</w:t>
            </w:r>
            <w:r>
              <w:rPr>
                <w:rFonts w:hint="eastAsia" w:hAnsi="宋体" w:eastAsia="宋体" w:cs="宋体"/>
                <w:color w:val="auto"/>
                <w:sz w:val="21"/>
                <w:szCs w:val="21"/>
              </w:rPr>
              <w:t>分。（以施工合同和竣工验收表为准或施工合同和中标通知书为准。若施工合同或竣工验收表中未注明项目经理姓名者须提供建设单位出具的相关证明文件）。</w:t>
            </w:r>
          </w:p>
        </w:tc>
        <w:tc>
          <w:tcPr>
            <w:tcW w:w="2074" w:type="dxa"/>
            <w:vAlign w:val="center"/>
          </w:tcPr>
          <w:p>
            <w:pPr>
              <w:jc w:val="center"/>
              <w:rPr>
                <w:color w:val="auto"/>
                <w:sz w:val="21"/>
                <w:szCs w:val="21"/>
              </w:rPr>
            </w:pPr>
            <w:r>
              <w:rPr>
                <w:color w:val="auto"/>
                <w:sz w:val="21"/>
                <w:szCs w:val="21"/>
              </w:rPr>
              <w:t>0</w:t>
            </w:r>
            <w:r>
              <w:rPr>
                <w:rFonts w:hint="eastAsia"/>
                <w:color w:val="auto"/>
                <w:sz w:val="21"/>
                <w:szCs w:val="21"/>
              </w:rPr>
              <w:t>＜得分</w:t>
            </w:r>
            <w:r>
              <w:rPr>
                <w:color w:val="auto"/>
                <w:sz w:val="21"/>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jc w:val="center"/>
        </w:trPr>
        <w:tc>
          <w:tcPr>
            <w:tcW w:w="662" w:type="dxa"/>
            <w:vMerge w:val="restart"/>
            <w:vAlign w:val="center"/>
          </w:tcPr>
          <w:p>
            <w:pPr>
              <w:jc w:val="center"/>
              <w:rPr>
                <w:rFonts w:eastAsia="宋体"/>
                <w:color w:val="auto"/>
                <w:sz w:val="21"/>
                <w:szCs w:val="21"/>
              </w:rPr>
            </w:pPr>
            <w:r>
              <w:rPr>
                <w:rFonts w:hint="eastAsia"/>
                <w:color w:val="auto"/>
                <w:sz w:val="21"/>
                <w:szCs w:val="21"/>
              </w:rPr>
              <w:t>3</w:t>
            </w:r>
          </w:p>
        </w:tc>
        <w:tc>
          <w:tcPr>
            <w:tcW w:w="2050" w:type="dxa"/>
            <w:vMerge w:val="restart"/>
            <w:vAlign w:val="center"/>
          </w:tcPr>
          <w:p>
            <w:pPr>
              <w:spacing w:line="240" w:lineRule="exact"/>
              <w:jc w:val="left"/>
              <w:rPr>
                <w:color w:val="auto"/>
                <w:sz w:val="21"/>
                <w:szCs w:val="21"/>
              </w:rPr>
            </w:pPr>
            <w:r>
              <w:rPr>
                <w:rFonts w:hint="eastAsia"/>
                <w:color w:val="auto"/>
                <w:sz w:val="21"/>
                <w:szCs w:val="21"/>
              </w:rPr>
              <w:t>优惠承诺（1-4分）</w:t>
            </w:r>
          </w:p>
        </w:tc>
        <w:tc>
          <w:tcPr>
            <w:tcW w:w="4950" w:type="dxa"/>
            <w:vAlign w:val="center"/>
          </w:tcPr>
          <w:p>
            <w:pPr>
              <w:snapToGrid w:val="0"/>
              <w:spacing w:line="360" w:lineRule="auto"/>
              <w:rPr>
                <w:rFonts w:hAnsi="宋体" w:eastAsia="宋体" w:cs="宋体"/>
                <w:color w:val="auto"/>
                <w:sz w:val="21"/>
                <w:szCs w:val="21"/>
              </w:rPr>
            </w:pPr>
            <w:r>
              <w:rPr>
                <w:rFonts w:hint="eastAsia" w:hAnsi="宋体" w:eastAsia="宋体" w:cs="宋体"/>
                <w:color w:val="auto"/>
                <w:sz w:val="21"/>
                <w:szCs w:val="21"/>
              </w:rPr>
              <w:t>优惠承诺应是书面的符合工程实际情况，确保依法依规，优惠合理，详实可行。</w:t>
            </w:r>
          </w:p>
        </w:tc>
        <w:tc>
          <w:tcPr>
            <w:tcW w:w="2074" w:type="dxa"/>
            <w:vAlign w:val="center"/>
          </w:tcPr>
          <w:p>
            <w:pPr>
              <w:jc w:val="center"/>
              <w:rPr>
                <w:color w:val="auto"/>
                <w:sz w:val="21"/>
                <w:szCs w:val="21"/>
              </w:rPr>
            </w:pPr>
            <w:r>
              <w:rPr>
                <w:color w:val="auto"/>
                <w:sz w:val="21"/>
                <w:szCs w:val="21"/>
              </w:rPr>
              <w:t>3</w:t>
            </w:r>
            <w:r>
              <w:rPr>
                <w:rFonts w:hint="eastAsia"/>
                <w:color w:val="auto"/>
                <w:sz w:val="21"/>
                <w:szCs w:val="21"/>
              </w:rPr>
              <w:t>＜得分</w:t>
            </w:r>
            <w:r>
              <w:rPr>
                <w:color w:val="auto"/>
                <w:sz w:val="21"/>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4" w:hRule="atLeast"/>
          <w:jc w:val="center"/>
        </w:trPr>
        <w:tc>
          <w:tcPr>
            <w:tcW w:w="662" w:type="dxa"/>
            <w:vMerge w:val="continue"/>
            <w:vAlign w:val="center"/>
          </w:tcPr>
          <w:p>
            <w:pPr>
              <w:jc w:val="left"/>
              <w:rPr>
                <w:color w:val="auto"/>
                <w:sz w:val="21"/>
                <w:szCs w:val="21"/>
              </w:rPr>
            </w:pPr>
          </w:p>
        </w:tc>
        <w:tc>
          <w:tcPr>
            <w:tcW w:w="2050" w:type="dxa"/>
            <w:vMerge w:val="continue"/>
            <w:vAlign w:val="center"/>
          </w:tcPr>
          <w:p>
            <w:pPr>
              <w:spacing w:line="240" w:lineRule="exact"/>
              <w:jc w:val="left"/>
              <w:rPr>
                <w:color w:val="auto"/>
                <w:sz w:val="21"/>
                <w:szCs w:val="21"/>
              </w:rPr>
            </w:pPr>
          </w:p>
        </w:tc>
        <w:tc>
          <w:tcPr>
            <w:tcW w:w="4950" w:type="dxa"/>
            <w:vAlign w:val="center"/>
          </w:tcPr>
          <w:p>
            <w:pPr>
              <w:snapToGrid w:val="0"/>
              <w:spacing w:line="360" w:lineRule="auto"/>
              <w:jc w:val="left"/>
              <w:rPr>
                <w:rFonts w:hAnsi="宋体" w:eastAsia="宋体" w:cs="宋体"/>
                <w:color w:val="auto"/>
                <w:sz w:val="21"/>
                <w:szCs w:val="21"/>
              </w:rPr>
            </w:pPr>
            <w:r>
              <w:rPr>
                <w:rFonts w:hint="eastAsia" w:hAnsi="宋体" w:eastAsia="宋体" w:cs="宋体"/>
                <w:color w:val="auto"/>
                <w:sz w:val="21"/>
                <w:szCs w:val="21"/>
              </w:rPr>
              <w:t>优惠承诺符合工程实际情况，确保依法依规，优惠基本合理，基本详实可行。</w:t>
            </w:r>
          </w:p>
        </w:tc>
        <w:tc>
          <w:tcPr>
            <w:tcW w:w="2074" w:type="dxa"/>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9" w:hRule="atLeast"/>
          <w:jc w:val="center"/>
        </w:trPr>
        <w:tc>
          <w:tcPr>
            <w:tcW w:w="662" w:type="dxa"/>
            <w:vMerge w:val="restart"/>
            <w:vAlign w:val="center"/>
          </w:tcPr>
          <w:p>
            <w:pPr>
              <w:tabs>
                <w:tab w:val="left" w:pos="366"/>
              </w:tabs>
              <w:jc w:val="center"/>
              <w:rPr>
                <w:rFonts w:eastAsia="宋体"/>
                <w:color w:val="auto"/>
                <w:sz w:val="21"/>
                <w:szCs w:val="21"/>
              </w:rPr>
            </w:pPr>
            <w:r>
              <w:rPr>
                <w:rFonts w:hint="eastAsia"/>
                <w:color w:val="auto"/>
                <w:sz w:val="21"/>
                <w:szCs w:val="21"/>
              </w:rPr>
              <w:t>4</w:t>
            </w:r>
          </w:p>
        </w:tc>
        <w:tc>
          <w:tcPr>
            <w:tcW w:w="2050" w:type="dxa"/>
            <w:vMerge w:val="restart"/>
            <w:vAlign w:val="center"/>
          </w:tcPr>
          <w:p>
            <w:pPr>
              <w:spacing w:line="240" w:lineRule="exact"/>
              <w:jc w:val="center"/>
              <w:rPr>
                <w:color w:val="auto"/>
                <w:sz w:val="21"/>
                <w:szCs w:val="21"/>
              </w:rPr>
            </w:pPr>
            <w:r>
              <w:rPr>
                <w:rFonts w:hint="eastAsia"/>
                <w:color w:val="auto"/>
                <w:sz w:val="21"/>
                <w:szCs w:val="21"/>
              </w:rPr>
              <w:t>履职尽责承诺</w:t>
            </w:r>
          </w:p>
          <w:p>
            <w:pPr>
              <w:spacing w:line="240" w:lineRule="exact"/>
              <w:jc w:val="center"/>
              <w:rPr>
                <w:color w:val="auto"/>
                <w:sz w:val="21"/>
                <w:szCs w:val="21"/>
              </w:rPr>
            </w:pPr>
            <w:r>
              <w:rPr>
                <w:rFonts w:hint="eastAsia"/>
                <w:color w:val="auto"/>
                <w:sz w:val="21"/>
                <w:szCs w:val="21"/>
              </w:rPr>
              <w:t>（1-3分）</w:t>
            </w:r>
          </w:p>
        </w:tc>
        <w:tc>
          <w:tcPr>
            <w:tcW w:w="4950" w:type="dxa"/>
            <w:vAlign w:val="center"/>
          </w:tcPr>
          <w:p>
            <w:pPr>
              <w:snapToGrid w:val="0"/>
              <w:spacing w:line="360" w:lineRule="auto"/>
              <w:jc w:val="left"/>
              <w:rPr>
                <w:rFonts w:hAnsi="宋体" w:eastAsia="宋体" w:cs="宋体"/>
                <w:color w:val="auto"/>
                <w:sz w:val="21"/>
                <w:szCs w:val="21"/>
              </w:rPr>
            </w:pPr>
            <w:r>
              <w:rPr>
                <w:rFonts w:hint="eastAsia" w:hAnsi="宋体" w:eastAsia="宋体" w:cs="宋体"/>
                <w:color w:val="auto"/>
                <w:sz w:val="21"/>
                <w:szCs w:val="21"/>
              </w:rPr>
              <w:t>具有全面、详实、可行、合法有效的书面保证技术措施落实到位的承诺和落实不到位的处理承诺。</w:t>
            </w:r>
          </w:p>
        </w:tc>
        <w:tc>
          <w:tcPr>
            <w:tcW w:w="2074" w:type="dxa"/>
            <w:vAlign w:val="center"/>
          </w:tcPr>
          <w:p>
            <w:pPr>
              <w:jc w:val="center"/>
              <w:rPr>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662" w:type="dxa"/>
            <w:vMerge w:val="continue"/>
            <w:vAlign w:val="center"/>
          </w:tcPr>
          <w:p>
            <w:pPr>
              <w:jc w:val="left"/>
              <w:rPr>
                <w:color w:val="auto"/>
                <w:sz w:val="21"/>
                <w:szCs w:val="21"/>
              </w:rPr>
            </w:pPr>
          </w:p>
        </w:tc>
        <w:tc>
          <w:tcPr>
            <w:tcW w:w="2050" w:type="dxa"/>
            <w:vMerge w:val="continue"/>
            <w:vAlign w:val="center"/>
          </w:tcPr>
          <w:p>
            <w:pPr>
              <w:spacing w:line="240" w:lineRule="exact"/>
              <w:jc w:val="center"/>
              <w:rPr>
                <w:color w:val="auto"/>
                <w:sz w:val="21"/>
                <w:szCs w:val="21"/>
              </w:rPr>
            </w:pPr>
          </w:p>
        </w:tc>
        <w:tc>
          <w:tcPr>
            <w:tcW w:w="4950" w:type="dxa"/>
            <w:vAlign w:val="center"/>
          </w:tcPr>
          <w:p>
            <w:pPr>
              <w:snapToGrid w:val="0"/>
              <w:spacing w:line="360" w:lineRule="auto"/>
              <w:jc w:val="left"/>
              <w:rPr>
                <w:rFonts w:hAnsi="宋体" w:eastAsia="宋体" w:cs="宋体"/>
                <w:color w:val="auto"/>
                <w:sz w:val="21"/>
                <w:szCs w:val="21"/>
              </w:rPr>
            </w:pPr>
            <w:r>
              <w:rPr>
                <w:rFonts w:hint="eastAsia" w:hAnsi="宋体" w:eastAsia="宋体" w:cs="宋体"/>
                <w:color w:val="auto"/>
                <w:sz w:val="21"/>
                <w:szCs w:val="21"/>
              </w:rPr>
              <w:t>具有可行、合法有效的书面保证技术措施落实到位的承诺和落实不到位的处理承诺，履职尽责承诺，提供承包商履约保证。</w:t>
            </w:r>
          </w:p>
        </w:tc>
        <w:tc>
          <w:tcPr>
            <w:tcW w:w="2074" w:type="dxa"/>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662" w:type="dxa"/>
            <w:vAlign w:val="center"/>
          </w:tcPr>
          <w:p>
            <w:pPr>
              <w:jc w:val="center"/>
              <w:rPr>
                <w:rFonts w:eastAsia="宋体"/>
                <w:color w:val="auto"/>
                <w:sz w:val="21"/>
                <w:szCs w:val="21"/>
              </w:rPr>
            </w:pPr>
            <w:r>
              <w:rPr>
                <w:rFonts w:hint="eastAsia"/>
                <w:color w:val="auto"/>
                <w:sz w:val="21"/>
                <w:szCs w:val="21"/>
              </w:rPr>
              <w:t>5</w:t>
            </w:r>
          </w:p>
        </w:tc>
        <w:tc>
          <w:tcPr>
            <w:tcW w:w="2050" w:type="dxa"/>
            <w:vAlign w:val="center"/>
          </w:tcPr>
          <w:p>
            <w:pPr>
              <w:spacing w:line="240" w:lineRule="exact"/>
              <w:jc w:val="center"/>
              <w:rPr>
                <w:color w:val="auto"/>
                <w:sz w:val="21"/>
                <w:szCs w:val="21"/>
              </w:rPr>
            </w:pPr>
            <w:r>
              <w:rPr>
                <w:rFonts w:hint="eastAsia"/>
                <w:color w:val="auto"/>
                <w:sz w:val="21"/>
                <w:szCs w:val="21"/>
              </w:rPr>
              <w:t>企业信用（含纳税诚信）（0-4分）</w:t>
            </w:r>
          </w:p>
        </w:tc>
        <w:tc>
          <w:tcPr>
            <w:tcW w:w="4950" w:type="dxa"/>
            <w:vAlign w:val="center"/>
          </w:tcPr>
          <w:p>
            <w:pPr>
              <w:snapToGrid w:val="0"/>
              <w:spacing w:line="360" w:lineRule="auto"/>
              <w:rPr>
                <w:rFonts w:hAnsi="宋体" w:eastAsia="宋体" w:cs="宋体"/>
                <w:color w:val="auto"/>
                <w:sz w:val="21"/>
                <w:szCs w:val="21"/>
              </w:rPr>
            </w:pPr>
            <w:r>
              <w:rPr>
                <w:rFonts w:hint="eastAsia" w:hAnsi="宋体" w:eastAsia="宋体" w:cs="宋体"/>
                <w:color w:val="auto"/>
                <w:sz w:val="21"/>
                <w:szCs w:val="21"/>
              </w:rPr>
              <w:t>1、企业提供近年来信用评估机构出具的企业信用等级证书和信用等级报告且等级为AAA级的，得2分。（需提供有效期内的信用等级证书及信用等级报告）</w:t>
            </w:r>
          </w:p>
          <w:p>
            <w:pPr>
              <w:snapToGrid w:val="0"/>
              <w:spacing w:line="360" w:lineRule="auto"/>
              <w:rPr>
                <w:rFonts w:hAnsi="宋体" w:eastAsia="宋体" w:cs="宋体"/>
                <w:color w:val="auto"/>
                <w:sz w:val="21"/>
                <w:szCs w:val="21"/>
                <w:highlight w:val="yellow"/>
              </w:rPr>
            </w:pPr>
            <w:r>
              <w:rPr>
                <w:rFonts w:hint="eastAsia" w:hAnsi="宋体" w:eastAsia="宋体" w:cs="宋体"/>
                <w:color w:val="auto"/>
                <w:sz w:val="21"/>
                <w:szCs w:val="21"/>
              </w:rPr>
              <w:t>2、企业2018年度纳税信用等级为B级以上(含B级)得2分。(以税务部门颁发的信用等级证书或国家税务总局网上截图为准，若为网上截图，须加盖税务部门公章)</w:t>
            </w:r>
          </w:p>
        </w:tc>
        <w:tc>
          <w:tcPr>
            <w:tcW w:w="2074" w:type="dxa"/>
            <w:vAlign w:val="center"/>
          </w:tcPr>
          <w:p>
            <w:pPr>
              <w:spacing w:line="240" w:lineRule="exact"/>
              <w:jc w:val="center"/>
              <w:rPr>
                <w:color w:val="auto"/>
                <w:sz w:val="21"/>
                <w:szCs w:val="21"/>
              </w:rPr>
            </w:pPr>
            <w:r>
              <w:rPr>
                <w:rFonts w:hint="eastAsia"/>
                <w:color w:val="auto"/>
                <w:sz w:val="21"/>
                <w:szCs w:val="21"/>
              </w:rPr>
              <w:t>0</w:t>
            </w:r>
            <w:r>
              <w:rPr>
                <w:color w:val="auto"/>
                <w:sz w:val="21"/>
                <w:szCs w:val="21"/>
              </w:rPr>
              <w:t>≤</w:t>
            </w:r>
            <w:r>
              <w:rPr>
                <w:rFonts w:hint="eastAsia"/>
                <w:color w:val="auto"/>
                <w:sz w:val="21"/>
                <w:szCs w:val="21"/>
              </w:rPr>
              <w:t>得分</w:t>
            </w:r>
            <w:r>
              <w:rPr>
                <w:color w:val="auto"/>
                <w:sz w:val="21"/>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4" w:hRule="atLeast"/>
          <w:jc w:val="center"/>
        </w:trPr>
        <w:tc>
          <w:tcPr>
            <w:tcW w:w="662" w:type="dxa"/>
            <w:vAlign w:val="center"/>
          </w:tcPr>
          <w:p>
            <w:pPr>
              <w:jc w:val="center"/>
              <w:rPr>
                <w:color w:val="auto"/>
                <w:sz w:val="21"/>
                <w:szCs w:val="21"/>
              </w:rPr>
            </w:pPr>
            <w:r>
              <w:rPr>
                <w:rFonts w:hint="eastAsia"/>
                <w:color w:val="auto"/>
                <w:sz w:val="21"/>
                <w:szCs w:val="21"/>
              </w:rPr>
              <w:t>6</w:t>
            </w:r>
          </w:p>
        </w:tc>
        <w:tc>
          <w:tcPr>
            <w:tcW w:w="2050" w:type="dxa"/>
            <w:vAlign w:val="center"/>
          </w:tcPr>
          <w:p>
            <w:pPr>
              <w:spacing w:line="240" w:lineRule="exact"/>
              <w:jc w:val="left"/>
              <w:rPr>
                <w:color w:val="auto"/>
                <w:sz w:val="21"/>
                <w:szCs w:val="21"/>
              </w:rPr>
            </w:pPr>
            <w:r>
              <w:rPr>
                <w:rFonts w:hint="eastAsia"/>
                <w:color w:val="auto"/>
                <w:sz w:val="21"/>
                <w:szCs w:val="21"/>
              </w:rPr>
              <w:t>项目负责人信用（0-2分）</w:t>
            </w:r>
          </w:p>
        </w:tc>
        <w:tc>
          <w:tcPr>
            <w:tcW w:w="4950" w:type="dxa"/>
            <w:vAlign w:val="center"/>
          </w:tcPr>
          <w:p>
            <w:pPr>
              <w:snapToGrid w:val="0"/>
              <w:spacing w:line="360" w:lineRule="auto"/>
              <w:rPr>
                <w:rFonts w:hAnsi="宋体" w:eastAsia="宋体" w:cs="宋体"/>
                <w:color w:val="auto"/>
                <w:sz w:val="21"/>
                <w:szCs w:val="21"/>
                <w:highlight w:val="yellow"/>
              </w:rPr>
            </w:pPr>
            <w:r>
              <w:rPr>
                <w:rFonts w:hint="eastAsia" w:ascii="Times New Roman"/>
                <w:color w:val="auto"/>
                <w:kern w:val="2"/>
                <w:sz w:val="21"/>
                <w:szCs w:val="21"/>
              </w:rPr>
              <w:t>拟派项目负责人近年参与项目获得省级“安全文明标准化工地”奖项得2</w:t>
            </w:r>
            <w:r>
              <w:rPr>
                <w:rFonts w:hint="eastAsia" w:hAnsi="宋体"/>
                <w:color w:val="auto"/>
                <w:kern w:val="2"/>
                <w:sz w:val="21"/>
                <w:szCs w:val="21"/>
              </w:rPr>
              <w:t>分，市级得</w:t>
            </w:r>
            <w:r>
              <w:rPr>
                <w:rFonts w:hint="eastAsia" w:ascii="Times New Roman"/>
                <w:color w:val="auto"/>
                <w:kern w:val="2"/>
                <w:sz w:val="21"/>
                <w:szCs w:val="21"/>
              </w:rPr>
              <w:t>1</w:t>
            </w:r>
            <w:r>
              <w:rPr>
                <w:rFonts w:hint="eastAsia" w:hAnsi="宋体"/>
                <w:color w:val="auto"/>
                <w:kern w:val="2"/>
                <w:sz w:val="21"/>
                <w:szCs w:val="21"/>
              </w:rPr>
              <w:t>分。</w:t>
            </w:r>
            <w:r>
              <w:rPr>
                <w:rFonts w:hint="eastAsia" w:ascii="Times New Roman"/>
                <w:color w:val="auto"/>
                <w:kern w:val="2"/>
                <w:sz w:val="21"/>
                <w:szCs w:val="21"/>
              </w:rPr>
              <w:t>（需提供获奖证书）</w:t>
            </w:r>
          </w:p>
        </w:tc>
        <w:tc>
          <w:tcPr>
            <w:tcW w:w="2074" w:type="dxa"/>
            <w:vAlign w:val="center"/>
          </w:tcPr>
          <w:p>
            <w:pPr>
              <w:spacing w:line="240" w:lineRule="exact"/>
              <w:jc w:val="center"/>
              <w:rPr>
                <w:color w:val="auto"/>
                <w:sz w:val="21"/>
                <w:szCs w:val="21"/>
              </w:rPr>
            </w:pPr>
            <w:r>
              <w:rPr>
                <w:rFonts w:hint="eastAsia"/>
                <w:color w:val="auto"/>
                <w:sz w:val="21"/>
                <w:szCs w:val="21"/>
              </w:rPr>
              <w:t>0</w:t>
            </w:r>
            <w:r>
              <w:rPr>
                <w:color w:val="auto"/>
                <w:sz w:val="21"/>
                <w:szCs w:val="21"/>
              </w:rPr>
              <w:t>≤</w:t>
            </w:r>
            <w:r>
              <w:rPr>
                <w:rFonts w:hint="eastAsia"/>
                <w:color w:val="auto"/>
                <w:sz w:val="21"/>
                <w:szCs w:val="21"/>
              </w:rPr>
              <w:t>得分</w:t>
            </w:r>
            <w:r>
              <w:rPr>
                <w:color w:val="auto"/>
                <w:sz w:val="21"/>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662" w:type="dxa"/>
            <w:vAlign w:val="center"/>
          </w:tcPr>
          <w:p>
            <w:pPr>
              <w:tabs>
                <w:tab w:val="left" w:pos="379"/>
              </w:tabs>
              <w:jc w:val="center"/>
              <w:rPr>
                <w:color w:val="auto"/>
                <w:sz w:val="21"/>
                <w:szCs w:val="21"/>
              </w:rPr>
            </w:pPr>
            <w:r>
              <w:rPr>
                <w:rFonts w:hint="eastAsia"/>
                <w:color w:val="auto"/>
                <w:sz w:val="21"/>
                <w:szCs w:val="21"/>
              </w:rPr>
              <w:t>7</w:t>
            </w:r>
          </w:p>
        </w:tc>
        <w:tc>
          <w:tcPr>
            <w:tcW w:w="2050" w:type="dxa"/>
            <w:vAlign w:val="center"/>
          </w:tcPr>
          <w:p>
            <w:pPr>
              <w:jc w:val="center"/>
              <w:rPr>
                <w:color w:val="auto"/>
                <w:sz w:val="21"/>
                <w:szCs w:val="21"/>
              </w:rPr>
            </w:pPr>
            <w:r>
              <w:rPr>
                <w:rFonts w:hint="eastAsia"/>
                <w:color w:val="auto"/>
                <w:sz w:val="21"/>
                <w:szCs w:val="21"/>
              </w:rPr>
              <w:t>招标人意见（0-2分）</w:t>
            </w:r>
          </w:p>
        </w:tc>
        <w:tc>
          <w:tcPr>
            <w:tcW w:w="4950" w:type="dxa"/>
            <w:vAlign w:val="center"/>
          </w:tcPr>
          <w:p>
            <w:pPr>
              <w:snapToGrid w:val="0"/>
              <w:spacing w:line="360" w:lineRule="auto"/>
              <w:rPr>
                <w:rFonts w:hAnsi="宋体" w:eastAsia="宋体" w:cs="宋体"/>
                <w:color w:val="auto"/>
                <w:sz w:val="21"/>
                <w:szCs w:val="21"/>
              </w:rPr>
            </w:pPr>
            <w:r>
              <w:rPr>
                <w:rFonts w:hint="eastAsia"/>
                <w:color w:val="auto"/>
                <w:sz w:val="21"/>
                <w:szCs w:val="21"/>
              </w:rPr>
              <w:t>招标人意见均为2分。</w:t>
            </w:r>
          </w:p>
        </w:tc>
        <w:tc>
          <w:tcPr>
            <w:tcW w:w="2074" w:type="dxa"/>
            <w:vAlign w:val="center"/>
          </w:tcPr>
          <w:p>
            <w:pPr>
              <w:jc w:val="center"/>
              <w:rPr>
                <w:color w:val="auto"/>
                <w:sz w:val="21"/>
                <w:szCs w:val="21"/>
              </w:rPr>
            </w:pPr>
            <w:r>
              <w:rPr>
                <w:color w:val="auto"/>
                <w:sz w:val="21"/>
                <w:szCs w:val="21"/>
              </w:rPr>
              <w:t>0≤</w:t>
            </w:r>
            <w:r>
              <w:rPr>
                <w:rFonts w:hint="eastAsia"/>
                <w:color w:val="auto"/>
                <w:sz w:val="21"/>
                <w:szCs w:val="21"/>
              </w:rPr>
              <w:t>得分</w:t>
            </w:r>
            <w:r>
              <w:rPr>
                <w:color w:val="auto"/>
                <w:sz w:val="21"/>
                <w:szCs w:val="21"/>
              </w:rPr>
              <w:t>≤2</w:t>
            </w:r>
            <w:r>
              <w:rPr>
                <w:rFonts w:hint="eastAsia"/>
                <w:color w:val="auto"/>
                <w:sz w:val="21"/>
                <w:szCs w:val="21"/>
              </w:rPr>
              <w:t>分</w:t>
            </w:r>
          </w:p>
        </w:tc>
      </w:tr>
    </w:tbl>
    <w:p>
      <w:pPr>
        <w:snapToGrid w:val="0"/>
        <w:spacing w:line="360" w:lineRule="auto"/>
        <w:rPr>
          <w:rFonts w:hAnsi="宋体" w:cs="宋体"/>
          <w:b/>
          <w:bCs/>
          <w:color w:val="auto"/>
          <w:sz w:val="24"/>
          <w:szCs w:val="24"/>
        </w:rPr>
      </w:pPr>
    </w:p>
    <w:p>
      <w:pPr>
        <w:snapToGrid w:val="0"/>
        <w:spacing w:line="360" w:lineRule="auto"/>
        <w:rPr>
          <w:rFonts w:hAnsi="宋体" w:cs="宋体"/>
          <w:color w:val="auto"/>
          <w:sz w:val="24"/>
          <w:szCs w:val="24"/>
        </w:rPr>
      </w:pPr>
      <w:r>
        <w:rPr>
          <w:rFonts w:hint="eastAsia" w:hAnsi="宋体" w:cs="宋体"/>
          <w:b/>
          <w:bCs/>
          <w:color w:val="auto"/>
          <w:sz w:val="24"/>
          <w:szCs w:val="24"/>
        </w:rPr>
        <w:t>（五）投标人综合得分</w:t>
      </w:r>
    </w:p>
    <w:p>
      <w:pPr>
        <w:snapToGrid w:val="0"/>
        <w:spacing w:line="360" w:lineRule="auto"/>
        <w:ind w:firstLine="480"/>
        <w:rPr>
          <w:rFonts w:hAnsi="宋体" w:cs="宋体"/>
          <w:color w:val="auto"/>
          <w:sz w:val="24"/>
          <w:szCs w:val="24"/>
        </w:rPr>
      </w:pPr>
      <w:r>
        <w:rPr>
          <w:rFonts w:hint="eastAsia" w:hAnsi="宋体" w:cs="宋体"/>
          <w:color w:val="auto"/>
          <w:sz w:val="24"/>
          <w:szCs w:val="24"/>
        </w:rPr>
        <w:t xml:space="preserve">投标人综合得分＝技术标得分＋商务标得分＋综合标得分 </w:t>
      </w:r>
    </w:p>
    <w:p>
      <w:pPr>
        <w:spacing w:line="440" w:lineRule="exact"/>
        <w:rPr>
          <w:rFonts w:ascii="新宋体" w:hAnsi="新宋体" w:eastAsia="新宋体" w:cs="宋体"/>
          <w:b/>
          <w:color w:val="auto"/>
          <w:sz w:val="24"/>
        </w:rPr>
      </w:pPr>
      <w:r>
        <w:rPr>
          <w:rFonts w:hint="eastAsia" w:ascii="新宋体" w:hAnsi="新宋体" w:eastAsia="新宋体" w:cs="宋体"/>
          <w:b/>
          <w:color w:val="auto"/>
          <w:sz w:val="24"/>
        </w:rPr>
        <w:t xml:space="preserve">（六）中标候选人排序 </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color w:val="auto"/>
          <w:sz w:val="24"/>
        </w:rPr>
      </w:pPr>
      <w:r>
        <w:rPr>
          <w:rFonts w:hint="eastAsia" w:ascii="新宋体" w:hAnsi="新宋体" w:eastAsia="新宋体"/>
          <w:b/>
          <w:bCs/>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七、定标</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八、评标注意事项</w:t>
      </w:r>
      <w:bookmarkEnd w:id="73"/>
      <w:bookmarkEnd w:id="74"/>
      <w:bookmarkEnd w:id="75"/>
      <w:bookmarkEnd w:id="76"/>
    </w:p>
    <w:p>
      <w:pPr>
        <w:spacing w:line="400" w:lineRule="exact"/>
        <w:ind w:firstLine="480" w:firstLineChars="200"/>
        <w:rPr>
          <w:rFonts w:hAnsi="宋体" w:cs="宋体"/>
          <w:bCs/>
          <w:color w:val="auto"/>
          <w:sz w:val="24"/>
          <w:szCs w:val="24"/>
        </w:rPr>
      </w:pPr>
      <w:r>
        <w:rPr>
          <w:rFonts w:hint="eastAsia" w:hAnsi="宋体" w:cs="宋体"/>
          <w:bCs/>
          <w:color w:val="auto"/>
          <w:sz w:val="24"/>
          <w:szCs w:val="24"/>
        </w:rPr>
        <w:t>评标委员会应按下列原则进行评分汇总统计：</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1.评标委员会完成技术标评分、综合标评分后，应分别从中去掉一个最高分和一个最低分，取平均值作为该投标人的技术标、综合标得分。</w:t>
      </w:r>
    </w:p>
    <w:p>
      <w:pPr>
        <w:spacing w:line="400" w:lineRule="exact"/>
        <w:ind w:firstLine="480" w:firstLineChars="200"/>
        <w:rPr>
          <w:rFonts w:ascii="新宋体" w:hAnsi="新宋体" w:eastAsia="新宋体"/>
          <w:color w:val="auto"/>
          <w:sz w:val="24"/>
        </w:rPr>
      </w:pPr>
      <w:r>
        <w:rPr>
          <w:rFonts w:hint="eastAsia" w:hAnsi="宋体" w:cs="宋体"/>
          <w:bCs/>
          <w:color w:val="auto"/>
          <w:sz w:val="24"/>
          <w:szCs w:val="24"/>
        </w:rPr>
        <w:t>2.评标委员会人数在5人以上时，去掉一个最高分和一个最低分取平均值；评标委员会人数在5人时，取所有评委评分的平均值。</w:t>
      </w:r>
    </w:p>
    <w:p>
      <w:pPr>
        <w:spacing w:line="400" w:lineRule="exact"/>
        <w:ind w:firstLine="480" w:firstLineChars="200"/>
        <w:rPr>
          <w:rFonts w:hAnsi="宋体" w:cs="宋体"/>
          <w:bCs/>
          <w:color w:val="auto"/>
          <w:sz w:val="24"/>
          <w:szCs w:val="24"/>
        </w:rPr>
      </w:pPr>
      <w:r>
        <w:rPr>
          <w:rFonts w:hint="eastAsia" w:hAnsi="宋体" w:cs="宋体"/>
          <w:bCs/>
          <w:color w:val="auto"/>
          <w:sz w:val="24"/>
          <w:szCs w:val="24"/>
        </w:rPr>
        <w:t>3.分数计算过程中，保留两位小数，小数点后第三位四舍五入。</w:t>
      </w:r>
    </w:p>
    <w:p>
      <w:pPr>
        <w:pStyle w:val="18"/>
        <w:keepNext w:val="0"/>
        <w:keepLines w:val="0"/>
        <w:ind w:firstLine="480" w:firstLineChars="200"/>
        <w:rPr>
          <w:rFonts w:ascii="新宋体" w:hAnsi="新宋体" w:eastAsia="新宋体"/>
          <w:b/>
          <w:color w:val="auto"/>
          <w:szCs w:val="24"/>
        </w:rPr>
      </w:pPr>
      <w:r>
        <w:rPr>
          <w:rFonts w:hint="eastAsia" w:ascii="新宋体" w:hAnsi="新宋体" w:eastAsia="新宋体"/>
          <w:b/>
          <w:color w:val="auto"/>
          <w:szCs w:val="24"/>
        </w:rPr>
        <w:t>九、评标报告</w:t>
      </w:r>
    </w:p>
    <w:p>
      <w:pPr>
        <w:spacing w:line="430" w:lineRule="exact"/>
        <w:ind w:firstLine="480" w:firstLineChars="200"/>
        <w:rPr>
          <w:rFonts w:ascii="新宋体" w:hAnsi="新宋体" w:eastAsia="新宋体"/>
          <w:color w:val="auto"/>
          <w:sz w:val="24"/>
        </w:rPr>
      </w:pPr>
      <w:r>
        <w:rPr>
          <w:rFonts w:hint="eastAsia" w:ascii="新宋体" w:hAnsi="新宋体" w:eastAsia="新宋体"/>
          <w:color w:val="auto"/>
          <w:sz w:val="24"/>
        </w:rPr>
        <w:t>评标委员会根据投标人须知前附表7.1条的规定向招标人提交评标报告。评标报告应当由全体评标委员会成员签字，并于评标结束时抄送有关行政监督部门。</w:t>
      </w:r>
    </w:p>
    <w:p>
      <w:pPr>
        <w:pStyle w:val="18"/>
        <w:keepNext w:val="0"/>
        <w:keepLines w:val="0"/>
        <w:ind w:firstLine="480" w:firstLineChars="200"/>
        <w:rPr>
          <w:rFonts w:ascii="新宋体" w:hAnsi="新宋体" w:eastAsia="新宋体"/>
          <w:b/>
          <w:color w:val="auto"/>
          <w:szCs w:val="24"/>
        </w:rPr>
      </w:pPr>
      <w:r>
        <w:rPr>
          <w:rFonts w:hint="eastAsia" w:ascii="新宋体" w:hAnsi="新宋体" w:eastAsia="新宋体"/>
          <w:b/>
          <w:color w:val="auto"/>
        </w:rPr>
        <w:t>十、</w:t>
      </w:r>
      <w:r>
        <w:rPr>
          <w:rFonts w:hint="eastAsia" w:ascii="新宋体" w:hAnsi="新宋体" w:eastAsia="新宋体"/>
          <w:b/>
          <w:color w:val="auto"/>
          <w:szCs w:val="24"/>
        </w:rPr>
        <w:t>公示</w:t>
      </w:r>
    </w:p>
    <w:p>
      <w:pPr>
        <w:spacing w:line="420" w:lineRule="exact"/>
        <w:ind w:firstLine="480" w:firstLineChars="200"/>
        <w:rPr>
          <w:rFonts w:ascii="新宋体" w:hAnsi="新宋体" w:eastAsia="新宋体"/>
          <w:color w:val="auto"/>
          <w:sz w:val="24"/>
        </w:rPr>
      </w:pPr>
      <w:r>
        <w:rPr>
          <w:rFonts w:ascii="新宋体" w:hAnsi="新宋体" w:eastAsia="新宋体"/>
          <w:color w:val="auto"/>
          <w:sz w:val="24"/>
        </w:rPr>
        <w:t>中标人确定后，招标人应当</w:t>
      </w:r>
      <w:r>
        <w:rPr>
          <w:rFonts w:hint="eastAsia" w:ascii="新宋体" w:hAnsi="新宋体" w:eastAsia="新宋体"/>
          <w:color w:val="auto"/>
          <w:sz w:val="24"/>
        </w:rPr>
        <w:t>告知各投标人</w:t>
      </w:r>
      <w:r>
        <w:rPr>
          <w:rFonts w:ascii="新宋体" w:hAnsi="新宋体" w:eastAsia="新宋体"/>
          <w:color w:val="auto"/>
          <w:sz w:val="24"/>
        </w:rPr>
        <w:t>，</w:t>
      </w:r>
      <w:r>
        <w:rPr>
          <w:rFonts w:hint="eastAsia" w:ascii="新宋体" w:hAnsi="新宋体" w:eastAsia="新宋体"/>
          <w:color w:val="auto"/>
          <w:sz w:val="24"/>
        </w:rPr>
        <w:t>质疑</w:t>
      </w:r>
      <w:r>
        <w:rPr>
          <w:rFonts w:ascii="新宋体" w:hAnsi="新宋体" w:eastAsia="新宋体"/>
          <w:color w:val="auto"/>
          <w:sz w:val="24"/>
        </w:rPr>
        <w:t>时间不少于3日。</w:t>
      </w:r>
      <w:r>
        <w:rPr>
          <w:rFonts w:hint="eastAsia" w:ascii="新宋体" w:hAnsi="新宋体" w:eastAsia="新宋体"/>
          <w:color w:val="auto"/>
          <w:sz w:val="24"/>
        </w:rPr>
        <w:t>质疑</w:t>
      </w:r>
      <w:r>
        <w:rPr>
          <w:rFonts w:ascii="新宋体" w:hAnsi="新宋体" w:eastAsia="新宋体"/>
          <w:color w:val="auto"/>
          <w:sz w:val="24"/>
        </w:rPr>
        <w:t>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color w:val="auto"/>
          <w:sz w:val="24"/>
        </w:rPr>
      </w:pPr>
      <w:r>
        <w:rPr>
          <w:rFonts w:hint="eastAsia" w:ascii="新宋体" w:hAnsi="新宋体" w:eastAsia="新宋体"/>
          <w:b/>
          <w:color w:val="auto"/>
          <w:sz w:val="24"/>
        </w:rPr>
        <w:t>十一、特殊情况的处置程序</w:t>
      </w:r>
    </w:p>
    <w:p>
      <w:pPr>
        <w:spacing w:line="430" w:lineRule="exact"/>
        <w:ind w:firstLine="480" w:firstLineChars="200"/>
        <w:outlineLvl w:val="0"/>
        <w:rPr>
          <w:rFonts w:ascii="新宋体" w:hAnsi="新宋体" w:eastAsia="新宋体"/>
          <w:b/>
          <w:color w:val="auto"/>
          <w:sz w:val="24"/>
        </w:rPr>
      </w:pPr>
      <w:r>
        <w:rPr>
          <w:rFonts w:hint="eastAsia" w:ascii="新宋体" w:hAnsi="新宋体" w:eastAsia="新宋体"/>
          <w:b/>
          <w:color w:val="auto"/>
          <w:sz w:val="24"/>
        </w:rPr>
        <w:t>11.1关于澄清、说明或补正</w:t>
      </w:r>
    </w:p>
    <w:p>
      <w:pPr>
        <w:spacing w:line="430" w:lineRule="exact"/>
        <w:ind w:firstLine="480" w:firstLineChars="200"/>
        <w:outlineLvl w:val="0"/>
        <w:rPr>
          <w:rFonts w:ascii="新宋体" w:hAnsi="新宋体" w:eastAsia="新宋体"/>
          <w:color w:val="auto"/>
          <w:sz w:val="24"/>
        </w:rPr>
      </w:pPr>
      <w:r>
        <w:rPr>
          <w:rFonts w:hint="eastAsia" w:ascii="新宋体" w:hAnsi="新宋体" w:eastAsia="新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color w:val="auto"/>
          <w:sz w:val="24"/>
        </w:rPr>
      </w:pPr>
      <w:r>
        <w:rPr>
          <w:rFonts w:hint="eastAsia" w:ascii="新宋体" w:hAnsi="新宋体" w:eastAsia="新宋体"/>
          <w:b/>
          <w:color w:val="auto"/>
          <w:sz w:val="24"/>
        </w:rPr>
        <w:t>11.2关于评标活动暂停</w:t>
      </w:r>
    </w:p>
    <w:p>
      <w:pPr>
        <w:spacing w:line="430" w:lineRule="exact"/>
        <w:ind w:firstLine="480" w:firstLineChars="200"/>
        <w:rPr>
          <w:rFonts w:ascii="新宋体" w:hAnsi="新宋体" w:eastAsia="新宋体"/>
          <w:color w:val="auto"/>
          <w:sz w:val="24"/>
        </w:rPr>
      </w:pPr>
      <w:r>
        <w:rPr>
          <w:rFonts w:hint="eastAsia" w:ascii="新宋体" w:hAnsi="新宋体" w:eastAsia="新宋体"/>
          <w:color w:val="auto"/>
          <w:sz w:val="24"/>
        </w:rPr>
        <w:t>11.2.1评标委员会应当执行连续评标的原则，按评标办法中规定的程序、内容、方法、标准完成全部评标工作。只有发生不可抗力导致评标工作无法继续时，评标活动方可暂停。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color w:val="auto"/>
          <w:sz w:val="24"/>
        </w:rPr>
      </w:pPr>
      <w:r>
        <w:rPr>
          <w:rFonts w:hint="eastAsia" w:ascii="新宋体" w:hAnsi="新宋体" w:eastAsia="新宋体"/>
          <w:color w:val="auto"/>
          <w:sz w:val="24"/>
        </w:rPr>
        <w:t>11.2.2发生评标暂停情况时，评标委员会应当封存全部投标文件和评标记录，待不可抗力的影响结束且具备继续评标的条件时，由原评标委员会继续评标。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color w:val="auto"/>
          <w:sz w:val="24"/>
        </w:rPr>
      </w:pPr>
      <w:r>
        <w:rPr>
          <w:rFonts w:hint="eastAsia" w:ascii="新宋体" w:hAnsi="新宋体" w:eastAsia="新宋体"/>
          <w:b/>
          <w:color w:val="auto"/>
          <w:sz w:val="24"/>
        </w:rPr>
        <w:t>11.3关于评标中途更换评标委员会成员</w:t>
      </w:r>
    </w:p>
    <w:p>
      <w:pPr>
        <w:spacing w:line="430" w:lineRule="exact"/>
        <w:ind w:firstLine="480" w:firstLineChars="200"/>
        <w:rPr>
          <w:rFonts w:ascii="新宋体" w:hAnsi="新宋体" w:eastAsia="新宋体"/>
          <w:color w:val="auto"/>
          <w:sz w:val="24"/>
        </w:rPr>
      </w:pPr>
      <w:r>
        <w:rPr>
          <w:rFonts w:hint="eastAsia" w:ascii="新宋体" w:hAnsi="新宋体" w:eastAsia="新宋体"/>
          <w:color w:val="auto"/>
          <w:sz w:val="24"/>
        </w:rPr>
        <w:t>11.3.1除非发生下列情况之一，评标委员会成员不得在评标中途更换：</w:t>
      </w:r>
    </w:p>
    <w:p>
      <w:pPr>
        <w:spacing w:line="400" w:lineRule="exact"/>
        <w:ind w:firstLine="480" w:firstLineChars="200"/>
        <w:rPr>
          <w:rFonts w:ascii="新宋体" w:hAnsi="新宋体" w:eastAsia="新宋体"/>
          <w:color w:val="auto"/>
          <w:sz w:val="24"/>
        </w:rPr>
      </w:pPr>
      <w:r>
        <w:rPr>
          <w:rFonts w:hint="eastAsia" w:ascii="新宋体" w:hAnsi="新宋体" w:eastAsia="新宋体"/>
          <w:color w:val="auto"/>
          <w:sz w:val="24"/>
        </w:rPr>
        <w:t>（1）因不可抗拒的客观原因，不能到场或需在评标中途退出评标活动。</w:t>
      </w:r>
    </w:p>
    <w:p>
      <w:pPr>
        <w:spacing w:line="400" w:lineRule="exact"/>
        <w:ind w:firstLine="480" w:firstLineChars="200"/>
        <w:rPr>
          <w:rFonts w:ascii="新宋体" w:hAnsi="新宋体" w:eastAsia="新宋体"/>
          <w:color w:val="auto"/>
          <w:sz w:val="24"/>
        </w:rPr>
      </w:pPr>
      <w:r>
        <w:rPr>
          <w:rFonts w:hint="eastAsia" w:ascii="新宋体" w:hAnsi="新宋体" w:eastAsia="新宋体"/>
          <w:color w:val="auto"/>
          <w:sz w:val="24"/>
        </w:rPr>
        <w:t>（2）根据法律法规规定，某个或某几个评标委员会成员需要回避。</w:t>
      </w:r>
    </w:p>
    <w:p>
      <w:pPr>
        <w:spacing w:line="400" w:lineRule="exact"/>
        <w:ind w:firstLine="480" w:firstLineChars="200"/>
        <w:rPr>
          <w:rFonts w:ascii="新宋体" w:hAnsi="新宋体" w:eastAsia="新宋体"/>
          <w:color w:val="auto"/>
          <w:sz w:val="24"/>
        </w:rPr>
      </w:pPr>
      <w:r>
        <w:rPr>
          <w:rFonts w:hint="eastAsia" w:ascii="新宋体" w:hAnsi="新宋体" w:eastAsia="新宋体"/>
          <w:color w:val="auto"/>
          <w:sz w:val="24"/>
        </w:rPr>
        <w:t>11.3.2退出评标的评标委员会成员，其已完成的评标行为无效。由招标人根据本招标文件规定的评标委员会成员产生方式另行确定替代者进行评标。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color w:val="auto"/>
          <w:sz w:val="24"/>
        </w:rPr>
      </w:pPr>
      <w:r>
        <w:rPr>
          <w:rFonts w:hint="eastAsia" w:ascii="新宋体" w:hAnsi="新宋体" w:eastAsia="新宋体"/>
          <w:b/>
          <w:color w:val="auto"/>
          <w:sz w:val="24"/>
        </w:rPr>
        <w:t>11.4记名投票</w:t>
      </w:r>
    </w:p>
    <w:p>
      <w:pPr>
        <w:spacing w:line="400" w:lineRule="exact"/>
        <w:ind w:firstLine="480" w:firstLineChars="200"/>
        <w:rPr>
          <w:rFonts w:ascii="新宋体" w:hAnsi="新宋体" w:eastAsia="新宋体"/>
          <w:color w:val="auto"/>
          <w:sz w:val="24"/>
        </w:rPr>
      </w:pPr>
      <w:r>
        <w:rPr>
          <w:rFonts w:hint="eastAsia" w:ascii="新宋体" w:hAnsi="新宋体" w:eastAsia="新宋体"/>
          <w:color w:val="auto"/>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color w:val="auto"/>
          <w:sz w:val="24"/>
        </w:rPr>
      </w:pPr>
      <w:r>
        <w:rPr>
          <w:rFonts w:hint="eastAsia"/>
          <w:b/>
          <w:color w:val="auto"/>
          <w:sz w:val="24"/>
        </w:rPr>
        <w:t>11.5评标委员会对评标结果有异议的</w:t>
      </w:r>
    </w:p>
    <w:p>
      <w:pPr>
        <w:adjustRightInd w:val="0"/>
        <w:snapToGrid w:val="0"/>
        <w:spacing w:line="430" w:lineRule="exact"/>
        <w:rPr>
          <w:rFonts w:hAnsi="宋体" w:cs="宋体"/>
          <w:color w:val="auto"/>
          <w:spacing w:val="-3"/>
          <w:sz w:val="24"/>
        </w:rPr>
      </w:pPr>
      <w:r>
        <w:rPr>
          <w:rFonts w:hint="eastAsia"/>
          <w:color w:val="auto"/>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pStyle w:val="9"/>
        <w:ind w:firstLine="234"/>
        <w:rPr>
          <w:rFonts w:hAnsi="宋体" w:cs="宋体"/>
          <w:color w:val="auto"/>
          <w:spacing w:val="-3"/>
          <w:sz w:val="24"/>
        </w:rPr>
      </w:pPr>
    </w:p>
    <w:p>
      <w:pPr>
        <w:pStyle w:val="9"/>
        <w:ind w:firstLine="234"/>
        <w:rPr>
          <w:rFonts w:hAnsi="宋体" w:cs="宋体"/>
          <w:color w:val="auto"/>
          <w:spacing w:val="-3"/>
          <w:sz w:val="24"/>
        </w:rPr>
      </w:pPr>
    </w:p>
    <w:p>
      <w:pPr>
        <w:pStyle w:val="9"/>
        <w:ind w:firstLine="234"/>
        <w:rPr>
          <w:rFonts w:hAnsi="宋体" w:cs="宋体"/>
          <w:color w:val="auto"/>
          <w:spacing w:val="-3"/>
          <w:sz w:val="24"/>
        </w:rPr>
      </w:pPr>
    </w:p>
    <w:p>
      <w:pPr>
        <w:pStyle w:val="9"/>
        <w:ind w:firstLine="234"/>
        <w:rPr>
          <w:rFonts w:hAnsi="宋体" w:cs="宋体"/>
          <w:color w:val="auto"/>
          <w:spacing w:val="-3"/>
          <w:sz w:val="24"/>
        </w:rPr>
      </w:pPr>
    </w:p>
    <w:p>
      <w:pPr>
        <w:adjustRightInd w:val="0"/>
        <w:snapToGrid w:val="0"/>
        <w:spacing w:line="440" w:lineRule="exact"/>
        <w:ind w:firstLine="720" w:firstLineChars="200"/>
        <w:jc w:val="center"/>
        <w:rPr>
          <w:rFonts w:hAnsi="宋体" w:cs="宋体"/>
          <w:b/>
          <w:color w:val="auto"/>
          <w:sz w:val="36"/>
          <w:szCs w:val="36"/>
        </w:rPr>
      </w:pPr>
      <w:r>
        <w:rPr>
          <w:rFonts w:hint="eastAsia" w:hAnsi="宋体" w:cs="宋体"/>
          <w:b/>
          <w:color w:val="auto"/>
          <w:sz w:val="36"/>
          <w:szCs w:val="36"/>
        </w:rPr>
        <w:br w:type="page"/>
      </w:r>
    </w:p>
    <w:p>
      <w:pPr>
        <w:adjustRightInd w:val="0"/>
        <w:snapToGrid w:val="0"/>
        <w:spacing w:line="440" w:lineRule="exact"/>
        <w:ind w:firstLine="720" w:firstLineChars="200"/>
        <w:jc w:val="center"/>
        <w:rPr>
          <w:rFonts w:hAnsi="宋体" w:cs="宋体"/>
          <w:b/>
          <w:color w:val="auto"/>
          <w:sz w:val="36"/>
          <w:szCs w:val="36"/>
        </w:rPr>
      </w:pPr>
      <w:r>
        <w:rPr>
          <w:rFonts w:hint="eastAsia" w:hAnsi="宋体" w:cs="宋体"/>
          <w:b/>
          <w:color w:val="auto"/>
          <w:sz w:val="36"/>
          <w:szCs w:val="36"/>
        </w:rPr>
        <w:t>第四章 合同条款</w:t>
      </w:r>
      <w:bookmarkEnd w:id="72"/>
    </w:p>
    <w:p>
      <w:pPr>
        <w:tabs>
          <w:tab w:val="left" w:pos="5000"/>
        </w:tabs>
        <w:spacing w:line="360" w:lineRule="auto"/>
        <w:ind w:firstLine="490"/>
        <w:rPr>
          <w:rFonts w:hAnsi="宋体" w:cs="宋体"/>
          <w:bCs/>
          <w:color w:val="auto"/>
          <w:sz w:val="28"/>
          <w:szCs w:val="28"/>
        </w:rPr>
      </w:pPr>
      <w:bookmarkStart w:id="77" w:name="_Toc278443514"/>
    </w:p>
    <w:p>
      <w:pPr>
        <w:tabs>
          <w:tab w:val="left" w:pos="5000"/>
        </w:tabs>
        <w:spacing w:line="360" w:lineRule="auto"/>
        <w:ind w:firstLine="490"/>
        <w:rPr>
          <w:rFonts w:hAnsi="宋体" w:cs="宋体"/>
          <w:b/>
          <w:color w:val="auto"/>
          <w:sz w:val="32"/>
          <w:szCs w:val="32"/>
        </w:rPr>
      </w:pPr>
      <w:r>
        <w:rPr>
          <w:rFonts w:hint="eastAsia" w:hAnsi="宋体" w:cs="宋体"/>
          <w:bCs/>
          <w:color w:val="auto"/>
          <w:sz w:val="28"/>
          <w:szCs w:val="28"/>
        </w:rPr>
        <w:t>采用由中华人民共和国住房和城乡建设部与国家工商行政管理局联合制定的《建设工程施工合同》(GF2017-0201)签订合</w:t>
      </w:r>
      <w:bookmarkEnd w:id="77"/>
      <w:bookmarkStart w:id="78" w:name="_Toc278443518"/>
      <w:r>
        <w:rPr>
          <w:rFonts w:hint="eastAsia" w:hAnsi="宋体" w:cs="宋体"/>
          <w:bCs/>
          <w:color w:val="auto"/>
          <w:sz w:val="28"/>
          <w:szCs w:val="28"/>
        </w:rPr>
        <w:t>同。</w:t>
      </w: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2678" w:firstLineChars="744"/>
        <w:outlineLvl w:val="0"/>
        <w:rPr>
          <w:rFonts w:hAnsi="宋体" w:cs="宋体"/>
          <w:b/>
          <w:color w:val="auto"/>
          <w:sz w:val="36"/>
          <w:szCs w:val="36"/>
        </w:rPr>
      </w:pPr>
      <w:r>
        <w:rPr>
          <w:rFonts w:hint="eastAsia" w:hAnsi="宋体" w:cs="宋体"/>
          <w:b/>
          <w:color w:val="auto"/>
          <w:sz w:val="36"/>
          <w:szCs w:val="36"/>
        </w:rPr>
        <w:br w:type="page"/>
      </w:r>
    </w:p>
    <w:p>
      <w:pPr>
        <w:autoSpaceDE w:val="0"/>
        <w:autoSpaceDN w:val="0"/>
        <w:adjustRightInd w:val="0"/>
        <w:ind w:firstLine="2678" w:firstLineChars="744"/>
        <w:outlineLvl w:val="0"/>
        <w:rPr>
          <w:rFonts w:hAnsi="宋体" w:cs="宋体"/>
          <w:b/>
          <w:color w:val="auto"/>
          <w:sz w:val="36"/>
          <w:szCs w:val="36"/>
        </w:rPr>
      </w:pPr>
      <w:r>
        <w:rPr>
          <w:rFonts w:hint="eastAsia" w:hAnsi="宋体" w:cs="宋体"/>
          <w:b/>
          <w:color w:val="auto"/>
          <w:sz w:val="36"/>
          <w:szCs w:val="36"/>
        </w:rPr>
        <w:t>第五章 工程量清单</w:t>
      </w:r>
    </w:p>
    <w:p>
      <w:pPr>
        <w:spacing w:line="440" w:lineRule="exact"/>
        <w:rPr>
          <w:rFonts w:hAnsi="宋体" w:cs="宋体"/>
          <w:b/>
          <w:color w:val="auto"/>
          <w:sz w:val="24"/>
        </w:rPr>
      </w:pPr>
      <w:r>
        <w:rPr>
          <w:rFonts w:hint="eastAsia" w:hAnsi="宋体" w:cs="宋体"/>
          <w:b/>
          <w:color w:val="auto"/>
          <w:sz w:val="24"/>
        </w:rPr>
        <w:t>1、工程量清单说明</w:t>
      </w:r>
    </w:p>
    <w:p>
      <w:pPr>
        <w:spacing w:line="440" w:lineRule="exact"/>
        <w:ind w:left="1" w:firstLine="480" w:firstLineChars="200"/>
        <w:rPr>
          <w:rFonts w:hAnsi="宋体" w:cs="宋体"/>
          <w:color w:val="auto"/>
          <w:sz w:val="24"/>
        </w:rPr>
      </w:pPr>
      <w:r>
        <w:rPr>
          <w:rFonts w:hint="eastAsia"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auto"/>
          <w:sz w:val="24"/>
        </w:rPr>
      </w:pPr>
      <w:r>
        <w:rPr>
          <w:rFonts w:hint="eastAsia"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auto"/>
          <w:sz w:val="24"/>
        </w:rPr>
      </w:pPr>
      <w:r>
        <w:rPr>
          <w:rFonts w:hint="eastAsia"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auto"/>
          <w:sz w:val="24"/>
          <w:u w:val="single"/>
        </w:rPr>
      </w:pPr>
      <w:r>
        <w:rPr>
          <w:rFonts w:hint="eastAsia" w:hAnsi="宋体" w:cs="宋体"/>
          <w:color w:val="auto"/>
          <w:sz w:val="24"/>
        </w:rPr>
        <w:t>1.4补充子目的子目特征、计量单位、工程量计算规则及工作内容说明如下：</w:t>
      </w:r>
      <w:r>
        <w:rPr>
          <w:rFonts w:hint="eastAsia" w:hAnsi="宋体" w:cs="宋体"/>
          <w:color w:val="auto"/>
          <w:sz w:val="24"/>
          <w:u w:val="single"/>
        </w:rPr>
        <w:t>本工程使用《建设工程工程量清单计价规范》（GB50500-2013）</w:t>
      </w:r>
    </w:p>
    <w:p>
      <w:pPr>
        <w:spacing w:line="440" w:lineRule="exact"/>
        <w:ind w:left="1" w:firstLine="480" w:firstLineChars="200"/>
        <w:rPr>
          <w:rFonts w:hAnsi="宋体" w:cs="宋体"/>
          <w:color w:val="auto"/>
          <w:sz w:val="24"/>
        </w:rPr>
      </w:pPr>
      <w:r>
        <w:rPr>
          <w:rFonts w:hint="eastAsia"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auto"/>
          <w:sz w:val="24"/>
        </w:rPr>
      </w:pPr>
      <w:r>
        <w:rPr>
          <w:rFonts w:hint="eastAsia" w:hAnsi="宋体" w:cs="宋体"/>
          <w:color w:val="auto"/>
          <w:sz w:val="24"/>
        </w:rPr>
        <w:t>1.6 本条与下述第2条和第3条的说明内容是构成合同文件的已标价工程量清单的组成部分。</w:t>
      </w:r>
    </w:p>
    <w:p>
      <w:pPr>
        <w:spacing w:line="440" w:lineRule="exact"/>
        <w:rPr>
          <w:rFonts w:hAnsi="宋体" w:cs="宋体"/>
          <w:b/>
          <w:color w:val="auto"/>
          <w:sz w:val="24"/>
        </w:rPr>
      </w:pPr>
      <w:r>
        <w:rPr>
          <w:rFonts w:hint="eastAsia" w:hAnsi="宋体" w:cs="宋体"/>
          <w:b/>
          <w:color w:val="auto"/>
          <w:sz w:val="24"/>
        </w:rPr>
        <w:t>2、投标报价说明</w:t>
      </w:r>
    </w:p>
    <w:p>
      <w:pPr>
        <w:spacing w:line="440" w:lineRule="exact"/>
        <w:ind w:left="1" w:firstLine="480" w:firstLineChars="200"/>
        <w:rPr>
          <w:rFonts w:hAnsi="宋体" w:cs="宋体"/>
          <w:color w:val="auto"/>
          <w:sz w:val="24"/>
        </w:rPr>
      </w:pPr>
      <w:r>
        <w:rPr>
          <w:rFonts w:hint="eastAsia" w:hAnsi="宋体" w:cs="宋体"/>
          <w:color w:val="auto"/>
          <w:sz w:val="24"/>
        </w:rPr>
        <w:t>2.1 投标报价应根据招标文件中的有关计价要求，并按照下列依据自主报价。</w:t>
      </w:r>
    </w:p>
    <w:p>
      <w:pPr>
        <w:spacing w:line="440" w:lineRule="exact"/>
        <w:ind w:left="1" w:firstLine="480" w:firstLineChars="200"/>
        <w:rPr>
          <w:rFonts w:hAnsi="宋体" w:cs="宋体"/>
          <w:color w:val="auto"/>
          <w:sz w:val="24"/>
        </w:rPr>
      </w:pPr>
      <w:r>
        <w:rPr>
          <w:rFonts w:hint="eastAsia" w:hAnsi="宋体" w:cs="宋体"/>
          <w:color w:val="auto"/>
          <w:sz w:val="24"/>
        </w:rPr>
        <w:t>(1) 本招标文件；</w:t>
      </w:r>
    </w:p>
    <w:p>
      <w:pPr>
        <w:spacing w:line="440" w:lineRule="exact"/>
        <w:ind w:left="1" w:firstLine="480" w:firstLineChars="200"/>
        <w:rPr>
          <w:rFonts w:hAnsi="宋体" w:cs="宋体"/>
          <w:color w:val="auto"/>
          <w:sz w:val="24"/>
        </w:rPr>
      </w:pPr>
      <w:r>
        <w:rPr>
          <w:rFonts w:hint="eastAsia" w:hAnsi="宋体" w:cs="宋体"/>
          <w:color w:val="auto"/>
          <w:sz w:val="24"/>
        </w:rPr>
        <w:t>(2) 《建设工程工程量清单计价规范》GB50500-2013及相关配套文件。</w:t>
      </w:r>
    </w:p>
    <w:p>
      <w:pPr>
        <w:spacing w:line="440" w:lineRule="exact"/>
        <w:ind w:left="1" w:firstLine="480" w:firstLineChars="200"/>
        <w:rPr>
          <w:rFonts w:hAnsi="宋体" w:cs="宋体"/>
          <w:color w:val="auto"/>
          <w:sz w:val="24"/>
        </w:rPr>
      </w:pPr>
      <w:r>
        <w:rPr>
          <w:rFonts w:hint="eastAsia" w:hAnsi="宋体" w:cs="宋体"/>
          <w:color w:val="auto"/>
          <w:sz w:val="24"/>
        </w:rPr>
        <w:t>(3) 国家或省级、行业建设主管部门颁发的计价办法；</w:t>
      </w:r>
    </w:p>
    <w:p>
      <w:pPr>
        <w:spacing w:line="440" w:lineRule="exact"/>
        <w:ind w:left="1" w:firstLine="480" w:firstLineChars="200"/>
        <w:rPr>
          <w:rFonts w:hAnsi="宋体" w:cs="宋体"/>
          <w:color w:val="auto"/>
          <w:sz w:val="24"/>
        </w:rPr>
      </w:pPr>
      <w:r>
        <w:rPr>
          <w:rFonts w:hint="eastAsia" w:hAnsi="宋体" w:cs="宋体"/>
          <w:color w:val="auto"/>
          <w:sz w:val="24"/>
        </w:rPr>
        <w:t>(4) 企业定额，国家或省级、行业建设主管部门颁发的计价定额；</w:t>
      </w:r>
    </w:p>
    <w:p>
      <w:pPr>
        <w:spacing w:line="440" w:lineRule="exact"/>
        <w:ind w:left="1" w:firstLine="480" w:firstLineChars="200"/>
        <w:rPr>
          <w:rFonts w:hAnsi="宋体" w:cs="宋体"/>
          <w:color w:val="auto"/>
          <w:sz w:val="24"/>
        </w:rPr>
      </w:pPr>
      <w:r>
        <w:rPr>
          <w:rFonts w:hint="eastAsia" w:hAnsi="宋体" w:cs="宋体"/>
          <w:color w:val="auto"/>
          <w:sz w:val="24"/>
        </w:rPr>
        <w:t>(5) 招标文件(包括工程量清单)的澄清、补充和修改文件；</w:t>
      </w:r>
    </w:p>
    <w:p>
      <w:pPr>
        <w:spacing w:line="440" w:lineRule="exact"/>
        <w:ind w:left="1" w:firstLine="480" w:firstLineChars="200"/>
        <w:rPr>
          <w:rFonts w:hAnsi="宋体" w:cs="宋体"/>
          <w:color w:val="auto"/>
          <w:sz w:val="24"/>
        </w:rPr>
      </w:pPr>
      <w:r>
        <w:rPr>
          <w:rFonts w:hint="eastAsia" w:hAnsi="宋体" w:cs="宋体"/>
          <w:color w:val="auto"/>
          <w:sz w:val="24"/>
        </w:rPr>
        <w:t>(6) 建设工程设计文件及相关资料；</w:t>
      </w:r>
    </w:p>
    <w:p>
      <w:pPr>
        <w:spacing w:line="440" w:lineRule="exact"/>
        <w:ind w:left="1" w:firstLine="480" w:firstLineChars="200"/>
        <w:rPr>
          <w:rFonts w:hAnsi="宋体" w:cs="宋体"/>
          <w:color w:val="auto"/>
          <w:sz w:val="24"/>
        </w:rPr>
      </w:pPr>
      <w:r>
        <w:rPr>
          <w:rFonts w:hint="eastAsia" w:hAnsi="宋体" w:cs="宋体"/>
          <w:color w:val="auto"/>
          <w:sz w:val="24"/>
        </w:rPr>
        <w:t>(7) 施工现场情况、工程特点及拟定的投标施工组织设计或施工方案；</w:t>
      </w:r>
    </w:p>
    <w:p>
      <w:pPr>
        <w:spacing w:line="440" w:lineRule="exact"/>
        <w:ind w:left="1" w:firstLine="480" w:firstLineChars="200"/>
        <w:rPr>
          <w:rFonts w:hint="eastAsia" w:hAnsi="宋体" w:cs="宋体"/>
          <w:color w:val="auto"/>
          <w:sz w:val="24"/>
        </w:rPr>
      </w:pPr>
      <w:r>
        <w:rPr>
          <w:rFonts w:hint="eastAsia" w:hAnsi="宋体" w:cs="宋体"/>
          <w:color w:val="auto"/>
          <w:sz w:val="24"/>
        </w:rPr>
        <w:t>(8) 与建设项目相关的标准、规定等技术资料；</w:t>
      </w:r>
    </w:p>
    <w:p>
      <w:pPr>
        <w:spacing w:line="440" w:lineRule="exact"/>
        <w:ind w:left="1" w:firstLine="480" w:firstLineChars="200"/>
        <w:rPr>
          <w:rFonts w:hint="eastAsia" w:hAnsi="宋体" w:cs="宋体"/>
          <w:color w:val="auto"/>
          <w:sz w:val="24"/>
        </w:rPr>
      </w:pPr>
      <w:r>
        <w:rPr>
          <w:rFonts w:hint="eastAsia" w:hAnsi="宋体" w:cs="宋体"/>
          <w:color w:val="auto"/>
          <w:sz w:val="24"/>
        </w:rPr>
        <w:t>(9) 税金按 9%计入预算；</w:t>
      </w:r>
    </w:p>
    <w:p>
      <w:pPr>
        <w:spacing w:line="440" w:lineRule="exact"/>
        <w:ind w:left="1" w:firstLine="480" w:firstLineChars="200"/>
        <w:rPr>
          <w:rFonts w:hint="eastAsia" w:hAnsi="宋体" w:cs="宋体"/>
          <w:color w:val="auto"/>
          <w:sz w:val="24"/>
        </w:rPr>
      </w:pPr>
      <w:r>
        <w:rPr>
          <w:rFonts w:hint="eastAsia" w:hAnsi="宋体" w:cs="宋体"/>
          <w:color w:val="auto"/>
          <w:sz w:val="24"/>
          <w:lang w:eastAsia="zh-CN"/>
        </w:rPr>
        <w:t>（</w:t>
      </w:r>
      <w:r>
        <w:rPr>
          <w:rFonts w:hint="eastAsia" w:hAnsi="宋体" w:cs="宋体"/>
          <w:color w:val="auto"/>
          <w:sz w:val="24"/>
          <w:lang w:val="en-US" w:eastAsia="zh-CN"/>
        </w:rPr>
        <w:t>10</w:t>
      </w:r>
      <w:r>
        <w:rPr>
          <w:rFonts w:hint="eastAsia" w:hAnsi="宋体" w:cs="宋体"/>
          <w:color w:val="auto"/>
          <w:sz w:val="24"/>
          <w:lang w:eastAsia="zh-CN"/>
        </w:rPr>
        <w:t>）</w:t>
      </w:r>
      <w:r>
        <w:rPr>
          <w:rFonts w:hint="eastAsia" w:hAnsi="宋体" w:cs="宋体"/>
          <w:color w:val="auto"/>
          <w:sz w:val="24"/>
        </w:rPr>
        <w:t>其他的相关资料：</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color w:val="auto"/>
          <w:sz w:val="24"/>
        </w:rPr>
      </w:pPr>
      <w:r>
        <w:rPr>
          <w:rFonts w:hint="eastAsia" w:hAnsi="宋体" w:cs="宋体"/>
          <w:color w:val="auto"/>
          <w:sz w:val="24"/>
        </w:rPr>
        <w:t>3.1词语和定义</w:t>
      </w:r>
    </w:p>
    <w:p>
      <w:pPr>
        <w:spacing w:line="430" w:lineRule="exact"/>
        <w:ind w:left="1" w:firstLine="480" w:firstLineChars="200"/>
        <w:rPr>
          <w:rFonts w:hAnsi="宋体" w:cs="宋体"/>
          <w:color w:val="auto"/>
          <w:sz w:val="24"/>
        </w:rPr>
      </w:pPr>
      <w:r>
        <w:rPr>
          <w:rFonts w:hint="eastAsia" w:hAnsi="宋体" w:cs="宋体"/>
          <w:color w:val="auto"/>
          <w:sz w:val="24"/>
        </w:rPr>
        <w:t>3.1.1 工程量清单</w:t>
      </w:r>
    </w:p>
    <w:p>
      <w:pPr>
        <w:spacing w:line="430" w:lineRule="exact"/>
        <w:ind w:left="1" w:firstLine="480" w:firstLineChars="200"/>
        <w:rPr>
          <w:rFonts w:hAnsi="宋体" w:cs="宋体"/>
          <w:color w:val="auto"/>
          <w:sz w:val="24"/>
        </w:rPr>
      </w:pPr>
      <w:r>
        <w:rPr>
          <w:rFonts w:hint="eastAsia"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auto"/>
          <w:sz w:val="24"/>
        </w:rPr>
      </w:pPr>
      <w:r>
        <w:rPr>
          <w:rFonts w:hint="eastAsia" w:hAnsi="宋体" w:cs="宋体"/>
          <w:color w:val="auto"/>
          <w:sz w:val="24"/>
        </w:rPr>
        <w:t>3.1.2 总价子目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auto"/>
          <w:sz w:val="24"/>
        </w:rPr>
      </w:pPr>
      <w:r>
        <w:rPr>
          <w:rFonts w:hint="eastAsia" w:hAnsi="宋体" w:cs="宋体"/>
          <w:color w:val="auto"/>
          <w:sz w:val="24"/>
        </w:rPr>
        <w:t>3.1.3 单价子目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auto"/>
          <w:sz w:val="24"/>
        </w:rPr>
      </w:pPr>
      <w:r>
        <w:rPr>
          <w:rFonts w:hint="eastAsia" w:hAnsi="宋体" w:cs="宋体"/>
          <w:color w:val="auto"/>
          <w:sz w:val="24"/>
        </w:rPr>
        <w:t>3.1.4 子目编码</w:t>
      </w:r>
    </w:p>
    <w:p>
      <w:pPr>
        <w:spacing w:line="430" w:lineRule="exact"/>
        <w:ind w:left="1" w:firstLine="480" w:firstLineChars="200"/>
        <w:rPr>
          <w:rFonts w:hAnsi="宋体" w:cs="宋体"/>
          <w:color w:val="auto"/>
          <w:sz w:val="24"/>
        </w:rPr>
      </w:pPr>
      <w:r>
        <w:rPr>
          <w:rFonts w:hint="eastAsia" w:hAnsi="宋体" w:cs="宋体"/>
          <w:color w:val="auto"/>
          <w:sz w:val="24"/>
        </w:rPr>
        <w:t>分部分项工程项目清单中所列的子目名称的数字标识和代码，子目编码与项目编码同义。</w:t>
      </w:r>
    </w:p>
    <w:p>
      <w:pPr>
        <w:spacing w:line="430" w:lineRule="exact"/>
        <w:ind w:left="1" w:firstLine="480" w:firstLineChars="200"/>
        <w:rPr>
          <w:rFonts w:hAnsi="宋体" w:cs="宋体"/>
          <w:color w:val="auto"/>
          <w:sz w:val="24"/>
        </w:rPr>
      </w:pPr>
      <w:r>
        <w:rPr>
          <w:rFonts w:hint="eastAsia" w:hAnsi="宋体" w:cs="宋体"/>
          <w:color w:val="auto"/>
          <w:sz w:val="24"/>
        </w:rPr>
        <w:t>3.1.5 子目特征</w:t>
      </w:r>
    </w:p>
    <w:p>
      <w:pPr>
        <w:spacing w:line="430" w:lineRule="exact"/>
        <w:ind w:left="1" w:firstLine="480" w:firstLineChars="200"/>
        <w:rPr>
          <w:rFonts w:hAnsi="宋体" w:cs="宋体"/>
          <w:color w:val="auto"/>
          <w:sz w:val="24"/>
        </w:rPr>
      </w:pPr>
      <w:r>
        <w:rPr>
          <w:rFonts w:hint="eastAsia" w:hAnsi="宋体" w:cs="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auto"/>
          <w:sz w:val="24"/>
        </w:rPr>
      </w:pPr>
      <w:r>
        <w:rPr>
          <w:rFonts w:hint="eastAsia" w:hAnsi="宋体" w:cs="宋体"/>
          <w:color w:val="auto"/>
          <w:sz w:val="24"/>
        </w:rPr>
        <w:t>3.1.6 规费</w:t>
      </w:r>
    </w:p>
    <w:p>
      <w:pPr>
        <w:spacing w:line="430" w:lineRule="exact"/>
        <w:ind w:left="1" w:firstLine="480" w:firstLineChars="200"/>
        <w:rPr>
          <w:rFonts w:hAnsi="宋体" w:cs="宋体"/>
          <w:color w:val="auto"/>
          <w:sz w:val="24"/>
        </w:rPr>
      </w:pPr>
      <w:r>
        <w:rPr>
          <w:rFonts w:hint="eastAsia" w:hAnsi="宋体" w:cs="宋体"/>
          <w:color w:val="auto"/>
          <w:sz w:val="24"/>
        </w:rPr>
        <w:t>承包人根据省级政府或省级有关权力部门规定必须缴纳的，应计入建筑安装工程造价的费用。</w:t>
      </w:r>
    </w:p>
    <w:p>
      <w:pPr>
        <w:spacing w:line="430" w:lineRule="exact"/>
        <w:ind w:left="1" w:firstLine="480" w:firstLineChars="200"/>
        <w:rPr>
          <w:rFonts w:hAnsi="宋体" w:cs="宋体"/>
          <w:color w:val="auto"/>
          <w:sz w:val="24"/>
        </w:rPr>
      </w:pPr>
      <w:r>
        <w:rPr>
          <w:rFonts w:hint="eastAsia" w:hAnsi="宋体" w:cs="宋体"/>
          <w:color w:val="auto"/>
          <w:sz w:val="24"/>
        </w:rPr>
        <w:t>3.1.7 税金</w:t>
      </w:r>
    </w:p>
    <w:p>
      <w:pPr>
        <w:spacing w:line="430" w:lineRule="exact"/>
        <w:ind w:left="1" w:firstLine="480" w:firstLineChars="200"/>
        <w:rPr>
          <w:rFonts w:hAnsi="宋体" w:cs="宋体"/>
          <w:color w:val="auto"/>
          <w:sz w:val="24"/>
        </w:rPr>
      </w:pPr>
      <w:r>
        <w:rPr>
          <w:rFonts w:hint="eastAsia" w:hAnsi="宋体" w:cs="宋体"/>
          <w:color w:val="auto"/>
          <w:sz w:val="24"/>
        </w:rPr>
        <w:t>国家税法规定的应计入建筑安装工程造价内的增值税、城市维护建设税及教育费附加等。</w:t>
      </w:r>
    </w:p>
    <w:p>
      <w:pPr>
        <w:spacing w:line="430" w:lineRule="exact"/>
        <w:ind w:left="1" w:firstLine="480" w:firstLineChars="200"/>
        <w:rPr>
          <w:rFonts w:hAnsi="宋体" w:cs="宋体"/>
          <w:color w:val="auto"/>
          <w:sz w:val="24"/>
        </w:rPr>
      </w:pPr>
      <w:r>
        <w:rPr>
          <w:rFonts w:hint="eastAsia" w:hAnsi="宋体" w:cs="宋体"/>
          <w:color w:val="auto"/>
          <w:sz w:val="24"/>
        </w:rPr>
        <w:t>3.1.8 总承包服务费</w:t>
      </w:r>
    </w:p>
    <w:p>
      <w:pPr>
        <w:spacing w:line="430" w:lineRule="exact"/>
        <w:ind w:left="1" w:firstLine="480" w:firstLineChars="200"/>
        <w:rPr>
          <w:rFonts w:hAnsi="宋体" w:cs="宋体"/>
          <w:color w:val="auto"/>
          <w:sz w:val="24"/>
        </w:rPr>
      </w:pPr>
      <w:r>
        <w:rPr>
          <w:rFonts w:hint="eastAsia"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auto"/>
          <w:sz w:val="24"/>
        </w:rPr>
      </w:pPr>
      <w:r>
        <w:rPr>
          <w:rFonts w:hint="eastAsia" w:hAnsi="宋体" w:cs="宋体"/>
          <w:color w:val="auto"/>
          <w:sz w:val="24"/>
        </w:rPr>
        <w:t>3.1.9 同义词语</w:t>
      </w:r>
    </w:p>
    <w:p>
      <w:pPr>
        <w:spacing w:line="430" w:lineRule="exact"/>
        <w:ind w:left="1" w:firstLine="480" w:firstLineChars="200"/>
        <w:rPr>
          <w:rFonts w:hAnsi="宋体" w:cs="宋体"/>
          <w:color w:val="auto"/>
          <w:sz w:val="24"/>
        </w:rPr>
      </w:pPr>
      <w:r>
        <w:rPr>
          <w:rFonts w:hint="eastAsia"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auto"/>
          <w:sz w:val="24"/>
        </w:rPr>
      </w:pPr>
      <w:r>
        <w:rPr>
          <w:rFonts w:hint="eastAsia" w:hAnsi="宋体" w:cs="宋体"/>
          <w:color w:val="auto"/>
          <w:sz w:val="24"/>
        </w:rPr>
        <w:t>3.2工程量差异调整</w:t>
      </w:r>
    </w:p>
    <w:p>
      <w:pPr>
        <w:spacing w:line="430" w:lineRule="exact"/>
        <w:ind w:left="1" w:firstLine="480" w:firstLineChars="200"/>
        <w:rPr>
          <w:rFonts w:hAnsi="宋体" w:cs="宋体"/>
          <w:color w:val="auto"/>
          <w:sz w:val="24"/>
        </w:rPr>
      </w:pPr>
      <w:r>
        <w:rPr>
          <w:rFonts w:hint="eastAsia"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auto"/>
          <w:sz w:val="24"/>
        </w:rPr>
      </w:pPr>
      <w:r>
        <w:rPr>
          <w:rFonts w:hint="eastAsia"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auto"/>
          <w:sz w:val="24"/>
        </w:rPr>
      </w:pPr>
      <w:r>
        <w:rPr>
          <w:rFonts w:hint="eastAsia"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auto"/>
          <w:sz w:val="24"/>
        </w:rPr>
      </w:pPr>
      <w:r>
        <w:rPr>
          <w:rFonts w:hint="eastAsia" w:hAnsi="宋体" w:cs="宋体"/>
          <w:color w:val="auto"/>
          <w:sz w:val="24"/>
        </w:rPr>
        <w:t>3.3暂列金额和暂估价</w:t>
      </w:r>
    </w:p>
    <w:p>
      <w:pPr>
        <w:spacing w:line="430" w:lineRule="exact"/>
        <w:ind w:left="1" w:firstLine="480" w:firstLineChars="200"/>
        <w:rPr>
          <w:rFonts w:hAnsi="宋体" w:cs="宋体"/>
          <w:color w:val="auto"/>
          <w:sz w:val="24"/>
        </w:rPr>
      </w:pPr>
      <w:r>
        <w:rPr>
          <w:rFonts w:hint="eastAsia"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auto"/>
          <w:sz w:val="24"/>
        </w:rPr>
      </w:pPr>
      <w:r>
        <w:rPr>
          <w:rFonts w:hint="eastAsia"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auto"/>
          <w:sz w:val="24"/>
        </w:rPr>
      </w:pPr>
      <w:r>
        <w:rPr>
          <w:rFonts w:hint="eastAsia"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auto"/>
          <w:sz w:val="24"/>
          <w:u w:val="single"/>
        </w:rPr>
      </w:pPr>
      <w:r>
        <w:rPr>
          <w:rFonts w:hint="eastAsia" w:hAnsi="宋体" w:cs="宋体"/>
          <w:color w:val="auto"/>
          <w:sz w:val="24"/>
        </w:rPr>
        <w:t>3.4其他补充说明</w:t>
      </w:r>
      <w:r>
        <w:rPr>
          <w:rFonts w:hint="eastAsia" w:hAnsi="宋体" w:cs="宋体"/>
          <w:color w:val="auto"/>
          <w:sz w:val="24"/>
          <w:u w:val="single"/>
        </w:rPr>
        <w:t xml:space="preserve">     /  ；</w:t>
      </w:r>
    </w:p>
    <w:p>
      <w:pPr>
        <w:spacing w:line="440" w:lineRule="exact"/>
        <w:rPr>
          <w:rFonts w:hAnsi="宋体" w:cs="宋体"/>
          <w:b/>
          <w:color w:val="auto"/>
          <w:sz w:val="24"/>
        </w:rPr>
      </w:pPr>
      <w:r>
        <w:rPr>
          <w:rFonts w:hint="eastAsia" w:hAnsi="宋体" w:cs="宋体"/>
          <w:b/>
          <w:color w:val="auto"/>
          <w:sz w:val="24"/>
        </w:rPr>
        <w:t>4．工程量清单</w:t>
      </w:r>
    </w:p>
    <w:p>
      <w:pPr>
        <w:spacing w:line="440" w:lineRule="exact"/>
        <w:ind w:firstLine="480" w:firstLineChars="200"/>
        <w:rPr>
          <w:rFonts w:hAnsi="宋体" w:cs="宋体"/>
          <w:color w:val="auto"/>
          <w:sz w:val="24"/>
          <w:u w:val="single"/>
        </w:rPr>
      </w:pPr>
      <w:r>
        <w:rPr>
          <w:rFonts w:hint="eastAsia" w:hAnsi="宋体" w:cs="宋体"/>
          <w:color w:val="auto"/>
          <w:sz w:val="24"/>
          <w:u w:val="single"/>
        </w:rPr>
        <w:t>工程量清单在【全国公共资源交易平台（河南省·许昌市）】上自行下载。</w:t>
      </w:r>
    </w:p>
    <w:p>
      <w:pPr>
        <w:spacing w:line="440" w:lineRule="exact"/>
        <w:rPr>
          <w:rFonts w:hAnsi="宋体" w:cs="宋体"/>
          <w:color w:val="auto"/>
          <w:sz w:val="36"/>
          <w:szCs w:val="36"/>
          <w:u w:val="single"/>
        </w:rPr>
      </w:pPr>
    </w:p>
    <w:p>
      <w:pPr>
        <w:autoSpaceDE w:val="0"/>
        <w:autoSpaceDN w:val="0"/>
        <w:adjustRightInd w:val="0"/>
        <w:jc w:val="center"/>
        <w:outlineLvl w:val="0"/>
        <w:rPr>
          <w:rFonts w:hAnsi="宋体" w:cs="宋体"/>
          <w:b/>
          <w:color w:val="auto"/>
          <w:sz w:val="24"/>
        </w:rPr>
      </w:pPr>
      <w:r>
        <w:rPr>
          <w:rFonts w:hAnsi="宋体" w:cs="宋体"/>
          <w:b/>
          <w:color w:val="auto"/>
          <w:sz w:val="36"/>
          <w:szCs w:val="36"/>
        </w:rPr>
        <w:br w:type="page"/>
      </w:r>
      <w:bookmarkEnd w:id="78"/>
    </w:p>
    <w:p>
      <w:pPr>
        <w:autoSpaceDE w:val="0"/>
        <w:autoSpaceDN w:val="0"/>
        <w:adjustRightInd w:val="0"/>
        <w:jc w:val="center"/>
        <w:outlineLvl w:val="0"/>
        <w:rPr>
          <w:rFonts w:hAnsi="宋体" w:cs="宋体"/>
          <w:b/>
          <w:color w:val="auto"/>
          <w:sz w:val="36"/>
          <w:szCs w:val="36"/>
        </w:rPr>
      </w:pPr>
      <w:bookmarkStart w:id="79" w:name="_Toc278443522"/>
      <w:r>
        <w:rPr>
          <w:rFonts w:hint="eastAsia" w:hAnsi="宋体" w:cs="宋体"/>
          <w:b/>
          <w:color w:val="auto"/>
          <w:sz w:val="36"/>
          <w:szCs w:val="36"/>
        </w:rPr>
        <w:t>第</w:t>
      </w:r>
      <w:r>
        <w:rPr>
          <w:rFonts w:hint="eastAsia" w:hAnsi="宋体" w:cs="宋体"/>
          <w:b/>
          <w:color w:val="auto"/>
          <w:sz w:val="36"/>
          <w:szCs w:val="36"/>
          <w:lang w:eastAsia="zh-CN"/>
        </w:rPr>
        <w:t>六</w:t>
      </w:r>
      <w:r>
        <w:rPr>
          <w:rFonts w:hint="eastAsia" w:hAnsi="宋体" w:cs="宋体"/>
          <w:b/>
          <w:color w:val="auto"/>
          <w:sz w:val="36"/>
          <w:szCs w:val="36"/>
        </w:rPr>
        <w:t>章 技术标准和要求</w:t>
      </w:r>
      <w:bookmarkEnd w:id="79"/>
    </w:p>
    <w:p>
      <w:pPr>
        <w:spacing w:line="500" w:lineRule="exact"/>
        <w:ind w:firstLine="480" w:firstLineChars="200"/>
        <w:jc w:val="left"/>
        <w:rPr>
          <w:rFonts w:hAnsi="宋体" w:cs="宋体"/>
          <w:color w:val="auto"/>
          <w:sz w:val="24"/>
        </w:rPr>
      </w:pPr>
    </w:p>
    <w:p>
      <w:pPr>
        <w:spacing w:line="500" w:lineRule="exact"/>
        <w:ind w:firstLine="480" w:firstLineChars="200"/>
        <w:jc w:val="left"/>
        <w:rPr>
          <w:rFonts w:hAnsi="宋体" w:cs="宋体"/>
          <w:color w:val="auto"/>
          <w:sz w:val="24"/>
        </w:rPr>
      </w:pPr>
      <w:r>
        <w:rPr>
          <w:rFonts w:hint="eastAsia" w:hAnsi="宋体" w:cs="宋体"/>
          <w:color w:val="auto"/>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hAnsi="宋体" w:cs="宋体"/>
          <w:color w:val="auto"/>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rPr>
          <w:rFonts w:hAnsi="宋体" w:cs="宋体"/>
          <w:color w:val="auto"/>
          <w:sz w:val="32"/>
          <w:szCs w:val="32"/>
        </w:rPr>
      </w:pPr>
    </w:p>
    <w:p>
      <w:pPr>
        <w:rPr>
          <w:rFonts w:hint="eastAsia" w:hAnsi="宋体" w:cs="宋体"/>
          <w:b/>
          <w:color w:val="auto"/>
          <w:sz w:val="44"/>
          <w:szCs w:val="44"/>
        </w:rPr>
      </w:pPr>
      <w:r>
        <w:rPr>
          <w:rFonts w:hint="eastAsia" w:hAnsi="宋体" w:cs="宋体"/>
          <w:b/>
          <w:color w:val="auto"/>
          <w:sz w:val="44"/>
          <w:szCs w:val="44"/>
        </w:rPr>
        <w:br w:type="page"/>
      </w: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宋体"/>
          <w:b/>
          <w:color w:val="auto"/>
          <w:sz w:val="44"/>
          <w:szCs w:val="44"/>
        </w:rPr>
        <w:t>第</w:t>
      </w:r>
      <w:r>
        <w:rPr>
          <w:rFonts w:hint="eastAsia" w:hAnsi="宋体" w:cs="宋体"/>
          <w:b/>
          <w:color w:val="auto"/>
          <w:sz w:val="44"/>
          <w:szCs w:val="44"/>
          <w:lang w:eastAsia="zh-CN"/>
        </w:rPr>
        <w:t>七</w:t>
      </w:r>
      <w:r>
        <w:rPr>
          <w:rFonts w:hint="eastAsia" w:hAnsi="宋体" w:cs="宋体"/>
          <w:b/>
          <w:color w:val="auto"/>
          <w:sz w:val="44"/>
          <w:szCs w:val="44"/>
        </w:rPr>
        <w:t>章 投标文件格式</w:t>
      </w:r>
    </w:p>
    <w:p>
      <w:pPr>
        <w:tabs>
          <w:tab w:val="center" w:pos="4739"/>
        </w:tabs>
        <w:spacing w:beforeLines="100" w:afterLines="100"/>
        <w:jc w:val="right"/>
        <w:rPr>
          <w:rFonts w:hAnsi="宋体" w:cs="宋体"/>
          <w:color w:val="auto"/>
          <w:sz w:val="32"/>
          <w:szCs w:val="32"/>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szCs w:val="32"/>
        </w:rPr>
      </w:pPr>
      <w:r>
        <w:rPr>
          <w:rFonts w:hint="eastAsia" w:hAnsi="宋体" w:cs="宋体"/>
          <w:b/>
          <w:color w:val="auto"/>
          <w:sz w:val="32"/>
          <w:szCs w:val="32"/>
        </w:rPr>
        <w:t>（商务标）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rPr>
        <w:t>年月日</w:t>
      </w:r>
      <w:r>
        <w:rPr>
          <w:rFonts w:hint="eastAsia" w:hAnsi="宋体" w:cs="宋体"/>
          <w:b/>
          <w:color w:val="auto"/>
          <w:sz w:val="36"/>
          <w:szCs w:val="36"/>
        </w:rPr>
        <w:br w:type="page"/>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t>已标价工程量清单</w:t>
      </w:r>
    </w:p>
    <w:p>
      <w:pPr>
        <w:autoSpaceDE w:val="0"/>
        <w:autoSpaceDN w:val="0"/>
        <w:adjustRightInd w:val="0"/>
        <w:spacing w:line="360" w:lineRule="auto"/>
        <w:ind w:right="215"/>
        <w:jc w:val="center"/>
        <w:rPr>
          <w:rFonts w:hAnsi="宋体" w:cs="宋体"/>
          <w:b/>
          <w:color w:val="auto"/>
          <w:sz w:val="32"/>
        </w:rPr>
      </w:pPr>
      <w:r>
        <w:rPr>
          <w:rFonts w:hint="eastAsia" w:hAnsi="宋体" w:cs="宋体"/>
          <w:color w:val="auto"/>
          <w:sz w:val="24"/>
        </w:rPr>
        <w:t xml:space="preserve">  （按所发放的工程量清单编制）</w:t>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jc w:val="center"/>
        <w:rPr>
          <w:rFonts w:hAnsi="宋体" w:cs="宋体"/>
          <w:b/>
          <w:color w:val="auto"/>
          <w:sz w:val="36"/>
          <w:szCs w:val="36"/>
        </w:rPr>
      </w:pPr>
    </w:p>
    <w:p>
      <w:pPr>
        <w:pStyle w:val="9"/>
        <w:ind w:firstLine="340"/>
        <w:rPr>
          <w:color w:val="auto"/>
        </w:rPr>
      </w:pPr>
    </w:p>
    <w:p>
      <w:pPr>
        <w:pStyle w:val="9"/>
        <w:ind w:firstLine="340"/>
        <w:rPr>
          <w:color w:val="auto"/>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szCs w:val="32"/>
        </w:rPr>
      </w:pPr>
      <w:r>
        <w:rPr>
          <w:rFonts w:hint="eastAsia" w:hAnsi="宋体" w:cs="宋体"/>
          <w:b/>
          <w:color w:val="auto"/>
          <w:sz w:val="32"/>
          <w:szCs w:val="32"/>
        </w:rPr>
        <w:t>综合标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rPr>
        <w:t>年月日</w:t>
      </w: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jc w:val="center"/>
        <w:rPr>
          <w:rFonts w:hAnsi="宋体" w:cs="宋体"/>
          <w:color w:val="auto"/>
          <w:sz w:val="36"/>
          <w:szCs w:val="36"/>
        </w:rPr>
      </w:pPr>
      <w:r>
        <w:rPr>
          <w:rFonts w:hint="eastAsia" w:hAnsi="宋体" w:cs="宋体"/>
          <w:b/>
          <w:color w:val="auto"/>
          <w:sz w:val="36"/>
          <w:szCs w:val="36"/>
        </w:rPr>
        <w:t>目    录</w:t>
      </w:r>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一、投标函及投标函附录；</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二、法定代表人身份证明、授权委托书；</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三、投标保证金；</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四、项目管理机构配备情况；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五、投标单位基本信息表；</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六、资格证明文件；</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七、近年完成的类似项目情况表；</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八、正在施工的和新承接的项目情况；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九、近年发生的诉讼及仲裁</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十、其它材料；</w:t>
      </w:r>
    </w:p>
    <w:p>
      <w:pPr>
        <w:autoSpaceDE w:val="0"/>
        <w:autoSpaceDN w:val="0"/>
        <w:adjustRightInd w:val="0"/>
        <w:spacing w:line="480" w:lineRule="auto"/>
        <w:ind w:left="1162" w:leftChars="342"/>
        <w:jc w:val="left"/>
        <w:rPr>
          <w:rFonts w:hAnsi="宋体" w:cs="宋体"/>
          <w:b/>
          <w:color w:val="auto"/>
          <w:sz w:val="24"/>
        </w:rPr>
      </w:pPr>
    </w:p>
    <w:p>
      <w:pPr>
        <w:spacing w:line="600" w:lineRule="exact"/>
        <w:ind w:left="1377" w:leftChars="405"/>
        <w:rPr>
          <w:rFonts w:hAnsi="宋体" w:cs="宋体"/>
          <w:b/>
          <w:color w:val="auto"/>
          <w:sz w:val="24"/>
        </w:rPr>
      </w:pPr>
      <w:r>
        <w:rPr>
          <w:rFonts w:hint="eastAsia" w:hAnsi="宋体" w:cs="宋体"/>
          <w:b/>
          <w:color w:val="auto"/>
          <w:sz w:val="24"/>
        </w:rPr>
        <w:t>投标文件编制过程中应按本章提供的格式填报。</w:t>
      </w:r>
    </w:p>
    <w:p>
      <w:pPr>
        <w:spacing w:line="600" w:lineRule="exact"/>
        <w:ind w:left="1377" w:leftChars="405"/>
        <w:rPr>
          <w:rFonts w:hAnsi="宋体" w:cs="宋体"/>
          <w:b/>
          <w:color w:val="auto"/>
          <w:sz w:val="24"/>
        </w:rPr>
      </w:pPr>
      <w:r>
        <w:rPr>
          <w:rFonts w:hint="eastAsia" w:hAnsi="宋体" w:cs="宋体"/>
          <w:b/>
          <w:color w:val="auto"/>
          <w:sz w:val="24"/>
        </w:rPr>
        <w:t>如有本章未提供的格式，投标人可自行编制。</w:t>
      </w:r>
    </w:p>
    <w:p>
      <w:pPr>
        <w:tabs>
          <w:tab w:val="center" w:pos="4739"/>
        </w:tabs>
        <w:ind w:left="180"/>
        <w:jc w:val="center"/>
        <w:rPr>
          <w:rFonts w:hAnsi="宋体" w:cs="宋体"/>
          <w:b/>
          <w:color w:val="auto"/>
          <w:sz w:val="32"/>
        </w:rPr>
      </w:pPr>
      <w:r>
        <w:rPr>
          <w:rFonts w:hint="eastAsia" w:hAnsi="宋体" w:cs="宋体"/>
          <w:b/>
          <w:color w:val="auto"/>
          <w:sz w:val="32"/>
        </w:rPr>
        <w:br w:type="page"/>
      </w:r>
    </w:p>
    <w:p>
      <w:pPr>
        <w:tabs>
          <w:tab w:val="center" w:pos="4739"/>
        </w:tabs>
        <w:ind w:left="180"/>
        <w:jc w:val="center"/>
        <w:rPr>
          <w:rFonts w:hAnsi="宋体" w:cs="宋体"/>
          <w:b/>
          <w:color w:val="auto"/>
          <w:sz w:val="32"/>
        </w:rPr>
      </w:pPr>
      <w:r>
        <w:rPr>
          <w:rFonts w:hint="eastAsia" w:hAnsi="宋体" w:cs="宋体"/>
          <w:b/>
          <w:color w:val="auto"/>
          <w:sz w:val="32"/>
        </w:rPr>
        <w:t>一、投标函及投标函附录</w:t>
      </w:r>
    </w:p>
    <w:p>
      <w:pPr>
        <w:spacing w:beforeLines="100" w:afterLines="50" w:line="510" w:lineRule="exact"/>
        <w:jc w:val="center"/>
        <w:rPr>
          <w:rFonts w:hAnsi="宋体" w:cs="宋体"/>
          <w:color w:val="auto"/>
          <w:sz w:val="28"/>
          <w:szCs w:val="28"/>
        </w:rPr>
      </w:pPr>
      <w:bookmarkStart w:id="80" w:name="_Toc271787730"/>
      <w:r>
        <w:rPr>
          <w:rFonts w:hint="eastAsia" w:hAnsi="宋体" w:cs="宋体"/>
          <w:color w:val="auto"/>
          <w:sz w:val="28"/>
          <w:szCs w:val="28"/>
        </w:rPr>
        <w:t>（一）投标函</w:t>
      </w:r>
    </w:p>
    <w:p>
      <w:pPr>
        <w:spacing w:line="480" w:lineRule="exact"/>
        <w:rPr>
          <w:rFonts w:hAnsi="宋体" w:cs="宋体"/>
          <w:color w:val="auto"/>
          <w:sz w:val="24"/>
        </w:rPr>
      </w:pPr>
      <w:r>
        <w:rPr>
          <w:rFonts w:hint="eastAsia" w:hAnsi="宋体" w:cs="宋体"/>
          <w:color w:val="auto"/>
          <w:sz w:val="24"/>
        </w:rPr>
        <w:t>致：（招标人名称）</w:t>
      </w:r>
    </w:p>
    <w:p>
      <w:pPr>
        <w:spacing w:line="480" w:lineRule="exact"/>
        <w:ind w:firstLine="480" w:firstLineChars="200"/>
        <w:rPr>
          <w:rFonts w:hAnsi="宋体" w:cs="宋体"/>
          <w:color w:val="auto"/>
          <w:sz w:val="24"/>
        </w:rPr>
      </w:pPr>
      <w:r>
        <w:rPr>
          <w:rFonts w:hint="eastAsia" w:hAnsi="宋体" w:cs="宋体"/>
          <w:color w:val="auto"/>
          <w:sz w:val="24"/>
        </w:rPr>
        <w:t>在考察现场并充分研究（项目名称）（以下简称“本工程”）施工招标文件的全部内容后，我方兹以：</w:t>
      </w:r>
    </w:p>
    <w:p>
      <w:pPr>
        <w:spacing w:line="480" w:lineRule="exact"/>
        <w:ind w:firstLine="943" w:firstLineChars="393"/>
        <w:rPr>
          <w:rFonts w:hAnsi="宋体" w:cs="宋体"/>
          <w:color w:val="auto"/>
          <w:sz w:val="24"/>
        </w:rPr>
      </w:pPr>
      <w:r>
        <w:rPr>
          <w:rFonts w:hint="eastAsia" w:hAnsi="宋体" w:cs="宋体"/>
          <w:color w:val="auto"/>
          <w:sz w:val="24"/>
        </w:rPr>
        <w:t>人民币（大写）：元</w:t>
      </w:r>
    </w:p>
    <w:p>
      <w:pPr>
        <w:spacing w:line="480" w:lineRule="exact"/>
        <w:ind w:firstLine="943" w:firstLineChars="393"/>
        <w:rPr>
          <w:rFonts w:hAnsi="宋体" w:cs="宋体"/>
          <w:color w:val="auto"/>
          <w:sz w:val="24"/>
        </w:rPr>
      </w:pPr>
      <w:r>
        <w:rPr>
          <w:rFonts w:hint="eastAsia" w:hAnsi="宋体" w:cs="宋体"/>
          <w:color w:val="auto"/>
          <w:sz w:val="24"/>
        </w:rPr>
        <w:t>RMB￥：元</w:t>
      </w:r>
    </w:p>
    <w:p>
      <w:pPr>
        <w:spacing w:line="480" w:lineRule="exact"/>
        <w:rPr>
          <w:rFonts w:hAnsi="宋体" w:cs="宋体"/>
          <w:color w:val="auto"/>
          <w:sz w:val="24"/>
        </w:rPr>
      </w:pPr>
      <w:r>
        <w:rPr>
          <w:rFonts w:hint="eastAsia" w:hAnsi="宋体" w:cs="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color w:val="auto"/>
          <w:sz w:val="24"/>
        </w:rPr>
      </w:pPr>
      <w:r>
        <w:rPr>
          <w:rFonts w:hint="eastAsia" w:hAnsi="宋体" w:cs="宋体"/>
          <w:color w:val="auto"/>
          <w:sz w:val="24"/>
        </w:rPr>
        <w:t>在我方的上述投标总报价中，包括：</w:t>
      </w:r>
    </w:p>
    <w:p>
      <w:pPr>
        <w:spacing w:line="480" w:lineRule="exact"/>
        <w:ind w:firstLine="1048" w:firstLineChars="437"/>
        <w:rPr>
          <w:rFonts w:hAnsi="宋体" w:cs="宋体"/>
          <w:color w:val="auto"/>
          <w:sz w:val="24"/>
        </w:rPr>
      </w:pPr>
      <w:r>
        <w:rPr>
          <w:rFonts w:hint="eastAsia" w:hAnsi="宋体" w:cs="宋体"/>
          <w:color w:val="auto"/>
          <w:sz w:val="24"/>
        </w:rPr>
        <w:t>规费RMB￥：元</w:t>
      </w:r>
    </w:p>
    <w:p>
      <w:pPr>
        <w:spacing w:line="480" w:lineRule="exact"/>
        <w:ind w:firstLine="1048" w:firstLineChars="437"/>
        <w:rPr>
          <w:rFonts w:hAnsi="宋体" w:cs="宋体"/>
          <w:color w:val="auto"/>
          <w:sz w:val="24"/>
        </w:rPr>
      </w:pPr>
      <w:r>
        <w:rPr>
          <w:rFonts w:hint="eastAsia" w:hAnsi="宋体" w:cs="宋体"/>
          <w:color w:val="auto"/>
          <w:sz w:val="24"/>
        </w:rPr>
        <w:t>税金RMB￥：元</w:t>
      </w:r>
    </w:p>
    <w:p>
      <w:pPr>
        <w:spacing w:line="480" w:lineRule="exact"/>
        <w:ind w:firstLine="1048" w:firstLineChars="437"/>
        <w:rPr>
          <w:rFonts w:hAnsi="宋体" w:cs="宋体"/>
          <w:color w:val="auto"/>
          <w:sz w:val="24"/>
        </w:rPr>
      </w:pPr>
      <w:r>
        <w:rPr>
          <w:rFonts w:hint="eastAsia" w:hAnsi="宋体" w:cs="宋体"/>
          <w:color w:val="auto"/>
          <w:sz w:val="24"/>
        </w:rPr>
        <w:t>安全文明措施费RMB￥：元</w:t>
      </w:r>
    </w:p>
    <w:p>
      <w:pPr>
        <w:spacing w:line="480" w:lineRule="exact"/>
        <w:ind w:firstLine="1048" w:firstLineChars="437"/>
        <w:rPr>
          <w:rFonts w:hAnsi="宋体" w:cs="宋体"/>
          <w:color w:val="auto"/>
          <w:sz w:val="24"/>
        </w:rPr>
      </w:pPr>
      <w:r>
        <w:rPr>
          <w:rFonts w:hint="eastAsia" w:hAnsi="宋体" w:cs="宋体"/>
          <w:color w:val="auto"/>
          <w:sz w:val="24"/>
        </w:rPr>
        <w:t>暂列金额RMB￥：元</w:t>
      </w:r>
    </w:p>
    <w:p>
      <w:pPr>
        <w:spacing w:line="480" w:lineRule="exact"/>
        <w:ind w:firstLine="1048" w:firstLineChars="437"/>
        <w:rPr>
          <w:rFonts w:hAnsi="宋体" w:cs="宋体"/>
          <w:color w:val="auto"/>
          <w:sz w:val="24"/>
        </w:rPr>
      </w:pPr>
      <w:r>
        <w:rPr>
          <w:rFonts w:hint="eastAsia" w:hAnsi="宋体" w:cs="宋体"/>
          <w:color w:val="auto"/>
          <w:sz w:val="24"/>
        </w:rPr>
        <w:t>专业暂估价RMB￥：元</w:t>
      </w:r>
    </w:p>
    <w:p>
      <w:pPr>
        <w:spacing w:line="480" w:lineRule="exact"/>
        <w:ind w:firstLine="480" w:firstLineChars="200"/>
        <w:rPr>
          <w:rFonts w:hAnsi="宋体" w:cs="宋体"/>
          <w:color w:val="auto"/>
          <w:sz w:val="24"/>
        </w:rPr>
      </w:pPr>
      <w:r>
        <w:rPr>
          <w:rFonts w:hint="eastAsia" w:hAnsi="宋体" w:cs="宋体"/>
          <w:color w:val="auto"/>
          <w:sz w:val="24"/>
        </w:rPr>
        <w:t>如果我方中标，我方保证按照合同约定的开工日期开始本工程的施工，</w:t>
      </w:r>
      <w:r>
        <w:rPr>
          <w:rFonts w:hint="eastAsia" w:hAnsi="宋体" w:cs="宋体"/>
          <w:color w:val="auto"/>
          <w:sz w:val="24"/>
          <w:u w:val="single"/>
        </w:rPr>
        <w:t xml:space="preserve">      </w:t>
      </w:r>
      <w:r>
        <w:rPr>
          <w:rFonts w:hint="eastAsia" w:hAnsi="宋体" w:cs="宋体"/>
          <w:color w:val="auto"/>
          <w:sz w:val="24"/>
          <w:u w:val="none"/>
        </w:rPr>
        <w:t>天</w:t>
      </w:r>
      <w:r>
        <w:rPr>
          <w:rFonts w:hint="eastAsia" w:hAnsi="宋体" w:cs="宋体"/>
          <w:color w:val="auto"/>
          <w:sz w:val="24"/>
        </w:rPr>
        <w:t>（日历天）内竣工，并确保工程质量达到</w:t>
      </w:r>
      <w:r>
        <w:rPr>
          <w:rFonts w:hint="eastAsia" w:hAnsi="宋体" w:cs="宋体"/>
          <w:color w:val="auto"/>
          <w:sz w:val="24"/>
          <w:u w:val="single"/>
        </w:rPr>
        <w:t xml:space="preserve">     </w:t>
      </w:r>
      <w:r>
        <w:rPr>
          <w:rFonts w:hint="eastAsia" w:hAnsi="宋体" w:cs="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color w:val="auto"/>
          <w:sz w:val="24"/>
        </w:rPr>
      </w:pPr>
      <w:r>
        <w:rPr>
          <w:rFonts w:hint="eastAsia" w:hAnsi="宋体" w:cs="宋体"/>
          <w:color w:val="auto"/>
          <w:sz w:val="24"/>
        </w:rPr>
        <w:t>随本投标函递交的投标函附录是本投标函的组成部分，对我方构成约束力。</w:t>
      </w:r>
    </w:p>
    <w:p>
      <w:pPr>
        <w:spacing w:line="480" w:lineRule="exact"/>
        <w:ind w:firstLine="480" w:firstLineChars="200"/>
        <w:rPr>
          <w:rFonts w:hAnsi="宋体" w:cs="宋体"/>
          <w:color w:val="auto"/>
          <w:sz w:val="24"/>
        </w:rPr>
      </w:pPr>
      <w:r>
        <w:rPr>
          <w:rFonts w:hint="eastAsia" w:hAnsi="宋体" w:cs="宋体"/>
          <w:color w:val="auto"/>
          <w:sz w:val="24"/>
        </w:rPr>
        <w:t>随同本投标函递交投标保证金一份，金额为人民币（大写）：元（￥：元）。</w:t>
      </w:r>
    </w:p>
    <w:p>
      <w:pPr>
        <w:spacing w:line="480" w:lineRule="exact"/>
        <w:ind w:firstLine="480" w:firstLineChars="200"/>
        <w:rPr>
          <w:rFonts w:hAnsi="宋体" w:cs="宋体"/>
          <w:color w:val="auto"/>
          <w:sz w:val="24"/>
        </w:rPr>
      </w:pPr>
      <w:r>
        <w:rPr>
          <w:rFonts w:hint="eastAsia" w:hAnsi="宋体" w:cs="宋体"/>
          <w:color w:val="auto"/>
          <w:sz w:val="24"/>
        </w:rPr>
        <w:t>在签署协议书之前，你方的中标通知书连同本投标函，包括投标函附录，对双方具有约束力。</w:t>
      </w:r>
    </w:p>
    <w:p>
      <w:pPr>
        <w:spacing w:line="480" w:lineRule="exact"/>
        <w:ind w:firstLine="480" w:firstLineChars="200"/>
        <w:rPr>
          <w:rFonts w:hAnsi="宋体" w:cs="宋体"/>
          <w:color w:val="auto"/>
          <w:sz w:val="24"/>
        </w:rPr>
      </w:pPr>
      <w:r>
        <w:rPr>
          <w:rFonts w:hint="eastAsia" w:hAnsi="宋体" w:cs="宋体"/>
          <w:color w:val="auto"/>
          <w:sz w:val="24"/>
        </w:rPr>
        <w:t>投标人（盖章）：</w:t>
      </w:r>
    </w:p>
    <w:p>
      <w:pPr>
        <w:spacing w:line="480" w:lineRule="exact"/>
        <w:ind w:firstLine="480" w:firstLineChars="200"/>
        <w:rPr>
          <w:rFonts w:hAnsi="宋体" w:cs="宋体"/>
          <w:color w:val="auto"/>
          <w:sz w:val="24"/>
        </w:rPr>
      </w:pPr>
      <w:r>
        <w:rPr>
          <w:rFonts w:hint="eastAsia" w:hAnsi="宋体" w:cs="宋体"/>
          <w:color w:val="auto"/>
          <w:sz w:val="24"/>
        </w:rPr>
        <w:t>法定代表人或委托代理人（签字）：</w:t>
      </w:r>
    </w:p>
    <w:p>
      <w:pPr>
        <w:spacing w:line="480" w:lineRule="exact"/>
        <w:ind w:firstLine="480" w:firstLineChars="200"/>
        <w:rPr>
          <w:rFonts w:hAnsi="宋体" w:cs="宋体"/>
          <w:color w:val="auto"/>
          <w:sz w:val="24"/>
        </w:rPr>
      </w:pPr>
      <w:r>
        <w:rPr>
          <w:rFonts w:hint="eastAsia" w:hAnsi="宋体" w:cs="宋体"/>
          <w:color w:val="auto"/>
          <w:sz w:val="24"/>
        </w:rPr>
        <w:t>日期：年月日</w:t>
      </w: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r>
        <w:rPr>
          <w:rFonts w:hint="eastAsia" w:hAnsi="宋体" w:cs="宋体"/>
          <w:color w:val="auto"/>
          <w:sz w:val="28"/>
          <w:szCs w:val="28"/>
        </w:rPr>
        <w:t>（二）投标函附录</w:t>
      </w:r>
    </w:p>
    <w:p>
      <w:pPr>
        <w:rPr>
          <w:rFonts w:hAnsi="宋体" w:cs="宋体"/>
          <w:color w:val="auto"/>
        </w:rPr>
      </w:pPr>
    </w:p>
    <w:tbl>
      <w:tblPr>
        <w:tblStyle w:val="10"/>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工程名称</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投标人</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项目负责人</w:t>
            </w:r>
          </w:p>
        </w:tc>
        <w:tc>
          <w:tcPr>
            <w:tcW w:w="1510" w:type="dxa"/>
            <w:vAlign w:val="center"/>
          </w:tcPr>
          <w:p>
            <w:pPr>
              <w:jc w:val="center"/>
              <w:rPr>
                <w:rFonts w:hAnsi="宋体" w:eastAsia="宋体" w:cs="宋体"/>
                <w:color w:val="auto"/>
                <w:sz w:val="24"/>
              </w:rPr>
            </w:pPr>
          </w:p>
        </w:tc>
        <w:tc>
          <w:tcPr>
            <w:tcW w:w="565" w:type="dxa"/>
            <w:vAlign w:val="center"/>
          </w:tcPr>
          <w:p>
            <w:pPr>
              <w:jc w:val="center"/>
              <w:rPr>
                <w:rFonts w:hAnsi="宋体" w:eastAsia="宋体" w:cs="宋体"/>
                <w:color w:val="auto"/>
                <w:sz w:val="24"/>
              </w:rPr>
            </w:pPr>
            <w:r>
              <w:rPr>
                <w:rFonts w:hint="eastAsia" w:hAnsi="宋体" w:eastAsia="宋体" w:cs="宋体"/>
                <w:color w:val="auto"/>
                <w:sz w:val="24"/>
              </w:rPr>
              <w:t>级别</w:t>
            </w:r>
          </w:p>
        </w:tc>
        <w:tc>
          <w:tcPr>
            <w:tcW w:w="1245" w:type="dxa"/>
            <w:vAlign w:val="center"/>
          </w:tcPr>
          <w:p>
            <w:pPr>
              <w:jc w:val="center"/>
              <w:rPr>
                <w:rFonts w:hAnsi="宋体" w:eastAsia="宋体" w:cs="宋体"/>
                <w:color w:val="auto"/>
                <w:sz w:val="24"/>
              </w:rPr>
            </w:pPr>
          </w:p>
        </w:tc>
        <w:tc>
          <w:tcPr>
            <w:tcW w:w="790" w:type="dxa"/>
            <w:vAlign w:val="center"/>
          </w:tcPr>
          <w:p>
            <w:pPr>
              <w:jc w:val="center"/>
              <w:rPr>
                <w:rFonts w:hAnsi="宋体" w:eastAsia="宋体" w:cs="宋体"/>
                <w:color w:val="auto"/>
                <w:sz w:val="24"/>
              </w:rPr>
            </w:pPr>
            <w:r>
              <w:rPr>
                <w:rFonts w:hint="eastAsia" w:hAnsi="宋体" w:eastAsia="宋体" w:cs="宋体"/>
                <w:color w:val="auto"/>
                <w:sz w:val="24"/>
              </w:rPr>
              <w:t>证书编号</w:t>
            </w:r>
          </w:p>
        </w:tc>
        <w:tc>
          <w:tcPr>
            <w:tcW w:w="1904"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技术负责人</w:t>
            </w:r>
          </w:p>
        </w:tc>
        <w:tc>
          <w:tcPr>
            <w:tcW w:w="1510" w:type="dxa"/>
            <w:vAlign w:val="center"/>
          </w:tcPr>
          <w:p>
            <w:pPr>
              <w:jc w:val="center"/>
              <w:rPr>
                <w:rFonts w:hAnsi="宋体" w:eastAsia="宋体" w:cs="宋体"/>
                <w:color w:val="auto"/>
                <w:sz w:val="24"/>
              </w:rPr>
            </w:pPr>
          </w:p>
        </w:tc>
        <w:tc>
          <w:tcPr>
            <w:tcW w:w="565" w:type="dxa"/>
            <w:vAlign w:val="center"/>
          </w:tcPr>
          <w:p>
            <w:pPr>
              <w:jc w:val="center"/>
              <w:rPr>
                <w:rFonts w:hAnsi="宋体" w:eastAsia="宋体" w:cs="宋体"/>
                <w:color w:val="auto"/>
                <w:sz w:val="24"/>
              </w:rPr>
            </w:pPr>
            <w:r>
              <w:rPr>
                <w:rFonts w:hint="eastAsia" w:hAnsi="宋体" w:eastAsia="宋体" w:cs="宋体"/>
                <w:color w:val="auto"/>
                <w:sz w:val="24"/>
              </w:rPr>
              <w:t>级别</w:t>
            </w:r>
          </w:p>
        </w:tc>
        <w:tc>
          <w:tcPr>
            <w:tcW w:w="1245" w:type="dxa"/>
            <w:vAlign w:val="center"/>
          </w:tcPr>
          <w:p>
            <w:pPr>
              <w:jc w:val="center"/>
              <w:rPr>
                <w:rFonts w:hAnsi="宋体" w:eastAsia="宋体" w:cs="宋体"/>
                <w:color w:val="auto"/>
                <w:sz w:val="24"/>
              </w:rPr>
            </w:pPr>
          </w:p>
        </w:tc>
        <w:tc>
          <w:tcPr>
            <w:tcW w:w="790" w:type="dxa"/>
            <w:vAlign w:val="center"/>
          </w:tcPr>
          <w:p>
            <w:pPr>
              <w:jc w:val="center"/>
              <w:rPr>
                <w:rFonts w:hAnsi="宋体" w:eastAsia="宋体" w:cs="宋体"/>
                <w:color w:val="auto"/>
                <w:sz w:val="24"/>
              </w:rPr>
            </w:pPr>
            <w:r>
              <w:rPr>
                <w:rFonts w:hint="eastAsia" w:hAnsi="宋体" w:eastAsia="宋体" w:cs="宋体"/>
                <w:color w:val="auto"/>
                <w:sz w:val="24"/>
              </w:rPr>
              <w:t>证书编号</w:t>
            </w:r>
          </w:p>
        </w:tc>
        <w:tc>
          <w:tcPr>
            <w:tcW w:w="1904"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color w:val="auto"/>
                <w:sz w:val="24"/>
              </w:rPr>
            </w:pPr>
            <w:r>
              <w:rPr>
                <w:rFonts w:hint="eastAsia" w:hAnsi="宋体" w:eastAsia="宋体" w:cs="宋体"/>
                <w:color w:val="auto"/>
                <w:sz w:val="24"/>
              </w:rPr>
              <w:t>投标总报价</w:t>
            </w:r>
          </w:p>
        </w:tc>
        <w:tc>
          <w:tcPr>
            <w:tcW w:w="3320" w:type="dxa"/>
            <w:gridSpan w:val="3"/>
            <w:vAlign w:val="center"/>
          </w:tcPr>
          <w:p>
            <w:pPr>
              <w:rPr>
                <w:rFonts w:hAnsi="宋体" w:eastAsia="宋体" w:cs="宋体"/>
                <w:color w:val="auto"/>
                <w:sz w:val="24"/>
              </w:rPr>
            </w:pPr>
            <w:r>
              <w:rPr>
                <w:rFonts w:hint="eastAsia" w:hAnsi="宋体" w:eastAsia="宋体" w:cs="宋体"/>
                <w:color w:val="auto"/>
                <w:sz w:val="24"/>
              </w:rPr>
              <w:t>（大写）</w:t>
            </w:r>
          </w:p>
        </w:tc>
        <w:tc>
          <w:tcPr>
            <w:tcW w:w="2694" w:type="dxa"/>
            <w:gridSpan w:val="2"/>
            <w:vAlign w:val="center"/>
          </w:tcPr>
          <w:p>
            <w:pPr>
              <w:rPr>
                <w:rFonts w:hAnsi="宋体" w:eastAsia="宋体" w:cs="宋体"/>
                <w:color w:val="auto"/>
                <w:sz w:val="24"/>
              </w:rPr>
            </w:pPr>
            <w:r>
              <w:rPr>
                <w:rFonts w:hint="eastAsia" w:hAnsi="宋体" w:eastAsia="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color w:val="auto"/>
                <w:sz w:val="24"/>
              </w:rPr>
            </w:pPr>
          </w:p>
        </w:tc>
        <w:tc>
          <w:tcPr>
            <w:tcW w:w="6014" w:type="dxa"/>
            <w:gridSpan w:val="5"/>
            <w:vAlign w:val="center"/>
          </w:tcPr>
          <w:p>
            <w:pPr>
              <w:spacing w:line="480" w:lineRule="exact"/>
              <w:rPr>
                <w:rFonts w:hAnsi="宋体" w:eastAsia="宋体" w:cs="宋体"/>
                <w:color w:val="auto"/>
                <w:sz w:val="24"/>
              </w:rPr>
            </w:pPr>
            <w:r>
              <w:rPr>
                <w:rFonts w:hint="eastAsia" w:hAnsi="宋体" w:eastAsia="宋体" w:cs="宋体"/>
                <w:color w:val="auto"/>
                <w:sz w:val="24"/>
              </w:rPr>
              <w:t>其中：</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规费RMB￥：元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税金RMB￥：元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安全文明措施费RMB￥：元</w:t>
            </w:r>
          </w:p>
          <w:p>
            <w:pPr>
              <w:spacing w:line="480" w:lineRule="exact"/>
              <w:ind w:firstLine="600" w:firstLineChars="250"/>
              <w:rPr>
                <w:rFonts w:hAnsi="宋体" w:cs="宋体"/>
                <w:color w:val="auto"/>
                <w:sz w:val="24"/>
              </w:rPr>
            </w:pPr>
            <w:r>
              <w:rPr>
                <w:rFonts w:hint="eastAsia" w:hAnsi="宋体" w:cs="宋体"/>
                <w:color w:val="auto"/>
                <w:sz w:val="24"/>
              </w:rPr>
              <w:t>暂列金额RMB￥：元</w:t>
            </w:r>
          </w:p>
          <w:p>
            <w:pPr>
              <w:spacing w:line="480" w:lineRule="exact"/>
              <w:ind w:firstLine="600" w:firstLineChars="250"/>
              <w:rPr>
                <w:rFonts w:hAnsi="宋体" w:cs="宋体"/>
                <w:color w:val="auto"/>
                <w:sz w:val="24"/>
              </w:rPr>
            </w:pPr>
            <w:r>
              <w:rPr>
                <w:rFonts w:hint="eastAsia" w:hAnsi="宋体" w:cs="宋体"/>
                <w:color w:val="auto"/>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投标质量等级</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投标工期</w:t>
            </w:r>
          </w:p>
        </w:tc>
        <w:tc>
          <w:tcPr>
            <w:tcW w:w="6014" w:type="dxa"/>
            <w:gridSpan w:val="5"/>
            <w:vAlign w:val="center"/>
          </w:tcPr>
          <w:p>
            <w:pPr>
              <w:jc w:val="center"/>
              <w:rPr>
                <w:rFonts w:hAnsi="宋体" w:eastAsia="宋体" w:cs="宋体"/>
                <w:color w:val="auto"/>
                <w:sz w:val="24"/>
              </w:rPr>
            </w:pPr>
            <w:r>
              <w:rPr>
                <w:rFonts w:hint="eastAsia" w:hAnsi="宋体" w:eastAsia="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投标有效期</w:t>
            </w:r>
          </w:p>
        </w:tc>
        <w:tc>
          <w:tcPr>
            <w:tcW w:w="6014" w:type="dxa"/>
            <w:gridSpan w:val="5"/>
            <w:vAlign w:val="center"/>
          </w:tcPr>
          <w:p>
            <w:pPr>
              <w:jc w:val="center"/>
              <w:rPr>
                <w:rFonts w:hAnsi="宋体" w:eastAsia="宋体" w:cs="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spacing w:line="276" w:lineRule="auto"/>
              <w:rPr>
                <w:rFonts w:hAnsi="宋体"/>
                <w:color w:val="auto"/>
                <w:sz w:val="24"/>
              </w:rPr>
            </w:pPr>
            <w:r>
              <w:rPr>
                <w:rFonts w:hint="eastAsia" w:hAnsi="宋体"/>
                <w:color w:val="auto"/>
                <w:sz w:val="24"/>
              </w:rPr>
              <w:t>承  诺：</w:t>
            </w:r>
          </w:p>
          <w:p>
            <w:pPr>
              <w:spacing w:line="276" w:lineRule="auto"/>
              <w:rPr>
                <w:rFonts w:hAnsi="宋体"/>
                <w:color w:val="auto"/>
                <w:sz w:val="24"/>
              </w:rPr>
            </w:pPr>
          </w:p>
          <w:p>
            <w:pPr>
              <w:spacing w:line="276" w:lineRule="auto"/>
              <w:rPr>
                <w:rFonts w:hAnsi="宋体"/>
                <w:color w:val="auto"/>
                <w:sz w:val="24"/>
              </w:rPr>
            </w:pPr>
          </w:p>
          <w:p>
            <w:pPr>
              <w:rPr>
                <w:rFonts w:hAnsi="宋体" w:eastAsia="宋体" w:cs="宋体"/>
                <w:color w:val="auto"/>
                <w:sz w:val="24"/>
              </w:rPr>
            </w:pPr>
            <w:r>
              <w:rPr>
                <w:rFonts w:hint="eastAsia" w:ascii="新宋体" w:hAnsi="新宋体" w:eastAsia="新宋体"/>
                <w:color w:val="auto"/>
                <w:sz w:val="24"/>
              </w:rPr>
              <w:t>（包含优惠承诺、质量承诺、服务承诺及按扬尘污染整治标准进行各工序的施工等）</w:t>
            </w:r>
          </w:p>
        </w:tc>
      </w:tr>
    </w:tbl>
    <w:p>
      <w:pPr>
        <w:ind w:right="475"/>
        <w:jc w:val="right"/>
        <w:rPr>
          <w:rFonts w:hAnsi="宋体" w:cs="宋体"/>
          <w:color w:val="auto"/>
        </w:rPr>
      </w:pPr>
    </w:p>
    <w:p>
      <w:pPr>
        <w:spacing w:line="360" w:lineRule="auto"/>
        <w:ind w:right="475"/>
        <w:jc w:val="right"/>
        <w:rPr>
          <w:rFonts w:hAnsi="宋体" w:cs="宋体"/>
          <w:color w:val="auto"/>
          <w:sz w:val="24"/>
        </w:rPr>
      </w:pPr>
      <w:r>
        <w:rPr>
          <w:rFonts w:hint="eastAsia" w:hAnsi="宋体" w:cs="宋体"/>
          <w:color w:val="auto"/>
          <w:sz w:val="24"/>
        </w:rPr>
        <w:t>投标单位（盖章）：</w:t>
      </w:r>
    </w:p>
    <w:p>
      <w:pPr>
        <w:spacing w:line="360" w:lineRule="auto"/>
        <w:ind w:right="315"/>
        <w:jc w:val="right"/>
        <w:rPr>
          <w:rFonts w:hAnsi="宋体" w:cs="宋体"/>
          <w:color w:val="auto"/>
          <w:sz w:val="24"/>
        </w:rPr>
      </w:pPr>
      <w:r>
        <w:rPr>
          <w:rFonts w:hint="eastAsia" w:hAnsi="宋体" w:cs="宋体"/>
          <w:color w:val="auto"/>
          <w:sz w:val="24"/>
        </w:rPr>
        <w:t>法定代表人或委托代理人（签字）：</w:t>
      </w:r>
    </w:p>
    <w:p>
      <w:pPr>
        <w:wordWrap w:val="0"/>
        <w:spacing w:line="360" w:lineRule="auto"/>
        <w:ind w:right="1110"/>
        <w:jc w:val="right"/>
        <w:rPr>
          <w:rFonts w:hAnsi="宋体" w:cs="宋体"/>
          <w:color w:val="auto"/>
          <w:sz w:val="28"/>
          <w:szCs w:val="28"/>
        </w:rPr>
      </w:pPr>
      <w:r>
        <w:rPr>
          <w:rFonts w:hint="eastAsia" w:hAnsi="宋体" w:cs="宋体"/>
          <w:color w:val="auto"/>
          <w:sz w:val="24"/>
        </w:rPr>
        <w:t>年   月    日</w:t>
      </w:r>
    </w:p>
    <w:p>
      <w:pPr>
        <w:autoSpaceDE w:val="0"/>
        <w:autoSpaceDN w:val="0"/>
        <w:adjustRightInd w:val="0"/>
        <w:spacing w:beforeLines="100" w:afterLines="100" w:line="420" w:lineRule="exact"/>
        <w:jc w:val="center"/>
        <w:outlineLvl w:val="0"/>
        <w:rPr>
          <w:rFonts w:hAnsi="宋体" w:cs="宋体"/>
          <w:b/>
          <w:color w:val="auto"/>
          <w:sz w:val="32"/>
        </w:rPr>
      </w:pPr>
      <w:r>
        <w:rPr>
          <w:rFonts w:hint="eastAsia" w:hAnsi="宋体" w:cs="宋体"/>
          <w:color w:val="auto"/>
          <w:sz w:val="28"/>
          <w:szCs w:val="28"/>
        </w:rPr>
        <w:br w:type="page"/>
      </w:r>
      <w:r>
        <w:rPr>
          <w:rFonts w:hint="eastAsia" w:hAnsi="宋体" w:cs="宋体"/>
          <w:b/>
          <w:color w:val="auto"/>
          <w:sz w:val="32"/>
        </w:rPr>
        <w:t>二、</w:t>
      </w:r>
      <w:bookmarkEnd w:id="80"/>
      <w:bookmarkStart w:id="81" w:name="_Toc271787731"/>
      <w:r>
        <w:rPr>
          <w:rFonts w:hint="eastAsia" w:hAnsi="宋体" w:cs="宋体"/>
          <w:b/>
          <w:color w:val="auto"/>
          <w:sz w:val="32"/>
        </w:rPr>
        <w:t>法定代表人身份证明、授权委托书</w:t>
      </w:r>
    </w:p>
    <w:p>
      <w:pPr>
        <w:autoSpaceDE w:val="0"/>
        <w:autoSpaceDN w:val="0"/>
        <w:adjustRightInd w:val="0"/>
        <w:spacing w:beforeLines="100" w:afterLines="100" w:line="420" w:lineRule="exact"/>
        <w:jc w:val="center"/>
        <w:outlineLvl w:val="0"/>
        <w:rPr>
          <w:rFonts w:hAnsi="宋体" w:cs="宋体"/>
          <w:b/>
          <w:bCs/>
          <w:color w:val="auto"/>
          <w:sz w:val="28"/>
          <w:szCs w:val="28"/>
        </w:rPr>
      </w:pPr>
      <w:r>
        <w:rPr>
          <w:rFonts w:hint="eastAsia" w:hAnsi="宋体" w:cs="宋体"/>
          <w:b/>
          <w:bCs/>
          <w:color w:val="auto"/>
          <w:sz w:val="28"/>
          <w:szCs w:val="28"/>
        </w:rPr>
        <w:t>（一）法定代表人身份证明</w:t>
      </w:r>
      <w:bookmarkEnd w:id="81"/>
    </w:p>
    <w:p>
      <w:pPr>
        <w:autoSpaceDE w:val="0"/>
        <w:autoSpaceDN w:val="0"/>
        <w:adjustRightInd w:val="0"/>
        <w:spacing w:line="420" w:lineRule="exact"/>
        <w:ind w:firstLine="480" w:firstLineChars="200"/>
        <w:jc w:val="left"/>
        <w:rPr>
          <w:rFonts w:hAnsi="宋体" w:cs="宋体"/>
          <w:color w:val="auto"/>
          <w:sz w:val="24"/>
          <w:u w:val="single"/>
        </w:rPr>
      </w:pPr>
      <w:r>
        <w:rPr>
          <w:rFonts w:hint="eastAsia" w:hAnsi="宋体" w:cs="宋体"/>
          <w:color w:val="auto"/>
          <w:sz w:val="24"/>
        </w:rPr>
        <w:t>投标人名称：</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单位性质：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地址：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成立时间：年月日</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经营期限：</w:t>
      </w:r>
    </w:p>
    <w:p>
      <w:pPr>
        <w:autoSpaceDE w:val="0"/>
        <w:autoSpaceDN w:val="0"/>
        <w:adjustRightInd w:val="0"/>
        <w:spacing w:line="420" w:lineRule="exact"/>
        <w:ind w:firstLine="480" w:firstLineChars="200"/>
        <w:jc w:val="left"/>
        <w:rPr>
          <w:rFonts w:hAnsi="宋体" w:cs="宋体"/>
          <w:b/>
          <w:bCs/>
          <w:color w:val="auto"/>
          <w:sz w:val="24"/>
        </w:rPr>
      </w:pPr>
      <w:r>
        <w:rPr>
          <w:rFonts w:hint="eastAsia" w:hAnsi="宋体" w:cs="宋体"/>
          <w:color w:val="auto"/>
          <w:sz w:val="24"/>
        </w:rPr>
        <w:t xml:space="preserve">姓名：性别：年龄：职务： </w:t>
      </w:r>
      <w:r>
        <w:rPr>
          <w:rFonts w:hint="eastAsia" w:hAnsi="宋体" w:cs="宋体"/>
          <w:b/>
          <w:bCs/>
          <w:color w:val="auto"/>
          <w:sz w:val="24"/>
        </w:rPr>
        <w:t>联系电话:</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系（投标人名称）的法定代表人。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特此证明。</w:t>
      </w:r>
    </w:p>
    <w:p>
      <w:pPr>
        <w:autoSpaceDE w:val="0"/>
        <w:autoSpaceDN w:val="0"/>
        <w:adjustRightInd w:val="0"/>
        <w:spacing w:line="420" w:lineRule="exact"/>
        <w:ind w:firstLine="480" w:firstLineChars="200"/>
        <w:jc w:val="right"/>
        <w:rPr>
          <w:rFonts w:hAnsi="宋体" w:cs="宋体"/>
          <w:color w:val="auto"/>
          <w:sz w:val="24"/>
        </w:rPr>
      </w:pP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投标人：（盖单位章）</w:t>
      </w: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年月日</w:t>
      </w:r>
    </w:p>
    <w:p>
      <w:pPr>
        <w:autoSpaceDE w:val="0"/>
        <w:autoSpaceDN w:val="0"/>
        <w:adjustRightInd w:val="0"/>
        <w:spacing w:line="420" w:lineRule="exact"/>
        <w:ind w:firstLine="680" w:firstLineChars="200"/>
        <w:jc w:val="right"/>
        <w:rPr>
          <w:rFonts w:hAnsi="宋体" w:cs="宋体"/>
          <w:color w:val="auto"/>
          <w:szCs w:val="21"/>
        </w:rPr>
      </w:pPr>
    </w:p>
    <w:p>
      <w:pPr>
        <w:autoSpaceDE w:val="0"/>
        <w:autoSpaceDN w:val="0"/>
        <w:adjustRightInd w:val="0"/>
        <w:spacing w:line="420" w:lineRule="exact"/>
        <w:jc w:val="center"/>
        <w:outlineLvl w:val="0"/>
        <w:rPr>
          <w:rFonts w:hAnsi="宋体" w:cs="宋体"/>
          <w:b/>
          <w:bCs/>
          <w:color w:val="auto"/>
          <w:sz w:val="28"/>
          <w:szCs w:val="28"/>
        </w:rPr>
      </w:pPr>
      <w:bookmarkStart w:id="82" w:name="_Toc271787732"/>
      <w:r>
        <w:rPr>
          <w:rFonts w:hint="eastAsia" w:hAnsi="宋体" w:cs="宋体"/>
          <w:b/>
          <w:bCs/>
          <w:color w:val="auto"/>
          <w:sz w:val="28"/>
          <w:szCs w:val="28"/>
        </w:rPr>
        <w:t>（二）授权委托书</w:t>
      </w:r>
      <w:bookmarkEnd w:id="82"/>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委托期限：。</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代理人无转委托权。</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附：法定代表人身份证明</w:t>
      </w:r>
    </w:p>
    <w:p>
      <w:pPr>
        <w:autoSpaceDE w:val="0"/>
        <w:autoSpaceDN w:val="0"/>
        <w:adjustRightInd w:val="0"/>
        <w:spacing w:line="440" w:lineRule="exact"/>
        <w:ind w:firstLine="480" w:firstLineChars="200"/>
        <w:jc w:val="left"/>
        <w:rPr>
          <w:rFonts w:hAnsi="宋体" w:cs="宋体"/>
          <w:color w:val="auto"/>
          <w:sz w:val="24"/>
        </w:rPr>
      </w:pP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投标人：（盖单位章）</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法定代表人：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委托代理人：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00" w:firstLineChars="1542"/>
        <w:jc w:val="left"/>
        <w:rPr>
          <w:rFonts w:hAnsi="宋体" w:cs="宋体"/>
          <w:b/>
          <w:bCs w:val="0"/>
          <w:color w:val="auto"/>
          <w:sz w:val="24"/>
        </w:rPr>
      </w:pPr>
      <w:r>
        <w:rPr>
          <w:rFonts w:hint="eastAsia" w:hAnsi="宋体" w:cs="宋体"/>
          <w:b/>
          <w:bCs w:val="0"/>
          <w:color w:val="auto"/>
          <w:sz w:val="24"/>
        </w:rPr>
        <w:t>联系电话:</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年月 日</w:t>
      </w:r>
    </w:p>
    <w:p>
      <w:pPr>
        <w:spacing w:line="360" w:lineRule="auto"/>
        <w:jc w:val="center"/>
        <w:rPr>
          <w:rFonts w:hAnsi="宋体" w:cs="宋体"/>
          <w:b/>
          <w:color w:val="auto"/>
          <w:sz w:val="36"/>
          <w:szCs w:val="36"/>
        </w:rPr>
      </w:pPr>
      <w:r>
        <w:rPr>
          <w:rFonts w:hint="eastAsia" w:hAnsi="宋体" w:cs="宋体"/>
          <w:color w:val="auto"/>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color w:val="auto"/>
          <w:sz w:val="36"/>
          <w:szCs w:val="36"/>
        </w:rPr>
        <w:t>三、投标保证金</w:t>
      </w:r>
    </w:p>
    <w:p>
      <w:pPr>
        <w:rPr>
          <w:color w:val="auto"/>
          <w:sz w:val="21"/>
          <w:szCs w:val="21"/>
        </w:rPr>
      </w:pP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6"/>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numPr>
          <w:ilvl w:val="0"/>
          <w:numId w:val="0"/>
        </w:num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420" w:lineRule="exact"/>
        <w:rPr>
          <w:rFonts w:hAnsi="宋体" w:cs="宋体"/>
          <w:b/>
          <w:color w:val="auto"/>
          <w:sz w:val="32"/>
        </w:rPr>
      </w:pPr>
      <w:r>
        <w:rPr>
          <w:rFonts w:hint="eastAsia" w:hAnsi="宋体" w:cs="宋体"/>
          <w:color w:val="auto"/>
          <w:szCs w:val="21"/>
        </w:rPr>
        <w:br w:type="page"/>
      </w:r>
      <w:r>
        <w:rPr>
          <w:rFonts w:hint="eastAsia" w:hAnsi="宋体" w:cs="宋体"/>
          <w:b/>
          <w:color w:val="auto"/>
          <w:sz w:val="32"/>
        </w:rPr>
        <w:t>四、项目管理机构配备情况</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b/>
          <w:color w:val="auto"/>
          <w:sz w:val="28"/>
        </w:rPr>
        <w:t>（一）项目管理机构组成表</w:t>
      </w:r>
    </w:p>
    <w:p>
      <w:pPr>
        <w:autoSpaceDE w:val="0"/>
        <w:autoSpaceDN w:val="0"/>
        <w:adjustRightInd w:val="0"/>
        <w:spacing w:line="360" w:lineRule="auto"/>
        <w:ind w:right="215" w:firstLine="420"/>
        <w:jc w:val="center"/>
        <w:rPr>
          <w:rFonts w:hAnsi="宋体" w:cs="宋体"/>
          <w:b/>
          <w:color w:val="auto"/>
          <w:sz w:val="24"/>
        </w:rPr>
      </w:pPr>
    </w:p>
    <w:tbl>
      <w:tblPr>
        <w:tblStyle w:val="10"/>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14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级别</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证号</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专业</w:t>
            </w:r>
          </w:p>
        </w:tc>
        <w:tc>
          <w:tcPr>
            <w:tcW w:w="1470"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w:t>
            </w: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bl>
    <w:p>
      <w:pPr>
        <w:autoSpaceDE w:val="0"/>
        <w:autoSpaceDN w:val="0"/>
        <w:adjustRightInd w:val="0"/>
        <w:spacing w:line="360" w:lineRule="auto"/>
        <w:ind w:right="215"/>
        <w:rPr>
          <w:rFonts w:hAnsi="宋体" w:cs="宋体"/>
          <w:color w:val="auto"/>
        </w:rPr>
      </w:pPr>
    </w:p>
    <w:p>
      <w:pPr>
        <w:spacing w:beforeLines="50" w:afterLines="100" w:line="420" w:lineRule="exact"/>
        <w:ind w:firstLine="2800" w:firstLineChars="1000"/>
        <w:rPr>
          <w:rFonts w:hAnsi="宋体" w:cs="宋体"/>
          <w:b/>
          <w:color w:val="auto"/>
          <w:sz w:val="28"/>
          <w:szCs w:val="28"/>
        </w:rPr>
      </w:pPr>
      <w:r>
        <w:rPr>
          <w:rFonts w:hint="eastAsia" w:hAnsi="宋体" w:cs="宋体"/>
          <w:b/>
          <w:color w:val="auto"/>
          <w:sz w:val="28"/>
          <w:szCs w:val="28"/>
        </w:rPr>
        <w:t>（二）主要人员简历表</w:t>
      </w:r>
    </w:p>
    <w:p>
      <w:pPr>
        <w:spacing w:line="420" w:lineRule="exact"/>
        <w:rPr>
          <w:rFonts w:hAnsi="宋体" w:cs="宋体"/>
          <w:color w:val="auto"/>
          <w:sz w:val="24"/>
        </w:rPr>
      </w:pPr>
      <w:r>
        <w:rPr>
          <w:rFonts w:hint="eastAsia" w:hAnsi="宋体" w:cs="宋体"/>
          <w:color w:val="auto"/>
          <w:sz w:val="24"/>
        </w:rPr>
        <w:t>附1：项目负责人简历表</w:t>
      </w:r>
    </w:p>
    <w:tbl>
      <w:tblPr>
        <w:tblStyle w:val="1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姓  名</w:t>
            </w:r>
          </w:p>
        </w:tc>
        <w:tc>
          <w:tcPr>
            <w:tcW w:w="1101" w:type="dxa"/>
            <w:vAlign w:val="center"/>
          </w:tcPr>
          <w:p>
            <w:pPr>
              <w:jc w:val="center"/>
              <w:rPr>
                <w:rFonts w:hAnsi="宋体" w:eastAsia="宋体" w:cs="宋体"/>
                <w:color w:val="auto"/>
                <w:sz w:val="24"/>
              </w:rPr>
            </w:pPr>
          </w:p>
        </w:tc>
        <w:tc>
          <w:tcPr>
            <w:tcW w:w="1204" w:type="dxa"/>
            <w:vAlign w:val="center"/>
          </w:tcPr>
          <w:p>
            <w:pPr>
              <w:jc w:val="center"/>
              <w:rPr>
                <w:rFonts w:hAnsi="宋体" w:eastAsia="宋体" w:cs="宋体"/>
                <w:color w:val="auto"/>
                <w:sz w:val="24"/>
              </w:rPr>
            </w:pPr>
            <w:r>
              <w:rPr>
                <w:rFonts w:hint="eastAsia" w:hAnsi="宋体" w:eastAsia="宋体" w:cs="宋体"/>
                <w:color w:val="auto"/>
                <w:sz w:val="24"/>
              </w:rPr>
              <w:t>年  龄</w:t>
            </w:r>
          </w:p>
        </w:tc>
        <w:tc>
          <w:tcPr>
            <w:tcW w:w="1355" w:type="dxa"/>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学历</w:t>
            </w: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职  称</w:t>
            </w:r>
          </w:p>
        </w:tc>
        <w:tc>
          <w:tcPr>
            <w:tcW w:w="1101" w:type="dxa"/>
            <w:vAlign w:val="center"/>
          </w:tcPr>
          <w:p>
            <w:pPr>
              <w:jc w:val="center"/>
              <w:rPr>
                <w:rFonts w:hAnsi="宋体" w:eastAsia="宋体" w:cs="宋体"/>
                <w:color w:val="auto"/>
                <w:sz w:val="24"/>
              </w:rPr>
            </w:pPr>
          </w:p>
        </w:tc>
        <w:tc>
          <w:tcPr>
            <w:tcW w:w="1204" w:type="dxa"/>
            <w:vAlign w:val="center"/>
          </w:tcPr>
          <w:p>
            <w:pPr>
              <w:jc w:val="center"/>
              <w:rPr>
                <w:rFonts w:hAnsi="宋体" w:eastAsia="宋体" w:cs="宋体"/>
                <w:color w:val="auto"/>
                <w:sz w:val="24"/>
              </w:rPr>
            </w:pPr>
            <w:r>
              <w:rPr>
                <w:rFonts w:hint="eastAsia" w:hAnsi="宋体" w:eastAsia="宋体" w:cs="宋体"/>
                <w:color w:val="auto"/>
                <w:sz w:val="24"/>
              </w:rPr>
              <w:t>职  务</w:t>
            </w:r>
          </w:p>
        </w:tc>
        <w:tc>
          <w:tcPr>
            <w:tcW w:w="1355" w:type="dxa"/>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拟在本工程任职</w:t>
            </w:r>
          </w:p>
        </w:tc>
        <w:tc>
          <w:tcPr>
            <w:tcW w:w="2259" w:type="dxa"/>
            <w:vAlign w:val="center"/>
          </w:tcPr>
          <w:p>
            <w:pPr>
              <w:jc w:val="center"/>
              <w:rPr>
                <w:rFonts w:hAnsi="宋体" w:eastAsia="宋体" w:cs="宋体"/>
                <w:color w:val="auto"/>
                <w:sz w:val="24"/>
              </w:rPr>
            </w:pPr>
            <w:r>
              <w:rPr>
                <w:rFonts w:hint="eastAsia" w:hAnsi="宋体" w:eastAsia="宋体" w:cs="宋体"/>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color w:val="auto"/>
                <w:sz w:val="24"/>
              </w:rPr>
            </w:pPr>
            <w:r>
              <w:rPr>
                <w:rFonts w:hint="eastAsia" w:hAnsi="宋体" w:eastAsia="宋体" w:cs="宋体"/>
                <w:color w:val="auto"/>
                <w:sz w:val="24"/>
              </w:rPr>
              <w:t>注册建造师执业资格等级</w:t>
            </w:r>
          </w:p>
        </w:tc>
        <w:tc>
          <w:tcPr>
            <w:tcW w:w="1355" w:type="dxa"/>
            <w:vAlign w:val="center"/>
          </w:tcPr>
          <w:p>
            <w:pPr>
              <w:jc w:val="center"/>
              <w:rPr>
                <w:rFonts w:hAnsi="宋体" w:eastAsia="宋体" w:cs="宋体"/>
                <w:color w:val="auto"/>
                <w:sz w:val="24"/>
              </w:rPr>
            </w:pPr>
            <w:r>
              <w:rPr>
                <w:rFonts w:hint="eastAsia" w:hAnsi="宋体" w:eastAsia="宋体" w:cs="宋体"/>
                <w:color w:val="auto"/>
                <w:sz w:val="24"/>
              </w:rPr>
              <w:t xml:space="preserve">      级</w:t>
            </w: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建造师专业</w:t>
            </w: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color w:val="auto"/>
                <w:sz w:val="24"/>
              </w:rPr>
            </w:pPr>
            <w:r>
              <w:rPr>
                <w:rFonts w:hint="eastAsia" w:hAnsi="宋体" w:eastAsia="宋体" w:cs="宋体"/>
                <w:color w:val="auto"/>
                <w:sz w:val="24"/>
              </w:rPr>
              <w:t>安全生产考核合格证书</w:t>
            </w:r>
          </w:p>
        </w:tc>
        <w:tc>
          <w:tcPr>
            <w:tcW w:w="5573" w:type="dxa"/>
            <w:gridSpan w:val="3"/>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毕业学校</w:t>
            </w:r>
          </w:p>
        </w:tc>
        <w:tc>
          <w:tcPr>
            <w:tcW w:w="7878" w:type="dxa"/>
            <w:gridSpan w:val="5"/>
            <w:vAlign w:val="center"/>
          </w:tcPr>
          <w:p>
            <w:pPr>
              <w:ind w:firstLine="960" w:firstLineChars="400"/>
              <w:rPr>
                <w:rFonts w:hAnsi="宋体" w:eastAsia="宋体" w:cs="宋体"/>
                <w:color w:val="auto"/>
                <w:sz w:val="24"/>
              </w:rPr>
            </w:pPr>
            <w:r>
              <w:rPr>
                <w:rFonts w:hint="eastAsia" w:hAnsi="宋体" w:eastAsia="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color w:val="auto"/>
                <w:sz w:val="24"/>
              </w:rPr>
            </w:pPr>
            <w:r>
              <w:rPr>
                <w:rFonts w:hint="eastAsia" w:hAnsi="宋体" w:eastAsia="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时  间</w:t>
            </w:r>
          </w:p>
        </w:tc>
        <w:tc>
          <w:tcPr>
            <w:tcW w:w="3660" w:type="dxa"/>
            <w:gridSpan w:val="3"/>
            <w:vAlign w:val="center"/>
          </w:tcPr>
          <w:p>
            <w:pPr>
              <w:jc w:val="center"/>
              <w:rPr>
                <w:rFonts w:hAnsi="宋体" w:eastAsia="宋体" w:cs="宋体"/>
                <w:color w:val="auto"/>
                <w:sz w:val="24"/>
              </w:rPr>
            </w:pPr>
            <w:r>
              <w:rPr>
                <w:rFonts w:hint="eastAsia" w:hAnsi="宋体" w:eastAsia="宋体" w:cs="宋体"/>
                <w:color w:val="auto"/>
                <w:sz w:val="24"/>
              </w:rPr>
              <w:t>参加过的类似项目名称</w:t>
            </w: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工程概况说明</w:t>
            </w:r>
          </w:p>
        </w:tc>
        <w:tc>
          <w:tcPr>
            <w:tcW w:w="2259" w:type="dxa"/>
            <w:vAlign w:val="center"/>
          </w:tcPr>
          <w:p>
            <w:pPr>
              <w:jc w:val="center"/>
              <w:rPr>
                <w:rFonts w:hAnsi="宋体" w:eastAsia="宋体" w:cs="宋体"/>
                <w:color w:val="auto"/>
                <w:sz w:val="24"/>
              </w:rPr>
            </w:pPr>
            <w:r>
              <w:rPr>
                <w:rFonts w:hint="eastAsia" w:hAnsi="宋体" w:eastAsia="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bl>
    <w:p>
      <w:pPr>
        <w:spacing w:line="420" w:lineRule="exact"/>
        <w:rPr>
          <w:rFonts w:hAnsi="宋体" w:cs="宋体"/>
          <w:color w:val="auto"/>
          <w:sz w:val="24"/>
        </w:rPr>
      </w:pPr>
      <w:r>
        <w:rPr>
          <w:rFonts w:hint="eastAsia" w:hAnsi="宋体" w:cs="宋体"/>
          <w:color w:val="auto"/>
          <w:szCs w:val="21"/>
        </w:rPr>
        <w:br w:type="page"/>
      </w:r>
      <w:r>
        <w:rPr>
          <w:rFonts w:hint="eastAsia" w:hAnsi="宋体" w:cs="宋体"/>
          <w:color w:val="auto"/>
          <w:sz w:val="24"/>
        </w:rPr>
        <w:t>附2：主要项目管理人员简历表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主要项目管理人员是指技术负责人、专职安全生产管理员等岗位人员。</w:t>
      </w:r>
    </w:p>
    <w:tbl>
      <w:tblPr>
        <w:tblStyle w:val="10"/>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color w:val="auto"/>
                <w:sz w:val="24"/>
              </w:rPr>
            </w:pPr>
            <w:r>
              <w:rPr>
                <w:rFonts w:hint="eastAsia" w:hAnsi="宋体" w:eastAsia="宋体" w:cs="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color w:val="auto"/>
                <w:sz w:val="24"/>
              </w:rPr>
            </w:pPr>
            <w:r>
              <w:rPr>
                <w:rFonts w:hint="eastAsia" w:hAnsi="宋体" w:eastAsia="宋体" w:cs="宋体"/>
                <w:color w:val="auto"/>
                <w:sz w:val="24"/>
              </w:rPr>
              <w:t>姓    名</w:t>
            </w:r>
          </w:p>
        </w:tc>
        <w:tc>
          <w:tcPr>
            <w:tcW w:w="4458" w:type="dxa"/>
            <w:tcBorders>
              <w:left w:val="nil"/>
            </w:tcBorders>
            <w:vAlign w:val="center"/>
          </w:tcPr>
          <w:p>
            <w:pPr>
              <w:spacing w:line="640" w:lineRule="exact"/>
              <w:rPr>
                <w:rFonts w:hAnsi="宋体" w:eastAsia="宋体" w:cs="宋体"/>
                <w:color w:val="auto"/>
                <w:sz w:val="24"/>
              </w:rPr>
            </w:pPr>
            <w:r>
              <w:rPr>
                <w:rFonts w:hint="eastAsia" w:hAnsi="宋体" w:eastAsia="宋体" w:cs="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性    别</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学历和专业</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拥有的执业资格</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执业资格证书编号</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color w:val="auto"/>
                <w:sz w:val="24"/>
              </w:rPr>
            </w:pPr>
            <w:r>
              <w:rPr>
                <w:rFonts w:hint="eastAsia" w:hAnsi="宋体" w:eastAsia="宋体" w:cs="宋体"/>
                <w:color w:val="auto"/>
                <w:sz w:val="24"/>
              </w:rPr>
              <w:t>主要</w:t>
            </w:r>
          </w:p>
          <w:p>
            <w:pPr>
              <w:jc w:val="center"/>
              <w:rPr>
                <w:rFonts w:hAnsi="宋体" w:eastAsia="宋体" w:cs="宋体"/>
                <w:color w:val="auto"/>
                <w:sz w:val="24"/>
              </w:rPr>
            </w:pPr>
            <w:r>
              <w:rPr>
                <w:rFonts w:hint="eastAsia" w:hAnsi="宋体" w:eastAsia="宋体" w:cs="宋体"/>
                <w:color w:val="auto"/>
                <w:sz w:val="24"/>
              </w:rPr>
              <w:t>工作</w:t>
            </w:r>
          </w:p>
          <w:p>
            <w:pPr>
              <w:jc w:val="center"/>
              <w:rPr>
                <w:rFonts w:hAnsi="宋体" w:eastAsia="宋体" w:cs="宋体"/>
                <w:color w:val="auto"/>
                <w:sz w:val="24"/>
              </w:rPr>
            </w:pPr>
            <w:r>
              <w:rPr>
                <w:rFonts w:hint="eastAsia" w:hAnsi="宋体" w:eastAsia="宋体" w:cs="宋体"/>
                <w:color w:val="auto"/>
                <w:sz w:val="24"/>
              </w:rPr>
              <w:t>业绩</w:t>
            </w:r>
          </w:p>
          <w:p>
            <w:pPr>
              <w:jc w:val="center"/>
              <w:rPr>
                <w:rFonts w:hAnsi="宋体" w:eastAsia="宋体" w:cs="宋体"/>
                <w:color w:val="auto"/>
                <w:sz w:val="24"/>
              </w:rPr>
            </w:pPr>
            <w:r>
              <w:rPr>
                <w:rFonts w:hint="eastAsia" w:hAnsi="宋体" w:eastAsia="宋体" w:cs="宋体"/>
                <w:color w:val="auto"/>
                <w:sz w:val="24"/>
              </w:rPr>
              <w:t>及担</w:t>
            </w:r>
          </w:p>
          <w:p>
            <w:pPr>
              <w:jc w:val="center"/>
              <w:rPr>
                <w:rFonts w:hAnsi="宋体" w:eastAsia="宋体" w:cs="宋体"/>
                <w:color w:val="auto"/>
                <w:sz w:val="24"/>
              </w:rPr>
            </w:pPr>
            <w:r>
              <w:rPr>
                <w:rFonts w:hint="eastAsia" w:hAnsi="宋体" w:eastAsia="宋体" w:cs="宋体"/>
                <w:color w:val="auto"/>
                <w:sz w:val="24"/>
              </w:rPr>
              <w:t>任的</w:t>
            </w:r>
          </w:p>
          <w:p>
            <w:pPr>
              <w:jc w:val="center"/>
              <w:rPr>
                <w:rFonts w:hAnsi="宋体" w:eastAsia="宋体" w:cs="宋体"/>
                <w:color w:val="auto"/>
                <w:sz w:val="24"/>
              </w:rPr>
            </w:pPr>
            <w:r>
              <w:rPr>
                <w:rFonts w:hint="eastAsia" w:hAnsi="宋体" w:eastAsia="宋体" w:cs="宋体"/>
                <w:color w:val="auto"/>
                <w:sz w:val="24"/>
              </w:rPr>
              <w:t>主要</w:t>
            </w:r>
          </w:p>
          <w:p>
            <w:pPr>
              <w:jc w:val="center"/>
              <w:rPr>
                <w:rFonts w:hAnsi="宋体" w:eastAsia="宋体" w:cs="宋体"/>
                <w:color w:val="auto"/>
                <w:sz w:val="24"/>
              </w:rPr>
            </w:pPr>
            <w:r>
              <w:rPr>
                <w:rFonts w:hint="eastAsia" w:hAnsi="宋体" w:eastAsia="宋体" w:cs="宋体"/>
                <w:color w:val="auto"/>
                <w:sz w:val="24"/>
              </w:rPr>
              <w:t>工作</w:t>
            </w:r>
          </w:p>
        </w:tc>
        <w:tc>
          <w:tcPr>
            <w:tcW w:w="7586" w:type="dxa"/>
            <w:gridSpan w:val="2"/>
          </w:tcPr>
          <w:p>
            <w:pPr>
              <w:rPr>
                <w:rFonts w:hAnsi="宋体" w:eastAsia="宋体" w:cs="宋体"/>
                <w:color w:val="auto"/>
                <w:sz w:val="24"/>
              </w:rPr>
            </w:pPr>
          </w:p>
        </w:tc>
      </w:tr>
    </w:tbl>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r>
        <w:rPr>
          <w:rFonts w:hint="eastAsia" w:hAnsi="宋体" w:cs="宋体"/>
          <w:b/>
          <w:color w:val="auto"/>
          <w:sz w:val="32"/>
        </w:rPr>
        <w:t>五、</w:t>
      </w:r>
      <w:r>
        <w:rPr>
          <w:rFonts w:hint="eastAsia" w:hAnsi="宋体" w:cs="宋体"/>
          <w:b/>
          <w:color w:val="auto"/>
          <w:sz w:val="32"/>
          <w:szCs w:val="32"/>
        </w:rPr>
        <w:t>投标单位基本情况表</w:t>
      </w:r>
    </w:p>
    <w:p>
      <w:pPr>
        <w:autoSpaceDE w:val="0"/>
        <w:autoSpaceDN w:val="0"/>
        <w:adjustRightInd w:val="0"/>
        <w:spacing w:line="360" w:lineRule="auto"/>
        <w:ind w:right="215" w:firstLine="420"/>
        <w:jc w:val="center"/>
        <w:rPr>
          <w:rFonts w:hAnsi="宋体" w:cs="宋体"/>
          <w:b/>
          <w:color w:val="auto"/>
          <w:sz w:val="28"/>
        </w:rPr>
      </w:pPr>
    </w:p>
    <w:tbl>
      <w:tblPr>
        <w:tblStyle w:val="10"/>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pacing w:val="-20"/>
                <w:sz w:val="24"/>
              </w:rPr>
            </w:pPr>
            <w:r>
              <w:rPr>
                <w:rFonts w:hint="eastAsia" w:hAnsi="宋体" w:eastAsia="宋体" w:cs="宋体"/>
                <w:color w:val="auto"/>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技工</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tc>
      </w:tr>
    </w:tbl>
    <w:p>
      <w:pPr>
        <w:autoSpaceDE w:val="0"/>
        <w:autoSpaceDN w:val="0"/>
        <w:adjustRightInd w:val="0"/>
        <w:spacing w:line="360" w:lineRule="auto"/>
        <w:ind w:right="215"/>
        <w:jc w:val="left"/>
        <w:rPr>
          <w:rFonts w:hAnsi="宋体" w:cs="宋体"/>
          <w:color w:val="auto"/>
          <w:sz w:val="24"/>
        </w:rPr>
      </w:pPr>
      <w:r>
        <w:rPr>
          <w:rFonts w:hint="eastAsia" w:hAnsi="宋体" w:cs="宋体"/>
          <w:color w:val="auto"/>
          <w:sz w:val="24"/>
        </w:rPr>
        <w:t xml:space="preserve">备注：应附企业法人营业执照副本等材料的原件扫描件（或图片）。 </w:t>
      </w:r>
    </w:p>
    <w:p>
      <w:pPr>
        <w:autoSpaceDE w:val="0"/>
        <w:autoSpaceDN w:val="0"/>
        <w:adjustRightInd w:val="0"/>
        <w:spacing w:line="360" w:lineRule="auto"/>
        <w:ind w:right="215" w:firstLine="420"/>
        <w:jc w:val="left"/>
        <w:rPr>
          <w:rFonts w:hAnsi="宋体" w:cs="宋体"/>
          <w:color w:val="auto"/>
          <w:sz w:val="24"/>
        </w:rPr>
      </w:pPr>
      <w:r>
        <w:rPr>
          <w:rFonts w:hint="eastAsia" w:hAnsi="宋体" w:cs="宋体"/>
          <w:color w:val="auto"/>
          <w:sz w:val="24"/>
        </w:rPr>
        <w:t xml:space="preserve">  </w:t>
      </w:r>
    </w:p>
    <w:p>
      <w:pPr>
        <w:autoSpaceDE w:val="0"/>
        <w:autoSpaceDN w:val="0"/>
        <w:adjustRightInd w:val="0"/>
        <w:spacing w:line="360" w:lineRule="auto"/>
        <w:ind w:right="215"/>
        <w:rPr>
          <w:rFonts w:hAnsi="宋体" w:cs="宋体"/>
          <w:b/>
          <w:color w:val="auto"/>
          <w:sz w:val="28"/>
        </w:rPr>
      </w:pPr>
      <w:r>
        <w:rPr>
          <w:rFonts w:hint="eastAsia" w:hAnsi="宋体" w:cs="宋体"/>
          <w:color w:val="auto"/>
          <w:sz w:val="24"/>
        </w:rPr>
        <w:br w:type="page"/>
      </w:r>
      <w:r>
        <w:rPr>
          <w:rFonts w:hint="eastAsia" w:hAnsi="宋体" w:cs="宋体"/>
          <w:b/>
          <w:color w:val="auto"/>
          <w:sz w:val="32"/>
        </w:rPr>
        <w:t>六、</w:t>
      </w:r>
      <w:r>
        <w:rPr>
          <w:rFonts w:hint="eastAsia" w:hAnsi="宋体" w:cs="宋体"/>
          <w:b/>
          <w:color w:val="auto"/>
          <w:sz w:val="32"/>
          <w:szCs w:val="32"/>
        </w:rPr>
        <w:t>资格证明文件</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color w:val="auto"/>
          <w:sz w:val="24"/>
        </w:rPr>
        <w:t>（附原件扫描件或图片）</w:t>
      </w: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b/>
          <w:color w:val="auto"/>
          <w:sz w:val="32"/>
          <w:szCs w:val="32"/>
        </w:rPr>
      </w:pPr>
      <w:r>
        <w:rPr>
          <w:rFonts w:hint="eastAsia" w:hAnsi="宋体" w:cs="宋体"/>
          <w:b/>
          <w:color w:val="auto"/>
          <w:sz w:val="32"/>
          <w:szCs w:val="32"/>
        </w:rPr>
        <w:t>七、近年完成的类似项目情况表</w:t>
      </w:r>
    </w:p>
    <w:tbl>
      <w:tblPr>
        <w:tblStyle w:val="10"/>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pacing w:val="-20"/>
                <w:sz w:val="24"/>
              </w:rPr>
            </w:pPr>
            <w:r>
              <w:rPr>
                <w:rFonts w:hint="eastAsia" w:hAnsi="宋体" w:eastAsia="宋体" w:cs="宋体"/>
                <w:color w:val="auto"/>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6721" w:type="dxa"/>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bl>
    <w:p>
      <w:pPr>
        <w:rPr>
          <w:rFonts w:hAnsi="宋体" w:cs="宋体"/>
          <w:color w:val="auto"/>
          <w:sz w:val="24"/>
          <w:szCs w:val="24"/>
        </w:rPr>
      </w:pPr>
    </w:p>
    <w:p>
      <w:pPr>
        <w:jc w:val="center"/>
        <w:rPr>
          <w:rFonts w:hAnsi="宋体" w:cs="宋体"/>
          <w:b/>
          <w:color w:val="auto"/>
          <w:sz w:val="32"/>
          <w:szCs w:val="32"/>
        </w:rPr>
      </w:pPr>
      <w:r>
        <w:rPr>
          <w:rFonts w:hint="eastAsia" w:hAnsi="宋体" w:cs="宋体"/>
          <w:color w:val="auto"/>
          <w:sz w:val="24"/>
          <w:szCs w:val="24"/>
        </w:rPr>
        <w:br w:type="page"/>
      </w:r>
      <w:r>
        <w:rPr>
          <w:rFonts w:hint="eastAsia" w:hAnsi="宋体" w:cs="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cs="宋体"/>
          <w:b/>
          <w:color w:val="auto"/>
          <w:sz w:val="32"/>
          <w:szCs w:val="32"/>
        </w:rPr>
      </w:pPr>
    </w:p>
    <w:tbl>
      <w:tblPr>
        <w:tblStyle w:val="10"/>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pacing w:val="-20"/>
                <w:sz w:val="24"/>
              </w:rPr>
            </w:pPr>
            <w:r>
              <w:rPr>
                <w:rFonts w:hint="eastAsia" w:hAnsi="宋体" w:eastAsia="宋体" w:cs="宋体"/>
                <w:color w:val="auto"/>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项目描述</w:t>
            </w:r>
          </w:p>
        </w:tc>
        <w:tc>
          <w:tcPr>
            <w:tcW w:w="6727" w:type="dxa"/>
            <w:vAlign w:val="center"/>
          </w:tcPr>
          <w:p>
            <w:pPr>
              <w:autoSpaceDE w:val="0"/>
              <w:autoSpaceDN w:val="0"/>
              <w:adjustRightInd w:val="0"/>
              <w:spacing w:line="360" w:lineRule="auto"/>
              <w:ind w:right="215"/>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bl>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numPr>
          <w:ilvl w:val="0"/>
          <w:numId w:val="7"/>
        </w:numPr>
        <w:autoSpaceDE w:val="0"/>
        <w:autoSpaceDN w:val="0"/>
        <w:adjustRightInd w:val="0"/>
        <w:spacing w:line="360" w:lineRule="auto"/>
        <w:ind w:right="215"/>
        <w:jc w:val="center"/>
        <w:rPr>
          <w:rFonts w:hAnsi="宋体" w:cs="宋体"/>
          <w:b/>
          <w:color w:val="auto"/>
          <w:sz w:val="32"/>
          <w:szCs w:val="32"/>
        </w:rPr>
      </w:pPr>
      <w:r>
        <w:rPr>
          <w:rFonts w:hint="eastAsia" w:hAnsi="宋体" w:cs="宋体"/>
          <w:b/>
          <w:color w:val="auto"/>
          <w:sz w:val="32"/>
          <w:szCs w:val="32"/>
        </w:rPr>
        <w:t>近年发生的诉讼及仲裁</w:t>
      </w:r>
    </w:p>
    <w:p>
      <w:pPr>
        <w:autoSpaceDE w:val="0"/>
        <w:autoSpaceDN w:val="0"/>
        <w:adjustRightInd w:val="0"/>
        <w:spacing w:line="360" w:lineRule="auto"/>
        <w:ind w:right="215" w:firstLine="1920" w:firstLineChars="600"/>
        <w:rPr>
          <w:rFonts w:hAnsi="宋体" w:cs="宋体"/>
          <w:b/>
          <w:color w:val="auto"/>
          <w:sz w:val="32"/>
          <w:szCs w:val="32"/>
        </w:rPr>
      </w:pP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类别</w:t>
            </w:r>
          </w:p>
        </w:tc>
        <w:tc>
          <w:tcPr>
            <w:tcW w:w="1164"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序号</w:t>
            </w:r>
          </w:p>
        </w:tc>
        <w:tc>
          <w:tcPr>
            <w:tcW w:w="1752"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诉</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讼</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情</w:t>
            </w:r>
          </w:p>
          <w:p>
            <w:pPr>
              <w:autoSpaceDE w:val="0"/>
              <w:autoSpaceDN w:val="0"/>
              <w:adjustRightInd w:val="0"/>
              <w:spacing w:line="360" w:lineRule="auto"/>
              <w:ind w:right="215"/>
              <w:jc w:val="center"/>
              <w:rPr>
                <w:rFonts w:hAnsi="宋体" w:eastAsia="宋体" w:cs="宋体"/>
                <w:b/>
                <w:color w:val="auto"/>
                <w:sz w:val="32"/>
                <w:szCs w:val="32"/>
              </w:rPr>
            </w:pPr>
            <w:r>
              <w:rPr>
                <w:rFonts w:hint="eastAsia" w:hAnsi="宋体" w:eastAsia="宋体" w:cs="宋体"/>
                <w:bCs/>
                <w:color w:val="auto"/>
                <w:sz w:val="32"/>
                <w:szCs w:val="32"/>
              </w:rPr>
              <w:t>况</w:t>
            </w: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仲</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裁</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情</w:t>
            </w:r>
          </w:p>
          <w:p>
            <w:pPr>
              <w:autoSpaceDE w:val="0"/>
              <w:autoSpaceDN w:val="0"/>
              <w:adjustRightInd w:val="0"/>
              <w:spacing w:line="360" w:lineRule="auto"/>
              <w:ind w:right="215"/>
              <w:jc w:val="center"/>
              <w:rPr>
                <w:rFonts w:hAnsi="宋体" w:eastAsia="宋体" w:cs="宋体"/>
                <w:b/>
                <w:color w:val="auto"/>
                <w:sz w:val="32"/>
                <w:szCs w:val="32"/>
              </w:rPr>
            </w:pPr>
            <w:r>
              <w:rPr>
                <w:rFonts w:hint="eastAsia" w:hAnsi="宋体" w:eastAsia="宋体" w:cs="宋体"/>
                <w:bCs/>
                <w:color w:val="auto"/>
                <w:sz w:val="32"/>
                <w:szCs w:val="32"/>
              </w:rPr>
              <w:t>况</w:t>
            </w: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bl>
    <w:p>
      <w:pPr>
        <w:autoSpaceDE w:val="0"/>
        <w:autoSpaceDN w:val="0"/>
        <w:adjustRightInd w:val="0"/>
        <w:spacing w:line="360" w:lineRule="auto"/>
        <w:ind w:right="215"/>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rPr>
      </w:pPr>
      <w:r>
        <w:rPr>
          <w:rFonts w:hint="eastAsia" w:hAnsi="宋体" w:cs="宋体"/>
          <w:b/>
          <w:color w:val="auto"/>
          <w:sz w:val="32"/>
          <w:szCs w:val="32"/>
        </w:rPr>
        <w:t>十、其它材料</w:t>
      </w:r>
    </w:p>
    <w:p>
      <w:pPr>
        <w:tabs>
          <w:tab w:val="center" w:pos="4739"/>
        </w:tabs>
        <w:jc w:val="center"/>
        <w:rPr>
          <w:rFonts w:hAnsi="宋体" w:cs="宋体"/>
          <w:b/>
          <w:bCs/>
          <w:color w:val="auto"/>
          <w:sz w:val="28"/>
          <w:szCs w:val="28"/>
        </w:rPr>
      </w:pPr>
      <w:r>
        <w:rPr>
          <w:rFonts w:hint="eastAsia" w:hAnsi="宋体" w:cs="宋体"/>
          <w:b/>
          <w:bCs/>
          <w:color w:val="auto"/>
          <w:sz w:val="28"/>
          <w:szCs w:val="28"/>
        </w:rPr>
        <w:t>投标人认为须附的其他材料，格式可自行编制。</w:t>
      </w: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　</w:t>
      </w: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z w:val="36"/>
          <w:szCs w:val="36"/>
        </w:rPr>
        <w:t>　</w:t>
      </w:r>
      <w:r>
        <w:rPr>
          <w:rFonts w:hint="eastAsia" w:hAnsi="宋体" w:cs="宋体"/>
          <w:b/>
          <w:color w:val="auto"/>
          <w:spacing w:val="60"/>
          <w:sz w:val="52"/>
          <w:szCs w:val="52"/>
          <w:u w:val="single"/>
        </w:rPr>
        <w:t xml:space="preserve">      （工程名称）</w:t>
      </w:r>
    </w:p>
    <w:p>
      <w:pPr>
        <w:autoSpaceDE w:val="0"/>
        <w:autoSpaceDN w:val="0"/>
        <w:adjustRightInd w:val="0"/>
        <w:jc w:val="center"/>
        <w:rPr>
          <w:rFonts w:hAnsi="宋体" w:cs="宋体"/>
          <w:color w:val="auto"/>
          <w:sz w:val="36"/>
          <w:szCs w:val="36"/>
        </w:rPr>
      </w:pPr>
    </w:p>
    <w:p>
      <w:pPr>
        <w:autoSpaceDE w:val="0"/>
        <w:autoSpaceDN w:val="0"/>
        <w:adjustRightInd w:val="0"/>
        <w:jc w:val="center"/>
        <w:rPr>
          <w:rFonts w:hAnsi="宋体" w:cs="宋体"/>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szCs w:val="32"/>
        </w:rPr>
      </w:pPr>
      <w:r>
        <w:rPr>
          <w:rFonts w:hint="eastAsia" w:hAnsi="宋体" w:cs="宋体"/>
          <w:b/>
          <w:color w:val="auto"/>
          <w:sz w:val="32"/>
          <w:szCs w:val="32"/>
        </w:rPr>
        <w:t>（技术标）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年  月  日</w:t>
      </w:r>
    </w:p>
    <w:p>
      <w:pPr>
        <w:autoSpaceDE w:val="0"/>
        <w:autoSpaceDN w:val="0"/>
        <w:spacing w:line="540" w:lineRule="exact"/>
        <w:jc w:val="center"/>
        <w:rPr>
          <w:rFonts w:hAnsi="宋体" w:cs="宋体"/>
          <w:b/>
          <w:color w:val="auto"/>
          <w:sz w:val="44"/>
          <w:szCs w:val="44"/>
        </w:rPr>
      </w:pPr>
      <w:r>
        <w:rPr>
          <w:rFonts w:hint="eastAsia" w:hAnsi="宋体" w:cs="宋体"/>
          <w:b/>
          <w:color w:val="auto"/>
          <w:sz w:val="36"/>
          <w:szCs w:val="36"/>
        </w:rPr>
        <w:br w:type="page"/>
      </w:r>
      <w:r>
        <w:rPr>
          <w:rFonts w:hint="eastAsia" w:hAnsi="宋体" w:cs="宋体"/>
          <w:b/>
          <w:color w:val="auto"/>
          <w:sz w:val="44"/>
          <w:szCs w:val="44"/>
        </w:rPr>
        <w:t>目  录</w:t>
      </w:r>
    </w:p>
    <w:p>
      <w:pPr>
        <w:autoSpaceDE w:val="0"/>
        <w:autoSpaceDN w:val="0"/>
        <w:spacing w:line="540" w:lineRule="exact"/>
        <w:jc w:val="left"/>
        <w:rPr>
          <w:rFonts w:hAnsi="宋体" w:cs="宋体"/>
          <w:b/>
          <w:color w:val="auto"/>
          <w:sz w:val="26"/>
          <w:szCs w:val="26"/>
        </w:rPr>
      </w:pPr>
    </w:p>
    <w:p>
      <w:pPr>
        <w:tabs>
          <w:tab w:val="center" w:pos="4739"/>
        </w:tabs>
        <w:ind w:left="180"/>
        <w:rPr>
          <w:rFonts w:hAnsi="宋体" w:cs="宋体"/>
          <w:b/>
          <w:bCs/>
          <w:color w:val="auto"/>
          <w:sz w:val="26"/>
          <w:szCs w:val="26"/>
        </w:rPr>
      </w:pPr>
      <w:r>
        <w:rPr>
          <w:rFonts w:hint="eastAsia" w:hAnsi="宋体" w:cs="宋体"/>
          <w:b/>
          <w:bCs/>
          <w:color w:val="auto"/>
          <w:sz w:val="26"/>
          <w:szCs w:val="26"/>
        </w:rPr>
        <w:t>（1）内容完整性</w:t>
      </w:r>
    </w:p>
    <w:p>
      <w:pPr>
        <w:tabs>
          <w:tab w:val="center" w:pos="4739"/>
        </w:tabs>
        <w:ind w:left="180"/>
        <w:rPr>
          <w:rFonts w:hAnsi="宋体" w:cs="宋体"/>
          <w:b/>
          <w:bCs/>
          <w:color w:val="auto"/>
          <w:sz w:val="26"/>
          <w:szCs w:val="26"/>
        </w:rPr>
      </w:pPr>
      <w:r>
        <w:rPr>
          <w:rFonts w:hint="eastAsia" w:hAnsi="宋体" w:cs="宋体"/>
          <w:b/>
          <w:bCs/>
          <w:color w:val="auto"/>
          <w:sz w:val="26"/>
          <w:szCs w:val="26"/>
        </w:rPr>
        <w:t>（2）主要施工方案与技术措施</w:t>
      </w:r>
    </w:p>
    <w:p>
      <w:pPr>
        <w:tabs>
          <w:tab w:val="center" w:pos="4739"/>
        </w:tabs>
        <w:ind w:left="180"/>
        <w:rPr>
          <w:rFonts w:hAnsi="宋体" w:cs="宋体"/>
          <w:b/>
          <w:bCs/>
          <w:color w:val="auto"/>
          <w:sz w:val="26"/>
          <w:szCs w:val="26"/>
        </w:rPr>
      </w:pPr>
      <w:r>
        <w:rPr>
          <w:rFonts w:hint="eastAsia" w:hAnsi="宋体" w:cs="宋体"/>
          <w:b/>
          <w:bCs/>
          <w:color w:val="auto"/>
          <w:sz w:val="26"/>
          <w:szCs w:val="26"/>
        </w:rPr>
        <w:t>（3）质量管理体系与措施</w:t>
      </w:r>
    </w:p>
    <w:p>
      <w:pPr>
        <w:tabs>
          <w:tab w:val="center" w:pos="4739"/>
        </w:tabs>
        <w:ind w:left="180"/>
        <w:rPr>
          <w:rFonts w:hAnsi="宋体" w:cs="宋体"/>
          <w:b/>
          <w:bCs/>
          <w:color w:val="auto"/>
          <w:sz w:val="26"/>
          <w:szCs w:val="26"/>
        </w:rPr>
      </w:pPr>
      <w:r>
        <w:rPr>
          <w:rFonts w:hint="eastAsia" w:hAnsi="宋体" w:cs="宋体"/>
          <w:b/>
          <w:bCs/>
          <w:color w:val="auto"/>
          <w:sz w:val="26"/>
          <w:szCs w:val="26"/>
        </w:rPr>
        <w:t>（4）安全管理体系与措施</w:t>
      </w:r>
    </w:p>
    <w:p>
      <w:pPr>
        <w:tabs>
          <w:tab w:val="center" w:pos="4739"/>
        </w:tabs>
        <w:ind w:left="180"/>
        <w:rPr>
          <w:rFonts w:hAnsi="宋体" w:cs="宋体"/>
          <w:b/>
          <w:bCs/>
          <w:color w:val="auto"/>
          <w:sz w:val="26"/>
          <w:szCs w:val="26"/>
        </w:rPr>
      </w:pPr>
      <w:r>
        <w:rPr>
          <w:rFonts w:hint="eastAsia" w:hAnsi="宋体" w:cs="宋体"/>
          <w:b/>
          <w:bCs/>
          <w:color w:val="auto"/>
          <w:sz w:val="26"/>
          <w:szCs w:val="26"/>
        </w:rPr>
        <w:t>（5）文明施工、环境保护管理体系及施工现场扬尘治理措施</w:t>
      </w:r>
    </w:p>
    <w:p>
      <w:pPr>
        <w:tabs>
          <w:tab w:val="center" w:pos="4739"/>
        </w:tabs>
        <w:ind w:left="180"/>
        <w:rPr>
          <w:rFonts w:hAnsi="宋体" w:cs="宋体"/>
          <w:b/>
          <w:bCs/>
          <w:color w:val="auto"/>
          <w:sz w:val="26"/>
          <w:szCs w:val="26"/>
        </w:rPr>
      </w:pPr>
      <w:r>
        <w:rPr>
          <w:rFonts w:hint="eastAsia" w:hAnsi="宋体" w:cs="宋体"/>
          <w:b/>
          <w:bCs/>
          <w:color w:val="auto"/>
          <w:sz w:val="26"/>
          <w:szCs w:val="26"/>
        </w:rPr>
        <w:t>（6）工期保证措施</w:t>
      </w:r>
    </w:p>
    <w:p>
      <w:pPr>
        <w:tabs>
          <w:tab w:val="center" w:pos="4739"/>
        </w:tabs>
        <w:ind w:left="180"/>
        <w:rPr>
          <w:rFonts w:hAnsi="宋体" w:cs="宋体"/>
          <w:b/>
          <w:bCs/>
          <w:color w:val="auto"/>
          <w:sz w:val="26"/>
          <w:szCs w:val="26"/>
        </w:rPr>
      </w:pPr>
      <w:r>
        <w:rPr>
          <w:rFonts w:hint="eastAsia" w:hAnsi="宋体" w:cs="宋体"/>
          <w:b/>
          <w:bCs/>
          <w:color w:val="auto"/>
          <w:sz w:val="26"/>
          <w:szCs w:val="26"/>
        </w:rPr>
        <w:t>（7）拟投入资源配备计划</w:t>
      </w:r>
    </w:p>
    <w:p>
      <w:pPr>
        <w:tabs>
          <w:tab w:val="center" w:pos="4739"/>
        </w:tabs>
        <w:ind w:left="180"/>
        <w:rPr>
          <w:rFonts w:hAnsi="宋体" w:cs="宋体"/>
          <w:b/>
          <w:bCs/>
          <w:color w:val="auto"/>
          <w:sz w:val="26"/>
          <w:szCs w:val="26"/>
        </w:rPr>
      </w:pPr>
      <w:r>
        <w:rPr>
          <w:rFonts w:hint="eastAsia" w:hAnsi="宋体" w:cs="宋体"/>
          <w:b/>
          <w:bCs/>
          <w:color w:val="auto"/>
          <w:sz w:val="26"/>
          <w:szCs w:val="26"/>
        </w:rPr>
        <w:t>（8）施工进度表和网络计划图</w:t>
      </w:r>
    </w:p>
    <w:p>
      <w:pPr>
        <w:tabs>
          <w:tab w:val="center" w:pos="4739"/>
        </w:tabs>
        <w:ind w:left="180"/>
        <w:rPr>
          <w:rFonts w:hAnsi="宋体" w:cs="宋体"/>
          <w:b/>
          <w:bCs/>
          <w:color w:val="auto"/>
          <w:sz w:val="26"/>
          <w:szCs w:val="26"/>
        </w:rPr>
      </w:pPr>
      <w:r>
        <w:rPr>
          <w:rFonts w:hint="eastAsia" w:hAnsi="宋体" w:cs="宋体"/>
          <w:b/>
          <w:bCs/>
          <w:color w:val="auto"/>
          <w:sz w:val="26"/>
          <w:szCs w:val="26"/>
        </w:rPr>
        <w:t>（9）施工总平面图布置</w:t>
      </w:r>
    </w:p>
    <w:p>
      <w:pPr>
        <w:tabs>
          <w:tab w:val="center" w:pos="4739"/>
        </w:tabs>
        <w:ind w:left="180"/>
        <w:rPr>
          <w:rFonts w:hAnsi="宋体" w:cs="宋体"/>
          <w:b/>
          <w:bCs/>
          <w:color w:val="auto"/>
          <w:sz w:val="26"/>
          <w:szCs w:val="26"/>
        </w:rPr>
      </w:pPr>
      <w:r>
        <w:rPr>
          <w:rFonts w:hint="eastAsia" w:hAnsi="宋体" w:cs="宋体"/>
          <w:b/>
          <w:bCs/>
          <w:color w:val="auto"/>
          <w:sz w:val="26"/>
          <w:szCs w:val="26"/>
        </w:rPr>
        <w:t>（10）技术创新的应用实施措施</w:t>
      </w:r>
    </w:p>
    <w:p>
      <w:pPr>
        <w:tabs>
          <w:tab w:val="center" w:pos="4739"/>
        </w:tabs>
        <w:ind w:left="180"/>
        <w:rPr>
          <w:rFonts w:hAnsi="宋体" w:cs="宋体"/>
          <w:b/>
          <w:bCs/>
          <w:color w:val="auto"/>
          <w:sz w:val="26"/>
          <w:szCs w:val="26"/>
        </w:rPr>
      </w:pPr>
      <w:r>
        <w:rPr>
          <w:rFonts w:hint="eastAsia" w:hAnsi="宋体" w:cs="宋体"/>
          <w:b/>
          <w:bCs/>
          <w:color w:val="auto"/>
          <w:sz w:val="26"/>
          <w:szCs w:val="26"/>
        </w:rPr>
        <w:t>（11）采用新工艺、新技术、新设备、新材料、BIM等的程度</w:t>
      </w:r>
    </w:p>
    <w:p>
      <w:pPr>
        <w:tabs>
          <w:tab w:val="center" w:pos="4739"/>
        </w:tabs>
        <w:ind w:left="180"/>
        <w:rPr>
          <w:rFonts w:hAnsi="宋体" w:cs="宋体"/>
          <w:b/>
          <w:bCs/>
          <w:color w:val="auto"/>
          <w:sz w:val="26"/>
          <w:szCs w:val="26"/>
        </w:rPr>
      </w:pPr>
      <w:r>
        <w:rPr>
          <w:rFonts w:hint="eastAsia" w:hAnsi="宋体" w:cs="宋体"/>
          <w:b/>
          <w:bCs/>
          <w:color w:val="auto"/>
          <w:sz w:val="26"/>
          <w:szCs w:val="26"/>
        </w:rPr>
        <w:t>（12）施工现场实施信息化监控和数据处理</w:t>
      </w:r>
    </w:p>
    <w:p>
      <w:pPr>
        <w:autoSpaceDE w:val="0"/>
        <w:autoSpaceDN w:val="0"/>
        <w:spacing w:line="540" w:lineRule="exact"/>
        <w:ind w:firstLine="130" w:firstLineChars="50"/>
        <w:jc w:val="left"/>
        <w:rPr>
          <w:rFonts w:hAnsi="宋体" w:cs="宋体"/>
          <w:b/>
          <w:color w:val="auto"/>
          <w:sz w:val="26"/>
          <w:szCs w:val="26"/>
        </w:rPr>
      </w:pPr>
      <w:r>
        <w:rPr>
          <w:rFonts w:hint="eastAsia" w:hAnsi="宋体" w:cs="宋体"/>
          <w:b/>
          <w:bCs/>
          <w:color w:val="auto"/>
          <w:sz w:val="26"/>
          <w:szCs w:val="26"/>
        </w:rPr>
        <w:t>（13）风险管理措施</w:t>
      </w: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sectPr>
      <w:footerReference r:id="rId10" w:type="first"/>
      <w:footerReference r:id="rId9"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pBdr>
                    <w:top w:val="single" w:color="auto" w:sz="4" w:space="0"/>
                  </w:pBdr>
                  <w:ind w:right="360"/>
                  <w:jc w:val="center"/>
                </w:pPr>
                <w:r>
                  <w:fldChar w:fldCharType="begin"/>
                </w:r>
                <w:r>
                  <w:rPr>
                    <w:rStyle w:val="13"/>
                  </w:rPr>
                  <w:instrText xml:space="preserve"> PAGE </w:instrText>
                </w:r>
                <w:r>
                  <w:fldChar w:fldCharType="separate"/>
                </w:r>
                <w:r>
                  <w:rPr>
                    <w:rStyle w:val="13"/>
                  </w:rPr>
                  <w:t>33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6F947D"/>
    <w:multiLevelType w:val="singleLevel"/>
    <w:tmpl w:val="A66F947D"/>
    <w:lvl w:ilvl="0" w:tentative="0">
      <w:start w:val="1"/>
      <w:numFmt w:val="decimal"/>
      <w:suff w:val="nothing"/>
      <w:lvlText w:val="%1、"/>
      <w:lvlJc w:val="left"/>
    </w:lvl>
  </w:abstractNum>
  <w:abstractNum w:abstractNumId="1">
    <w:nsid w:val="DBFE8975"/>
    <w:multiLevelType w:val="singleLevel"/>
    <w:tmpl w:val="DBFE8975"/>
    <w:lvl w:ilvl="0" w:tentative="0">
      <w:start w:val="1"/>
      <w:numFmt w:val="decimal"/>
      <w:suff w:val="nothing"/>
      <w:lvlText w:val="%1、"/>
      <w:lvlJc w:val="left"/>
    </w:lvl>
  </w:abstractNum>
  <w:abstractNum w:abstractNumId="2">
    <w:nsid w:val="30F14155"/>
    <w:multiLevelType w:val="multilevel"/>
    <w:tmpl w:val="30F14155"/>
    <w:lvl w:ilvl="0" w:tentative="0">
      <w:start w:val="1"/>
      <w:numFmt w:val="japaneseCounting"/>
      <w:lvlText w:val="第%1章"/>
      <w:lvlJc w:val="left"/>
      <w:pPr>
        <w:ind w:left="1485" w:hanging="14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31E9E0"/>
    <w:multiLevelType w:val="singleLevel"/>
    <w:tmpl w:val="5A31E9E0"/>
    <w:lvl w:ilvl="0" w:tentative="0">
      <w:start w:val="9"/>
      <w:numFmt w:val="chineseCounting"/>
      <w:suff w:val="nothing"/>
      <w:lvlText w:val="%1、"/>
      <w:lvlJc w:val="left"/>
    </w:lvl>
  </w:abstractNum>
  <w:abstractNum w:abstractNumId="6">
    <w:nsid w:val="7CE5D64E"/>
    <w:multiLevelType w:val="singleLevel"/>
    <w:tmpl w:val="7CE5D64E"/>
    <w:lvl w:ilvl="0" w:tentative="0">
      <w:start w:val="7"/>
      <w:numFmt w:val="decimal"/>
      <w:lvlText w:val="%1."/>
      <w:lvlJc w:val="left"/>
      <w:pPr>
        <w:tabs>
          <w:tab w:val="left" w:pos="312"/>
        </w:tabs>
      </w:pPr>
    </w:lvl>
  </w:abstractNum>
  <w:num w:numId="1">
    <w:abstractNumId w:val="2"/>
  </w:num>
  <w:num w:numId="2">
    <w:abstractNumId w:val="6"/>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1673"/>
    <w:rsid w:val="000049AA"/>
    <w:rsid w:val="00010021"/>
    <w:rsid w:val="000310D4"/>
    <w:rsid w:val="00033CBC"/>
    <w:rsid w:val="00033DD3"/>
    <w:rsid w:val="00035EFA"/>
    <w:rsid w:val="000432ED"/>
    <w:rsid w:val="00047FD9"/>
    <w:rsid w:val="0006136C"/>
    <w:rsid w:val="0007083C"/>
    <w:rsid w:val="00071018"/>
    <w:rsid w:val="00084D62"/>
    <w:rsid w:val="000A2681"/>
    <w:rsid w:val="000A4B94"/>
    <w:rsid w:val="000B442C"/>
    <w:rsid w:val="000C5AEA"/>
    <w:rsid w:val="000E4C2F"/>
    <w:rsid w:val="000E5DE8"/>
    <w:rsid w:val="000F3E50"/>
    <w:rsid w:val="000F459D"/>
    <w:rsid w:val="000F66D9"/>
    <w:rsid w:val="000F6F95"/>
    <w:rsid w:val="001015B8"/>
    <w:rsid w:val="00106D22"/>
    <w:rsid w:val="00112BE9"/>
    <w:rsid w:val="0011764D"/>
    <w:rsid w:val="00123585"/>
    <w:rsid w:val="00124C0C"/>
    <w:rsid w:val="0013276C"/>
    <w:rsid w:val="00153D65"/>
    <w:rsid w:val="0015414F"/>
    <w:rsid w:val="00184B91"/>
    <w:rsid w:val="00190CA3"/>
    <w:rsid w:val="001B3FB5"/>
    <w:rsid w:val="001C2139"/>
    <w:rsid w:val="001C4CA8"/>
    <w:rsid w:val="001C5427"/>
    <w:rsid w:val="001D1431"/>
    <w:rsid w:val="001D6C4E"/>
    <w:rsid w:val="001E3E2B"/>
    <w:rsid w:val="001E5C34"/>
    <w:rsid w:val="001F2568"/>
    <w:rsid w:val="001F5720"/>
    <w:rsid w:val="0020445D"/>
    <w:rsid w:val="002415A9"/>
    <w:rsid w:val="002536E6"/>
    <w:rsid w:val="002639F8"/>
    <w:rsid w:val="0026489D"/>
    <w:rsid w:val="00276551"/>
    <w:rsid w:val="00294330"/>
    <w:rsid w:val="00294ACF"/>
    <w:rsid w:val="00296B80"/>
    <w:rsid w:val="002A5517"/>
    <w:rsid w:val="002A696E"/>
    <w:rsid w:val="002B2B03"/>
    <w:rsid w:val="002B535B"/>
    <w:rsid w:val="002B616B"/>
    <w:rsid w:val="002C5BF9"/>
    <w:rsid w:val="002C61C6"/>
    <w:rsid w:val="002D33A7"/>
    <w:rsid w:val="002E2FFB"/>
    <w:rsid w:val="00307604"/>
    <w:rsid w:val="0031627C"/>
    <w:rsid w:val="003276B6"/>
    <w:rsid w:val="00336A88"/>
    <w:rsid w:val="00355A5D"/>
    <w:rsid w:val="003702A0"/>
    <w:rsid w:val="003719AD"/>
    <w:rsid w:val="003B534F"/>
    <w:rsid w:val="003C299D"/>
    <w:rsid w:val="003D2708"/>
    <w:rsid w:val="003E7A71"/>
    <w:rsid w:val="003F4C81"/>
    <w:rsid w:val="003F5ACF"/>
    <w:rsid w:val="004044BC"/>
    <w:rsid w:val="004110FE"/>
    <w:rsid w:val="00416713"/>
    <w:rsid w:val="00425696"/>
    <w:rsid w:val="00425BD2"/>
    <w:rsid w:val="00453901"/>
    <w:rsid w:val="004676FB"/>
    <w:rsid w:val="00470530"/>
    <w:rsid w:val="00472957"/>
    <w:rsid w:val="0047322F"/>
    <w:rsid w:val="00493982"/>
    <w:rsid w:val="004B1B7D"/>
    <w:rsid w:val="004B37FB"/>
    <w:rsid w:val="004B7AB0"/>
    <w:rsid w:val="004D4C2D"/>
    <w:rsid w:val="004F5208"/>
    <w:rsid w:val="00500738"/>
    <w:rsid w:val="0050085D"/>
    <w:rsid w:val="0051240C"/>
    <w:rsid w:val="00516283"/>
    <w:rsid w:val="00524065"/>
    <w:rsid w:val="00547524"/>
    <w:rsid w:val="005D27A6"/>
    <w:rsid w:val="005D3872"/>
    <w:rsid w:val="005D7FF3"/>
    <w:rsid w:val="005F790F"/>
    <w:rsid w:val="0061290A"/>
    <w:rsid w:val="0061481C"/>
    <w:rsid w:val="00615E17"/>
    <w:rsid w:val="006259AD"/>
    <w:rsid w:val="00630F85"/>
    <w:rsid w:val="00631E65"/>
    <w:rsid w:val="00634E07"/>
    <w:rsid w:val="00654127"/>
    <w:rsid w:val="00682561"/>
    <w:rsid w:val="006A480B"/>
    <w:rsid w:val="006B072C"/>
    <w:rsid w:val="006B4DB0"/>
    <w:rsid w:val="006B7778"/>
    <w:rsid w:val="006D5D6D"/>
    <w:rsid w:val="006E08B6"/>
    <w:rsid w:val="006E5339"/>
    <w:rsid w:val="0070276D"/>
    <w:rsid w:val="007122BF"/>
    <w:rsid w:val="00724FD2"/>
    <w:rsid w:val="007318DC"/>
    <w:rsid w:val="007406AC"/>
    <w:rsid w:val="0076091F"/>
    <w:rsid w:val="00761309"/>
    <w:rsid w:val="00772E5C"/>
    <w:rsid w:val="007731AB"/>
    <w:rsid w:val="00776137"/>
    <w:rsid w:val="00790DBC"/>
    <w:rsid w:val="007915BF"/>
    <w:rsid w:val="00792C2C"/>
    <w:rsid w:val="00797F8F"/>
    <w:rsid w:val="007A6662"/>
    <w:rsid w:val="007B6D1A"/>
    <w:rsid w:val="007C0EAF"/>
    <w:rsid w:val="007C1FB6"/>
    <w:rsid w:val="007E1335"/>
    <w:rsid w:val="007E6041"/>
    <w:rsid w:val="007E6EC1"/>
    <w:rsid w:val="007F7D05"/>
    <w:rsid w:val="00805ABC"/>
    <w:rsid w:val="008064A2"/>
    <w:rsid w:val="00807369"/>
    <w:rsid w:val="00841EBB"/>
    <w:rsid w:val="008612AE"/>
    <w:rsid w:val="008620B0"/>
    <w:rsid w:val="00864919"/>
    <w:rsid w:val="008657D9"/>
    <w:rsid w:val="00882E9E"/>
    <w:rsid w:val="00892C13"/>
    <w:rsid w:val="00895B87"/>
    <w:rsid w:val="008A6D13"/>
    <w:rsid w:val="008D074E"/>
    <w:rsid w:val="008D2093"/>
    <w:rsid w:val="008D65E7"/>
    <w:rsid w:val="008E640B"/>
    <w:rsid w:val="008E6A24"/>
    <w:rsid w:val="0090127E"/>
    <w:rsid w:val="00902390"/>
    <w:rsid w:val="009103BB"/>
    <w:rsid w:val="00931AE0"/>
    <w:rsid w:val="00942073"/>
    <w:rsid w:val="009425BA"/>
    <w:rsid w:val="0095421D"/>
    <w:rsid w:val="009555B2"/>
    <w:rsid w:val="0095656E"/>
    <w:rsid w:val="00957C23"/>
    <w:rsid w:val="00962997"/>
    <w:rsid w:val="00964592"/>
    <w:rsid w:val="009725E8"/>
    <w:rsid w:val="00985838"/>
    <w:rsid w:val="009964F6"/>
    <w:rsid w:val="009A5E0F"/>
    <w:rsid w:val="009A6104"/>
    <w:rsid w:val="009B403B"/>
    <w:rsid w:val="009C7D7B"/>
    <w:rsid w:val="009D4DFC"/>
    <w:rsid w:val="00A016E5"/>
    <w:rsid w:val="00A11AEA"/>
    <w:rsid w:val="00A11B8C"/>
    <w:rsid w:val="00A335BB"/>
    <w:rsid w:val="00A34834"/>
    <w:rsid w:val="00A410F4"/>
    <w:rsid w:val="00A422F6"/>
    <w:rsid w:val="00A7544A"/>
    <w:rsid w:val="00A77AF7"/>
    <w:rsid w:val="00A9225E"/>
    <w:rsid w:val="00A948AA"/>
    <w:rsid w:val="00AC684F"/>
    <w:rsid w:val="00AD391E"/>
    <w:rsid w:val="00AD79EB"/>
    <w:rsid w:val="00AE07B7"/>
    <w:rsid w:val="00AE1046"/>
    <w:rsid w:val="00AE1A2D"/>
    <w:rsid w:val="00AF431D"/>
    <w:rsid w:val="00AF5FE8"/>
    <w:rsid w:val="00B0153C"/>
    <w:rsid w:val="00B04F71"/>
    <w:rsid w:val="00B2280C"/>
    <w:rsid w:val="00B258EF"/>
    <w:rsid w:val="00B31840"/>
    <w:rsid w:val="00B354CE"/>
    <w:rsid w:val="00B5742F"/>
    <w:rsid w:val="00B66F77"/>
    <w:rsid w:val="00B80677"/>
    <w:rsid w:val="00BC1F1F"/>
    <w:rsid w:val="00BC5B90"/>
    <w:rsid w:val="00BD2FCE"/>
    <w:rsid w:val="00BE0598"/>
    <w:rsid w:val="00BE245D"/>
    <w:rsid w:val="00C26BCD"/>
    <w:rsid w:val="00C36316"/>
    <w:rsid w:val="00C43D25"/>
    <w:rsid w:val="00C63C42"/>
    <w:rsid w:val="00C70C78"/>
    <w:rsid w:val="00C71D4C"/>
    <w:rsid w:val="00C81278"/>
    <w:rsid w:val="00C92076"/>
    <w:rsid w:val="00CA2F93"/>
    <w:rsid w:val="00CB0D3D"/>
    <w:rsid w:val="00CC5433"/>
    <w:rsid w:val="00CD5058"/>
    <w:rsid w:val="00CE106D"/>
    <w:rsid w:val="00CF1701"/>
    <w:rsid w:val="00CF1BCA"/>
    <w:rsid w:val="00CF4F4B"/>
    <w:rsid w:val="00D03E7F"/>
    <w:rsid w:val="00D55744"/>
    <w:rsid w:val="00D70280"/>
    <w:rsid w:val="00D74B07"/>
    <w:rsid w:val="00D77007"/>
    <w:rsid w:val="00D9302F"/>
    <w:rsid w:val="00D97F1B"/>
    <w:rsid w:val="00DB7688"/>
    <w:rsid w:val="00DC5756"/>
    <w:rsid w:val="00DD68BE"/>
    <w:rsid w:val="00DF203A"/>
    <w:rsid w:val="00DF67C1"/>
    <w:rsid w:val="00E041F2"/>
    <w:rsid w:val="00E36418"/>
    <w:rsid w:val="00E43529"/>
    <w:rsid w:val="00E52957"/>
    <w:rsid w:val="00E6085B"/>
    <w:rsid w:val="00E65D2F"/>
    <w:rsid w:val="00E674F3"/>
    <w:rsid w:val="00E70609"/>
    <w:rsid w:val="00E832A6"/>
    <w:rsid w:val="00E92A9B"/>
    <w:rsid w:val="00E964C7"/>
    <w:rsid w:val="00EA5687"/>
    <w:rsid w:val="00EA7812"/>
    <w:rsid w:val="00EB1ECD"/>
    <w:rsid w:val="00EC7229"/>
    <w:rsid w:val="00EE3507"/>
    <w:rsid w:val="00EF567C"/>
    <w:rsid w:val="00EF7D94"/>
    <w:rsid w:val="00F11597"/>
    <w:rsid w:val="00F21EAE"/>
    <w:rsid w:val="00F23030"/>
    <w:rsid w:val="00F244BB"/>
    <w:rsid w:val="00F379CB"/>
    <w:rsid w:val="00F44D24"/>
    <w:rsid w:val="00F45404"/>
    <w:rsid w:val="00F50182"/>
    <w:rsid w:val="00F51DBA"/>
    <w:rsid w:val="00F56868"/>
    <w:rsid w:val="00F57FC7"/>
    <w:rsid w:val="00F605CE"/>
    <w:rsid w:val="00F61BFC"/>
    <w:rsid w:val="00F65359"/>
    <w:rsid w:val="00F65C07"/>
    <w:rsid w:val="00F67A2C"/>
    <w:rsid w:val="00F9449A"/>
    <w:rsid w:val="00F95ABF"/>
    <w:rsid w:val="00FB522E"/>
    <w:rsid w:val="00FD0750"/>
    <w:rsid w:val="00FE386D"/>
    <w:rsid w:val="00FE4A3E"/>
    <w:rsid w:val="01DB434E"/>
    <w:rsid w:val="025A1A0E"/>
    <w:rsid w:val="05B347DC"/>
    <w:rsid w:val="05EB4F15"/>
    <w:rsid w:val="06E835F7"/>
    <w:rsid w:val="07200BD0"/>
    <w:rsid w:val="079D2552"/>
    <w:rsid w:val="07E778CA"/>
    <w:rsid w:val="08CA67DF"/>
    <w:rsid w:val="08F576CB"/>
    <w:rsid w:val="096449AC"/>
    <w:rsid w:val="0A4866D0"/>
    <w:rsid w:val="0A8E6F0E"/>
    <w:rsid w:val="0A9A38CE"/>
    <w:rsid w:val="0B0010DA"/>
    <w:rsid w:val="0B4C6956"/>
    <w:rsid w:val="0BAC12EB"/>
    <w:rsid w:val="0D6E423F"/>
    <w:rsid w:val="0D8116DE"/>
    <w:rsid w:val="0E2712EE"/>
    <w:rsid w:val="0E274A96"/>
    <w:rsid w:val="0E91297F"/>
    <w:rsid w:val="0EB217EF"/>
    <w:rsid w:val="0F3930AA"/>
    <w:rsid w:val="0FE557E4"/>
    <w:rsid w:val="10085E52"/>
    <w:rsid w:val="102E2652"/>
    <w:rsid w:val="128A5A18"/>
    <w:rsid w:val="13CC49C6"/>
    <w:rsid w:val="14D972B5"/>
    <w:rsid w:val="14EC08FF"/>
    <w:rsid w:val="151E2293"/>
    <w:rsid w:val="15AC6033"/>
    <w:rsid w:val="1769612C"/>
    <w:rsid w:val="176C0E13"/>
    <w:rsid w:val="1A6627AB"/>
    <w:rsid w:val="1A8C3E4C"/>
    <w:rsid w:val="1AC14286"/>
    <w:rsid w:val="1ADA0CB9"/>
    <w:rsid w:val="1B2C4C2E"/>
    <w:rsid w:val="1C063260"/>
    <w:rsid w:val="1C547453"/>
    <w:rsid w:val="1CE276BD"/>
    <w:rsid w:val="1D004958"/>
    <w:rsid w:val="1D726CFF"/>
    <w:rsid w:val="203866A1"/>
    <w:rsid w:val="20FF12C6"/>
    <w:rsid w:val="2119095A"/>
    <w:rsid w:val="21421D01"/>
    <w:rsid w:val="220075A0"/>
    <w:rsid w:val="22F50FD7"/>
    <w:rsid w:val="2428341C"/>
    <w:rsid w:val="24771949"/>
    <w:rsid w:val="24F0742B"/>
    <w:rsid w:val="26166079"/>
    <w:rsid w:val="269D2D47"/>
    <w:rsid w:val="26AC047F"/>
    <w:rsid w:val="27FD27F9"/>
    <w:rsid w:val="280D5608"/>
    <w:rsid w:val="286356D1"/>
    <w:rsid w:val="28C01D96"/>
    <w:rsid w:val="298B75A3"/>
    <w:rsid w:val="2AB95941"/>
    <w:rsid w:val="2ABC6414"/>
    <w:rsid w:val="2C73530F"/>
    <w:rsid w:val="2D2C6D7A"/>
    <w:rsid w:val="2D9C53BB"/>
    <w:rsid w:val="2DEF4A1F"/>
    <w:rsid w:val="2F3A012D"/>
    <w:rsid w:val="2F980F08"/>
    <w:rsid w:val="2FFD3C00"/>
    <w:rsid w:val="30D23E37"/>
    <w:rsid w:val="30E64908"/>
    <w:rsid w:val="30F03510"/>
    <w:rsid w:val="31305B3B"/>
    <w:rsid w:val="32D53070"/>
    <w:rsid w:val="334A48AE"/>
    <w:rsid w:val="3427237C"/>
    <w:rsid w:val="343C7DB6"/>
    <w:rsid w:val="34AF71D7"/>
    <w:rsid w:val="35254EA4"/>
    <w:rsid w:val="358E19EB"/>
    <w:rsid w:val="35DC23A2"/>
    <w:rsid w:val="364F7D1D"/>
    <w:rsid w:val="375271E8"/>
    <w:rsid w:val="37B71904"/>
    <w:rsid w:val="3945175B"/>
    <w:rsid w:val="39D40903"/>
    <w:rsid w:val="3A3F10F6"/>
    <w:rsid w:val="3A4820C8"/>
    <w:rsid w:val="3B5E1FEA"/>
    <w:rsid w:val="3C526FDA"/>
    <w:rsid w:val="3CD43218"/>
    <w:rsid w:val="3D9824B5"/>
    <w:rsid w:val="3E0C3485"/>
    <w:rsid w:val="3E0C767D"/>
    <w:rsid w:val="3EDE5F9D"/>
    <w:rsid w:val="3F557D77"/>
    <w:rsid w:val="3F653ECD"/>
    <w:rsid w:val="40B1193E"/>
    <w:rsid w:val="41A24648"/>
    <w:rsid w:val="42B750E0"/>
    <w:rsid w:val="42E171A3"/>
    <w:rsid w:val="45C149C9"/>
    <w:rsid w:val="46170712"/>
    <w:rsid w:val="46A4187E"/>
    <w:rsid w:val="46C97F82"/>
    <w:rsid w:val="476A20C4"/>
    <w:rsid w:val="47983933"/>
    <w:rsid w:val="4C2252AF"/>
    <w:rsid w:val="4C536B94"/>
    <w:rsid w:val="4CEF3CF8"/>
    <w:rsid w:val="4D434E2F"/>
    <w:rsid w:val="4E1B15A0"/>
    <w:rsid w:val="4E841886"/>
    <w:rsid w:val="51025EEC"/>
    <w:rsid w:val="51773CFC"/>
    <w:rsid w:val="525C2B2E"/>
    <w:rsid w:val="52CB4273"/>
    <w:rsid w:val="52FC1023"/>
    <w:rsid w:val="53CA4438"/>
    <w:rsid w:val="559558C2"/>
    <w:rsid w:val="566A5FED"/>
    <w:rsid w:val="56BD391A"/>
    <w:rsid w:val="56E35A9C"/>
    <w:rsid w:val="591D3BA7"/>
    <w:rsid w:val="596E7B6E"/>
    <w:rsid w:val="5A0920A7"/>
    <w:rsid w:val="5AA9798C"/>
    <w:rsid w:val="5B244A5A"/>
    <w:rsid w:val="5B621989"/>
    <w:rsid w:val="5B74382F"/>
    <w:rsid w:val="5C691376"/>
    <w:rsid w:val="5C7134DE"/>
    <w:rsid w:val="5C931B5A"/>
    <w:rsid w:val="5CAF735A"/>
    <w:rsid w:val="5E352002"/>
    <w:rsid w:val="5F1C7AED"/>
    <w:rsid w:val="5F90413A"/>
    <w:rsid w:val="60565855"/>
    <w:rsid w:val="60F56473"/>
    <w:rsid w:val="60F86FD4"/>
    <w:rsid w:val="610A4B5F"/>
    <w:rsid w:val="616E4CF3"/>
    <w:rsid w:val="61ED3E3C"/>
    <w:rsid w:val="62D339D2"/>
    <w:rsid w:val="633B3EAB"/>
    <w:rsid w:val="647916AF"/>
    <w:rsid w:val="64B31810"/>
    <w:rsid w:val="650D1C96"/>
    <w:rsid w:val="6518479E"/>
    <w:rsid w:val="65653F46"/>
    <w:rsid w:val="65853E6F"/>
    <w:rsid w:val="6642520A"/>
    <w:rsid w:val="667C4917"/>
    <w:rsid w:val="66882038"/>
    <w:rsid w:val="66CC144B"/>
    <w:rsid w:val="67236075"/>
    <w:rsid w:val="688641BC"/>
    <w:rsid w:val="69FA48EF"/>
    <w:rsid w:val="6AB32E4C"/>
    <w:rsid w:val="6AF03CEA"/>
    <w:rsid w:val="6C5A1AE7"/>
    <w:rsid w:val="6C637D52"/>
    <w:rsid w:val="6C965D84"/>
    <w:rsid w:val="6CE50C1C"/>
    <w:rsid w:val="6D540B9D"/>
    <w:rsid w:val="6FA96611"/>
    <w:rsid w:val="714900F4"/>
    <w:rsid w:val="71EB3F0D"/>
    <w:rsid w:val="72F15351"/>
    <w:rsid w:val="73AC73AC"/>
    <w:rsid w:val="742A7635"/>
    <w:rsid w:val="749123F0"/>
    <w:rsid w:val="74FF5FC2"/>
    <w:rsid w:val="75C23822"/>
    <w:rsid w:val="76173E55"/>
    <w:rsid w:val="76340F5C"/>
    <w:rsid w:val="76731A9E"/>
    <w:rsid w:val="773B0D0D"/>
    <w:rsid w:val="77CA4249"/>
    <w:rsid w:val="78412583"/>
    <w:rsid w:val="7855496E"/>
    <w:rsid w:val="79A1156A"/>
    <w:rsid w:val="79A5544F"/>
    <w:rsid w:val="79C6269C"/>
    <w:rsid w:val="7AA8546C"/>
    <w:rsid w:val="7ABD0011"/>
    <w:rsid w:val="7AED1231"/>
    <w:rsid w:val="7B38651A"/>
    <w:rsid w:val="7B521D5B"/>
    <w:rsid w:val="7B5A74E2"/>
    <w:rsid w:val="7B6D1EB3"/>
    <w:rsid w:val="7B853AC8"/>
    <w:rsid w:val="7C045BEF"/>
    <w:rsid w:val="7C5E37E6"/>
    <w:rsid w:val="7EBE4303"/>
    <w:rsid w:val="7F0707C4"/>
    <w:rsid w:val="7F436895"/>
    <w:rsid w:val="7F590637"/>
    <w:rsid w:val="7F78421F"/>
    <w:rsid w:val="7F8C0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2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paragraph" w:styleId="9">
    <w:name w:val="Body Text First Indent"/>
    <w:basedOn w:val="5"/>
    <w:qFormat/>
    <w:uiPriority w:val="0"/>
    <w:pPr>
      <w:ind w:firstLine="420" w:firstLineChars="100"/>
    </w:pPr>
  </w:style>
  <w:style w:type="table" w:styleId="11">
    <w:name w:val="Table Grid"/>
    <w:basedOn w:val="10"/>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qFormat/>
    <w:uiPriority w:val="0"/>
    <w:rPr>
      <w:color w:val="000000"/>
      <w:u w:val="none"/>
    </w:rPr>
  </w:style>
  <w:style w:type="character" w:styleId="15">
    <w:name w:val="Emphasis"/>
    <w:basedOn w:val="12"/>
    <w:qFormat/>
    <w:uiPriority w:val="0"/>
  </w:style>
  <w:style w:type="character" w:styleId="16">
    <w:name w:val="Hyperlink"/>
    <w:basedOn w:val="12"/>
    <w:qFormat/>
    <w:uiPriority w:val="0"/>
    <w:rPr>
      <w:color w:val="000000"/>
      <w:u w:val="none"/>
    </w:rPr>
  </w:style>
  <w:style w:type="paragraph" w:customStyle="1" w:styleId="1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9">
    <w:name w:val="red"/>
    <w:basedOn w:val="12"/>
    <w:qFormat/>
    <w:uiPriority w:val="0"/>
    <w:rPr>
      <w:color w:val="FF0000"/>
      <w:sz w:val="18"/>
      <w:szCs w:val="18"/>
    </w:rPr>
  </w:style>
  <w:style w:type="character" w:customStyle="1" w:styleId="20">
    <w:name w:val="red1"/>
    <w:basedOn w:val="12"/>
    <w:qFormat/>
    <w:uiPriority w:val="0"/>
    <w:rPr>
      <w:color w:val="FF0000"/>
      <w:sz w:val="18"/>
      <w:szCs w:val="18"/>
    </w:rPr>
  </w:style>
  <w:style w:type="character" w:customStyle="1" w:styleId="21">
    <w:name w:val="red2"/>
    <w:basedOn w:val="12"/>
    <w:qFormat/>
    <w:uiPriority w:val="0"/>
    <w:rPr>
      <w:color w:val="CC0000"/>
    </w:rPr>
  </w:style>
  <w:style w:type="character" w:customStyle="1" w:styleId="22">
    <w:name w:val="red3"/>
    <w:basedOn w:val="12"/>
    <w:qFormat/>
    <w:uiPriority w:val="0"/>
    <w:rPr>
      <w:color w:val="FF0000"/>
    </w:rPr>
  </w:style>
  <w:style w:type="character" w:customStyle="1" w:styleId="23">
    <w:name w:val="hover25"/>
    <w:basedOn w:val="12"/>
    <w:qFormat/>
    <w:uiPriority w:val="0"/>
  </w:style>
  <w:style w:type="character" w:customStyle="1" w:styleId="24">
    <w:name w:val="green"/>
    <w:basedOn w:val="12"/>
    <w:qFormat/>
    <w:uiPriority w:val="0"/>
    <w:rPr>
      <w:color w:val="66AE00"/>
      <w:sz w:val="18"/>
      <w:szCs w:val="18"/>
    </w:rPr>
  </w:style>
  <w:style w:type="character" w:customStyle="1" w:styleId="25">
    <w:name w:val="green1"/>
    <w:basedOn w:val="12"/>
    <w:qFormat/>
    <w:uiPriority w:val="0"/>
    <w:rPr>
      <w:color w:val="66AE00"/>
      <w:sz w:val="18"/>
      <w:szCs w:val="18"/>
    </w:rPr>
  </w:style>
  <w:style w:type="character" w:customStyle="1" w:styleId="26">
    <w:name w:val="blue"/>
    <w:basedOn w:val="12"/>
    <w:qFormat/>
    <w:uiPriority w:val="0"/>
    <w:rPr>
      <w:color w:val="0371C6"/>
      <w:sz w:val="21"/>
      <w:szCs w:val="21"/>
    </w:rPr>
  </w:style>
  <w:style w:type="character" w:customStyle="1" w:styleId="27">
    <w:name w:val="gb-jt"/>
    <w:basedOn w:val="12"/>
    <w:qFormat/>
    <w:uiPriority w:val="0"/>
  </w:style>
  <w:style w:type="character" w:customStyle="1" w:styleId="28">
    <w:name w:val="right"/>
    <w:basedOn w:val="12"/>
    <w:qFormat/>
    <w:uiPriority w:val="0"/>
    <w:rPr>
      <w:color w:val="999999"/>
      <w:sz w:val="18"/>
      <w:szCs w:val="18"/>
    </w:rPr>
  </w:style>
  <w:style w:type="character" w:customStyle="1" w:styleId="29">
    <w:name w:val="标题 2 Char"/>
    <w:basedOn w:val="12"/>
    <w:link w:val="3"/>
    <w:semiHidden/>
    <w:qFormat/>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7E340-39B2-4742-ACC0-47D63F0491E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30544</Words>
  <Characters>5217</Characters>
  <Lines>43</Lines>
  <Paragraphs>71</Paragraphs>
  <TotalTime>2</TotalTime>
  <ScaleCrop>false</ScaleCrop>
  <LinksUpToDate>false</LinksUpToDate>
  <CharactersWithSpaces>35690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2019-12-12T00:59:00Z</dcterms:created>
  <dc:creator>Administrator</dc:creator>
  <cp:lastModifiedBy>甛╚＞</cp:lastModifiedBy>
  <cp:lastPrinted>2020-03-06T02:00:00Z</cp:lastPrinted>
  <dcterms:modified xsi:type="dcterms:W3CDTF">2020-03-09T00:26:28Z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