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center"/>
        <w:rPr>
          <w:rFonts w:hint="eastAsia" w:ascii="黑体" w:hAnsi="黑体" w:eastAsia="黑体" w:cs="黑体"/>
          <w:b w:val="0"/>
          <w:bCs w:val="0"/>
          <w:sz w:val="44"/>
          <w:szCs w:val="44"/>
        </w:rPr>
      </w:pPr>
    </w:p>
    <w:p>
      <w:pPr>
        <w:ind w:firstLine="2209" w:firstLineChars="500"/>
        <w:rPr>
          <w:rFonts w:hint="eastAsia" w:ascii="黑体" w:hAnsi="黑体" w:eastAsia="黑体" w:cs="黑体"/>
          <w:b/>
          <w:bCs/>
          <w:sz w:val="44"/>
          <w:szCs w:val="44"/>
          <w:lang w:eastAsia="zh-CN"/>
        </w:rPr>
      </w:pPr>
      <w:r>
        <w:rPr>
          <w:rFonts w:hint="eastAsia" w:ascii="黑体" w:hAnsi="黑体" w:eastAsia="黑体" w:cs="黑体"/>
          <w:b/>
          <w:bCs/>
          <w:sz w:val="44"/>
          <w:szCs w:val="44"/>
        </w:rPr>
        <w:t>禹州市</w:t>
      </w:r>
      <w:r>
        <w:rPr>
          <w:rFonts w:hint="eastAsia" w:ascii="黑体" w:hAnsi="黑体" w:eastAsia="黑体" w:cs="黑体"/>
          <w:b/>
          <w:bCs/>
          <w:sz w:val="44"/>
          <w:szCs w:val="44"/>
          <w:lang w:eastAsia="zh-CN"/>
        </w:rPr>
        <w:t>污水净化公司</w:t>
      </w:r>
    </w:p>
    <w:p>
      <w:pPr>
        <w:ind w:firstLine="1325" w:firstLineChars="300"/>
        <w:rPr>
          <w:rFonts w:hint="eastAsia" w:ascii="黑体" w:hAnsi="黑体" w:eastAsia="黑体" w:cs="黑体"/>
          <w:b/>
          <w:bCs/>
          <w:sz w:val="48"/>
          <w:szCs w:val="48"/>
          <w:lang w:val="en-US" w:eastAsia="zh-CN"/>
        </w:rPr>
      </w:pPr>
      <w:bookmarkStart w:id="81" w:name="_GoBack"/>
      <w:bookmarkEnd w:id="81"/>
      <w:r>
        <w:rPr>
          <w:rFonts w:hint="eastAsia" w:ascii="黑体" w:hAnsi="黑体" w:eastAsia="黑体" w:cs="黑体"/>
          <w:b/>
          <w:bCs/>
          <w:sz w:val="44"/>
          <w:szCs w:val="44"/>
          <w:lang w:eastAsia="zh-CN"/>
        </w:rPr>
        <w:t>聚合硫酸铁采购项目（二次）</w:t>
      </w:r>
    </w:p>
    <w:p>
      <w:pPr>
        <w:ind w:firstLine="2409" w:firstLineChars="500"/>
        <w:rPr>
          <w:rFonts w:hint="eastAsia" w:ascii="黑体" w:hAnsi="黑体" w:eastAsia="黑体" w:cs="黑体"/>
          <w:b/>
          <w:bCs/>
          <w:sz w:val="48"/>
          <w:szCs w:val="48"/>
        </w:rPr>
      </w:pPr>
    </w:p>
    <w:p>
      <w:pPr>
        <w:ind w:firstLine="2409" w:firstLineChars="500"/>
        <w:rPr>
          <w:rFonts w:hint="eastAsia" w:ascii="黑体" w:hAnsi="黑体" w:eastAsia="黑体" w:cs="黑体"/>
          <w:b/>
          <w:bCs/>
          <w:sz w:val="48"/>
          <w:szCs w:val="48"/>
        </w:rPr>
      </w:pPr>
    </w:p>
    <w:p>
      <w:pPr>
        <w:ind w:firstLine="2409" w:firstLineChars="500"/>
        <w:rPr>
          <w:rFonts w:ascii="黑体" w:hAnsi="黑体" w:eastAsia="黑体" w:cs="黑体"/>
          <w:b/>
          <w:bCs/>
          <w:sz w:val="48"/>
          <w:szCs w:val="48"/>
        </w:rPr>
      </w:pPr>
      <w:r>
        <w:rPr>
          <w:rFonts w:hint="eastAsia" w:ascii="黑体" w:hAnsi="黑体" w:eastAsia="黑体" w:cs="黑体"/>
          <w:b/>
          <w:bCs/>
          <w:sz w:val="48"/>
          <w:szCs w:val="48"/>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sz w:val="36"/>
          <w:szCs w:val="36"/>
        </w:rPr>
        <w:t xml:space="preserve"> 项目编号：YZCG-T20</w:t>
      </w:r>
      <w:r>
        <w:rPr>
          <w:rFonts w:hint="eastAsia" w:asciiTheme="majorEastAsia" w:hAnsiTheme="majorEastAsia" w:eastAsiaTheme="majorEastAsia" w:cstheme="majorEastAsia"/>
          <w:sz w:val="36"/>
          <w:szCs w:val="36"/>
          <w:lang w:val="en-US" w:eastAsia="zh-CN"/>
        </w:rPr>
        <w:t>20005-1</w:t>
      </w:r>
    </w:p>
    <w:p>
      <w:pPr>
        <w:ind w:firstLine="1080" w:firstLineChars="300"/>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rPr>
        <w:t>采购单位：</w:t>
      </w:r>
      <w:r>
        <w:rPr>
          <w:rFonts w:hint="eastAsia" w:asciiTheme="majorEastAsia" w:hAnsiTheme="majorEastAsia" w:eastAsiaTheme="majorEastAsia" w:cstheme="majorEastAsia"/>
          <w:sz w:val="36"/>
          <w:szCs w:val="36"/>
          <w:lang w:eastAsia="zh-CN"/>
        </w:rPr>
        <w:t>禹州市污水净化公司</w:t>
      </w:r>
    </w:p>
    <w:p>
      <w:pPr>
        <w:ind w:firstLine="1080" w:firstLineChars="300"/>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代理机构：禹州市政府采购中心</w:t>
      </w:r>
    </w:p>
    <w:p>
      <w:pPr>
        <w:rPr>
          <w:rFonts w:asciiTheme="majorEastAsia" w:hAnsiTheme="majorEastAsia" w:eastAsiaTheme="majorEastAsia" w:cstheme="majorEastAsia"/>
          <w:b/>
          <w:bCs/>
          <w:sz w:val="36"/>
          <w:szCs w:val="36"/>
        </w:rPr>
      </w:pPr>
    </w:p>
    <w:p>
      <w:pPr>
        <w:pStyle w:val="2"/>
        <w:ind w:firstLine="340"/>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三</w:t>
      </w:r>
      <w:r>
        <w:rPr>
          <w:rFonts w:hint="eastAsia" w:asciiTheme="majorEastAsia" w:hAnsiTheme="majorEastAsia" w:eastAsiaTheme="majorEastAsia" w:cstheme="majorEastAsia"/>
          <w:b/>
          <w:bCs/>
          <w:sz w:val="36"/>
          <w:szCs w:val="36"/>
        </w:rPr>
        <w:t>月</w:t>
      </w:r>
    </w:p>
    <w:p>
      <w:pPr>
        <w:pStyle w:val="2"/>
        <w:ind w:firstLine="340"/>
      </w:pPr>
    </w:p>
    <w:p>
      <w:pPr>
        <w:pStyle w:val="2"/>
        <w:ind w:firstLine="340"/>
      </w:pPr>
    </w:p>
    <w:p>
      <w:pPr>
        <w:pStyle w:val="2"/>
        <w:ind w:left="0" w:leftChars="0" w:firstLine="0" w:firstLineChars="0"/>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pStyle w:val="2"/>
        <w:rPr>
          <w:rFonts w:hint="eastAsia" w:asciiTheme="majorEastAsia" w:hAnsiTheme="majorEastAsia" w:eastAsiaTheme="majorEastAsia" w:cstheme="majorEastAsia"/>
          <w:b/>
          <w:kern w:val="0"/>
          <w:sz w:val="32"/>
          <w:szCs w:val="32"/>
        </w:rPr>
      </w:pPr>
    </w:p>
    <w:p>
      <w:pPr>
        <w:pStyle w:val="2"/>
        <w:rPr>
          <w:rFonts w:hint="eastAsia" w:asciiTheme="majorEastAsia" w:hAnsiTheme="majorEastAsia" w:eastAsiaTheme="majorEastAsia" w:cstheme="majorEastAsia"/>
          <w:b/>
          <w:kern w:val="0"/>
          <w:sz w:val="32"/>
          <w:szCs w:val="32"/>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jc w:val="center"/>
        <w:rPr>
          <w:rFonts w:hint="eastAsia"/>
          <w:b/>
          <w:bCs/>
          <w:sz w:val="32"/>
          <w:szCs w:val="32"/>
          <w:lang w:eastAsia="zh-CN"/>
        </w:rPr>
      </w:pPr>
      <w:r>
        <w:rPr>
          <w:rFonts w:hint="eastAsia"/>
          <w:b/>
          <w:bCs/>
          <w:sz w:val="32"/>
          <w:szCs w:val="32"/>
        </w:rPr>
        <w:t>禹州市</w:t>
      </w:r>
      <w:r>
        <w:rPr>
          <w:rFonts w:hint="eastAsia"/>
          <w:b/>
          <w:bCs/>
          <w:sz w:val="32"/>
          <w:szCs w:val="32"/>
          <w:lang w:eastAsia="zh-CN"/>
        </w:rPr>
        <w:t>污水净化公司聚合硫酸铁采购项目（二次）</w:t>
      </w:r>
    </w:p>
    <w:p>
      <w:pPr>
        <w:spacing w:line="600" w:lineRule="exact"/>
        <w:jc w:val="center"/>
        <w:rPr>
          <w:rFonts w:hint="eastAsia" w:eastAsiaTheme="minorEastAsia"/>
          <w:b/>
          <w:bCs/>
          <w:sz w:val="32"/>
          <w:szCs w:val="32"/>
          <w:lang w:val="en-US" w:eastAsia="zh-CN"/>
        </w:rPr>
      </w:pPr>
      <w:r>
        <w:rPr>
          <w:rFonts w:hint="eastAsia"/>
          <w:b/>
          <w:bCs/>
          <w:sz w:val="32"/>
          <w:szCs w:val="32"/>
        </w:rPr>
        <w:t>谈判</w:t>
      </w:r>
      <w:r>
        <w:rPr>
          <w:rFonts w:hint="eastAsia"/>
          <w:b/>
          <w:bCs/>
          <w:sz w:val="32"/>
          <w:szCs w:val="32"/>
          <w:lang w:eastAsia="zh-CN"/>
        </w:rPr>
        <w:t>邀请函</w:t>
      </w:r>
    </w:p>
    <w:p>
      <w:pPr>
        <w:spacing w:line="600" w:lineRule="exact"/>
        <w:jc w:val="center"/>
        <w:rPr>
          <w:b/>
          <w:bCs/>
          <w:sz w:val="44"/>
          <w:szCs w:val="44"/>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污水净化公司</w:t>
      </w:r>
      <w:r>
        <w:rPr>
          <w:rFonts w:hint="eastAsia" w:ascii="新宋体" w:hAnsi="新宋体" w:eastAsia="新宋体" w:cs="新宋体"/>
          <w:sz w:val="24"/>
          <w:szCs w:val="24"/>
        </w:rPr>
        <w:t>的委托，就“禹州市</w:t>
      </w:r>
      <w:r>
        <w:rPr>
          <w:rFonts w:hint="eastAsia" w:ascii="新宋体" w:hAnsi="新宋体" w:eastAsia="新宋体" w:cs="新宋体"/>
          <w:sz w:val="24"/>
          <w:szCs w:val="24"/>
          <w:lang w:eastAsia="zh-CN"/>
        </w:rPr>
        <w:t>污水净化公司聚合硫酸铁采购项目（二次）</w:t>
      </w:r>
      <w:r>
        <w:rPr>
          <w:rFonts w:hint="eastAsia" w:ascii="新宋体" w:hAnsi="新宋体" w:eastAsia="新宋体" w:cs="新宋体"/>
          <w:sz w:val="24"/>
          <w:szCs w:val="24"/>
        </w:rPr>
        <w:t>”进行</w:t>
      </w:r>
      <w:r>
        <w:rPr>
          <w:rFonts w:hint="eastAsia" w:ascii="新宋体" w:hAnsi="新宋体" w:eastAsia="新宋体" w:cs="新宋体"/>
          <w:sz w:val="24"/>
          <w:szCs w:val="24"/>
          <w:lang w:eastAsia="zh-CN"/>
        </w:rPr>
        <w:t>竞争性谈判</w:t>
      </w:r>
      <w:r>
        <w:rPr>
          <w:rFonts w:hint="eastAsia" w:ascii="新宋体" w:hAnsi="新宋体" w:eastAsia="新宋体" w:cs="新宋体"/>
          <w:sz w:val="24"/>
          <w:szCs w:val="24"/>
        </w:rPr>
        <w:t>，欢迎合格的投标人前来投标。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一、</w:t>
      </w:r>
      <w:r>
        <w:rPr>
          <w:rFonts w:hint="eastAsia" w:ascii="新宋体" w:hAnsi="新宋体" w:eastAsia="新宋体" w:cs="新宋体"/>
          <w:b/>
          <w:bCs/>
          <w:sz w:val="24"/>
          <w:szCs w:val="24"/>
        </w:rPr>
        <w:t>项目基本情况</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1、采购人：禹州市</w:t>
      </w:r>
      <w:r>
        <w:rPr>
          <w:rFonts w:hint="eastAsia" w:ascii="新宋体" w:hAnsi="新宋体" w:eastAsia="新宋体" w:cs="新宋体"/>
          <w:sz w:val="24"/>
          <w:szCs w:val="24"/>
          <w:lang w:eastAsia="zh-CN"/>
        </w:rPr>
        <w:t>污水净化公司</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2、项目名称：禹州市</w:t>
      </w:r>
      <w:r>
        <w:rPr>
          <w:rFonts w:hint="eastAsia" w:ascii="新宋体" w:hAnsi="新宋体" w:eastAsia="新宋体" w:cs="新宋体"/>
          <w:sz w:val="24"/>
          <w:szCs w:val="24"/>
          <w:lang w:eastAsia="zh-CN"/>
        </w:rPr>
        <w:t>污水净化公司聚合硫酸铁采购项目（二次）</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3、采购编号：YZCG-</w:t>
      </w:r>
      <w:r>
        <w:rPr>
          <w:rFonts w:hint="eastAsia" w:ascii="新宋体" w:hAnsi="新宋体" w:eastAsia="新宋体" w:cs="新宋体"/>
          <w:sz w:val="24"/>
          <w:szCs w:val="24"/>
          <w:lang w:val="en-US" w:eastAsia="zh-CN"/>
        </w:rPr>
        <w:t>T</w:t>
      </w:r>
      <w:r>
        <w:rPr>
          <w:rFonts w:hint="eastAsia" w:ascii="新宋体" w:hAnsi="新宋体" w:eastAsia="新宋体" w:cs="新宋体"/>
          <w:sz w:val="24"/>
          <w:szCs w:val="24"/>
        </w:rPr>
        <w:t>20</w:t>
      </w:r>
      <w:r>
        <w:rPr>
          <w:rFonts w:hint="eastAsia" w:ascii="新宋体" w:hAnsi="新宋体" w:eastAsia="新宋体" w:cs="新宋体"/>
          <w:sz w:val="24"/>
          <w:szCs w:val="24"/>
          <w:lang w:val="en-US" w:eastAsia="zh-CN"/>
        </w:rPr>
        <w:t>20005-1</w:t>
      </w:r>
      <w:r>
        <w:rPr>
          <w:rFonts w:hint="eastAsia" w:ascii="新宋体" w:hAnsi="新宋体" w:eastAsia="新宋体" w:cs="新宋体"/>
          <w:sz w:val="24"/>
          <w:szCs w:val="24"/>
          <w:lang w:val="en-US" w:eastAsia="zh-CN"/>
        </w:rPr>
        <w:tab/>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4、项目需求：</w:t>
      </w:r>
      <w:r>
        <w:rPr>
          <w:rFonts w:hint="eastAsia" w:ascii="新宋体" w:hAnsi="新宋体" w:eastAsia="新宋体" w:cs="新宋体"/>
          <w:sz w:val="24"/>
          <w:szCs w:val="24"/>
          <w:lang w:eastAsia="zh-CN"/>
        </w:rPr>
        <w:t>聚合硫酸铁</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28</w:t>
      </w:r>
      <w:r>
        <w:rPr>
          <w:rFonts w:hint="eastAsia" w:ascii="新宋体" w:hAnsi="新宋体" w:eastAsia="新宋体" w:cs="新宋体"/>
          <w:sz w:val="24"/>
          <w:szCs w:val="24"/>
        </w:rPr>
        <w:t>万元</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二、需要落实的政府采购政策</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本项目落实节约能源、保护环境、扶持不发达地区和少数民族地区、促进中小企业、监狱企业发展等政府采购政策。（详见谈判文件）</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三、</w:t>
      </w:r>
      <w:r>
        <w:rPr>
          <w:rFonts w:hint="eastAsia" w:ascii="新宋体" w:hAnsi="新宋体" w:eastAsia="新宋体" w:cs="新宋体"/>
          <w:b/>
          <w:bCs/>
          <w:sz w:val="24"/>
          <w:szCs w:val="24"/>
        </w:rPr>
        <w:t>供应商资格要求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，具有独立法人资格且具有相应的经营范围（以营业执照为准）；</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四、获取</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文件的方式、时间、地点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"http://221.14.6.70:8088/ggzy/eps/public/RegistAllJcxx.html"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"http://ggzy.xuchang.gov.cn/"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3、未通过全国公共资源交易平台（河南省·许昌市）下载</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五、</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截止时间、</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时间及地点：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截止及</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时间：20</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年</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18</w:t>
      </w:r>
      <w:r>
        <w:rPr>
          <w:rFonts w:hint="eastAsia" w:ascii="新宋体" w:hAnsi="新宋体" w:eastAsia="新宋体" w:cs="新宋体"/>
          <w:sz w:val="24"/>
          <w:szCs w:val="24"/>
        </w:rPr>
        <w:t>日</w:t>
      </w:r>
      <w:r>
        <w:rPr>
          <w:rFonts w:hint="eastAsia" w:ascii="新宋体" w:hAnsi="新宋体" w:eastAsia="新宋体" w:cs="新宋体"/>
          <w:sz w:val="24"/>
          <w:szCs w:val="24"/>
          <w:lang w:val="en-US" w:eastAsia="zh-CN"/>
        </w:rPr>
        <w:t xml:space="preserve">10 ：00 </w:t>
      </w:r>
      <w:r>
        <w:rPr>
          <w:rFonts w:hint="eastAsia" w:ascii="新宋体" w:hAnsi="新宋体" w:eastAsia="新宋体" w:cs="新宋体"/>
          <w:sz w:val="24"/>
          <w:szCs w:val="24"/>
        </w:rPr>
        <w:t>（北京时间），逾期送达或不符合规定的投标文件不予接受。</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地点：禹州市公共资源交易中心第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 xml:space="preserve">开标室（禹州市行政服务中心楼9楼）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（2）纸质投标文件（正本1份、副本1份）和备份文件1份（使用电子介质存储）在投标截止时间（开标时间）前递交至本项目开标地点。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六、本次招标公告同时在《中国政府采购网》、《河南省政府采购网》、《全国公共资源交易平台（河南省·许昌市）》发布等。</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七、代理机构及采购单位地址、联系人、联系电话</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（一）代理机构：禹州市政府采购中心</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付女士</w:t>
      </w:r>
      <w:r>
        <w:rPr>
          <w:rFonts w:hint="eastAsia" w:ascii="新宋体" w:hAnsi="新宋体" w:eastAsia="新宋体" w:cs="新宋体"/>
          <w:sz w:val="24"/>
          <w:szCs w:val="24"/>
        </w:rPr>
        <w:t xml:space="preserve">  联系电话：0374-2077111</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（二）采购单位：禹州市</w:t>
      </w:r>
      <w:r>
        <w:rPr>
          <w:rFonts w:hint="eastAsia" w:ascii="新宋体" w:hAnsi="新宋体" w:eastAsia="新宋体" w:cs="新宋体"/>
          <w:sz w:val="24"/>
          <w:szCs w:val="24"/>
          <w:lang w:eastAsia="zh-CN"/>
        </w:rPr>
        <w:t>污水净化公司</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地址：禹州市</w:t>
      </w:r>
      <w:r>
        <w:rPr>
          <w:rFonts w:hint="eastAsia" w:ascii="新宋体" w:hAnsi="新宋体" w:eastAsia="新宋体" w:cs="新宋体"/>
          <w:sz w:val="24"/>
          <w:szCs w:val="24"/>
          <w:lang w:eastAsia="zh-CN"/>
        </w:rPr>
        <w:t>滨河路东段</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王女士</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联系电话：</w:t>
      </w:r>
      <w:r>
        <w:rPr>
          <w:rFonts w:hint="eastAsia" w:ascii="新宋体" w:hAnsi="新宋体" w:eastAsia="新宋体" w:cs="新宋体"/>
          <w:sz w:val="24"/>
          <w:szCs w:val="24"/>
          <w:lang w:val="en-US" w:eastAsia="zh-CN"/>
        </w:rPr>
        <w:t>8130767</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40" w:lineRule="exact"/>
        <w:ind w:firstLine="3600" w:firstLineChars="1500"/>
        <w:rPr>
          <w:rFonts w:hint="eastAsia" w:ascii="新宋体" w:hAnsi="新宋体" w:eastAsia="新宋体" w:cs="新宋体"/>
          <w:sz w:val="24"/>
          <w:szCs w:val="24"/>
        </w:rPr>
      </w:pPr>
    </w:p>
    <w:p>
      <w:pPr>
        <w:widowControl/>
        <w:shd w:val="clear" w:color="auto" w:fill="FFFFFF"/>
        <w:spacing w:line="440" w:lineRule="exact"/>
        <w:jc w:val="left"/>
        <w:rPr>
          <w:rFonts w:hint="eastAsia" w:ascii="新宋体" w:hAnsi="新宋体" w:eastAsia="新宋体" w:cs="新宋体"/>
          <w:color w:val="000000"/>
          <w:kern w:val="0"/>
          <w:sz w:val="24"/>
          <w:szCs w:val="24"/>
        </w:rPr>
      </w:pPr>
    </w:p>
    <w:p>
      <w:pPr>
        <w:spacing w:line="600" w:lineRule="exact"/>
        <w:rPr>
          <w:b/>
          <w:bCs/>
          <w:sz w:val="24"/>
          <w:szCs w:val="24"/>
        </w:rPr>
      </w:pPr>
    </w:p>
    <w:p>
      <w:pPr>
        <w:spacing w:line="360" w:lineRule="auto"/>
        <w:rPr>
          <w:rFonts w:hint="eastAsia" w:hAnsi="宋体"/>
          <w:b/>
          <w:sz w:val="28"/>
          <w:szCs w:val="28"/>
        </w:rPr>
      </w:pPr>
      <w:r>
        <w:rPr>
          <w:rFonts w:hint="eastAsia" w:hAnsi="宋体"/>
          <w:b/>
          <w:sz w:val="28"/>
          <w:szCs w:val="28"/>
        </w:rPr>
        <w:t>温馨提示：</w:t>
      </w:r>
    </w:p>
    <w:p>
      <w:pPr>
        <w:keepNext w:val="0"/>
        <w:keepLines w:val="0"/>
        <w:pageBreakBefore w:val="0"/>
        <w:widowControl/>
        <w:shd w:val="clear" w:color="auto" w:fill="FFFFFF"/>
        <w:kinsoku/>
        <w:overflowPunct/>
        <w:bidi w:val="0"/>
        <w:spacing w:line="400" w:lineRule="exact"/>
        <w:ind w:firstLine="482"/>
        <w:jc w:val="left"/>
        <w:textAlignment w:val="auto"/>
        <w:rPr>
          <w:rFonts w:hint="eastAsia" w:ascii="仿宋" w:hAnsi="仿宋" w:eastAsia="仿宋" w:cs="仿宋_GB2312"/>
          <w:color w:val="FF0000"/>
          <w:sz w:val="32"/>
          <w:szCs w:val="32"/>
          <w:lang w:val="en-US" w:eastAsia="zh-CN"/>
        </w:rPr>
      </w:pPr>
      <w:r>
        <w:rPr>
          <w:rFonts w:hint="eastAsia" w:ascii="仿宋" w:hAnsi="仿宋" w:eastAsia="仿宋" w:cs="仿宋_GB2312"/>
          <w:color w:val="FF0000"/>
          <w:sz w:val="32"/>
          <w:szCs w:val="32"/>
          <w:lang w:val="en-US" w:eastAsia="zh-CN"/>
        </w:rPr>
        <w:t>为认真贯彻落实国家和省市关于新型冠状病毒感染肺炎疫情防控重大部署，根据禹疫防办【2020】44号文件通知精神，外地来禹投标企业须提供由本人居住地社区卫生服务中心开具的有效健康证明方可进入禹州市公共资源交易中心进行投标。</w:t>
      </w:r>
    </w:p>
    <w:p>
      <w:pPr>
        <w:pStyle w:val="2"/>
      </w:pP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0"/>
        </w:numPr>
        <w:spacing w:line="520" w:lineRule="exact"/>
        <w:ind w:firstLine="723" w:firstLineChars="300"/>
        <w:rPr>
          <w:rFonts w:hint="eastAsia"/>
          <w:lang w:eastAsia="zh-CN"/>
        </w:rPr>
      </w:pPr>
      <w:r>
        <w:rPr>
          <w:rFonts w:hint="eastAsia" w:ascii="新宋体" w:hAnsi="新宋体" w:eastAsia="新宋体" w:cs="新宋体"/>
          <w:b/>
          <w:sz w:val="24"/>
          <w:szCs w:val="24"/>
          <w:lang w:eastAsia="zh-CN"/>
        </w:rPr>
        <w:t>一、</w:t>
      </w:r>
      <w:r>
        <w:rPr>
          <w:rFonts w:hint="eastAsia" w:ascii="新宋体" w:hAnsi="新宋体" w:eastAsia="新宋体" w:cs="新宋体"/>
          <w:b/>
          <w:bCs/>
          <w:sz w:val="24"/>
          <w:szCs w:val="24"/>
        </w:rPr>
        <w:t>本项目需实现的功能或者目标</w:t>
      </w:r>
      <w:r>
        <w:rPr>
          <w:rFonts w:hint="eastAsia" w:ascii="新宋体" w:hAnsi="新宋体" w:eastAsia="新宋体" w:cs="新宋体"/>
          <w:sz w:val="24"/>
          <w:szCs w:val="24"/>
          <w:lang w:eastAsia="zh-CN"/>
        </w:rPr>
        <w:t>：</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具有混凝性能好、矾花密实、沉淀速度快、净水效果明显等特点。</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有显著的脱色、除臭、除油、除磷功效，有极强的去除COD、BOD能力。</w:t>
      </w:r>
    </w:p>
    <w:p>
      <w:pPr>
        <w:widowControl/>
        <w:numPr>
          <w:ilvl w:val="0"/>
          <w:numId w:val="0"/>
        </w:numPr>
        <w:shd w:val="clear" w:color="auto" w:fill="FFFFFF"/>
        <w:spacing w:line="540" w:lineRule="exact"/>
        <w:ind w:firstLine="723" w:firstLineChars="300"/>
        <w:jc w:val="left"/>
        <w:rPr>
          <w:rFonts w:hint="eastAsia" w:ascii="仿宋" w:hAnsi="仿宋" w:eastAsia="仿宋" w:cs="宋体"/>
          <w:color w:val="000000"/>
          <w:kern w:val="0"/>
          <w:sz w:val="28"/>
          <w:szCs w:val="28"/>
        </w:rPr>
      </w:pPr>
      <w:r>
        <w:rPr>
          <w:rFonts w:hint="eastAsia" w:ascii="新宋体" w:hAnsi="新宋体" w:eastAsia="新宋体" w:cs="新宋体"/>
          <w:b/>
          <w:bCs/>
          <w:sz w:val="24"/>
          <w:szCs w:val="24"/>
          <w:lang w:eastAsia="zh-CN"/>
        </w:rPr>
        <w:t>二、</w:t>
      </w:r>
      <w:r>
        <w:rPr>
          <w:rFonts w:hint="eastAsia" w:ascii="新宋体" w:hAnsi="新宋体" w:eastAsia="新宋体" w:cs="新宋体"/>
          <w:b/>
          <w:bCs/>
          <w:sz w:val="24"/>
          <w:szCs w:val="24"/>
        </w:rPr>
        <w:t>采购清单</w:t>
      </w:r>
      <w:r>
        <w:rPr>
          <w:rFonts w:hint="eastAsia" w:ascii="新宋体" w:hAnsi="新宋体" w:eastAsia="新宋体" w:cs="新宋体"/>
          <w:b/>
          <w:bCs/>
          <w:sz w:val="24"/>
          <w:szCs w:val="24"/>
          <w:lang w:eastAsia="zh-CN"/>
        </w:rPr>
        <w:t>：</w:t>
      </w:r>
      <w:r>
        <w:rPr>
          <w:rFonts w:hint="eastAsia" w:ascii="新宋体" w:hAnsi="新宋体" w:eastAsia="新宋体" w:cs="新宋体"/>
          <w:kern w:val="2"/>
          <w:sz w:val="24"/>
          <w:szCs w:val="24"/>
          <w:lang w:val="en-US" w:eastAsia="zh-CN" w:bidi="ar-SA"/>
        </w:rPr>
        <w:t>化学除磷剂，350吨，符合规范标准</w:t>
      </w:r>
    </w:p>
    <w:tbl>
      <w:tblPr>
        <w:tblStyle w:val="23"/>
        <w:tblpPr w:leftFromText="180" w:rightFromText="180" w:vertAnchor="text" w:horzAnchor="page" w:tblpX="1822" w:tblpY="508"/>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0"/>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526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项目</w:t>
            </w:r>
          </w:p>
        </w:tc>
        <w:tc>
          <w:tcPr>
            <w:tcW w:w="390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26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密度g/cm（20℃）</w:t>
            </w:r>
            <w:r>
              <w:rPr>
                <w:rFonts w:hint="default" w:ascii="新宋体" w:hAnsi="新宋体" w:eastAsia="新宋体" w:cs="新宋体"/>
                <w:kern w:val="2"/>
                <w:sz w:val="24"/>
                <w:szCs w:val="24"/>
                <w:lang w:val="en-US" w:eastAsia="zh-CN" w:bidi="ar-SA"/>
              </w:rPr>
              <w:t>≥</w:t>
            </w:r>
          </w:p>
        </w:tc>
        <w:tc>
          <w:tcPr>
            <w:tcW w:w="390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液体1.45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5260" w:type="dxa"/>
            <w:vAlign w:val="top"/>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全铁的质量分数%</w:t>
            </w:r>
            <w:r>
              <w:rPr>
                <w:rFonts w:hint="default" w:ascii="新宋体" w:hAnsi="新宋体" w:eastAsia="新宋体" w:cs="新宋体"/>
                <w:kern w:val="2"/>
                <w:sz w:val="24"/>
                <w:szCs w:val="24"/>
                <w:lang w:val="en-US" w:eastAsia="zh-CN" w:bidi="ar-SA"/>
              </w:rPr>
              <w:t>≥</w:t>
            </w:r>
          </w:p>
        </w:tc>
        <w:tc>
          <w:tcPr>
            <w:tcW w:w="390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26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还原性物质（以Fe2+计）的质量分数%</w:t>
            </w:r>
            <w:r>
              <w:rPr>
                <w:rFonts w:hint="default" w:ascii="新宋体" w:hAnsi="新宋体" w:eastAsia="新宋体" w:cs="新宋体"/>
                <w:kern w:val="2"/>
                <w:sz w:val="24"/>
                <w:szCs w:val="24"/>
                <w:lang w:val="en-US" w:eastAsia="zh-CN" w:bidi="ar-SA"/>
              </w:rPr>
              <w:t>≤</w:t>
            </w:r>
          </w:p>
        </w:tc>
        <w:tc>
          <w:tcPr>
            <w:tcW w:w="390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26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盐基度%</w:t>
            </w:r>
          </w:p>
        </w:tc>
        <w:tc>
          <w:tcPr>
            <w:tcW w:w="390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8.0—16.0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526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不溶物的质量分数%</w:t>
            </w:r>
            <w:r>
              <w:rPr>
                <w:rFonts w:hint="default" w:ascii="新宋体" w:hAnsi="新宋体" w:eastAsia="新宋体" w:cs="新宋体"/>
                <w:kern w:val="2"/>
                <w:sz w:val="24"/>
                <w:szCs w:val="24"/>
                <w:lang w:val="en-US" w:eastAsia="zh-CN" w:bidi="ar-SA"/>
              </w:rPr>
              <w:t>≤</w:t>
            </w:r>
          </w:p>
        </w:tc>
        <w:tc>
          <w:tcPr>
            <w:tcW w:w="390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526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PH（1%水溶液）</w:t>
            </w:r>
          </w:p>
        </w:tc>
        <w:tc>
          <w:tcPr>
            <w:tcW w:w="390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526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镉（cd）的质量分数%</w:t>
            </w:r>
            <w:r>
              <w:rPr>
                <w:rFonts w:hint="default" w:ascii="新宋体" w:hAnsi="新宋体" w:eastAsia="新宋体" w:cs="新宋体"/>
                <w:kern w:val="2"/>
                <w:sz w:val="24"/>
                <w:szCs w:val="24"/>
                <w:lang w:val="en-US" w:eastAsia="zh-CN" w:bidi="ar-SA"/>
              </w:rPr>
              <w:t>≤</w:t>
            </w:r>
          </w:p>
        </w:tc>
        <w:tc>
          <w:tcPr>
            <w:tcW w:w="390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526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汞（Hg）的质量分数%</w:t>
            </w:r>
            <w:r>
              <w:rPr>
                <w:rFonts w:hint="default" w:ascii="新宋体" w:hAnsi="新宋体" w:eastAsia="新宋体" w:cs="新宋体"/>
                <w:kern w:val="2"/>
                <w:sz w:val="24"/>
                <w:szCs w:val="24"/>
                <w:lang w:val="en-US" w:eastAsia="zh-CN" w:bidi="ar-SA"/>
              </w:rPr>
              <w:t>≤</w:t>
            </w:r>
          </w:p>
        </w:tc>
        <w:tc>
          <w:tcPr>
            <w:tcW w:w="390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526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铬【Cr（VI）】的质量分数%</w:t>
            </w:r>
            <w:r>
              <w:rPr>
                <w:rFonts w:hint="default" w:ascii="新宋体" w:hAnsi="新宋体" w:eastAsia="新宋体" w:cs="新宋体"/>
                <w:kern w:val="2"/>
                <w:sz w:val="24"/>
                <w:szCs w:val="24"/>
                <w:lang w:val="en-US" w:eastAsia="zh-CN" w:bidi="ar-SA"/>
              </w:rPr>
              <w:t>≤</w:t>
            </w:r>
          </w:p>
        </w:tc>
        <w:tc>
          <w:tcPr>
            <w:tcW w:w="390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526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砷（AS）的质量分数%</w:t>
            </w:r>
            <w:r>
              <w:rPr>
                <w:rFonts w:hint="default" w:ascii="新宋体" w:hAnsi="新宋体" w:eastAsia="新宋体" w:cs="新宋体"/>
                <w:kern w:val="2"/>
                <w:sz w:val="24"/>
                <w:szCs w:val="24"/>
                <w:lang w:val="en-US" w:eastAsia="zh-CN" w:bidi="ar-SA"/>
              </w:rPr>
              <w:t>≤</w:t>
            </w:r>
          </w:p>
        </w:tc>
        <w:tc>
          <w:tcPr>
            <w:tcW w:w="390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526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铅（pb）的质量分数%</w:t>
            </w:r>
            <w:r>
              <w:rPr>
                <w:rFonts w:hint="default" w:ascii="新宋体" w:hAnsi="新宋体" w:eastAsia="新宋体" w:cs="新宋体"/>
                <w:kern w:val="2"/>
                <w:sz w:val="24"/>
                <w:szCs w:val="24"/>
                <w:lang w:val="en-US" w:eastAsia="zh-CN" w:bidi="ar-SA"/>
              </w:rPr>
              <w:t>≤</w:t>
            </w:r>
          </w:p>
        </w:tc>
        <w:tc>
          <w:tcPr>
            <w:tcW w:w="390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0.0005</w:t>
            </w:r>
          </w:p>
        </w:tc>
      </w:tr>
    </w:tbl>
    <w:p>
      <w:pPr>
        <w:pStyle w:val="62"/>
        <w:autoSpaceDN w:val="0"/>
        <w:snapToGrid w:val="0"/>
        <w:spacing w:line="360" w:lineRule="auto"/>
        <w:ind w:firstLine="482" w:firstLineChars="200"/>
        <w:textAlignment w:val="baseline"/>
        <w:rPr>
          <w:rFonts w:hint="eastAsia" w:ascii="新宋体" w:hAnsi="新宋体" w:eastAsia="新宋体" w:cs="新宋体"/>
          <w:b/>
          <w:bCs/>
          <w:sz w:val="24"/>
          <w:szCs w:val="24"/>
          <w:lang w:eastAsia="zh-CN"/>
        </w:rPr>
      </w:pPr>
    </w:p>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p>
    <w:p>
      <w:pPr>
        <w:pStyle w:val="62"/>
        <w:numPr>
          <w:ilvl w:val="0"/>
          <w:numId w:val="0"/>
        </w:numPr>
        <w:autoSpaceDN w:val="0"/>
        <w:snapToGrid w:val="0"/>
        <w:spacing w:line="360" w:lineRule="auto"/>
        <w:ind w:firstLine="482"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b/>
          <w:bCs/>
          <w:sz w:val="24"/>
          <w:szCs w:val="24"/>
          <w:lang w:val="en-US" w:eastAsia="zh-CN"/>
        </w:rPr>
        <w:t>三、</w:t>
      </w:r>
      <w:r>
        <w:rPr>
          <w:rFonts w:hint="eastAsia" w:ascii="新宋体" w:hAnsi="新宋体" w:eastAsia="新宋体" w:cs="新宋体"/>
          <w:b/>
          <w:bCs/>
          <w:sz w:val="24"/>
          <w:szCs w:val="24"/>
        </w:rPr>
        <w:t>采购标的执行标准：</w:t>
      </w:r>
      <w:r>
        <w:rPr>
          <w:rFonts w:hint="eastAsia" w:ascii="新宋体" w:hAnsi="新宋体" w:eastAsia="新宋体" w:cs="新宋体"/>
          <w:kern w:val="2"/>
          <w:sz w:val="24"/>
          <w:szCs w:val="24"/>
          <w:lang w:val="en-US" w:eastAsia="zh-CN" w:bidi="ar-SA"/>
        </w:rPr>
        <w:t>产品指标符合GB14591—2006《水处理剂聚合硫酸铁》国家标准。</w:t>
      </w:r>
    </w:p>
    <w:p>
      <w:pPr>
        <w:pStyle w:val="62"/>
        <w:autoSpaceDN w:val="0"/>
        <w:snapToGrid w:val="0"/>
        <w:spacing w:line="360" w:lineRule="auto"/>
        <w:ind w:firstLine="482" w:firstLineChars="200"/>
        <w:textAlignment w:val="baseline"/>
        <w:rPr>
          <w:rFonts w:hint="eastAsia" w:ascii="新宋体" w:hAnsi="新宋体" w:eastAsia="新宋体" w:cs="新宋体"/>
          <w:sz w:val="24"/>
          <w:szCs w:val="24"/>
          <w:lang w:eastAsia="zh-CN"/>
        </w:rPr>
      </w:pPr>
      <w:r>
        <w:rPr>
          <w:rFonts w:hint="eastAsia" w:ascii="新宋体" w:hAnsi="新宋体" w:eastAsia="新宋体" w:cs="新宋体"/>
          <w:b/>
          <w:bCs/>
          <w:sz w:val="24"/>
          <w:szCs w:val="24"/>
          <w:lang w:eastAsia="zh-CN"/>
        </w:rPr>
        <w:t>四、</w:t>
      </w:r>
      <w:r>
        <w:rPr>
          <w:rFonts w:hint="eastAsia" w:ascii="新宋体" w:hAnsi="新宋体" w:eastAsia="新宋体" w:cs="新宋体"/>
          <w:b/>
          <w:bCs/>
          <w:sz w:val="24"/>
          <w:szCs w:val="24"/>
        </w:rPr>
        <w:t>服务标准、期限、效率等要求</w:t>
      </w:r>
      <w:r>
        <w:rPr>
          <w:rFonts w:hint="eastAsia" w:ascii="新宋体" w:hAnsi="新宋体" w:eastAsia="新宋体" w:cs="新宋体"/>
          <w:sz w:val="24"/>
          <w:szCs w:val="24"/>
        </w:rPr>
        <w:t>：</w:t>
      </w:r>
      <w:r>
        <w:rPr>
          <w:rFonts w:hint="eastAsia" w:ascii="新宋体" w:hAnsi="新宋体" w:eastAsia="新宋体" w:cs="新宋体"/>
          <w:sz w:val="24"/>
          <w:szCs w:val="24"/>
          <w:lang w:eastAsia="zh-CN"/>
        </w:rPr>
        <w:t>满足</w:t>
      </w:r>
      <w:r>
        <w:rPr>
          <w:rFonts w:hint="eastAsia" w:ascii="新宋体" w:hAnsi="新宋体" w:eastAsia="新宋体" w:cs="新宋体"/>
          <w:sz w:val="24"/>
          <w:szCs w:val="24"/>
        </w:rPr>
        <w:t>业主需求</w:t>
      </w:r>
      <w:r>
        <w:rPr>
          <w:rFonts w:hint="eastAsia" w:ascii="新宋体" w:hAnsi="新宋体" w:eastAsia="新宋体" w:cs="新宋体"/>
          <w:sz w:val="24"/>
          <w:szCs w:val="24"/>
          <w:lang w:eastAsia="zh-CN"/>
        </w:rPr>
        <w:t>。</w:t>
      </w:r>
    </w:p>
    <w:p>
      <w:pPr>
        <w:spacing w:line="52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五、</w:t>
      </w:r>
      <w:r>
        <w:rPr>
          <w:rFonts w:hint="eastAsia" w:ascii="新宋体" w:hAnsi="新宋体" w:eastAsia="新宋体" w:cs="新宋体"/>
          <w:b/>
          <w:bCs/>
          <w:sz w:val="24"/>
          <w:szCs w:val="24"/>
        </w:rPr>
        <w:t>验收标准</w:t>
      </w:r>
    </w:p>
    <w:p>
      <w:pPr>
        <w:spacing w:line="5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5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1、按照国家相关标准、行业标准、地方标准或其他标准、规范验收（与采购标的的执行标准一致，选填）。</w:t>
      </w:r>
    </w:p>
    <w:p>
      <w:pPr>
        <w:spacing w:line="5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2、按照招标文件要求、投标文件响应和承诺验收。</w:t>
      </w:r>
    </w:p>
    <w:p>
      <w:pPr>
        <w:spacing w:line="52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lang w:eastAsia="zh-CN"/>
        </w:rPr>
        <w:t>六、</w:t>
      </w:r>
      <w:r>
        <w:rPr>
          <w:rFonts w:hint="eastAsia" w:ascii="新宋体" w:hAnsi="新宋体" w:eastAsia="新宋体" w:cs="新宋体"/>
          <w:b/>
          <w:sz w:val="24"/>
          <w:szCs w:val="24"/>
        </w:rPr>
        <w:t>特别提示：</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、本招标文件所列需求为最低要求，投标产品不得低于最低要求，否则为无效投标。</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、投标人应就该项目完整投标，否则为无效投标。</w:t>
      </w:r>
    </w:p>
    <w:p>
      <w:pPr>
        <w:tabs>
          <w:tab w:val="left" w:pos="5963"/>
        </w:tabs>
        <w:spacing w:line="420" w:lineRule="exact"/>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、产品必须符合国家质量检测标准和本招标文件规定标准的全新正品现货，供货时须提供随货物《产品合格证》</w:t>
      </w:r>
      <w:r>
        <w:rPr>
          <w:rFonts w:hint="eastAsia" w:ascii="新宋体" w:hAnsi="新宋体" w:eastAsia="新宋体" w:cs="新宋体"/>
          <w:sz w:val="24"/>
          <w:szCs w:val="24"/>
          <w:lang w:eastAsia="zh-CN"/>
        </w:rPr>
        <w:t>。</w:t>
      </w:r>
    </w:p>
    <w:p>
      <w:pPr>
        <w:spacing w:line="420" w:lineRule="exact"/>
        <w:rPr>
          <w:rFonts w:hint="eastAsia" w:ascii="新宋体" w:hAnsi="新宋体" w:eastAsia="新宋体" w:cs="新宋体"/>
          <w:sz w:val="24"/>
          <w:szCs w:val="24"/>
        </w:rPr>
      </w:pPr>
      <w:r>
        <w:rPr>
          <w:rFonts w:hint="eastAsia" w:ascii="新宋体" w:hAnsi="新宋体" w:eastAsia="新宋体" w:cs="新宋体"/>
          <w:sz w:val="24"/>
          <w:szCs w:val="24"/>
        </w:rPr>
        <w:t>　　</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、投标商必须由法定代表人或其授权代表参加开标会议，随时接受谈判小组询问，并予作出书面解答。</w:t>
      </w:r>
    </w:p>
    <w:p>
      <w:pPr>
        <w:wordWrap w:val="0"/>
        <w:topLinePunct/>
        <w:autoSpaceDE w:val="0"/>
        <w:autoSpaceDN w:val="0"/>
        <w:adjustRightInd w:val="0"/>
        <w:snapToGrid w:val="0"/>
        <w:spacing w:line="360" w:lineRule="auto"/>
        <w:ind w:firstLine="482"/>
        <w:rPr>
          <w:rFonts w:hint="eastAsia" w:ascii="新宋体" w:hAnsi="新宋体" w:eastAsia="新宋体" w:cs="新宋体"/>
          <w:bCs/>
          <w:color w:val="FF0000"/>
          <w:sz w:val="24"/>
          <w:szCs w:val="24"/>
          <w:lang w:val="zh-CN"/>
        </w:rPr>
      </w:pPr>
      <w:r>
        <w:rPr>
          <w:rFonts w:hint="eastAsia" w:ascii="新宋体" w:hAnsi="新宋体" w:eastAsia="新宋体" w:cs="新宋体"/>
          <w:bCs/>
          <w:color w:val="FF0000"/>
          <w:sz w:val="24"/>
          <w:szCs w:val="24"/>
          <w:lang w:val="en-US" w:eastAsia="zh-CN"/>
        </w:rPr>
        <w:t>5</w:t>
      </w:r>
      <w:r>
        <w:rPr>
          <w:rFonts w:hint="eastAsia" w:ascii="新宋体" w:hAnsi="新宋体" w:eastAsia="新宋体" w:cs="新宋体"/>
          <w:bCs/>
          <w:color w:val="FF0000"/>
          <w:sz w:val="24"/>
          <w:szCs w:val="24"/>
          <w:lang w:val="zh-CN"/>
        </w:rPr>
        <w:t>、采购人确定中标人后，中标人须向禹州市政府采购中心发送投标报价及分项报价（如果货物需求中有分项的话）一览表电子档，并同时通知采购中心。邮箱：</w:t>
      </w:r>
      <w:r>
        <w:rPr>
          <w:rFonts w:hint="eastAsia" w:ascii="新宋体" w:hAnsi="新宋体" w:eastAsia="新宋体" w:cs="新宋体"/>
          <w:color w:val="FF0000"/>
          <w:sz w:val="24"/>
          <w:szCs w:val="24"/>
        </w:rPr>
        <w:t>yzggzy2076770@163.com</w:t>
      </w:r>
    </w:p>
    <w:p>
      <w:pPr>
        <w:widowControl/>
        <w:shd w:val="clear" w:color="auto" w:fill="FFFFFF"/>
        <w:spacing w:line="360" w:lineRule="auto"/>
        <w:ind w:firstLine="6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、付款方式：</w:t>
      </w:r>
    </w:p>
    <w:p>
      <w:pPr>
        <w:tabs>
          <w:tab w:val="left" w:pos="5963"/>
        </w:tabs>
        <w:spacing w:line="420" w:lineRule="exact"/>
        <w:ind w:firstLine="560" w:firstLineChars="200"/>
        <w:rPr>
          <w:rFonts w:hint="eastAsia" w:ascii="新宋体" w:hAnsi="新宋体" w:eastAsia="新宋体" w:cs="新宋体"/>
          <w:sz w:val="24"/>
          <w:szCs w:val="24"/>
          <w:lang w:val="en-US" w:eastAsia="zh-CN"/>
        </w:rPr>
      </w:pPr>
      <w:r>
        <w:rPr>
          <w:rFonts w:hint="eastAsia" w:ascii="仿宋" w:hAnsi="仿宋" w:eastAsia="仿宋" w:cs="宋体"/>
          <w:color w:val="000000"/>
          <w:kern w:val="0"/>
          <w:sz w:val="28"/>
          <w:szCs w:val="28"/>
        </w:rPr>
        <w:t>（</w:t>
      </w:r>
      <w:r>
        <w:rPr>
          <w:rFonts w:hint="eastAsia" w:ascii="新宋体" w:hAnsi="新宋体" w:eastAsia="新宋体" w:cs="新宋体"/>
          <w:sz w:val="24"/>
          <w:szCs w:val="24"/>
        </w:rPr>
        <w:t>一）支付方式：</w:t>
      </w:r>
      <w:r>
        <w:rPr>
          <w:rFonts w:hint="eastAsia" w:ascii="新宋体" w:hAnsi="新宋体" w:eastAsia="新宋体" w:cs="新宋体"/>
          <w:sz w:val="24"/>
          <w:szCs w:val="24"/>
          <w:lang w:eastAsia="zh-CN"/>
        </w:rPr>
        <w:t>货到付款</w:t>
      </w:r>
    </w:p>
    <w:p>
      <w:pPr>
        <w:tabs>
          <w:tab w:val="left" w:pos="5963"/>
        </w:tabs>
        <w:spacing w:line="420" w:lineRule="exact"/>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rPr>
        <w:t>（二）支付时间及条件：</w:t>
      </w:r>
      <w:r>
        <w:rPr>
          <w:rFonts w:hint="eastAsia" w:ascii="新宋体" w:hAnsi="新宋体" w:eastAsia="新宋体" w:cs="新宋体"/>
          <w:sz w:val="24"/>
          <w:szCs w:val="24"/>
          <w:lang w:eastAsia="zh-CN"/>
        </w:rPr>
        <w:t>收到货物验收合格</w:t>
      </w:r>
    </w:p>
    <w:p>
      <w:pPr>
        <w:tabs>
          <w:tab w:val="left" w:pos="5963"/>
        </w:tabs>
        <w:spacing w:line="420" w:lineRule="exact"/>
        <w:ind w:firstLine="480" w:firstLineChars="200"/>
        <w:rPr>
          <w:rFonts w:hint="eastAsia" w:ascii="新宋体" w:hAnsi="新宋体" w:eastAsia="新宋体" w:cs="新宋体"/>
          <w:sz w:val="24"/>
          <w:szCs w:val="24"/>
        </w:rPr>
      </w:pPr>
    </w:p>
    <w:p>
      <w:pPr>
        <w:pStyle w:val="2"/>
        <w:ind w:firstLine="340"/>
        <w:rPr>
          <w:rFonts w:hint="eastAsia" w:ascii="新宋体" w:hAnsi="新宋体" w:eastAsia="新宋体" w:cs="新宋体"/>
          <w:sz w:val="24"/>
          <w:szCs w:val="24"/>
        </w:rPr>
      </w:pPr>
    </w:p>
    <w:p>
      <w:pPr>
        <w:pStyle w:val="2"/>
        <w:ind w:firstLine="340"/>
        <w:rPr>
          <w:rFonts w:hint="eastAsia" w:ascii="新宋体" w:hAnsi="新宋体" w:eastAsia="新宋体" w:cs="新宋体"/>
          <w:sz w:val="24"/>
          <w:szCs w:val="24"/>
        </w:rPr>
      </w:pPr>
    </w:p>
    <w:p>
      <w:pPr>
        <w:pStyle w:val="2"/>
        <w:ind w:left="0" w:leftChars="0" w:firstLine="0" w:firstLineChars="0"/>
      </w:pPr>
    </w:p>
    <w:p>
      <w:pPr>
        <w:pStyle w:val="2"/>
        <w:ind w:left="0" w:leftChars="0" w:firstLine="0" w:firstLineChars="0"/>
      </w:pPr>
    </w:p>
    <w:p>
      <w:pPr>
        <w:pStyle w:val="2"/>
        <w:ind w:left="0" w:leftChars="0" w:firstLine="0" w:firstLineChars="0"/>
      </w:pPr>
    </w:p>
    <w:p>
      <w:pPr>
        <w:numPr>
          <w:ilvl w:val="0"/>
          <w:numId w:val="0"/>
        </w:numPr>
        <w:autoSpaceDE w:val="0"/>
        <w:autoSpaceDN w:val="0"/>
        <w:adjustRightInd w:val="0"/>
        <w:ind w:firstLine="1928" w:firstLineChars="6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第三章     </w:t>
      </w:r>
      <w:r>
        <w:rPr>
          <w:rFonts w:hint="eastAsia" w:cs="宋体" w:asciiTheme="majorEastAsia" w:hAnsiTheme="majorEastAsia" w:eastAsiaTheme="majorEastAsia"/>
          <w:b/>
          <w:kern w:val="0"/>
          <w:sz w:val="32"/>
          <w:szCs w:val="32"/>
        </w:rPr>
        <w:t>供应商须知前附表</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lang w:eastAsia="zh-CN"/>
              </w:rPr>
            </w:pPr>
            <w:r>
              <w:rPr>
                <w:rFonts w:hint="eastAsia"/>
              </w:rPr>
              <w:t>项目名称：禹州市</w:t>
            </w:r>
            <w:r>
              <w:rPr>
                <w:rFonts w:hint="eastAsia"/>
                <w:lang w:eastAsia="zh-CN"/>
              </w:rPr>
              <w:t>污水净化公司聚合硫酸铁采购项目（二次）</w:t>
            </w:r>
          </w:p>
          <w:p>
            <w:pPr>
              <w:autoSpaceDE w:val="0"/>
              <w:autoSpaceDN w:val="0"/>
              <w:adjustRightInd w:val="0"/>
              <w:spacing w:line="360" w:lineRule="auto"/>
              <w:jc w:val="left"/>
              <w:rPr>
                <w:rFonts w:hint="default" w:eastAsiaTheme="minorEastAsia"/>
                <w:lang w:val="en-US" w:eastAsia="zh-CN"/>
              </w:rPr>
            </w:pPr>
            <w:r>
              <w:rPr>
                <w:rFonts w:hint="eastAsia"/>
              </w:rPr>
              <w:t>项目编号：YZCG-T20</w:t>
            </w:r>
            <w:r>
              <w:rPr>
                <w:rFonts w:hint="eastAsia"/>
                <w:lang w:val="en-US" w:eastAsia="zh-CN"/>
              </w:rPr>
              <w:t>20005-1</w:t>
            </w:r>
          </w:p>
          <w:p>
            <w:pPr>
              <w:autoSpaceDE w:val="0"/>
              <w:autoSpaceDN w:val="0"/>
              <w:adjustRightInd w:val="0"/>
              <w:spacing w:line="360" w:lineRule="auto"/>
              <w:jc w:val="left"/>
              <w:rPr>
                <w:rFonts w:hint="eastAsia"/>
                <w:lang w:eastAsia="zh-CN"/>
              </w:rPr>
            </w:pPr>
            <w:r>
              <w:rPr>
                <w:rFonts w:hint="eastAsia"/>
                <w:lang w:eastAsia="zh-CN"/>
              </w:rPr>
              <w:t>工期：按需求方要求供货</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lang w:eastAsia="zh-CN"/>
              </w:rPr>
              <w:t>项目地址：</w:t>
            </w:r>
            <w:r>
              <w:rPr>
                <w:rFonts w:hint="eastAsia"/>
              </w:rPr>
              <w:t>禹州市</w:t>
            </w:r>
            <w:r>
              <w:rPr>
                <w:rFonts w:hint="eastAsia"/>
                <w:lang w:eastAsia="zh-CN"/>
              </w:rPr>
              <w:t>污水净化公司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rPr>
              <w:t>禹州市</w:t>
            </w:r>
            <w:r>
              <w:rPr>
                <w:rFonts w:hint="eastAsia"/>
                <w:lang w:eastAsia="zh-CN"/>
              </w:rPr>
              <w:t>污水净化公司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王女士</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联系电话：</w:t>
            </w:r>
            <w:r>
              <w:rPr>
                <w:rFonts w:hint="eastAsia" w:cs="仿宋_GB2312" w:asciiTheme="minorEastAsia" w:hAnsiTheme="minorEastAsia"/>
                <w:szCs w:val="21"/>
                <w:lang w:val="en-US" w:eastAsia="zh-CN"/>
              </w:rPr>
              <w:t>8130767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付</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 xml:space="preserve">本项目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28</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rPr>
            </w:pPr>
            <w:r>
              <w:rPr>
                <w:rFonts w:hint="eastAsia" w:cs="宋体" w:asciiTheme="minorEastAsia" w:hAnsiTheme="minorEastAsia"/>
                <w:bCs/>
                <w:szCs w:val="21"/>
                <w:lang w:val="zh-CN"/>
              </w:rPr>
              <w:t>2020年</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 xml:space="preserve">月 </w:t>
            </w:r>
            <w:r>
              <w:rPr>
                <w:rFonts w:hint="eastAsia" w:cs="宋体" w:asciiTheme="minorEastAsia" w:hAnsiTheme="minorEastAsia"/>
                <w:bCs/>
                <w:szCs w:val="21"/>
                <w:lang w:val="en-US" w:eastAsia="zh-CN"/>
              </w:rPr>
              <w:t>18</w:t>
            </w:r>
            <w:r>
              <w:rPr>
                <w:rFonts w:hint="eastAsia" w:cs="宋体" w:asciiTheme="minorEastAsia" w:hAnsiTheme="minorEastAsia"/>
                <w:bCs/>
                <w:szCs w:val="21"/>
                <w:lang w:val="zh-CN"/>
              </w:rPr>
              <w:t xml:space="preserve">日 </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eastAsia="zh-CN"/>
              </w:rPr>
              <w:t>不缴纳。</w:t>
            </w:r>
          </w:p>
          <w:p>
            <w:pPr>
              <w:autoSpaceDE w:val="0"/>
              <w:autoSpaceDN w:val="0"/>
              <w:adjustRightInd w:val="0"/>
              <w:spacing w:line="276" w:lineRule="auto"/>
              <w:rPr>
                <w:rFonts w:cs="仿宋_GB2312" w:asciiTheme="minorEastAsia" w:hAnsiTheme="minorEastAsia"/>
                <w:szCs w:val="21"/>
                <w:lang w:val="zh-CN"/>
              </w:rPr>
            </w:pPr>
            <w:r>
              <w:rPr>
                <w:rFonts w:hint="eastAsia" w:cs="宋体" w:asciiTheme="minorEastAsia" w:hAnsiTheme="minorEastAsia"/>
                <w:bCs/>
                <w:szCs w:val="21"/>
                <w:lang w:val="en-US" w:eastAsia="zh-CN"/>
              </w:rPr>
              <w:t>2、</w:t>
            </w:r>
            <w:r>
              <w:rPr>
                <w:rFonts w:hint="eastAsia" w:cs="宋体" w:asciiTheme="minorEastAsia" w:hAnsiTheme="minorEastAsia"/>
                <w:bCs/>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仿宋_GB2312" w:asciiTheme="minorEastAsia" w:hAnsiTheme="minorEastAsia"/>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的3%</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ascii="新宋体" w:hAnsi="新宋体" w:eastAsia="新宋体" w:cs="新宋体"/>
                <w:color w:val="FF0000"/>
                <w:sz w:val="24"/>
                <w:szCs w:val="24"/>
              </w:rPr>
              <w:t>yzggzy</w:t>
            </w:r>
            <w:r>
              <w:rPr>
                <w:rFonts w:hint="eastAsia" w:cs="宋体" w:asciiTheme="minorEastAsia" w:hAnsiTheme="minorEastAsia"/>
                <w:bCs/>
                <w:color w:val="FF0000"/>
                <w:sz w:val="24"/>
                <w:szCs w:val="24"/>
              </w:rPr>
              <w:t>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集中采购机构除收取标书费用外，不收取费用</w:t>
      </w:r>
      <w:r>
        <w:rPr>
          <w:rFonts w:hint="eastAsia" w:cs="宋体" w:asciiTheme="minorEastAsia" w:hAnsiTheme="minorEastAsia"/>
          <w:kern w:val="0"/>
          <w:szCs w:val="21"/>
        </w:rPr>
        <w:t>。</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2、如“谈判邀请函</w:t>
      </w:r>
      <w:r>
        <w:rPr>
          <w:rFonts w:cs="宋体" w:asciiTheme="minorEastAsia" w:hAnsiTheme="minorEastAsia"/>
          <w:kern w:val="0"/>
          <w:szCs w:val="21"/>
        </w:rPr>
        <w:t>”</w:t>
      </w:r>
      <w:r>
        <w:rPr>
          <w:rFonts w:hint="eastAsia" w:cs="宋体" w:asciiTheme="minorEastAsia" w:hAnsiTheme="minorEastAsia"/>
          <w:kern w:val="0"/>
          <w:szCs w:val="21"/>
        </w:rPr>
        <w:t>中“谈判截止时间及谈判时间”和“投标人须知前附表”中</w:t>
      </w:r>
      <w:r>
        <w:rPr>
          <w:rFonts w:hint="eastAsia" w:ascii="黑体" w:hAnsi="黑体" w:eastAsia="黑体" w:cs="Arial"/>
          <w:color w:val="000000"/>
          <w:kern w:val="0"/>
          <w:sz w:val="32"/>
          <w:szCs w:val="32"/>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 xml:space="preserve">谈判保证金  </w:t>
      </w:r>
    </w:p>
    <w:p>
      <w:pPr>
        <w:pStyle w:val="44"/>
        <w:numPr>
          <w:ilvl w:val="0"/>
          <w:numId w:val="0"/>
        </w:numPr>
        <w:autoSpaceDE w:val="0"/>
        <w:autoSpaceDN w:val="0"/>
        <w:spacing w:line="360" w:lineRule="auto"/>
        <w:ind w:leftChars="0"/>
        <w:contextualSpacing/>
        <w:rPr>
          <w:rFonts w:hint="eastAsia" w:cs="宋体" w:asciiTheme="minorEastAsia" w:hAnsiTheme="minorEastAsia"/>
          <w:b/>
          <w:kern w:val="0"/>
          <w:szCs w:val="21"/>
        </w:rPr>
      </w:pPr>
      <w:r>
        <w:rPr>
          <w:rFonts w:hint="eastAsia" w:cs="宋体" w:asciiTheme="minorEastAsia" w:hAnsiTheme="minorEastAsia"/>
          <w:b/>
          <w:kern w:val="0"/>
          <w:szCs w:val="21"/>
          <w:lang w:val="en-US" w:eastAsia="zh-CN"/>
        </w:rPr>
        <w:t xml:space="preserve">16.1  </w:t>
      </w:r>
      <w:r>
        <w:rPr>
          <w:rFonts w:hint="eastAsia" w:cs="宋体" w:asciiTheme="minorEastAsia" w:hAnsiTheme="minorEastAsia"/>
          <w:b/>
          <w:kern w:val="0"/>
          <w:szCs w:val="21"/>
        </w:rPr>
        <w:t>不缴纳</w:t>
      </w:r>
    </w:p>
    <w:p>
      <w:pPr>
        <w:pStyle w:val="44"/>
        <w:numPr>
          <w:ilvl w:val="0"/>
          <w:numId w:val="0"/>
        </w:numPr>
        <w:autoSpaceDE w:val="0"/>
        <w:autoSpaceDN w:val="0"/>
        <w:spacing w:line="360" w:lineRule="auto"/>
        <w:ind w:leftChars="0"/>
        <w:contextualSpacing/>
        <w:rPr>
          <w:rFonts w:hint="default" w:cs="宋体" w:asciiTheme="minorEastAsia" w:hAnsiTheme="minorEastAsia" w:eastAsiaTheme="minorEastAsia"/>
          <w:b/>
          <w:kern w:val="0"/>
          <w:szCs w:val="21"/>
          <w:lang w:val="en-US" w:eastAsia="zh-CN"/>
        </w:rPr>
      </w:pPr>
      <w:r>
        <w:rPr>
          <w:rFonts w:hint="eastAsia" w:cs="宋体" w:asciiTheme="minorEastAsia" w:hAnsiTheme="minorEastAsia"/>
          <w:b/>
          <w:kern w:val="0"/>
          <w:szCs w:val="21"/>
          <w:lang w:val="en-US" w:eastAsia="zh-CN"/>
        </w:rPr>
        <w:t>16.2  投标人须提供投标承诺函</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17.1</w:t>
      </w:r>
      <w:r>
        <w:rPr>
          <w:rFonts w:hint="eastAsia" w:cs="宋体" w:asciiTheme="minorEastAsia" w:hAnsiTheme="minorEastAsia"/>
          <w:kern w:val="0"/>
          <w:szCs w:val="21"/>
        </w:rPr>
        <w:t>供应商应提交响应文件份数见“供应商须知前附表”。</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10"/>
        </w:numPr>
        <w:autoSpaceDE w:val="0"/>
        <w:autoSpaceDN w:val="0"/>
        <w:spacing w:line="360" w:lineRule="auto"/>
        <w:ind w:firstLineChars="0"/>
        <w:contextualSpacing/>
        <w:rPr>
          <w:rFonts w:ascii="ˎ̥" w:hAnsi="ˎ̥"/>
          <w:vanish/>
        </w:rPr>
      </w:pP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4"/>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响应文件内容模糊不清，无法辨认的；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28.1.6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0"/>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rPr>
        <w:t>提出3</w:t>
      </w:r>
      <w:r>
        <w:rPr>
          <w:rFonts w:ascii="ˎ̥" w:hAnsi="ˎ̥"/>
        </w:rPr>
        <w:t>名成交候选人，并编写评审报告。</w:t>
      </w:r>
    </w:p>
    <w:p>
      <w:pPr>
        <w:tabs>
          <w:tab w:val="left" w:pos="1260"/>
        </w:tabs>
        <w:autoSpaceDE w:val="0"/>
        <w:autoSpaceDN w:val="0"/>
        <w:spacing w:line="360" w:lineRule="auto"/>
        <w:contextualSpacing/>
        <w:rPr>
          <w:rFonts w:cs="宋体" w:asciiTheme="minorEastAsia" w:hAnsiTheme="minorEastAsia"/>
          <w:b/>
          <w:kern w:val="0"/>
          <w:szCs w:val="21"/>
        </w:rPr>
      </w:pPr>
    </w:p>
    <w:p>
      <w:pPr>
        <w:numPr>
          <w:ilvl w:val="0"/>
          <w:numId w:val="15"/>
        </w:num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确定成交供应商和授予合同</w:t>
      </w:r>
    </w:p>
    <w:p>
      <w:pPr>
        <w:tabs>
          <w:tab w:val="left" w:pos="1260"/>
        </w:tabs>
        <w:autoSpaceDE w:val="0"/>
        <w:autoSpaceDN w:val="0"/>
        <w:spacing w:line="360" w:lineRule="auto"/>
        <w:contextualSpacing/>
        <w:rPr>
          <w:rFonts w:cs="宋体" w:asciiTheme="minorEastAsia" w:hAnsiTheme="minorEastAsia"/>
          <w:b/>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19"/>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eastAsia="zh-CN"/>
              </w:rPr>
              <w:t>不收取</w:t>
            </w:r>
          </w:p>
          <w:p>
            <w:pPr>
              <w:spacing w:line="360" w:lineRule="auto"/>
              <w:rPr>
                <w:rFonts w:hint="eastAsia"/>
                <w:lang w:eastAsia="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0"/>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cs="宋体" w:asciiTheme="majorEastAsia" w:hAnsiTheme="majorEastAsia" w:eastAsiaTheme="majorEastAsia"/>
          <w:b/>
          <w:kern w:val="0"/>
          <w:sz w:val="32"/>
          <w:szCs w:val="32"/>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6"/>
        <w:spacing w:after="156" w:line="500" w:lineRule="exact"/>
        <w:rPr>
          <w:rFonts w:ascii="仿宋" w:hAnsi="仿宋" w:eastAsia="仿宋"/>
          <w:szCs w:val="24"/>
        </w:rPr>
      </w:pPr>
      <w:bookmarkStart w:id="0" w:name="_Toc354922980"/>
      <w:bookmarkStart w:id="1" w:name="_Toc326060505"/>
      <w:bookmarkStart w:id="2" w:name="_Toc354923119"/>
      <w:bookmarkStart w:id="3" w:name="_Toc364457259"/>
      <w:bookmarkStart w:id="4" w:name="_Toc354404029"/>
      <w:bookmarkStart w:id="5" w:name="_Toc357868214"/>
      <w:bookmarkStart w:id="6" w:name="_Toc356744034"/>
      <w:bookmarkStart w:id="7" w:name="_Toc355649942"/>
      <w:bookmarkStart w:id="8" w:name="_Toc329278149"/>
      <w:r>
        <w:rPr>
          <w:rFonts w:hint="eastAsia" w:ascii="仿宋" w:hAnsi="仿宋" w:eastAsia="仿宋"/>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1、合同文件及解释顺序</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合同文件组成及解释顺序:       按照通用条款执行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2、语言文字和适用法律、标准及规范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2．1本合同除使用汉语外，还使用       无                  语言文字。</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2．2适用法律和法规</w:t>
      </w:r>
    </w:p>
    <w:p>
      <w:pPr>
        <w:spacing w:line="500" w:lineRule="exact"/>
        <w:ind w:firstLine="482"/>
        <w:rPr>
          <w:rFonts w:cs="宋体" w:asciiTheme="minorEastAsia" w:hAnsiTheme="minorEastAsia"/>
          <w:kern w:val="0"/>
          <w:szCs w:val="21"/>
        </w:rPr>
      </w:pPr>
      <w:r>
        <w:rPr>
          <w:rFonts w:hint="eastAsia" w:cs="宋体" w:asciiTheme="minorEastAsia" w:hAnsiTheme="minorEastAsia"/>
          <w:kern w:val="0"/>
          <w:szCs w:val="21"/>
        </w:rPr>
        <w:t>需要明示的法律、行政法规:  国家及省、市的法律、法规、规章、规范性文件及协议条款约定的规章。</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2．3适用标准、规范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适用标准、规范的名称:</w:t>
      </w:r>
    </w:p>
    <w:p>
      <w:pPr>
        <w:numPr>
          <w:ilvl w:val="1"/>
          <w:numId w:val="21"/>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工程设计要求</w:t>
      </w:r>
    </w:p>
    <w:p>
      <w:pPr>
        <w:numPr>
          <w:ilvl w:val="1"/>
          <w:numId w:val="21"/>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国家、河南省、许昌市现行有关工程的施工及验收规定、规程和标准</w:t>
      </w:r>
    </w:p>
    <w:p>
      <w:pPr>
        <w:numPr>
          <w:ilvl w:val="1"/>
          <w:numId w:val="21"/>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对不在规范验评范围内项目，执行设计院、制造厂家或发包人和承包人双方议定的补充技术标准及本标书的施工技术要求；</w:t>
      </w:r>
    </w:p>
    <w:p>
      <w:pPr>
        <w:numPr>
          <w:ilvl w:val="1"/>
          <w:numId w:val="21"/>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新材料、新工艺必须具有省级以上行业主管部门技术鉴定并须征得发包人和监理单位同意。</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发包人提供标准、规范的时间: 无。</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国内没有相应标准、规范时的约定: 由承包人提供并经发包人和设计单位认可后执行。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3、图纸</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3．1发包人向承包人提供图纸日期和套数: 合同约定。</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 2发包人对图纸的保密要求: 施工图纸应保密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3. 3使用国外图纸的要求及费用承担:  无  </w:t>
      </w:r>
    </w:p>
    <w:p>
      <w:pPr>
        <w:pStyle w:val="6"/>
        <w:spacing w:after="156" w:line="500" w:lineRule="exact"/>
        <w:rPr>
          <w:rFonts w:cs="宋体" w:asciiTheme="minorEastAsia" w:hAnsiTheme="minorEastAsia" w:eastAsiaTheme="minorEastAsia"/>
          <w:sz w:val="21"/>
          <w:szCs w:val="21"/>
          <w:lang w:val="en-US"/>
        </w:rPr>
      </w:pPr>
      <w:bookmarkStart w:id="9" w:name="_Toc326060506"/>
      <w:bookmarkStart w:id="10" w:name="_Toc357868215"/>
      <w:bookmarkStart w:id="11" w:name="_Toc364457260"/>
      <w:bookmarkStart w:id="12" w:name="_Toc354923120"/>
      <w:bookmarkStart w:id="13" w:name="_Toc329278150"/>
      <w:bookmarkStart w:id="14" w:name="_Toc355649943"/>
      <w:bookmarkStart w:id="15" w:name="_Toc354404030"/>
      <w:bookmarkStart w:id="16" w:name="_Toc354922981"/>
      <w:bookmarkStart w:id="17" w:name="_Toc356744035"/>
      <w:r>
        <w:rPr>
          <w:rFonts w:hint="eastAsia" w:cs="宋体" w:asciiTheme="minorEastAsia" w:hAnsiTheme="minorEastAsia" w:eastAsiaTheme="minorEastAsia"/>
          <w:sz w:val="21"/>
          <w:szCs w:val="21"/>
          <w:lang w:val="en-US"/>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4．1监理单位委派的工程师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pStyle w:val="60"/>
        <w:spacing w:line="500" w:lineRule="exact"/>
        <w:ind w:left="0" w:right="9" w:firstLine="420" w:firstLineChars="200"/>
        <w:rPr>
          <w:rFonts w:cs="宋体" w:asciiTheme="minorEastAsia" w:hAnsiTheme="minorEastAsia"/>
          <w:sz w:val="21"/>
          <w:szCs w:val="21"/>
        </w:rPr>
      </w:pPr>
      <w:r>
        <w:rPr>
          <w:rFonts w:hint="eastAsia" w:cs="宋体" w:asciiTheme="minorEastAsia" w:hAnsiTheme="minorEastAsia"/>
          <w:sz w:val="21"/>
          <w:szCs w:val="21"/>
        </w:rPr>
        <w:t>发包人委托的职权: 按《建设工程监理规范》(GB50319-2000)执行</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4．2发包人派驻的工程师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职权: 全权负责施工现场的管理和协调工作，并代表发包人对施工中所用材料(设备)的质量进行检验。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4．3不实行监理的，工程师的职权: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5．项目经理(建造师)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姓名:  (中标项目经理/建造师)      职务:  (待定)  _</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6、发包人工作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6．1发包人应按约定的时间和要求完成以下工作: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(1)施工场地具备施工条件的要求及完成的时间： 合同签订后7日内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(3)施工场地与道路的通道开通时间和要求: 已具备。</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(4)工程地质和地下管线资料的提供时间：合同签订日。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(5)由发包人办理的施工所需证件、批件的名称和完成时间:  合同开工日期前，由承包方负责办理进场的相关手续，发包方配合。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(6)水准点与坐标控制点交验要求：合同开工日期前7天。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(7)图纸会审和设计交底时间: 合同开工日期前7天。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(8)双方约定发包人应做的其他工作：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6．2发包人委托承包人办理的工作：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7．承包人工作</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招标范围，具体有招标人与中标人协商                    。</w:t>
      </w:r>
    </w:p>
    <w:p>
      <w:pPr>
        <w:pStyle w:val="14"/>
        <w:spacing w:line="500" w:lineRule="exact"/>
        <w:ind w:left="338" w:leftChars="86" w:hanging="157" w:hangingChars="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7．1承包人应按约定时间和要求，完成以下工作:</w:t>
      </w:r>
    </w:p>
    <w:p>
      <w:pPr>
        <w:pStyle w:val="14"/>
        <w:numPr>
          <w:ilvl w:val="0"/>
          <w:numId w:val="22"/>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需自设计资质等级和业务范围允许的承包人完成的设计文件提交时间：          无      </w:t>
      </w:r>
    </w:p>
    <w:p>
      <w:pPr>
        <w:pStyle w:val="14"/>
        <w:numPr>
          <w:ilvl w:val="0"/>
          <w:numId w:val="22"/>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应提供计划、报表的名称及完成时间:</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开工前7日提交施工组织设计、总进度计划、施工机械和人员使用计划、主要材料供应计划。</w:t>
      </w:r>
    </w:p>
    <w:p>
      <w:pPr>
        <w:pStyle w:val="14"/>
        <w:numPr>
          <w:ilvl w:val="0"/>
          <w:numId w:val="22"/>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承担施工安全保卫工作及非夜间施工照明的责任和要求:设专职安全保卫人员和安全防护设施，负责施工现场安全保卫，费用自理。</w:t>
      </w:r>
    </w:p>
    <w:p>
      <w:pPr>
        <w:pStyle w:val="14"/>
        <w:numPr>
          <w:ilvl w:val="0"/>
          <w:numId w:val="22"/>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向发包人提供的办公和生活房屋及设施的要求:  无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需承包人办理的有关施工场地交通、住建、环卫和施工噪音管理等手续: 按照国家、省、市、县有关规定执行。</w:t>
      </w:r>
    </w:p>
    <w:p>
      <w:pPr>
        <w:pStyle w:val="14"/>
        <w:numPr>
          <w:ilvl w:val="0"/>
          <w:numId w:val="22"/>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完工工程成品保护的特殊要求及费用承担:由承包人负责。</w:t>
      </w:r>
    </w:p>
    <w:p>
      <w:pPr>
        <w:pStyle w:val="14"/>
        <w:numPr>
          <w:ilvl w:val="0"/>
          <w:numId w:val="22"/>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2"/>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施工现场清洁卫生的要求：按通用条款，保证每日清理，符合当地有关文明施工的规定，费用由承包方承担。</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(10)按计划完成施工任务。</w:t>
      </w:r>
    </w:p>
    <w:p>
      <w:pPr>
        <w:pStyle w:val="6"/>
        <w:spacing w:after="156" w:line="500" w:lineRule="exact"/>
        <w:rPr>
          <w:rFonts w:cs="宋体" w:asciiTheme="minorEastAsia" w:hAnsiTheme="minorEastAsia" w:eastAsiaTheme="minorEastAsia"/>
          <w:sz w:val="21"/>
          <w:szCs w:val="21"/>
          <w:lang w:val="en-US"/>
        </w:rPr>
      </w:pPr>
      <w:bookmarkStart w:id="18" w:name="_Toc326060507"/>
      <w:bookmarkStart w:id="19" w:name="_Toc354923121"/>
      <w:bookmarkStart w:id="20" w:name="_Toc354922982"/>
      <w:bookmarkStart w:id="21" w:name="_Toc356744036"/>
      <w:bookmarkStart w:id="22" w:name="_Toc357868216"/>
      <w:bookmarkStart w:id="23" w:name="_Toc364457261"/>
      <w:bookmarkStart w:id="24" w:name="_Toc329278151"/>
      <w:bookmarkStart w:id="25" w:name="_Toc354404031"/>
      <w:bookmarkStart w:id="26" w:name="_Toc355649944"/>
      <w:r>
        <w:rPr>
          <w:rFonts w:hint="eastAsia" w:cs="宋体" w:asciiTheme="minorEastAsia" w:hAnsiTheme="minorEastAsia" w:eastAsiaTheme="minorEastAsia"/>
          <w:sz w:val="21"/>
          <w:szCs w:val="21"/>
          <w:lang w:val="en-US"/>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8．进度计划</w:t>
      </w:r>
    </w:p>
    <w:p>
      <w:pPr>
        <w:pStyle w:val="14"/>
        <w:spacing w:line="500" w:lineRule="exact"/>
        <w:ind w:left="1012" w:leftChars="258" w:hanging="470" w:hanging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8．1承包人提供施工组织设计(施工方案)和进度计划的时间：合同开工日期前7天。工程师确认的时间：7个工作日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8.2群体工程中有关进度计划的要求：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8.3如发包人需要调整施工顺序时，承包人应无条件响应，额外发生的费用视为已包含在合同价内。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9．工期延误</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9.2由于承包人的原因造成工期延误，每延迟一天扣除工程款的     ‰。</w:t>
      </w:r>
    </w:p>
    <w:p>
      <w:pPr>
        <w:pStyle w:val="6"/>
        <w:spacing w:after="156" w:line="500" w:lineRule="exact"/>
        <w:rPr>
          <w:rFonts w:cs="宋体" w:asciiTheme="minorEastAsia" w:hAnsiTheme="minorEastAsia" w:eastAsiaTheme="minorEastAsia"/>
          <w:sz w:val="21"/>
          <w:szCs w:val="21"/>
          <w:lang w:val="en-US"/>
        </w:rPr>
      </w:pPr>
      <w:bookmarkStart w:id="27" w:name="_Toc354923122"/>
      <w:bookmarkStart w:id="28" w:name="_Toc357868217"/>
      <w:bookmarkStart w:id="29" w:name="_Toc329278152"/>
      <w:bookmarkStart w:id="30" w:name="_Toc354404032"/>
      <w:bookmarkStart w:id="31" w:name="_Toc354922983"/>
      <w:bookmarkStart w:id="32" w:name="_Toc355649945"/>
      <w:bookmarkStart w:id="33" w:name="_Toc326060508"/>
      <w:bookmarkStart w:id="34" w:name="_Toc364457262"/>
      <w:bookmarkStart w:id="35" w:name="_Toc356744037"/>
      <w:r>
        <w:rPr>
          <w:rFonts w:hint="eastAsia" w:cs="宋体" w:asciiTheme="minorEastAsia" w:hAnsiTheme="minorEastAsia" w:eastAsiaTheme="minorEastAsia"/>
          <w:sz w:val="21"/>
          <w:szCs w:val="21"/>
          <w:lang w:val="en-US"/>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10．隐蔽工程验收和执行规范及适用范围</w:t>
      </w:r>
    </w:p>
    <w:p>
      <w:pPr>
        <w:pStyle w:val="14"/>
        <w:numPr>
          <w:ilvl w:val="1"/>
          <w:numId w:val="23"/>
        </w:numPr>
        <w:spacing w:line="500" w:lineRule="exact"/>
        <w:ind w:hanging="27"/>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双方约定隐蔽工程验收部位：按照国家施工及验收规范要求的执行。</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10.2 适用范围：使用于本项目工程施工。</w:t>
      </w:r>
    </w:p>
    <w:p>
      <w:pPr>
        <w:pStyle w:val="6"/>
        <w:spacing w:after="156" w:line="500" w:lineRule="exact"/>
        <w:rPr>
          <w:rFonts w:cs="宋体" w:asciiTheme="minorEastAsia" w:hAnsiTheme="minorEastAsia" w:eastAsiaTheme="minorEastAsia"/>
          <w:sz w:val="21"/>
          <w:szCs w:val="21"/>
          <w:lang w:val="en-US"/>
        </w:rPr>
      </w:pPr>
      <w:bookmarkStart w:id="36" w:name="_Toc356744038"/>
      <w:bookmarkStart w:id="37" w:name="_Toc355649946"/>
      <w:bookmarkStart w:id="38" w:name="_Toc354404033"/>
      <w:bookmarkStart w:id="39" w:name="_Toc354922984"/>
      <w:bookmarkStart w:id="40" w:name="_Toc357868218"/>
      <w:bookmarkStart w:id="41" w:name="_Toc326060509"/>
      <w:bookmarkStart w:id="42" w:name="_Toc329278153"/>
      <w:bookmarkStart w:id="43" w:name="_Toc354923123"/>
      <w:bookmarkStart w:id="44" w:name="_Toc364457263"/>
      <w:r>
        <w:rPr>
          <w:rFonts w:hint="eastAsia" w:cs="宋体" w:asciiTheme="minorEastAsia" w:hAnsiTheme="minorEastAsia" w:eastAsiaTheme="minorEastAsia"/>
          <w:sz w:val="21"/>
          <w:szCs w:val="21"/>
          <w:lang w:val="en-US"/>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按合同文本通用条款执行</w:t>
      </w:r>
    </w:p>
    <w:p>
      <w:pPr>
        <w:pStyle w:val="6"/>
        <w:spacing w:after="156" w:line="500" w:lineRule="exact"/>
        <w:rPr>
          <w:rFonts w:cs="宋体" w:asciiTheme="minorEastAsia" w:hAnsiTheme="minorEastAsia" w:eastAsiaTheme="minorEastAsia"/>
          <w:sz w:val="21"/>
          <w:szCs w:val="21"/>
          <w:lang w:val="en-US"/>
        </w:rPr>
      </w:pPr>
      <w:bookmarkStart w:id="45" w:name="_Toc354922985"/>
      <w:bookmarkStart w:id="46" w:name="_Toc354923124"/>
      <w:bookmarkStart w:id="47" w:name="_Toc364457264"/>
      <w:bookmarkStart w:id="48" w:name="_Toc355649947"/>
      <w:bookmarkStart w:id="49" w:name="_Toc356744039"/>
      <w:bookmarkStart w:id="50" w:name="_Toc354404034"/>
      <w:bookmarkStart w:id="51" w:name="_Toc329278154"/>
      <w:bookmarkStart w:id="52" w:name="_Toc326060510"/>
      <w:bookmarkStart w:id="53" w:name="_Toc357868219"/>
      <w:r>
        <w:rPr>
          <w:rFonts w:hint="eastAsia" w:cs="宋体" w:asciiTheme="minorEastAsia" w:hAnsiTheme="minorEastAsia" w:eastAsiaTheme="minorEastAsia"/>
          <w:sz w:val="21"/>
          <w:szCs w:val="21"/>
          <w:lang w:val="en-US"/>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11．合同价款及调整</w:t>
      </w:r>
    </w:p>
    <w:p>
      <w:pPr>
        <w:pStyle w:val="14"/>
        <w:spacing w:line="360" w:lineRule="auto"/>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当发生下列情况时，合同价可作调整：</w:t>
      </w:r>
    </w:p>
    <w:p>
      <w:pPr>
        <w:pStyle w:val="14"/>
        <w:numPr>
          <w:ilvl w:val="2"/>
          <w:numId w:val="24"/>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发包人相应部门签证后报主管领导批准后的工程变更及工程洽商；</w:t>
      </w:r>
    </w:p>
    <w:p>
      <w:pPr>
        <w:pStyle w:val="14"/>
        <w:numPr>
          <w:ilvl w:val="2"/>
          <w:numId w:val="24"/>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暂估价项目、暂估材料设备及发包人指定的产品价在实际发生前由发包人认可后，按实际发生予以调整，仅计取税金；</w:t>
      </w:r>
    </w:p>
    <w:p>
      <w:pPr>
        <w:pStyle w:val="14"/>
        <w:numPr>
          <w:ilvl w:val="2"/>
          <w:numId w:val="24"/>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发包人提供的地下管网、地下构筑物等资料与现场实际情况不符，而引起的工程处理费用增加，据实调整；</w:t>
      </w:r>
    </w:p>
    <w:p>
      <w:pPr>
        <w:pStyle w:val="14"/>
        <w:numPr>
          <w:ilvl w:val="2"/>
          <w:numId w:val="24"/>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法律、行政法规和国家有关政策变化影响合同价款。</w:t>
      </w:r>
    </w:p>
    <w:p>
      <w:pPr>
        <w:pStyle w:val="14"/>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11．2合同价款调整原则及方法：</w:t>
      </w:r>
    </w:p>
    <w:p>
      <w:pPr>
        <w:numPr>
          <w:ilvl w:val="0"/>
          <w:numId w:val="25"/>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增减工程量清单按11.1执行；</w:t>
      </w:r>
    </w:p>
    <w:p>
      <w:pPr>
        <w:numPr>
          <w:ilvl w:val="0"/>
          <w:numId w:val="25"/>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5"/>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cs="宋体" w:asciiTheme="minorEastAsia" w:hAnsiTheme="minorEastAsia"/>
          <w:sz w:val="21"/>
        </w:rPr>
      </w:pPr>
      <w:r>
        <w:rPr>
          <w:rFonts w:hint="eastAsia" w:cs="宋体" w:asciiTheme="minorEastAsia" w:hAnsiTheme="minorEastAsia"/>
          <w:sz w:val="21"/>
        </w:rPr>
        <w:t>11．3双方约定合同价款的其他调整因素: 双方协商解决。</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12．工程付款</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12．1工程款的支付方式：采取银行转帐结算的形式，由项目所属单位支付；</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12．2设计变更和现场经济签证引起的费用在拨付进度款时暂不予考虑。</w:t>
      </w:r>
    </w:p>
    <w:p>
      <w:pPr>
        <w:pStyle w:val="14"/>
        <w:spacing w:line="500" w:lineRule="exact"/>
        <w:ind w:firstLine="577" w:firstLineChars="2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13.工程量增减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cs="宋体" w:asciiTheme="minorEastAsia" w:hAnsiTheme="minorEastAsia"/>
          <w:kern w:val="0"/>
          <w:szCs w:val="21"/>
        </w:rPr>
      </w:pPr>
      <w:r>
        <w:rPr>
          <w:rFonts w:hint="eastAsia" w:cs="宋体" w:asciiTheme="minorEastAsia" w:hAnsiTheme="minorEastAsia"/>
          <w:kern w:val="0"/>
          <w:szCs w:val="21"/>
        </w:rPr>
        <w:t>14. 投标报价</w:t>
      </w:r>
    </w:p>
    <w:p>
      <w:pPr>
        <w:spacing w:line="500" w:lineRule="exact"/>
        <w:ind w:firstLine="454"/>
        <w:rPr>
          <w:rFonts w:cs="宋体" w:asciiTheme="minorEastAsia" w:hAnsiTheme="minorEastAsia"/>
          <w:kern w:val="0"/>
          <w:szCs w:val="21"/>
        </w:rPr>
      </w:pPr>
      <w:r>
        <w:rPr>
          <w:rFonts w:hint="eastAsia" w:cs="宋体" w:asciiTheme="minorEastAsia" w:hAnsiTheme="minorEastAsia"/>
          <w:kern w:val="0"/>
          <w:szCs w:val="21"/>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cs="宋体" w:asciiTheme="minorEastAsia" w:hAnsiTheme="minorEastAsia"/>
          <w:kern w:val="0"/>
          <w:szCs w:val="21"/>
        </w:rPr>
      </w:pPr>
      <w:r>
        <w:rPr>
          <w:rFonts w:hint="eastAsia" w:cs="宋体" w:asciiTheme="minorEastAsia" w:hAnsiTheme="minorEastAsia"/>
          <w:kern w:val="0"/>
          <w:szCs w:val="21"/>
        </w:rPr>
        <w:t xml:space="preserve">    14.3 投标人只能提出一个不变价格，招标人不接受任何选择价。</w:t>
      </w:r>
    </w:p>
    <w:p>
      <w:pPr>
        <w:pStyle w:val="6"/>
        <w:spacing w:after="156" w:line="500" w:lineRule="exact"/>
        <w:rPr>
          <w:rFonts w:cs="宋体" w:asciiTheme="minorEastAsia" w:hAnsiTheme="minorEastAsia" w:eastAsiaTheme="minorEastAsia"/>
          <w:sz w:val="21"/>
          <w:szCs w:val="21"/>
          <w:lang w:val="en-US"/>
        </w:rPr>
      </w:pPr>
      <w:bookmarkStart w:id="54" w:name="_Toc354404035"/>
      <w:bookmarkStart w:id="55" w:name="_Toc354923125"/>
      <w:bookmarkStart w:id="56" w:name="_Toc329278155"/>
      <w:bookmarkStart w:id="57" w:name="_Toc354922986"/>
      <w:bookmarkStart w:id="58" w:name="_Toc357868220"/>
      <w:bookmarkStart w:id="59" w:name="_Toc364457265"/>
      <w:bookmarkStart w:id="60" w:name="_Toc356744040"/>
      <w:bookmarkStart w:id="61" w:name="_Toc355649948"/>
      <w:bookmarkStart w:id="62" w:name="_Toc326060511"/>
      <w:r>
        <w:rPr>
          <w:rFonts w:hint="eastAsia" w:cs="宋体" w:asciiTheme="minorEastAsia" w:hAnsiTheme="minorEastAsia" w:eastAsiaTheme="minorEastAsia"/>
          <w:sz w:val="21"/>
          <w:szCs w:val="21"/>
          <w:lang w:val="en-US"/>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15．竣工验收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15．1承包人提供竣工图的约定：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15．2中间交工工程的范围和竣工时间：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15．3竣工结算：审减金额超过报审金额10%时，超过部分审计费用由施工单位承担，并承担一定的违约责任。</w:t>
      </w:r>
    </w:p>
    <w:p>
      <w:pPr>
        <w:pStyle w:val="14"/>
        <w:spacing w:line="500" w:lineRule="exact"/>
        <w:ind w:firstLine="472" w:firstLineChars="225"/>
        <w:rPr>
          <w:rFonts w:cs="宋体" w:asciiTheme="minorEastAsia" w:hAnsiTheme="minorEastAsia" w:eastAsiaTheme="minorEastAsia"/>
          <w:kern w:val="0"/>
          <w:sz w:val="21"/>
          <w:szCs w:val="21"/>
        </w:rPr>
      </w:pPr>
    </w:p>
    <w:p>
      <w:pPr>
        <w:pStyle w:val="6"/>
        <w:spacing w:after="156" w:line="500" w:lineRule="exact"/>
        <w:rPr>
          <w:rFonts w:cs="宋体" w:asciiTheme="minorEastAsia" w:hAnsiTheme="minorEastAsia" w:eastAsiaTheme="minorEastAsia"/>
          <w:sz w:val="21"/>
          <w:szCs w:val="21"/>
          <w:lang w:val="en-US"/>
        </w:rPr>
      </w:pPr>
      <w:bookmarkStart w:id="63" w:name="_Toc364457266"/>
      <w:bookmarkStart w:id="64" w:name="_Toc329278156"/>
      <w:bookmarkStart w:id="65" w:name="_Toc354922987"/>
      <w:bookmarkStart w:id="66" w:name="_Toc357868221"/>
      <w:bookmarkStart w:id="67" w:name="_Toc326060512"/>
      <w:bookmarkStart w:id="68" w:name="_Toc354404036"/>
      <w:bookmarkStart w:id="69" w:name="_Toc354923126"/>
      <w:bookmarkStart w:id="70" w:name="_Toc355649949"/>
      <w:bookmarkStart w:id="71" w:name="_Toc356744041"/>
      <w:r>
        <w:rPr>
          <w:rFonts w:hint="eastAsia" w:cs="宋体" w:asciiTheme="minorEastAsia" w:hAnsiTheme="minorEastAsia" w:eastAsiaTheme="minorEastAsia"/>
          <w:sz w:val="21"/>
          <w:szCs w:val="21"/>
          <w:lang w:val="en-US"/>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16．违约</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16．1本合同中关于发包人违约的具体责任如下，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本合同通用条款第24条约定发包人违约应承担的违约责任：甲方根据实际情况决定采取处罚措施。</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本合同通用条款第26.4款约定发包人违约应承担的违约责任: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本合同通用条款第33.3款约定发包人违约应承担的违约责任: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双方约定的发包人其他违约责任: 见补充条款。</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16．2本合同中关于承包人违约的具体责任如下: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本合同通用条款第14.2款约定承包人违约承担的违约责任: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本合同通用条款第15.1款约定承包人违约应承担的违约责任: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双方约定的承包人其他违约责任: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17．争议</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17．1双方约定，在履行合同过程中产生争议时:</w:t>
      </w:r>
    </w:p>
    <w:p>
      <w:pPr>
        <w:pStyle w:val="14"/>
        <w:numPr>
          <w:ilvl w:val="0"/>
          <w:numId w:val="26"/>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双方本着友好协商方式解决。</w:t>
      </w:r>
    </w:p>
    <w:p>
      <w:pPr>
        <w:pStyle w:val="14"/>
        <w:numPr>
          <w:ilvl w:val="0"/>
          <w:numId w:val="26"/>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协商不成的，向  工程所在地  人民法院提起诉讼。</w:t>
      </w:r>
    </w:p>
    <w:p>
      <w:pPr>
        <w:pStyle w:val="6"/>
        <w:spacing w:after="156" w:line="500" w:lineRule="exact"/>
        <w:rPr>
          <w:rFonts w:cs="宋体" w:asciiTheme="minorEastAsia" w:hAnsiTheme="minorEastAsia" w:eastAsiaTheme="minorEastAsia"/>
          <w:sz w:val="21"/>
          <w:szCs w:val="21"/>
          <w:lang w:val="en-US"/>
        </w:rPr>
      </w:pPr>
      <w:bookmarkStart w:id="72" w:name="_Toc354923127"/>
      <w:bookmarkStart w:id="73" w:name="_Toc364457267"/>
      <w:bookmarkStart w:id="74" w:name="_Toc326060513"/>
      <w:bookmarkStart w:id="75" w:name="_Toc354922988"/>
      <w:bookmarkStart w:id="76" w:name="_Toc357868222"/>
      <w:bookmarkStart w:id="77" w:name="_Toc329278157"/>
      <w:bookmarkStart w:id="78" w:name="_Toc356744042"/>
      <w:bookmarkStart w:id="79" w:name="_Toc355649950"/>
      <w:bookmarkStart w:id="80" w:name="_Toc354404037"/>
      <w:r>
        <w:rPr>
          <w:rFonts w:hint="eastAsia" w:cs="宋体" w:asciiTheme="minorEastAsia" w:hAnsiTheme="minorEastAsia" w:eastAsiaTheme="minorEastAsia"/>
          <w:sz w:val="21"/>
          <w:szCs w:val="21"/>
          <w:lang w:val="en-US"/>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18．工程分包</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18．1本工程主体工程不允许分包。其他配套专业若确需分包，分包商须经得发包人同意。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19．不可抗力</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 xml:space="preserve">19．1双方关于不可抗力的约定:  所发生的工期相应顺延，但涉及的费用根据国家有关规定由双方分担。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20．保险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20．1本工程双方约定投保内容如下:</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(l)发包人投保内容: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发包人委托承包人办理的保险事项: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(2)承包人投保内容: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21．担保</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21．1本工程双方约定担保事项如下: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(l)发包人向承包人提供履约担保，担保方式为:    (待定)     担保合同作为本合同附件。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(3)双方约定的其他担保事项: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22．合同份数</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22．1双方约定合同副本份数:正本2份，副本4份</w:t>
      </w:r>
    </w:p>
    <w:p>
      <w:pPr>
        <w:pStyle w:val="14"/>
        <w:spacing w:line="500" w:lineRule="exact"/>
        <w:ind w:firstLine="470" w:firstLine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23．补充条款</w:t>
      </w:r>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审减金额超过报审金额10%时，超过部分审计费用由施工单位承担，并承担一定的违约责任。</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24．其他未尽事宜由双方协商后确定：</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(1)若承包方未达到双方约定的工程质量要求，承担其由此产生的一切责任。</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(2)经甲乙双方签字盖章后方可生效。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spacing w:line="360" w:lineRule="auto"/>
        <w:jc w:val="center"/>
        <w:outlineLvl w:val="1"/>
        <w:rPr>
          <w:rFonts w:cs="宋体" w:asciiTheme="minorEastAsia" w:hAnsiTheme="minorEastAsia"/>
          <w:kern w:val="0"/>
          <w:szCs w:val="21"/>
        </w:rPr>
      </w:pPr>
      <w:r>
        <w:rPr>
          <w:rFonts w:hint="eastAsia" w:cs="宋体" w:asciiTheme="minorEastAsia" w:hAnsiTheme="minorEastAsia"/>
          <w:kern w:val="0"/>
          <w:szCs w:val="21"/>
        </w:rPr>
        <w:br w:type="page"/>
      </w:r>
    </w:p>
    <w:p>
      <w:pPr>
        <w:spacing w:line="440" w:lineRule="exact"/>
        <w:ind w:firstLine="482" w:firstLineChars="200"/>
        <w:jc w:val="center"/>
        <w:rPr>
          <w:rFonts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1．本协议书与下列文件一起构成合同文件：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(l)中标通知书；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(2)投标函及投标函附录；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(3)专用合同条款；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(4)通用合同条款；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(5)技术标准和要求；</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 已标价的工程量清单；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(7)图纸；</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(8)其他合同文件。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2．上述文件互相补充和解释，如有不明确或不一致之处，以合同约定次序在先者为准。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3．签约合同价：人民币(大写)                元(￥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4．承包人项目经理(建造师)：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5．工程质量符合                     标准。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6．承包人承诺按合同约定承担工程的实施、完成及缺陷修复。</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7．发包人承诺按合同约定的条件、时间和方式向承包人支付合同价款。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8．承包人应按照监理人指示开工，工期为      日历天。</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9．本协议书一式     份，合同双方各执      份。</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10.双方签字盖章后生效。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11．合同未尽事宜，双方另行签订补充协议。补充协议是合同的组成部分。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发包人：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承包人：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pStyle w:val="2"/>
        <w:ind w:firstLine="340"/>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3570" w:firstLineChars="1700"/>
        <w:rPr>
          <w:rFonts w:ascii="宋体" w:hAnsi="宋体"/>
          <w:b/>
          <w:bCs/>
          <w:color w:val="000000"/>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cs="黑体" w:asciiTheme="minorEastAsia" w:hAnsiTheme="minorEastAsia"/>
          <w:b/>
          <w:bCs/>
          <w:sz w:val="44"/>
          <w:szCs w:val="44"/>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675"/>
        <w:gridCol w:w="1160"/>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1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0000000000000000000"/>
    <w:charset w:val="00"/>
    <w:family w:val="decorative"/>
    <w:pitch w:val="default"/>
    <w:sig w:usb0="00000000" w:usb1="00000000" w:usb2="00000000" w:usb3="00000000" w:csb0="00000001" w:csb1="00000000"/>
  </w:font>
  <w:font w:name="仿宋_GB2312">
    <w:altName w:val="仿宋"/>
    <w:panose1 w:val="02010609030101010101"/>
    <w:charset w:val="86"/>
    <w:family w:val="roman"/>
    <w:pitch w:val="default"/>
    <w:sig w:usb0="00000000" w:usb1="00000000" w:usb2="0000000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00000013"/>
    <w:multiLevelType w:val="singleLevel"/>
    <w:tmpl w:val="00000013"/>
    <w:lvl w:ilvl="0" w:tentative="0">
      <w:start w:val="17"/>
      <w:numFmt w:val="decimal"/>
      <w:suff w:val="nothing"/>
      <w:lvlText w:val="%1、"/>
      <w:lvlJc w:val="left"/>
    </w:lvl>
  </w:abstractNum>
  <w:abstractNum w:abstractNumId="9">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tentative="0">
      <w:start w:val="6"/>
      <w:numFmt w:val="chineseCounting"/>
      <w:suff w:val="nothing"/>
      <w:lvlText w:val="%1、"/>
      <w:lvlJc w:val="left"/>
      <w:rPr>
        <w:rFonts w:hint="eastAsia"/>
      </w:rPr>
    </w:lvl>
  </w:abstractNum>
  <w:abstractNum w:abstractNumId="11">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F817E8"/>
    <w:multiLevelType w:val="singleLevel"/>
    <w:tmpl w:val="59F817E8"/>
    <w:lvl w:ilvl="0" w:tentative="0">
      <w:start w:val="1"/>
      <w:numFmt w:val="chineseCounting"/>
      <w:pStyle w:val="54"/>
      <w:suff w:val="nothing"/>
      <w:lvlText w:val="%1、"/>
      <w:lvlJc w:val="left"/>
    </w:lvl>
  </w:abstractNum>
  <w:abstractNum w:abstractNumId="2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21"/>
  </w:num>
  <w:num w:numId="4">
    <w:abstractNumId w:val="1"/>
  </w:num>
  <w:num w:numId="5">
    <w:abstractNumId w:val="18"/>
  </w:num>
  <w:num w:numId="6">
    <w:abstractNumId w:val="22"/>
  </w:num>
  <w:num w:numId="7">
    <w:abstractNumId w:val="16"/>
  </w:num>
  <w:num w:numId="8">
    <w:abstractNumId w:val="11"/>
  </w:num>
  <w:num w:numId="9">
    <w:abstractNumId w:val="17"/>
  </w:num>
  <w:num w:numId="10">
    <w:abstractNumId w:val="19"/>
  </w:num>
  <w:num w:numId="11">
    <w:abstractNumId w:val="25"/>
  </w:num>
  <w:num w:numId="12">
    <w:abstractNumId w:val="15"/>
  </w:num>
  <w:num w:numId="13">
    <w:abstractNumId w:val="12"/>
  </w:num>
  <w:num w:numId="14">
    <w:abstractNumId w:val="23"/>
  </w:num>
  <w:num w:numId="15">
    <w:abstractNumId w:val="10"/>
  </w:num>
  <w:num w:numId="16">
    <w:abstractNumId w:val="20"/>
  </w:num>
  <w:num w:numId="17">
    <w:abstractNumId w:val="14"/>
  </w:num>
  <w:num w:numId="18">
    <w:abstractNumId w:val="24"/>
  </w:num>
  <w:num w:numId="19">
    <w:abstractNumId w:val="26"/>
  </w:num>
  <w:num w:numId="20">
    <w:abstractNumId w:val="0"/>
  </w:num>
  <w:num w:numId="21">
    <w:abstractNumId w:val="4"/>
  </w:num>
  <w:num w:numId="22">
    <w:abstractNumId w:val="8"/>
  </w:num>
  <w:num w:numId="23">
    <w:abstractNumId w:val="5"/>
  </w:num>
  <w:num w:numId="24">
    <w:abstractNumId w:val="7"/>
  </w:num>
  <w:num w:numId="25">
    <w:abstractNumId w:val="3"/>
  </w:num>
  <w:num w:numId="26">
    <w:abstractNumId w:val="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63E2"/>
    <w:rsid w:val="00077FF3"/>
    <w:rsid w:val="0008053A"/>
    <w:rsid w:val="00081B52"/>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1B4D"/>
    <w:rsid w:val="00322774"/>
    <w:rsid w:val="00332254"/>
    <w:rsid w:val="00333113"/>
    <w:rsid w:val="00333AAE"/>
    <w:rsid w:val="00334874"/>
    <w:rsid w:val="00335C32"/>
    <w:rsid w:val="00336815"/>
    <w:rsid w:val="00337D9B"/>
    <w:rsid w:val="00341BE1"/>
    <w:rsid w:val="00343D66"/>
    <w:rsid w:val="00344EE8"/>
    <w:rsid w:val="00345108"/>
    <w:rsid w:val="00345B36"/>
    <w:rsid w:val="00345E09"/>
    <w:rsid w:val="00347BAF"/>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7BB"/>
    <w:rsid w:val="005119C1"/>
    <w:rsid w:val="00512E1D"/>
    <w:rsid w:val="00513627"/>
    <w:rsid w:val="00515E0C"/>
    <w:rsid w:val="00520172"/>
    <w:rsid w:val="00523927"/>
    <w:rsid w:val="00523928"/>
    <w:rsid w:val="00525B29"/>
    <w:rsid w:val="00526033"/>
    <w:rsid w:val="00526360"/>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4698E"/>
    <w:rsid w:val="00651415"/>
    <w:rsid w:val="006518A6"/>
    <w:rsid w:val="00653408"/>
    <w:rsid w:val="00664B3B"/>
    <w:rsid w:val="006674B6"/>
    <w:rsid w:val="0066760C"/>
    <w:rsid w:val="00670DA1"/>
    <w:rsid w:val="00671218"/>
    <w:rsid w:val="00672CEE"/>
    <w:rsid w:val="0067402F"/>
    <w:rsid w:val="006744B2"/>
    <w:rsid w:val="006775C1"/>
    <w:rsid w:val="006775DE"/>
    <w:rsid w:val="00680403"/>
    <w:rsid w:val="006811AB"/>
    <w:rsid w:val="00681601"/>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4425"/>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7CA1"/>
    <w:rsid w:val="007D14C6"/>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27464"/>
    <w:rsid w:val="00932A01"/>
    <w:rsid w:val="00932BA0"/>
    <w:rsid w:val="009332CB"/>
    <w:rsid w:val="0093402B"/>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16A"/>
    <w:rsid w:val="00BD3AFF"/>
    <w:rsid w:val="00BE2307"/>
    <w:rsid w:val="00BE5347"/>
    <w:rsid w:val="00BF1DA5"/>
    <w:rsid w:val="00BF21E1"/>
    <w:rsid w:val="00BF7823"/>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6E0"/>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5B20A45"/>
    <w:rsid w:val="064E7C45"/>
    <w:rsid w:val="06F049E2"/>
    <w:rsid w:val="07BF5E31"/>
    <w:rsid w:val="07C815ED"/>
    <w:rsid w:val="07F96DEB"/>
    <w:rsid w:val="08D81C3A"/>
    <w:rsid w:val="08ED0258"/>
    <w:rsid w:val="08EF08AA"/>
    <w:rsid w:val="09097ED2"/>
    <w:rsid w:val="09611AE5"/>
    <w:rsid w:val="09B61E03"/>
    <w:rsid w:val="09E74862"/>
    <w:rsid w:val="0A1E34A8"/>
    <w:rsid w:val="0A335D9D"/>
    <w:rsid w:val="0A4B727F"/>
    <w:rsid w:val="0A962F1E"/>
    <w:rsid w:val="0AD81D4C"/>
    <w:rsid w:val="0AED524D"/>
    <w:rsid w:val="0B042130"/>
    <w:rsid w:val="0B391354"/>
    <w:rsid w:val="0B502FD2"/>
    <w:rsid w:val="0BCA6449"/>
    <w:rsid w:val="0C8637F8"/>
    <w:rsid w:val="0CAE7D79"/>
    <w:rsid w:val="0CE7384B"/>
    <w:rsid w:val="0DAC0795"/>
    <w:rsid w:val="0E1D453B"/>
    <w:rsid w:val="0E211F8B"/>
    <w:rsid w:val="0E335042"/>
    <w:rsid w:val="0E7F2542"/>
    <w:rsid w:val="0EA30502"/>
    <w:rsid w:val="0EAD333C"/>
    <w:rsid w:val="0ED93001"/>
    <w:rsid w:val="0F492F98"/>
    <w:rsid w:val="10060191"/>
    <w:rsid w:val="100B4F00"/>
    <w:rsid w:val="10C20E4B"/>
    <w:rsid w:val="110E6C6E"/>
    <w:rsid w:val="115665C0"/>
    <w:rsid w:val="115D39B8"/>
    <w:rsid w:val="11A50019"/>
    <w:rsid w:val="122C725F"/>
    <w:rsid w:val="123F74DC"/>
    <w:rsid w:val="128E3D8E"/>
    <w:rsid w:val="12E50F51"/>
    <w:rsid w:val="13BF63D1"/>
    <w:rsid w:val="13FD3B91"/>
    <w:rsid w:val="14214638"/>
    <w:rsid w:val="143F6CA5"/>
    <w:rsid w:val="149819C8"/>
    <w:rsid w:val="14D058A3"/>
    <w:rsid w:val="15444E7F"/>
    <w:rsid w:val="15E8716E"/>
    <w:rsid w:val="15EE44D7"/>
    <w:rsid w:val="15F146D6"/>
    <w:rsid w:val="16B051B6"/>
    <w:rsid w:val="175E24E1"/>
    <w:rsid w:val="17894CA4"/>
    <w:rsid w:val="17B078B6"/>
    <w:rsid w:val="18C216D0"/>
    <w:rsid w:val="18F61CE6"/>
    <w:rsid w:val="195E6397"/>
    <w:rsid w:val="197B011F"/>
    <w:rsid w:val="198F1D07"/>
    <w:rsid w:val="19DB09FD"/>
    <w:rsid w:val="1A50262B"/>
    <w:rsid w:val="1A6D388D"/>
    <w:rsid w:val="1A907281"/>
    <w:rsid w:val="1B1C3903"/>
    <w:rsid w:val="1B70335D"/>
    <w:rsid w:val="1B933962"/>
    <w:rsid w:val="1BC27E34"/>
    <w:rsid w:val="1C317F37"/>
    <w:rsid w:val="1C3312D7"/>
    <w:rsid w:val="1C527EEE"/>
    <w:rsid w:val="1CB36692"/>
    <w:rsid w:val="1D8C4188"/>
    <w:rsid w:val="1D90357B"/>
    <w:rsid w:val="1EAC0576"/>
    <w:rsid w:val="1F457DEB"/>
    <w:rsid w:val="1F4F76D7"/>
    <w:rsid w:val="1F5E25BF"/>
    <w:rsid w:val="204C3CC9"/>
    <w:rsid w:val="20ED0E50"/>
    <w:rsid w:val="20FF154F"/>
    <w:rsid w:val="21DF17AC"/>
    <w:rsid w:val="22B643D4"/>
    <w:rsid w:val="2301785C"/>
    <w:rsid w:val="23177121"/>
    <w:rsid w:val="24326801"/>
    <w:rsid w:val="245106F3"/>
    <w:rsid w:val="2461458C"/>
    <w:rsid w:val="24655634"/>
    <w:rsid w:val="24AD6D38"/>
    <w:rsid w:val="24B32A61"/>
    <w:rsid w:val="24D83346"/>
    <w:rsid w:val="25720679"/>
    <w:rsid w:val="25DF5154"/>
    <w:rsid w:val="265B42DF"/>
    <w:rsid w:val="27553E85"/>
    <w:rsid w:val="27A229B2"/>
    <w:rsid w:val="27B5253B"/>
    <w:rsid w:val="283E3CD3"/>
    <w:rsid w:val="288C6375"/>
    <w:rsid w:val="29D14A0E"/>
    <w:rsid w:val="2A4D4EEC"/>
    <w:rsid w:val="2B3F5F01"/>
    <w:rsid w:val="2C0B7CF9"/>
    <w:rsid w:val="2C2E4C48"/>
    <w:rsid w:val="2C377758"/>
    <w:rsid w:val="2D5F028F"/>
    <w:rsid w:val="2DD707ED"/>
    <w:rsid w:val="2E5D642A"/>
    <w:rsid w:val="2EC5794C"/>
    <w:rsid w:val="2F124B1C"/>
    <w:rsid w:val="2F45482D"/>
    <w:rsid w:val="2F477084"/>
    <w:rsid w:val="2F5E419A"/>
    <w:rsid w:val="2FF24A9E"/>
    <w:rsid w:val="305F0D15"/>
    <w:rsid w:val="307D673F"/>
    <w:rsid w:val="30C848E7"/>
    <w:rsid w:val="31324247"/>
    <w:rsid w:val="31C1427F"/>
    <w:rsid w:val="320D3218"/>
    <w:rsid w:val="324375D6"/>
    <w:rsid w:val="32985053"/>
    <w:rsid w:val="32B20743"/>
    <w:rsid w:val="32E31462"/>
    <w:rsid w:val="32E81473"/>
    <w:rsid w:val="33817B10"/>
    <w:rsid w:val="33D56F13"/>
    <w:rsid w:val="34280373"/>
    <w:rsid w:val="3439458D"/>
    <w:rsid w:val="345D5D57"/>
    <w:rsid w:val="346E5D8F"/>
    <w:rsid w:val="350A079B"/>
    <w:rsid w:val="35306958"/>
    <w:rsid w:val="35316934"/>
    <w:rsid w:val="356A4DAC"/>
    <w:rsid w:val="35C15576"/>
    <w:rsid w:val="35C46C85"/>
    <w:rsid w:val="364B0EC2"/>
    <w:rsid w:val="36D45DBC"/>
    <w:rsid w:val="37571F09"/>
    <w:rsid w:val="38014F46"/>
    <w:rsid w:val="38E97278"/>
    <w:rsid w:val="38FC4233"/>
    <w:rsid w:val="39073CCD"/>
    <w:rsid w:val="391317D1"/>
    <w:rsid w:val="391E6950"/>
    <w:rsid w:val="3A1A525E"/>
    <w:rsid w:val="3B380893"/>
    <w:rsid w:val="3C175755"/>
    <w:rsid w:val="3C725167"/>
    <w:rsid w:val="3C9839FA"/>
    <w:rsid w:val="3CA6239E"/>
    <w:rsid w:val="3CB04E80"/>
    <w:rsid w:val="3CC67CD4"/>
    <w:rsid w:val="3D96637E"/>
    <w:rsid w:val="3DC372EE"/>
    <w:rsid w:val="3DEC2498"/>
    <w:rsid w:val="3E1B06D5"/>
    <w:rsid w:val="3E4F494F"/>
    <w:rsid w:val="3ED82F46"/>
    <w:rsid w:val="3FAD3FCA"/>
    <w:rsid w:val="40BE3049"/>
    <w:rsid w:val="422721F4"/>
    <w:rsid w:val="42547D8B"/>
    <w:rsid w:val="42F23437"/>
    <w:rsid w:val="43663E29"/>
    <w:rsid w:val="44052193"/>
    <w:rsid w:val="444769AF"/>
    <w:rsid w:val="44EA4606"/>
    <w:rsid w:val="458C667A"/>
    <w:rsid w:val="46366161"/>
    <w:rsid w:val="463E6D9A"/>
    <w:rsid w:val="46465AAA"/>
    <w:rsid w:val="467D2F1A"/>
    <w:rsid w:val="46CE1703"/>
    <w:rsid w:val="46E35449"/>
    <w:rsid w:val="46E8208A"/>
    <w:rsid w:val="473960E8"/>
    <w:rsid w:val="477B7C75"/>
    <w:rsid w:val="47A07BC1"/>
    <w:rsid w:val="47A4555A"/>
    <w:rsid w:val="47AF74CC"/>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5C93BF0"/>
    <w:rsid w:val="56626902"/>
    <w:rsid w:val="56700294"/>
    <w:rsid w:val="57D2139A"/>
    <w:rsid w:val="57DF4B76"/>
    <w:rsid w:val="585C571D"/>
    <w:rsid w:val="586B1477"/>
    <w:rsid w:val="589C02B5"/>
    <w:rsid w:val="58A31F4C"/>
    <w:rsid w:val="59484EC2"/>
    <w:rsid w:val="5A85418B"/>
    <w:rsid w:val="5AA342BB"/>
    <w:rsid w:val="5BAE2A99"/>
    <w:rsid w:val="5BC20F3E"/>
    <w:rsid w:val="5C1717D9"/>
    <w:rsid w:val="5C1A7007"/>
    <w:rsid w:val="5C1E368A"/>
    <w:rsid w:val="5C20031E"/>
    <w:rsid w:val="5CB139A0"/>
    <w:rsid w:val="5CD938B8"/>
    <w:rsid w:val="5D280ACB"/>
    <w:rsid w:val="5D823D4C"/>
    <w:rsid w:val="5DA504AA"/>
    <w:rsid w:val="5DD54801"/>
    <w:rsid w:val="5E8E5AC1"/>
    <w:rsid w:val="5E921C4D"/>
    <w:rsid w:val="5EE83EB0"/>
    <w:rsid w:val="5EFB17CA"/>
    <w:rsid w:val="5F4A434F"/>
    <w:rsid w:val="6001186C"/>
    <w:rsid w:val="606E3CED"/>
    <w:rsid w:val="60D16749"/>
    <w:rsid w:val="60DB3FC7"/>
    <w:rsid w:val="614E3A65"/>
    <w:rsid w:val="617D2E49"/>
    <w:rsid w:val="61994186"/>
    <w:rsid w:val="61BC4DC2"/>
    <w:rsid w:val="62F6410D"/>
    <w:rsid w:val="634675E2"/>
    <w:rsid w:val="63520B99"/>
    <w:rsid w:val="638962A8"/>
    <w:rsid w:val="63BF3CCD"/>
    <w:rsid w:val="63F4509F"/>
    <w:rsid w:val="6486046D"/>
    <w:rsid w:val="64BF36B4"/>
    <w:rsid w:val="64C76A4D"/>
    <w:rsid w:val="64FE6613"/>
    <w:rsid w:val="651654D0"/>
    <w:rsid w:val="662A75DE"/>
    <w:rsid w:val="66980FBD"/>
    <w:rsid w:val="67341FB4"/>
    <w:rsid w:val="67F03A67"/>
    <w:rsid w:val="68D23C1D"/>
    <w:rsid w:val="69294622"/>
    <w:rsid w:val="69995CD6"/>
    <w:rsid w:val="69CA0494"/>
    <w:rsid w:val="69FB4D8B"/>
    <w:rsid w:val="6C2234CC"/>
    <w:rsid w:val="6D32159C"/>
    <w:rsid w:val="6D351CF7"/>
    <w:rsid w:val="6E412611"/>
    <w:rsid w:val="6E9976D7"/>
    <w:rsid w:val="6EB746A7"/>
    <w:rsid w:val="6EF32B6E"/>
    <w:rsid w:val="6F13150B"/>
    <w:rsid w:val="6F34277B"/>
    <w:rsid w:val="6F6B3219"/>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7727982"/>
    <w:rsid w:val="77A80A16"/>
    <w:rsid w:val="78143BC7"/>
    <w:rsid w:val="787D7581"/>
    <w:rsid w:val="78AF68A0"/>
    <w:rsid w:val="78C37659"/>
    <w:rsid w:val="790B56C3"/>
    <w:rsid w:val="7B0155BF"/>
    <w:rsid w:val="7BC16393"/>
    <w:rsid w:val="7C1D0C87"/>
    <w:rsid w:val="7D0543E8"/>
    <w:rsid w:val="7D191B50"/>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4"/>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3"/>
    <w:qFormat/>
    <w:uiPriority w:val="0"/>
    <w:rPr>
      <w:rFonts w:ascii="Times New Roman" w:hAnsi="Times New Roman" w:eastAsia="宋体" w:cs="Times New Roman"/>
      <w:color w:val="FF0000"/>
      <w:sz w:val="24"/>
      <w:szCs w:val="24"/>
    </w:r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4"/>
    <w:qFormat/>
    <w:uiPriority w:val="0"/>
    <w:rPr>
      <w:rFonts w:ascii="Calibri" w:hAnsi="Calibri" w:eastAsia="宋体" w:cs="Times New Roman"/>
      <w:b/>
      <w:bCs/>
      <w:kern w:val="44"/>
      <w:sz w:val="44"/>
      <w:szCs w:val="44"/>
    </w:rPr>
  </w:style>
  <w:style w:type="character" w:customStyle="1" w:styleId="30">
    <w:name w:val="标题 2 Char"/>
    <w:basedOn w:val="24"/>
    <w:link w:val="5"/>
    <w:qFormat/>
    <w:uiPriority w:val="0"/>
    <w:rPr>
      <w:rFonts w:ascii="Arial" w:hAnsi="Arial" w:eastAsia="黑体" w:cs="Times New Roman"/>
      <w:b/>
      <w:bCs/>
      <w:sz w:val="32"/>
      <w:szCs w:val="32"/>
    </w:rPr>
  </w:style>
  <w:style w:type="character" w:customStyle="1" w:styleId="31">
    <w:name w:val="标题 3 Char"/>
    <w:basedOn w:val="24"/>
    <w:link w:val="6"/>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7"/>
    <w:qFormat/>
    <w:uiPriority w:val="0"/>
    <w:rPr>
      <w:rFonts w:ascii="Arial" w:hAnsi="Arial" w:eastAsia="黑体" w:cs="Times New Roman"/>
      <w:b/>
      <w:bCs/>
      <w:sz w:val="28"/>
      <w:szCs w:val="28"/>
    </w:rPr>
  </w:style>
  <w:style w:type="character" w:customStyle="1" w:styleId="33">
    <w:name w:val="正文文本 3 Char"/>
    <w:basedOn w:val="24"/>
    <w:link w:val="10"/>
    <w:qFormat/>
    <w:uiPriority w:val="0"/>
    <w:rPr>
      <w:rFonts w:ascii="Times New Roman" w:hAnsi="Times New Roman" w:eastAsia="宋体" w:cs="Times New Roman"/>
      <w:color w:val="FF0000"/>
      <w:sz w:val="24"/>
      <w:szCs w:val="24"/>
    </w:rPr>
  </w:style>
  <w:style w:type="character" w:customStyle="1" w:styleId="34">
    <w:name w:val="正文文本 Char"/>
    <w:basedOn w:val="24"/>
    <w:link w:val="3"/>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 w:type="paragraph" w:customStyle="1" w:styleId="58">
    <w:name w:val="*正文"/>
    <w:basedOn w:val="1"/>
    <w:qFormat/>
    <w:uiPriority w:val="0"/>
    <w:pPr>
      <w:keepNext/>
      <w:keepLines/>
      <w:spacing w:line="360" w:lineRule="auto"/>
      <w:ind w:firstLine="200" w:firstLineChars="200"/>
    </w:pPr>
    <w:rPr>
      <w:rFonts w:ascii="宋体" w:hAnsi="宋体"/>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纯文本1"/>
    <w:basedOn w:val="1"/>
    <w:qFormat/>
    <w:uiPriority w:val="0"/>
    <w:rPr>
      <w:rFonts w:ascii="宋体" w:hAnsi="Courier New"/>
      <w:kern w:val="0"/>
      <w:sz w:val="20"/>
      <w:szCs w:val="21"/>
    </w:rPr>
  </w:style>
  <w:style w:type="paragraph" w:customStyle="1" w:styleId="62">
    <w:name w:val="p0"/>
    <w:basedOn w:val="1"/>
    <w:qFormat/>
    <w:uiPriority w:val="0"/>
    <w:pPr>
      <w:widowControl/>
    </w:pPr>
    <w:rPr>
      <w:kern w:val="0"/>
    </w:rPr>
  </w:style>
  <w:style w:type="character" w:customStyle="1" w:styleId="63">
    <w:name w:val="font61"/>
    <w:basedOn w:val="24"/>
    <w:qFormat/>
    <w:uiPriority w:val="0"/>
    <w:rPr>
      <w:rFonts w:hint="eastAsia" w:ascii="宋体" w:hAnsi="宋体" w:eastAsia="宋体" w:cs="宋体"/>
      <w:color w:val="000000"/>
      <w:sz w:val="22"/>
      <w:szCs w:val="22"/>
      <w:u w:val="none"/>
    </w:rPr>
  </w:style>
  <w:style w:type="character" w:customStyle="1" w:styleId="64">
    <w:name w:val="font31"/>
    <w:basedOn w:val="24"/>
    <w:qFormat/>
    <w:uiPriority w:val="0"/>
    <w:rPr>
      <w:rFonts w:hint="eastAsia" w:ascii="仿宋_GB2312" w:eastAsia="仿宋_GB2312" w:cs="仿宋_GB2312"/>
      <w:color w:val="000000"/>
      <w:sz w:val="22"/>
      <w:szCs w:val="22"/>
      <w:u w:val="none"/>
    </w:rPr>
  </w:style>
  <w:style w:type="character" w:customStyle="1" w:styleId="65">
    <w:name w:val="font21"/>
    <w:basedOn w:val="24"/>
    <w:qFormat/>
    <w:uiPriority w:val="0"/>
    <w:rPr>
      <w:rFonts w:hint="eastAsia" w:ascii="宋体" w:hAnsi="宋体" w:eastAsia="宋体" w:cs="宋体"/>
      <w:color w:val="000000"/>
      <w:sz w:val="20"/>
      <w:szCs w:val="20"/>
      <w:u w:val="none"/>
    </w:rPr>
  </w:style>
  <w:style w:type="character" w:customStyle="1" w:styleId="66">
    <w:name w:val="font41"/>
    <w:basedOn w:val="24"/>
    <w:qFormat/>
    <w:uiPriority w:val="0"/>
    <w:rPr>
      <w:rFonts w:hint="eastAsia" w:ascii="仿宋_GB2312" w:eastAsia="仿宋_GB2312" w:cs="仿宋_GB2312"/>
      <w:color w:val="000000"/>
      <w:sz w:val="20"/>
      <w:szCs w:val="20"/>
      <w:u w:val="none"/>
    </w:rPr>
  </w:style>
  <w:style w:type="paragraph" w:customStyle="1" w:styleId="67">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314A6-C450-4BEC-8F64-A576BA8C331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5394</Words>
  <Characters>30747</Characters>
  <Lines>256</Lines>
  <Paragraphs>72</Paragraphs>
  <TotalTime>0</TotalTime>
  <ScaleCrop>false</ScaleCrop>
  <LinksUpToDate>false</LinksUpToDate>
  <CharactersWithSpaces>36069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2020-03-04T01:59:01Z</dcterms:modified>
  <cp:revision>621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